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28" w:rsidP="003969B3" w:rsidRDefault="00587A28" w14:paraId="39F3A1FD" w14:textId="77777777">
      <w:pPr>
        <w:spacing w:after="0"/>
        <w:jc w:val="center"/>
        <w:rPr>
          <w:b/>
        </w:rPr>
      </w:pPr>
      <w:r>
        <w:rPr>
          <w:b/>
        </w:rPr>
        <w:t xml:space="preserve">Generic Information Collection Request:  </w:t>
      </w:r>
    </w:p>
    <w:p w:rsidR="00587A28" w:rsidP="003969B3" w:rsidRDefault="00587A28" w14:paraId="631B4834" w14:textId="77777777">
      <w:pPr>
        <w:spacing w:after="0"/>
        <w:jc w:val="center"/>
        <w:rPr>
          <w:b/>
        </w:rPr>
      </w:pPr>
      <w:r>
        <w:rPr>
          <w:b/>
        </w:rPr>
        <w:t xml:space="preserve">Cognitive Interviewing for the </w:t>
      </w:r>
      <w:r w:rsidRPr="00EC2502" w:rsidR="00F0564B">
        <w:rPr>
          <w:b/>
        </w:rPr>
        <w:t xml:space="preserve">Content </w:t>
      </w:r>
      <w:r w:rsidRPr="00EC2502" w:rsidR="0084056B">
        <w:rPr>
          <w:b/>
        </w:rPr>
        <w:t>Harmonization</w:t>
      </w:r>
      <w:r w:rsidRPr="00EC2502" w:rsidR="007C02C9">
        <w:rPr>
          <w:b/>
        </w:rPr>
        <w:t xml:space="preserve"> </w:t>
      </w:r>
    </w:p>
    <w:p w:rsidRPr="00EC2502" w:rsidR="008535A1" w:rsidP="003969B3" w:rsidRDefault="00EC2502" w14:paraId="03B20EDF" w14:textId="049F01F8">
      <w:pPr>
        <w:spacing w:after="0"/>
        <w:jc w:val="center"/>
        <w:rPr>
          <w:b/>
        </w:rPr>
      </w:pPr>
      <w:r w:rsidRPr="00EC2502">
        <w:rPr>
          <w:b/>
        </w:rPr>
        <w:t xml:space="preserve">and Collection Unit Determination </w:t>
      </w:r>
      <w:r w:rsidR="007C186C">
        <w:rPr>
          <w:b/>
        </w:rPr>
        <w:t xml:space="preserve">Instrument </w:t>
      </w:r>
    </w:p>
    <w:p w:rsidR="00F0564B" w:rsidRDefault="00F0564B" w14:paraId="1FDF17F0" w14:textId="28ADED2D"/>
    <w:p w:rsidR="00587A28" w:rsidRDefault="00587A28" w14:paraId="33709B9C" w14:textId="24EE371E">
      <w:r w:rsidRPr="00E3216B">
        <w:rPr>
          <w:b/>
        </w:rPr>
        <w:t>Request</w:t>
      </w:r>
      <w:r>
        <w:t xml:space="preserve">:  The Census Bureau plans to conduct additional research under the generic clearance for questionnaire pretesting research (OMB number 0607-0725).  We will be conducting in-depth exploratory interviews to study the recordkeeping practices of </w:t>
      </w:r>
      <w:r w:rsidR="00385E2B">
        <w:t>medium</w:t>
      </w:r>
      <w:r w:rsidR="007A75B6">
        <w:t>-to-large</w:t>
      </w:r>
      <w:r w:rsidR="00385E2B">
        <w:t>-sized multi-unit companies for the purpose of improving the annual survey programs in the Economic Directorate.</w:t>
      </w:r>
    </w:p>
    <w:p w:rsidR="00385E2B" w:rsidRDefault="00385E2B" w14:paraId="48915B4B" w14:textId="6033F4C5"/>
    <w:p w:rsidRPr="00D36526" w:rsidR="00385E2B" w:rsidRDefault="00385E2B" w14:paraId="44421B15" w14:textId="5D154C42">
      <w:pPr>
        <w:rPr>
          <w:b/>
        </w:rPr>
      </w:pPr>
      <w:r w:rsidRPr="00D36526">
        <w:rPr>
          <w:b/>
        </w:rPr>
        <w:t>Purpose:</w:t>
      </w:r>
    </w:p>
    <w:p w:rsidRPr="00385E2B" w:rsidR="00385E2B" w:rsidP="00385E2B" w:rsidRDefault="00385E2B" w14:paraId="6F609B95" w14:textId="764858AB">
      <w:r>
        <w:t xml:space="preserve">The </w:t>
      </w:r>
      <w:r w:rsidRPr="00385E2B">
        <w:t>Census Bureau’s Economic Directorate (ECON) asked the National Academy of Sciences (NAS) to convene an expert panel to review their appropriated annual economic surveys and recommend improved methodologies for conducting and processing them. The panel started work in July 2015 and the final report was released in May 2018 (</w:t>
      </w:r>
      <w:hyperlink w:history="1" r:id="rId8">
        <w:r w:rsidRPr="00385E2B">
          <w:rPr>
            <w:rStyle w:val="Hyperlink"/>
          </w:rPr>
          <w:t>Reengineering the Census Bureau's Annual Economic Surveys</w:t>
        </w:r>
      </w:hyperlink>
      <w:r w:rsidRPr="00385E2B">
        <w:t xml:space="preserve">). From these recommendations, the Economic Directorate is </w:t>
      </w:r>
      <w:r w:rsidR="00F4312C">
        <w:t>conducting</w:t>
      </w:r>
      <w:r w:rsidRPr="00385E2B" w:rsidR="00F4312C">
        <w:t xml:space="preserve"> </w:t>
      </w:r>
      <w:r w:rsidRPr="00385E2B">
        <w:t xml:space="preserve">research </w:t>
      </w:r>
      <w:r w:rsidR="00F4312C">
        <w:t>towards the goal of</w:t>
      </w:r>
      <w:r w:rsidRPr="00385E2B">
        <w:t xml:space="preserve"> harmonizing and simplifying the design and production process for these surveys and the Economic Census.</w:t>
      </w:r>
    </w:p>
    <w:p w:rsidR="00385E2B" w:rsidRDefault="00385E2B" w14:paraId="33AFA101" w14:textId="788B2D8F">
      <w:r>
        <w:t>In previous researc</w:t>
      </w:r>
      <w:r w:rsidR="007A75B6">
        <w:t xml:space="preserve">h, the Census Bureau conducted a series of focus groups and interviews to determine the record-keeping practices of medium-sized multi-unit companies.  This research shed light on the sources of burden that respondents encounter when responding to Census Bureau annual economic surveys; this burden ranges from interpreting the meaning of questions to allocating firm data to these questions to rallying the appropriate company component to respond to such requests.  One of the major findings of this work is that from the respondents’ perspective, asking for data about a piece of the entire company can be confusing at best and overly burdensome at worst.  This mismatch leads to negative impact on resultant data quality and </w:t>
      </w:r>
      <w:r w:rsidR="00D122A5">
        <w:t>an erosion of respondent goodwill to data requests.</w:t>
      </w:r>
    </w:p>
    <w:p w:rsidR="007A75B6" w:rsidRDefault="00D122A5" w14:paraId="64DAFD54" w14:textId="1A519214">
      <w:r>
        <w:t>With that in mind, this project seeks to extend the</w:t>
      </w:r>
      <w:r w:rsidR="00F80CF4">
        <w:t>se</w:t>
      </w:r>
      <w:r>
        <w:t xml:space="preserve"> previous </w:t>
      </w:r>
      <w:r w:rsidR="00F80CF4">
        <w:t>record-keeping</w:t>
      </w:r>
      <w:r>
        <w:t xml:space="preserve"> stud</w:t>
      </w:r>
      <w:r w:rsidR="00F80CF4">
        <w:t>ies</w:t>
      </w:r>
      <w:r>
        <w:t xml:space="preserve"> by better understanding the accessibility and burden associated with reporting data on various business attributes at various levels of operation.  The proposed research will test </w:t>
      </w:r>
      <w:r w:rsidR="001114DB">
        <w:t>the concept of a</w:t>
      </w:r>
      <w:r>
        <w:t xml:space="preserve"> topic-driven instrument developed based on the Economic Directorate Data Management Framework </w:t>
      </w:r>
      <w:r w:rsidR="00FA2849">
        <w:t xml:space="preserve">(see Table 1) </w:t>
      </w:r>
      <w:r>
        <w:t>to determine the best collection unit for core data items.  In consultation with the appropriate Census Bureau stakeholders, researchers in the Economic Statistical Methods Division</w:t>
      </w:r>
      <w:r w:rsidR="00FE4355">
        <w:t xml:space="preserve"> (ESMD)</w:t>
      </w:r>
      <w:r>
        <w:t xml:space="preserve"> have identified three </w:t>
      </w:r>
      <w:r w:rsidR="00FA2849">
        <w:t>key variables</w:t>
      </w:r>
      <w:r>
        <w:t xml:space="preserve"> </w:t>
      </w:r>
      <w:r w:rsidR="00F448FC">
        <w:t>to focus on in this research</w:t>
      </w:r>
      <w:r>
        <w:t>: revenue, expenses, and assets.</w:t>
      </w:r>
    </w:p>
    <w:p w:rsidR="00322964" w:rsidRDefault="00322964" w14:paraId="3C20AD87" w14:textId="26722103">
      <w:r>
        <w:br w:type="page"/>
      </w:r>
    </w:p>
    <w:p w:rsidR="00D122A5" w:rsidRDefault="00D122A5" w14:paraId="03694789" w14:textId="77777777"/>
    <w:p w:rsidRPr="00195EE8" w:rsidR="00322964" w:rsidP="00322964" w:rsidRDefault="00322964" w14:paraId="0437A6BF" w14:textId="676141FE">
      <w:pPr>
        <w:pStyle w:val="Caption"/>
        <w:keepNext/>
        <w:rPr>
          <w:sz w:val="22"/>
          <w:szCs w:val="22"/>
        </w:rPr>
      </w:pPr>
      <w:r w:rsidRPr="00195EE8">
        <w:rPr>
          <w:sz w:val="22"/>
          <w:szCs w:val="22"/>
        </w:rPr>
        <w:t xml:space="preserve">Table </w:t>
      </w:r>
      <w:r w:rsidRPr="00195EE8" w:rsidR="00ED767D">
        <w:rPr>
          <w:sz w:val="22"/>
          <w:szCs w:val="22"/>
        </w:rPr>
        <w:fldChar w:fldCharType="begin"/>
      </w:r>
      <w:r w:rsidRPr="00195EE8" w:rsidR="00ED767D">
        <w:rPr>
          <w:sz w:val="22"/>
          <w:szCs w:val="22"/>
        </w:rPr>
        <w:instrText xml:space="preserve"> SEQ Table \* ARABIC </w:instrText>
      </w:r>
      <w:r w:rsidRPr="00195EE8" w:rsidR="00ED767D">
        <w:rPr>
          <w:sz w:val="22"/>
          <w:szCs w:val="22"/>
        </w:rPr>
        <w:fldChar w:fldCharType="separate"/>
      </w:r>
      <w:r w:rsidRPr="00195EE8" w:rsidR="00A60AF3">
        <w:rPr>
          <w:noProof/>
          <w:sz w:val="22"/>
          <w:szCs w:val="22"/>
        </w:rPr>
        <w:t>1</w:t>
      </w:r>
      <w:r w:rsidRPr="00195EE8" w:rsidR="00ED767D">
        <w:rPr>
          <w:noProof/>
          <w:sz w:val="22"/>
          <w:szCs w:val="22"/>
        </w:rPr>
        <w:fldChar w:fldCharType="end"/>
      </w:r>
      <w:r w:rsidRPr="00195EE8">
        <w:rPr>
          <w:sz w:val="22"/>
          <w:szCs w:val="22"/>
        </w:rPr>
        <w:t>:</w:t>
      </w:r>
      <w:r w:rsidRPr="00195EE8" w:rsidR="0091532F">
        <w:rPr>
          <w:sz w:val="22"/>
          <w:szCs w:val="22"/>
        </w:rPr>
        <w:t xml:space="preserve"> </w:t>
      </w:r>
      <w:r w:rsidRPr="00195EE8">
        <w:rPr>
          <w:sz w:val="22"/>
          <w:szCs w:val="22"/>
        </w:rPr>
        <w:t>Economic Directorate Data Management Framework and Example Subtopics (Abridged)</w:t>
      </w:r>
    </w:p>
    <w:tbl>
      <w:tblPr>
        <w:tblStyle w:val="GridTable4-Accent1"/>
        <w:tblW w:w="9463" w:type="dxa"/>
        <w:tblLook w:val="04A0" w:firstRow="1" w:lastRow="0" w:firstColumn="1" w:lastColumn="0" w:noHBand="0" w:noVBand="1"/>
      </w:tblPr>
      <w:tblGrid>
        <w:gridCol w:w="3325"/>
        <w:gridCol w:w="6138"/>
      </w:tblGrid>
      <w:tr w:rsidR="00B55033" w:rsidTr="00DD5523" w14:paraId="3DF3EDC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B55033" w14:paraId="7CFF82DE" w14:textId="06F1961A">
            <w:r w:rsidRPr="00DD5523">
              <w:t>Overall Topic</w:t>
            </w:r>
          </w:p>
        </w:tc>
        <w:tc>
          <w:tcPr>
            <w:tcW w:w="6138" w:type="dxa"/>
          </w:tcPr>
          <w:p w:rsidR="00B55033" w:rsidP="00DD5523" w:rsidRDefault="00B55033" w14:paraId="714C6A3E" w14:textId="3E123F14">
            <w:pPr>
              <w:cnfStyle w:val="100000000000" w:firstRow="1" w:lastRow="0" w:firstColumn="0" w:lastColumn="0" w:oddVBand="0" w:evenVBand="0" w:oddHBand="0" w:evenHBand="0" w:firstRowFirstColumn="0" w:firstRowLastColumn="0" w:lastRowFirstColumn="0" w:lastRowLastColumn="0"/>
            </w:pPr>
            <w:r>
              <w:t>Examples</w:t>
            </w:r>
          </w:p>
        </w:tc>
      </w:tr>
      <w:tr w:rsidR="00B55033" w:rsidTr="00DD5523" w14:paraId="5E3642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B55033" w14:paraId="51F4F86D" w14:textId="791FCC8E">
            <w:r w:rsidRPr="00DD5523">
              <w:t>Assets</w:t>
            </w:r>
          </w:p>
        </w:tc>
        <w:tc>
          <w:tcPr>
            <w:tcW w:w="6138" w:type="dxa"/>
          </w:tcPr>
          <w:p w:rsidR="00B55033" w:rsidP="00210796" w:rsidRDefault="00210796" w14:paraId="3DEB5C58" w14:textId="62EA8481">
            <w:pPr>
              <w:cnfStyle w:val="000000100000" w:firstRow="0" w:lastRow="0" w:firstColumn="0" w:lastColumn="0" w:oddVBand="0" w:evenVBand="0" w:oddHBand="1" w:evenHBand="0" w:firstRowFirstColumn="0" w:firstRowLastColumn="0" w:lastRowFirstColumn="0" w:lastRowLastColumn="0"/>
            </w:pPr>
            <w:r>
              <w:t>Accounting p</w:t>
            </w:r>
            <w:r w:rsidR="00B55033">
              <w:t xml:space="preserve">eriod, </w:t>
            </w:r>
            <w:r>
              <w:t>a</w:t>
            </w:r>
            <w:r w:rsidR="00B55033">
              <w:t xml:space="preserve">ccounts </w:t>
            </w:r>
            <w:r>
              <w:t>r</w:t>
            </w:r>
            <w:r w:rsidR="00B55033">
              <w:t>eceivable</w:t>
            </w:r>
          </w:p>
        </w:tc>
      </w:tr>
      <w:tr w:rsidR="00B55033" w:rsidTr="00DD5523" w14:paraId="22D85EBF" w14:textId="77777777">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B55033" w14:paraId="62A56D46" w14:textId="28B304E0">
            <w:r w:rsidRPr="00DD5523">
              <w:t>Depreciable Assets</w:t>
            </w:r>
          </w:p>
        </w:tc>
        <w:tc>
          <w:tcPr>
            <w:tcW w:w="6138" w:type="dxa"/>
          </w:tcPr>
          <w:p w:rsidR="00B55033" w:rsidP="00210796" w:rsidRDefault="00B55033" w14:paraId="7F5E0F23" w14:textId="6DAED9B2">
            <w:pPr>
              <w:tabs>
                <w:tab w:val="num" w:pos="1440"/>
              </w:tabs>
              <w:cnfStyle w:val="000000000000" w:firstRow="0" w:lastRow="0" w:firstColumn="0" w:lastColumn="0" w:oddVBand="0" w:evenVBand="0" w:oddHBand="0" w:evenHBand="0" w:firstRowFirstColumn="0" w:firstRowLastColumn="0" w:lastRowFirstColumn="0" w:lastRowLastColumn="0"/>
            </w:pPr>
            <w:r w:rsidRPr="00B55033">
              <w:t xml:space="preserve">Capital </w:t>
            </w:r>
            <w:r w:rsidR="00210796">
              <w:t>e</w:t>
            </w:r>
            <w:r w:rsidRPr="00B55033">
              <w:t>xpenditure</w:t>
            </w:r>
            <w:r w:rsidR="005E1D41">
              <w:t xml:space="preserve">, </w:t>
            </w:r>
            <w:r w:rsidR="00210796">
              <w:t>i</w:t>
            </w:r>
            <w:r w:rsidRPr="00B55033">
              <w:t>nventory</w:t>
            </w:r>
            <w:r w:rsidR="005E1D41">
              <w:t xml:space="preserve">, </w:t>
            </w:r>
            <w:r w:rsidR="00210796">
              <w:t>v</w:t>
            </w:r>
            <w:r w:rsidRPr="00B55033">
              <w:t>ehicles</w:t>
            </w:r>
          </w:p>
        </w:tc>
      </w:tr>
      <w:tr w:rsidR="00B55033" w:rsidTr="00DD5523" w14:paraId="089F6F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4C574E" w14:paraId="61B77D5B" w14:textId="43F99608">
            <w:r>
              <w:t>Building Permits</w:t>
            </w:r>
          </w:p>
        </w:tc>
        <w:tc>
          <w:tcPr>
            <w:tcW w:w="6138" w:type="dxa"/>
          </w:tcPr>
          <w:p w:rsidR="00B55033" w:rsidP="00210796" w:rsidRDefault="00B55033" w14:paraId="57510032" w14:textId="72C96E1E">
            <w:pPr>
              <w:tabs>
                <w:tab w:val="num" w:pos="1440"/>
              </w:tabs>
              <w:cnfStyle w:val="000000100000" w:firstRow="0" w:lastRow="0" w:firstColumn="0" w:lastColumn="0" w:oddVBand="0" w:evenVBand="0" w:oddHBand="1" w:evenHBand="0" w:firstRowFirstColumn="0" w:firstRowLastColumn="0" w:lastRowFirstColumn="0" w:lastRowLastColumn="0"/>
            </w:pPr>
            <w:r w:rsidRPr="00B55033">
              <w:t>Jurisdiction</w:t>
            </w:r>
            <w:r w:rsidR="005E1D41">
              <w:t xml:space="preserve">, </w:t>
            </w:r>
            <w:r w:rsidR="00210796">
              <w:t>u</w:t>
            </w:r>
            <w:r w:rsidRPr="00B55033">
              <w:t>nits</w:t>
            </w:r>
            <w:r w:rsidR="005E1D41">
              <w:t xml:space="preserve">, </w:t>
            </w:r>
            <w:r w:rsidR="00210796">
              <w:t>r</w:t>
            </w:r>
            <w:r w:rsidRPr="00B55033">
              <w:t>esidential permits</w:t>
            </w:r>
          </w:p>
        </w:tc>
      </w:tr>
      <w:tr w:rsidR="00B55033" w:rsidTr="00DD5523" w14:paraId="62825CB2" w14:textId="77777777">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B55033" w14:paraId="6775D1EB" w14:textId="5A89416D">
            <w:r w:rsidRPr="00DD5523">
              <w:t>Business Characteristics</w:t>
            </w:r>
          </w:p>
        </w:tc>
        <w:tc>
          <w:tcPr>
            <w:tcW w:w="6138" w:type="dxa"/>
          </w:tcPr>
          <w:p w:rsidR="00B55033" w:rsidP="004C574E" w:rsidRDefault="005E1D41" w14:paraId="2E031B49" w14:textId="4B8462EA">
            <w:pPr>
              <w:cnfStyle w:val="000000000000" w:firstRow="0" w:lastRow="0" w:firstColumn="0" w:lastColumn="0" w:oddVBand="0" w:evenVBand="0" w:oddHBand="0" w:evenHBand="0" w:firstRowFirstColumn="0" w:firstRowLastColumn="0" w:lastRowFirstColumn="0" w:lastRowLastColumn="0"/>
            </w:pPr>
            <w:r>
              <w:t xml:space="preserve">Ownership </w:t>
            </w:r>
            <w:r w:rsidR="004C574E">
              <w:t>i</w:t>
            </w:r>
            <w:r>
              <w:t xml:space="preserve">nformation, </w:t>
            </w:r>
            <w:r w:rsidRPr="00B55033" w:rsidR="00B55033">
              <w:t>EIN</w:t>
            </w:r>
            <w:r>
              <w:t xml:space="preserve">, </w:t>
            </w:r>
            <w:r w:rsidR="004C574E">
              <w:t>e</w:t>
            </w:r>
            <w:r w:rsidRPr="00B55033" w:rsidR="00B55033">
              <w:t>stablishments</w:t>
            </w:r>
          </w:p>
        </w:tc>
      </w:tr>
      <w:tr w:rsidR="00B55033" w:rsidTr="00DD5523" w14:paraId="276C11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B55033" w14:paraId="3E2AF773" w14:textId="367EB250">
            <w:r w:rsidRPr="00DD5523">
              <w:t>Business Classification</w:t>
            </w:r>
          </w:p>
        </w:tc>
        <w:tc>
          <w:tcPr>
            <w:tcW w:w="6138" w:type="dxa"/>
          </w:tcPr>
          <w:p w:rsidR="00B55033" w:rsidP="004C574E" w:rsidRDefault="00B55033" w14:paraId="1163C801" w14:textId="42903B52">
            <w:pPr>
              <w:tabs>
                <w:tab w:val="num" w:pos="1440"/>
              </w:tabs>
              <w:cnfStyle w:val="000000100000" w:firstRow="0" w:lastRow="0" w:firstColumn="0" w:lastColumn="0" w:oddVBand="0" w:evenVBand="0" w:oddHBand="1" w:evenHBand="0" w:firstRowFirstColumn="0" w:firstRowLastColumn="0" w:lastRowFirstColumn="0" w:lastRowLastColumn="0"/>
            </w:pPr>
            <w:r w:rsidRPr="00B55033">
              <w:t xml:space="preserve">Kind of </w:t>
            </w:r>
            <w:r w:rsidR="004C574E">
              <w:t>b</w:t>
            </w:r>
            <w:r w:rsidRPr="00B55033">
              <w:t>usiness</w:t>
            </w:r>
            <w:r w:rsidR="005E1D41">
              <w:t xml:space="preserve">, </w:t>
            </w:r>
            <w:r w:rsidR="004C574E">
              <w:t>m</w:t>
            </w:r>
            <w:r w:rsidRPr="00B55033">
              <w:t xml:space="preserve">ethod of </w:t>
            </w:r>
            <w:r w:rsidR="004C574E">
              <w:t>s</w:t>
            </w:r>
            <w:r w:rsidRPr="00B55033">
              <w:t>elling</w:t>
            </w:r>
            <w:r w:rsidR="005E1D41">
              <w:t xml:space="preserve">, </w:t>
            </w:r>
            <w:r w:rsidR="004C574E">
              <w:t>i</w:t>
            </w:r>
            <w:r w:rsidRPr="00B55033">
              <w:t xml:space="preserve">ndustry </w:t>
            </w:r>
            <w:r w:rsidR="004C574E">
              <w:t>s</w:t>
            </w:r>
            <w:r w:rsidRPr="00B55033">
              <w:t>pecific</w:t>
            </w:r>
          </w:p>
        </w:tc>
      </w:tr>
      <w:tr w:rsidR="00B55033" w:rsidTr="00DD5523" w14:paraId="65AFE22F" w14:textId="77777777">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B55033" w14:paraId="59D4F264" w14:textId="5AC48CD2">
            <w:r w:rsidRPr="00DD5523">
              <w:t>Collection Process</w:t>
            </w:r>
          </w:p>
        </w:tc>
        <w:tc>
          <w:tcPr>
            <w:tcW w:w="6138" w:type="dxa"/>
          </w:tcPr>
          <w:p w:rsidR="00B55033" w:rsidP="004C574E" w:rsidRDefault="00B55033" w14:paraId="5963D359" w14:textId="43A7B9F6">
            <w:pPr>
              <w:tabs>
                <w:tab w:val="num" w:pos="1440"/>
              </w:tabs>
              <w:cnfStyle w:val="000000000000" w:firstRow="0" w:lastRow="0" w:firstColumn="0" w:lastColumn="0" w:oddVBand="0" w:evenVBand="0" w:oddHBand="0" w:evenHBand="0" w:firstRowFirstColumn="0" w:firstRowLastColumn="0" w:lastRowFirstColumn="0" w:lastRowLastColumn="0"/>
            </w:pPr>
            <w:r w:rsidRPr="00B55033">
              <w:t>Burden</w:t>
            </w:r>
            <w:r w:rsidR="005E1D41">
              <w:t xml:space="preserve">, </w:t>
            </w:r>
            <w:r w:rsidR="004C574E">
              <w:t>r</w:t>
            </w:r>
            <w:r w:rsidRPr="00B55033">
              <w:t>emarks</w:t>
            </w:r>
            <w:r w:rsidR="005E1D41">
              <w:t xml:space="preserve">, </w:t>
            </w:r>
            <w:r w:rsidR="004C574E">
              <w:t>t</w:t>
            </w:r>
            <w:r w:rsidRPr="00B55033">
              <w:t>ime period covered</w:t>
            </w:r>
          </w:p>
        </w:tc>
      </w:tr>
      <w:tr w:rsidR="00B55033" w:rsidTr="00DD5523" w14:paraId="3F8B10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D5523" w:rsidR="00B55033" w:rsidP="00DD5523" w:rsidRDefault="00B55033" w14:paraId="7734ACF9" w14:textId="5E3BED94">
            <w:r w:rsidRPr="00DD5523">
              <w:t>Expenses</w:t>
            </w:r>
          </w:p>
        </w:tc>
        <w:tc>
          <w:tcPr>
            <w:tcW w:w="6138" w:type="dxa"/>
          </w:tcPr>
          <w:p w:rsidR="00B55033" w:rsidP="004C574E" w:rsidRDefault="00B55033" w14:paraId="3ADCB150" w14:textId="6580CDA6">
            <w:pPr>
              <w:tabs>
                <w:tab w:val="num" w:pos="1440"/>
              </w:tabs>
              <w:cnfStyle w:val="000000100000" w:firstRow="0" w:lastRow="0" w:firstColumn="0" w:lastColumn="0" w:oddVBand="0" w:evenVBand="0" w:oddHBand="1" w:evenHBand="0" w:firstRowFirstColumn="0" w:firstRowLastColumn="0" w:lastRowFirstColumn="0" w:lastRowLastColumn="0"/>
            </w:pPr>
            <w:r w:rsidRPr="00B55033">
              <w:t>Operating</w:t>
            </w:r>
            <w:r w:rsidR="005E1D41">
              <w:t xml:space="preserve">, </w:t>
            </w:r>
            <w:r w:rsidR="004C574E">
              <w:t>b</w:t>
            </w:r>
            <w:r w:rsidRPr="00B55033">
              <w:t>enefits</w:t>
            </w:r>
            <w:r w:rsidR="005E1D41">
              <w:t xml:space="preserve">, </w:t>
            </w:r>
            <w:r w:rsidR="004C574E">
              <w:t>p</w:t>
            </w:r>
            <w:r w:rsidRPr="00B55033">
              <w:t>ayroll</w:t>
            </w:r>
          </w:p>
        </w:tc>
      </w:tr>
      <w:tr w:rsidR="005E1D41" w:rsidTr="00DD5523" w14:paraId="0E317DB6" w14:textId="77777777">
        <w:tc>
          <w:tcPr>
            <w:cnfStyle w:val="001000000000" w:firstRow="0" w:lastRow="0" w:firstColumn="1" w:lastColumn="0" w:oddVBand="0" w:evenVBand="0" w:oddHBand="0" w:evenHBand="0" w:firstRowFirstColumn="0" w:firstRowLastColumn="0" w:lastRowFirstColumn="0" w:lastRowLastColumn="0"/>
            <w:tcW w:w="3325" w:type="dxa"/>
          </w:tcPr>
          <w:p w:rsidRPr="00DD5523" w:rsidR="005E1D41" w:rsidP="00DD5523" w:rsidRDefault="005E1D41" w14:paraId="7EE99CD1" w14:textId="0C01CDEF">
            <w:pPr>
              <w:rPr>
                <w:bCs w:val="0"/>
              </w:rPr>
            </w:pPr>
            <w:r w:rsidRPr="00DD5523">
              <w:t>Manufacturing and Production</w:t>
            </w:r>
          </w:p>
        </w:tc>
        <w:tc>
          <w:tcPr>
            <w:tcW w:w="6138" w:type="dxa"/>
          </w:tcPr>
          <w:p w:rsidRPr="00B55033" w:rsidR="005E1D41" w:rsidP="004C574E" w:rsidRDefault="005E1D41" w14:paraId="6331F283" w14:textId="7334742B">
            <w:pPr>
              <w:tabs>
                <w:tab w:val="num" w:pos="1440"/>
              </w:tabs>
              <w:cnfStyle w:val="000000000000" w:firstRow="0" w:lastRow="0" w:firstColumn="0" w:lastColumn="0" w:oddVBand="0" w:evenVBand="0" w:oddHBand="0" w:evenHBand="0" w:firstRowFirstColumn="0" w:firstRowLastColumn="0" w:lastRowFirstColumn="0" w:lastRowLastColumn="0"/>
            </w:pPr>
            <w:r w:rsidRPr="00B55033">
              <w:t>Process structure</w:t>
            </w:r>
            <w:r>
              <w:t xml:space="preserve">, </w:t>
            </w:r>
            <w:r w:rsidR="004C574E">
              <w:t>p</w:t>
            </w:r>
            <w:r w:rsidRPr="00B55033">
              <w:t>roduction capability</w:t>
            </w:r>
            <w:r>
              <w:t xml:space="preserve">, </w:t>
            </w:r>
            <w:r w:rsidR="004C574E">
              <w:t>p</w:t>
            </w:r>
            <w:r w:rsidRPr="00B55033">
              <w:t xml:space="preserve">roduction </w:t>
            </w:r>
            <w:r w:rsidR="004C574E">
              <w:t>t</w:t>
            </w:r>
            <w:r w:rsidRPr="00B55033">
              <w:t>argets</w:t>
            </w:r>
          </w:p>
        </w:tc>
      </w:tr>
      <w:tr w:rsidR="005E1D41" w:rsidTr="00DD5523" w14:paraId="6D5520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D5523" w:rsidR="005E1D41" w:rsidP="00DD5523" w:rsidRDefault="005E1D41" w14:paraId="7E8B037F" w14:textId="79A5FCBF">
            <w:pPr>
              <w:rPr>
                <w:bCs w:val="0"/>
              </w:rPr>
            </w:pPr>
            <w:r w:rsidRPr="00DD5523">
              <w:t>Revenue</w:t>
            </w:r>
          </w:p>
        </w:tc>
        <w:tc>
          <w:tcPr>
            <w:tcW w:w="6138" w:type="dxa"/>
          </w:tcPr>
          <w:p w:rsidRPr="00B55033" w:rsidR="005E1D41" w:rsidP="004C574E" w:rsidRDefault="005E1D41" w14:paraId="36120BA2" w14:textId="36044918">
            <w:pPr>
              <w:tabs>
                <w:tab w:val="num" w:pos="1440"/>
              </w:tabs>
              <w:cnfStyle w:val="000000100000" w:firstRow="0" w:lastRow="0" w:firstColumn="0" w:lastColumn="0" w:oddVBand="0" w:evenVBand="0" w:oddHBand="1" w:evenHBand="0" w:firstRowFirstColumn="0" w:firstRowLastColumn="0" w:lastRowFirstColumn="0" w:lastRowLastColumn="0"/>
            </w:pPr>
            <w:r w:rsidRPr="00B55033">
              <w:t>Products</w:t>
            </w:r>
            <w:r>
              <w:t xml:space="preserve">, </w:t>
            </w:r>
            <w:r w:rsidR="004C574E">
              <w:t>c</w:t>
            </w:r>
            <w:r w:rsidRPr="00B55033">
              <w:t>ontract</w:t>
            </w:r>
            <w:r>
              <w:t xml:space="preserve">, </w:t>
            </w:r>
            <w:r w:rsidR="004C574E">
              <w:t>e</w:t>
            </w:r>
            <w:r w:rsidRPr="00B55033">
              <w:t xml:space="preserve">lectronic </w:t>
            </w:r>
            <w:r w:rsidR="004C574E">
              <w:t>s</w:t>
            </w:r>
            <w:r w:rsidRPr="00B55033">
              <w:t>ources</w:t>
            </w:r>
          </w:p>
        </w:tc>
      </w:tr>
      <w:tr w:rsidR="005E1D41" w:rsidTr="00DD5523" w14:paraId="15156B27" w14:textId="77777777">
        <w:tc>
          <w:tcPr>
            <w:cnfStyle w:val="001000000000" w:firstRow="0" w:lastRow="0" w:firstColumn="1" w:lastColumn="0" w:oddVBand="0" w:evenVBand="0" w:oddHBand="0" w:evenHBand="0" w:firstRowFirstColumn="0" w:firstRowLastColumn="0" w:lastRowFirstColumn="0" w:lastRowLastColumn="0"/>
            <w:tcW w:w="3325" w:type="dxa"/>
          </w:tcPr>
          <w:p w:rsidRPr="00DD5523" w:rsidR="005E1D41" w:rsidP="00DD5523" w:rsidRDefault="005E1D41" w14:paraId="1E828136" w14:textId="4C5D7470">
            <w:pPr>
              <w:rPr>
                <w:bCs w:val="0"/>
              </w:rPr>
            </w:pPr>
            <w:r w:rsidRPr="00DD5523">
              <w:t>Structure</w:t>
            </w:r>
          </w:p>
        </w:tc>
        <w:tc>
          <w:tcPr>
            <w:tcW w:w="6138" w:type="dxa"/>
          </w:tcPr>
          <w:p w:rsidRPr="00B55033" w:rsidR="005E1D41" w:rsidP="004C574E" w:rsidRDefault="005E1D41" w14:paraId="0FA3AC4B" w14:textId="022BC9A7">
            <w:pPr>
              <w:tabs>
                <w:tab w:val="num" w:pos="1440"/>
              </w:tabs>
              <w:cnfStyle w:val="000000000000" w:firstRow="0" w:lastRow="0" w:firstColumn="0" w:lastColumn="0" w:oddVBand="0" w:evenVBand="0" w:oddHBand="0" w:evenHBand="0" w:firstRowFirstColumn="0" w:firstRowLastColumn="0" w:lastRowFirstColumn="0" w:lastRowLastColumn="0"/>
            </w:pPr>
            <w:r w:rsidRPr="00B55033">
              <w:t xml:space="preserve">Project </w:t>
            </w:r>
            <w:r w:rsidR="004C574E">
              <w:t>d</w:t>
            </w:r>
            <w:r w:rsidRPr="00B55033">
              <w:t>etails</w:t>
            </w:r>
            <w:r>
              <w:t xml:space="preserve">, </w:t>
            </w:r>
            <w:r w:rsidR="004C574E">
              <w:t>p</w:t>
            </w:r>
            <w:r w:rsidRPr="00B55033">
              <w:t xml:space="preserve">roject </w:t>
            </w:r>
            <w:r w:rsidR="004C574E">
              <w:t>t</w:t>
            </w:r>
            <w:r w:rsidRPr="00B55033">
              <w:t>ype</w:t>
            </w:r>
            <w:r>
              <w:t xml:space="preserve">, </w:t>
            </w:r>
            <w:r w:rsidR="004C574E">
              <w:t>s</w:t>
            </w:r>
            <w:r w:rsidRPr="00B55033">
              <w:t xml:space="preserve">tructure </w:t>
            </w:r>
            <w:r w:rsidR="004C574E">
              <w:t>d</w:t>
            </w:r>
            <w:r w:rsidRPr="00B55033">
              <w:t>etails</w:t>
            </w:r>
          </w:p>
        </w:tc>
      </w:tr>
      <w:tr w:rsidR="005E1D41" w:rsidTr="00DD5523" w14:paraId="62769D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D5523" w:rsidR="005E1D41" w:rsidP="00DD5523" w:rsidRDefault="005E1D41" w14:paraId="10015FFA" w14:textId="4769E15F">
            <w:pPr>
              <w:rPr>
                <w:bCs w:val="0"/>
              </w:rPr>
            </w:pPr>
            <w:r w:rsidRPr="00DD5523">
              <w:t>Workforce</w:t>
            </w:r>
          </w:p>
        </w:tc>
        <w:tc>
          <w:tcPr>
            <w:tcW w:w="6138" w:type="dxa"/>
          </w:tcPr>
          <w:p w:rsidRPr="00B55033" w:rsidR="005E1D41" w:rsidP="004C574E" w:rsidRDefault="005E1D41" w14:paraId="1FCBA49B" w14:textId="58FD8460">
            <w:pPr>
              <w:tabs>
                <w:tab w:val="num" w:pos="1440"/>
              </w:tabs>
              <w:cnfStyle w:val="000000100000" w:firstRow="0" w:lastRow="0" w:firstColumn="0" w:lastColumn="0" w:oddVBand="0" w:evenVBand="0" w:oddHBand="1" w:evenHBand="0" w:firstRowFirstColumn="0" w:firstRowLastColumn="0" w:lastRowFirstColumn="0" w:lastRowLastColumn="0"/>
            </w:pPr>
            <w:r w:rsidRPr="00B55033">
              <w:t>Employment</w:t>
            </w:r>
            <w:r>
              <w:t xml:space="preserve">, </w:t>
            </w:r>
            <w:r w:rsidR="004C574E">
              <w:t>p</w:t>
            </w:r>
            <w:r w:rsidRPr="00B55033">
              <w:t>ersonnel</w:t>
            </w:r>
            <w:r>
              <w:t xml:space="preserve">, </w:t>
            </w:r>
            <w:r w:rsidR="004C574E">
              <w:t>w</w:t>
            </w:r>
            <w:r w:rsidRPr="00B55033">
              <w:t>ages</w:t>
            </w:r>
          </w:p>
        </w:tc>
      </w:tr>
    </w:tbl>
    <w:p w:rsidR="00B55033" w:rsidRDefault="00B55033" w14:paraId="0A9B9653" w14:textId="0DE2926C"/>
    <w:p w:rsidR="00FE4355" w:rsidRDefault="00FE4355" w14:paraId="4BFC184F" w14:textId="435C4B8D">
      <w:r>
        <w:t xml:space="preserve">In order to move forward </w:t>
      </w:r>
      <w:r w:rsidR="004A2C0C">
        <w:t>towards</w:t>
      </w:r>
      <w:r>
        <w:t xml:space="preserve"> implementing the NAS panel recommendations for improving and streamlining the Economic </w:t>
      </w:r>
      <w:r w:rsidR="00D2313B">
        <w:t xml:space="preserve">Directorate’s survey processes, learning more about the </w:t>
      </w:r>
      <w:r w:rsidR="00692474">
        <w:t xml:space="preserve">business </w:t>
      </w:r>
      <w:r w:rsidR="00D2313B">
        <w:t>units at which companies can accurat</w:t>
      </w:r>
      <w:r w:rsidR="00982F6B">
        <w:t>ely report data on these topics</w:t>
      </w:r>
      <w:r w:rsidR="003A11CC">
        <w:t xml:space="preserve"> is critical</w:t>
      </w:r>
      <w:r w:rsidR="00982F6B">
        <w:t xml:space="preserve">.  During these in-depth interviews, companies will describe to researchers the accessibility of data at various levels of operation.  To frame this research, we will extend the Business Information Accessibility Scale framework </w:t>
      </w:r>
      <w:r w:rsidR="00692474">
        <w:t xml:space="preserve">displayed in Table 2, which was </w:t>
      </w:r>
      <w:r w:rsidR="00982F6B">
        <w:t xml:space="preserve">put forth by </w:t>
      </w:r>
      <w:r w:rsidRPr="00836FC9" w:rsidR="00982F6B">
        <w:t>Snijkers and Arentsen (2015)</w:t>
      </w:r>
      <w:r w:rsidR="00982F6B">
        <w:t xml:space="preserve">.  These researchers developed a four point color coded scale as a reference for respondents when assessing the accessibility of their data at various increments, </w:t>
      </w:r>
      <w:r w:rsidR="00F74E10">
        <w:t xml:space="preserve">in terms of </w:t>
      </w:r>
      <w:r w:rsidR="00982F6B">
        <w:t xml:space="preserve">both time and organization.  That work centered </w:t>
      </w:r>
      <w:r w:rsidR="00D36526">
        <w:t>on</w:t>
      </w:r>
      <w:r w:rsidR="00982F6B">
        <w:t xml:space="preserve"> combining two surveys collecting </w:t>
      </w:r>
      <w:r w:rsidR="00692474">
        <w:t xml:space="preserve">similar </w:t>
      </w:r>
      <w:r w:rsidR="00982F6B">
        <w:t xml:space="preserve">data from large non-financial firms, and then adjudicating the level of measurement between these two efforts.  They hypothesize that “the more steps and the more sources involved in the response process, and the deeper within the business information has to be retrieved, the higher the risks of survey errors like measurement errors and item non-response.”  This builds on </w:t>
      </w:r>
      <w:r w:rsidRPr="00836FC9" w:rsidR="00692474">
        <w:t>Bavdaz (2010)</w:t>
      </w:r>
      <w:r w:rsidR="00982F6B">
        <w:t xml:space="preserve"> work on accessibility as an underlying concept of both burden and measurement error.  </w:t>
      </w:r>
    </w:p>
    <w:p w:rsidR="00A60AF3" w:rsidRDefault="00A60AF3" w14:paraId="5CC8A1D8" w14:textId="77777777"/>
    <w:p w:rsidRPr="00836FC9" w:rsidR="00A60AF3" w:rsidP="00A60AF3" w:rsidRDefault="00A60AF3" w14:paraId="3B80BB6D" w14:textId="52CBD428">
      <w:pPr>
        <w:pStyle w:val="Caption"/>
        <w:keepNext/>
        <w:rPr>
          <w:sz w:val="22"/>
          <w:szCs w:val="22"/>
        </w:rPr>
      </w:pPr>
      <w:r w:rsidRPr="00836FC9">
        <w:rPr>
          <w:sz w:val="22"/>
          <w:szCs w:val="22"/>
        </w:rPr>
        <w:t xml:space="preserve">Table </w:t>
      </w:r>
      <w:r w:rsidRPr="00836FC9" w:rsidR="00ED767D">
        <w:rPr>
          <w:sz w:val="22"/>
          <w:szCs w:val="22"/>
        </w:rPr>
        <w:fldChar w:fldCharType="begin"/>
      </w:r>
      <w:r w:rsidRPr="00836FC9" w:rsidR="00ED767D">
        <w:rPr>
          <w:sz w:val="22"/>
          <w:szCs w:val="22"/>
        </w:rPr>
        <w:instrText xml:space="preserve"> SEQ Table \* ARABIC </w:instrText>
      </w:r>
      <w:r w:rsidRPr="00836FC9" w:rsidR="00ED767D">
        <w:rPr>
          <w:sz w:val="22"/>
          <w:szCs w:val="22"/>
        </w:rPr>
        <w:fldChar w:fldCharType="separate"/>
      </w:r>
      <w:r w:rsidRPr="00836FC9">
        <w:rPr>
          <w:noProof/>
          <w:sz w:val="22"/>
          <w:szCs w:val="22"/>
        </w:rPr>
        <w:t>2</w:t>
      </w:r>
      <w:r w:rsidRPr="00836FC9" w:rsidR="00ED767D">
        <w:rPr>
          <w:noProof/>
          <w:sz w:val="22"/>
          <w:szCs w:val="22"/>
        </w:rPr>
        <w:fldChar w:fldCharType="end"/>
      </w:r>
      <w:r w:rsidRPr="00836FC9">
        <w:rPr>
          <w:sz w:val="22"/>
          <w:szCs w:val="22"/>
        </w:rPr>
        <w:t xml:space="preserve">: Snijkers and Arentsen's </w:t>
      </w:r>
      <w:r w:rsidR="009E69C3">
        <w:rPr>
          <w:sz w:val="22"/>
          <w:szCs w:val="22"/>
        </w:rPr>
        <w:t xml:space="preserve">(2015) </w:t>
      </w:r>
      <w:r w:rsidRPr="00836FC9">
        <w:rPr>
          <w:sz w:val="22"/>
          <w:szCs w:val="22"/>
        </w:rPr>
        <w:t>Business Information Accessibility Scale</w:t>
      </w:r>
    </w:p>
    <w:tbl>
      <w:tblPr>
        <w:tblW w:w="5006" w:type="pct"/>
        <w:tblCellMar>
          <w:left w:w="0" w:type="dxa"/>
          <w:right w:w="0" w:type="dxa"/>
        </w:tblCellMar>
        <w:tblLook w:val="0420" w:firstRow="1" w:lastRow="0" w:firstColumn="0" w:lastColumn="0" w:noHBand="0" w:noVBand="1"/>
      </w:tblPr>
      <w:tblGrid>
        <w:gridCol w:w="3050"/>
        <w:gridCol w:w="6301"/>
      </w:tblGrid>
      <w:tr w:rsidRPr="00A60AF3" w:rsidR="00A60AF3" w:rsidTr="00172443" w14:paraId="0A9CA079" w14:textId="77777777">
        <w:trPr>
          <w:trHeight w:val="205"/>
        </w:trPr>
        <w:tc>
          <w:tcPr>
            <w:tcW w:w="1631" w:type="pct"/>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hideMark/>
          </w:tcPr>
          <w:p w:rsidRPr="00A60AF3" w:rsidR="00A60AF3" w:rsidP="00A60AF3" w:rsidRDefault="00A60AF3" w14:paraId="5CC8F899" w14:textId="77777777">
            <w:pPr>
              <w:spacing w:after="0" w:line="240" w:lineRule="auto"/>
            </w:pPr>
            <w:r w:rsidRPr="00A60AF3">
              <w:rPr>
                <w:b/>
                <w:bCs/>
              </w:rPr>
              <w:t>Concept:</w:t>
            </w:r>
          </w:p>
        </w:tc>
        <w:tc>
          <w:tcPr>
            <w:tcW w:w="3369" w:type="pct"/>
            <w:tcBorders>
              <w:top w:val="single" w:color="000000" w:sz="8" w:space="0"/>
              <w:left w:val="single" w:color="000000" w:sz="8" w:space="0"/>
              <w:bottom w:val="single" w:color="000000" w:sz="8" w:space="0"/>
              <w:right w:val="single" w:color="000000" w:sz="8" w:space="0"/>
            </w:tcBorders>
            <w:shd w:val="clear" w:color="auto" w:fill="D9D9D9"/>
            <w:tcMar>
              <w:top w:w="72" w:type="dxa"/>
              <w:left w:w="144" w:type="dxa"/>
              <w:bottom w:w="72" w:type="dxa"/>
              <w:right w:w="144" w:type="dxa"/>
            </w:tcMar>
            <w:hideMark/>
          </w:tcPr>
          <w:p w:rsidRPr="00A60AF3" w:rsidR="00A60AF3" w:rsidP="00A60AF3" w:rsidRDefault="00A60AF3" w14:paraId="24F5F3F4" w14:textId="77777777">
            <w:pPr>
              <w:spacing w:after="0" w:line="240" w:lineRule="auto"/>
            </w:pPr>
            <w:r w:rsidRPr="00A60AF3">
              <w:rPr>
                <w:b/>
                <w:bCs/>
              </w:rPr>
              <w:t>Description</w:t>
            </w:r>
          </w:p>
        </w:tc>
      </w:tr>
      <w:tr w:rsidRPr="00A60AF3" w:rsidR="00A60AF3" w:rsidTr="00A60AF3" w14:paraId="159AACFA" w14:textId="77777777">
        <w:trPr>
          <w:trHeight w:val="322"/>
        </w:trPr>
        <w:tc>
          <w:tcPr>
            <w:tcW w:w="1631" w:type="pct"/>
            <w:tcBorders>
              <w:top w:val="single" w:color="000000" w:sz="8" w:space="0"/>
              <w:left w:val="single" w:color="000000" w:sz="8" w:space="0"/>
              <w:bottom w:val="single" w:color="000000" w:sz="8" w:space="0"/>
              <w:right w:val="single" w:color="000000" w:sz="8" w:space="0"/>
            </w:tcBorders>
            <w:shd w:val="clear" w:color="auto" w:fill="92D050"/>
            <w:tcMar>
              <w:top w:w="72" w:type="dxa"/>
              <w:left w:w="144" w:type="dxa"/>
              <w:bottom w:w="72" w:type="dxa"/>
              <w:right w:w="144" w:type="dxa"/>
            </w:tcMar>
            <w:hideMark/>
          </w:tcPr>
          <w:p w:rsidRPr="00A60AF3" w:rsidR="00A60AF3" w:rsidP="00A60AF3" w:rsidRDefault="00A60AF3" w14:paraId="35C50AB7" w14:textId="77777777">
            <w:pPr>
              <w:spacing w:after="0" w:line="240" w:lineRule="auto"/>
            </w:pPr>
            <w:r w:rsidRPr="00A60AF3">
              <w:t>Easily accessible</w:t>
            </w:r>
          </w:p>
        </w:tc>
        <w:tc>
          <w:tcPr>
            <w:tcW w:w="3369" w:type="pct"/>
            <w:tcBorders>
              <w:top w:val="single" w:color="000000" w:sz="8" w:space="0"/>
              <w:left w:val="single" w:color="000000" w:sz="8" w:space="0"/>
              <w:bottom w:val="single" w:color="000000" w:sz="8" w:space="0"/>
              <w:right w:val="single" w:color="000000" w:sz="8" w:space="0"/>
            </w:tcBorders>
            <w:shd w:val="clear" w:color="auto" w:fill="92D050"/>
            <w:tcMar>
              <w:top w:w="72" w:type="dxa"/>
              <w:left w:w="144" w:type="dxa"/>
              <w:bottom w:w="72" w:type="dxa"/>
              <w:right w:w="144" w:type="dxa"/>
            </w:tcMar>
            <w:hideMark/>
          </w:tcPr>
          <w:p w:rsidRPr="00A60AF3" w:rsidR="00A60AF3" w:rsidP="00A60AF3" w:rsidRDefault="00A60AF3" w14:paraId="6338D044" w14:textId="6EF3BE65">
            <w:pPr>
              <w:spacing w:after="0" w:line="240" w:lineRule="auto"/>
            </w:pPr>
            <w:r w:rsidRPr="00A60AF3">
              <w:t xml:space="preserve">the information is easily and readily available (at group accounts level) </w:t>
            </w:r>
          </w:p>
        </w:tc>
      </w:tr>
      <w:tr w:rsidRPr="00A60AF3" w:rsidR="00A60AF3" w:rsidTr="00A60AF3" w14:paraId="1AD4EA33" w14:textId="77777777">
        <w:trPr>
          <w:trHeight w:val="538"/>
        </w:trPr>
        <w:tc>
          <w:tcPr>
            <w:tcW w:w="1631" w:type="pct"/>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hideMark/>
          </w:tcPr>
          <w:p w:rsidRPr="00A60AF3" w:rsidR="00A60AF3" w:rsidP="00A60AF3" w:rsidRDefault="00A60AF3" w14:paraId="69EAB85A" w14:textId="77777777">
            <w:pPr>
              <w:spacing w:after="0" w:line="240" w:lineRule="auto"/>
            </w:pPr>
            <w:r w:rsidRPr="00A60AF3">
              <w:t>Accessible with minor effort</w:t>
            </w:r>
          </w:p>
        </w:tc>
        <w:tc>
          <w:tcPr>
            <w:tcW w:w="3369" w:type="pct"/>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hideMark/>
          </w:tcPr>
          <w:p w:rsidRPr="00A60AF3" w:rsidR="00A60AF3" w:rsidP="00A60AF3" w:rsidRDefault="00A60AF3" w14:paraId="6CAF441C" w14:textId="77777777">
            <w:pPr>
              <w:spacing w:after="0" w:line="240" w:lineRule="auto"/>
            </w:pPr>
            <w:r w:rsidRPr="00A60AF3">
              <w:t xml:space="preserve">the information is available at a central location, but not in the group accounts (treasury level), which requires more effort </w:t>
            </w:r>
          </w:p>
        </w:tc>
      </w:tr>
      <w:tr w:rsidRPr="00A60AF3" w:rsidR="00A60AF3" w:rsidTr="00A60AF3" w14:paraId="163189C0" w14:textId="77777777">
        <w:trPr>
          <w:trHeight w:val="448"/>
        </w:trPr>
        <w:tc>
          <w:tcPr>
            <w:tcW w:w="1631" w:type="pct"/>
            <w:tcBorders>
              <w:top w:val="single" w:color="000000" w:sz="8" w:space="0"/>
              <w:left w:val="single" w:color="000000" w:sz="8" w:space="0"/>
              <w:bottom w:val="single" w:color="000000" w:sz="8" w:space="0"/>
              <w:right w:val="single" w:color="000000" w:sz="8" w:space="0"/>
            </w:tcBorders>
            <w:shd w:val="clear" w:color="auto" w:fill="FFC000"/>
            <w:tcMar>
              <w:top w:w="72" w:type="dxa"/>
              <w:left w:w="144" w:type="dxa"/>
              <w:bottom w:w="72" w:type="dxa"/>
              <w:right w:w="144" w:type="dxa"/>
            </w:tcMar>
            <w:hideMark/>
          </w:tcPr>
          <w:p w:rsidRPr="00A60AF3" w:rsidR="00A60AF3" w:rsidP="00A60AF3" w:rsidRDefault="00A60AF3" w14:paraId="75295C19" w14:textId="77777777">
            <w:pPr>
              <w:spacing w:after="0" w:line="240" w:lineRule="auto"/>
            </w:pPr>
            <w:r w:rsidRPr="00A60AF3">
              <w:t>Accessible with major effort</w:t>
            </w:r>
          </w:p>
        </w:tc>
        <w:tc>
          <w:tcPr>
            <w:tcW w:w="3369" w:type="pct"/>
            <w:tcBorders>
              <w:top w:val="single" w:color="000000" w:sz="8" w:space="0"/>
              <w:left w:val="single" w:color="000000" w:sz="8" w:space="0"/>
              <w:bottom w:val="single" w:color="000000" w:sz="8" w:space="0"/>
              <w:right w:val="single" w:color="000000" w:sz="8" w:space="0"/>
            </w:tcBorders>
            <w:shd w:val="clear" w:color="auto" w:fill="FFC000"/>
            <w:tcMar>
              <w:top w:w="72" w:type="dxa"/>
              <w:left w:w="144" w:type="dxa"/>
              <w:bottom w:w="72" w:type="dxa"/>
              <w:right w:w="144" w:type="dxa"/>
            </w:tcMar>
            <w:hideMark/>
          </w:tcPr>
          <w:p w:rsidRPr="00A60AF3" w:rsidR="00A60AF3" w:rsidP="00A60AF3" w:rsidRDefault="00A60AF3" w14:paraId="4EBF266A" w14:textId="77777777">
            <w:pPr>
              <w:spacing w:after="0" w:line="240" w:lineRule="auto"/>
            </w:pPr>
            <w:r w:rsidRPr="00A60AF3">
              <w:t>the information is available, but decentralized(general ledger level), which requires considerable effort to acquire</w:t>
            </w:r>
          </w:p>
        </w:tc>
      </w:tr>
      <w:tr w:rsidRPr="00A60AF3" w:rsidR="00A60AF3" w:rsidTr="00A60AF3" w14:paraId="1232F5B8" w14:textId="77777777">
        <w:trPr>
          <w:trHeight w:val="115"/>
        </w:trPr>
        <w:tc>
          <w:tcPr>
            <w:tcW w:w="1631" w:type="pct"/>
            <w:tcBorders>
              <w:top w:val="single" w:color="000000" w:sz="8" w:space="0"/>
              <w:left w:val="single" w:color="000000" w:sz="8" w:space="0"/>
              <w:bottom w:val="single" w:color="000000" w:sz="8" w:space="0"/>
              <w:right w:val="single" w:color="000000" w:sz="8" w:space="0"/>
            </w:tcBorders>
            <w:shd w:val="clear" w:color="auto" w:fill="FF0000"/>
            <w:tcMar>
              <w:top w:w="72" w:type="dxa"/>
              <w:left w:w="144" w:type="dxa"/>
              <w:bottom w:w="72" w:type="dxa"/>
              <w:right w:w="144" w:type="dxa"/>
            </w:tcMar>
            <w:hideMark/>
          </w:tcPr>
          <w:p w:rsidRPr="00A60AF3" w:rsidR="00A60AF3" w:rsidP="00A60AF3" w:rsidRDefault="00A60AF3" w14:paraId="057E4B0B" w14:textId="77777777">
            <w:pPr>
              <w:spacing w:after="0" w:line="240" w:lineRule="auto"/>
            </w:pPr>
            <w:r w:rsidRPr="00A60AF3">
              <w:t>Inaccessible</w:t>
            </w:r>
          </w:p>
        </w:tc>
        <w:tc>
          <w:tcPr>
            <w:tcW w:w="3369" w:type="pct"/>
            <w:tcBorders>
              <w:top w:val="single" w:color="000000" w:sz="8" w:space="0"/>
              <w:left w:val="single" w:color="000000" w:sz="8" w:space="0"/>
              <w:bottom w:val="single" w:color="000000" w:sz="8" w:space="0"/>
              <w:right w:val="single" w:color="000000" w:sz="8" w:space="0"/>
            </w:tcBorders>
            <w:shd w:val="clear" w:color="auto" w:fill="FF0000"/>
            <w:tcMar>
              <w:top w:w="72" w:type="dxa"/>
              <w:left w:w="144" w:type="dxa"/>
              <w:bottom w:w="72" w:type="dxa"/>
              <w:right w:w="144" w:type="dxa"/>
            </w:tcMar>
            <w:hideMark/>
          </w:tcPr>
          <w:p w:rsidRPr="00A60AF3" w:rsidR="00A60AF3" w:rsidP="00A60AF3" w:rsidRDefault="00A60AF3" w14:paraId="591192A0" w14:textId="120DBB7A">
            <w:pPr>
              <w:spacing w:after="0" w:line="240" w:lineRule="auto"/>
            </w:pPr>
            <w:r w:rsidRPr="00A60AF3">
              <w:t>t</w:t>
            </w:r>
            <w:r w:rsidR="00760C4B">
              <w:t>he information is not available</w:t>
            </w:r>
          </w:p>
        </w:tc>
      </w:tr>
    </w:tbl>
    <w:p w:rsidR="00A60AF3" w:rsidRDefault="00A60AF3" w14:paraId="628DB7F9" w14:textId="77777777"/>
    <w:p w:rsidR="00736376" w:rsidP="00736376" w:rsidRDefault="00322964" w14:paraId="4B7A1375" w14:textId="4E0BED50">
      <w:r>
        <w:lastRenderedPageBreak/>
        <w:t xml:space="preserve">Staff from the Data Collection </w:t>
      </w:r>
      <w:r w:rsidR="00497587">
        <w:t>Methodology and Research Branch</w:t>
      </w:r>
      <w:r w:rsidR="00FE4355">
        <w:t xml:space="preserve"> (DCMRB) within ESMD will be working with staff throughout the Economic Directorate to conduct these exploratory case study interviews.  </w:t>
      </w:r>
      <w:r w:rsidR="009434A3">
        <w:t>We will interview responden</w:t>
      </w:r>
      <w:r w:rsidR="00E407B3">
        <w:t>ts from up to 4</w:t>
      </w:r>
      <w:r w:rsidR="009434A3">
        <w:t xml:space="preserve">0 companies via telephone throughout the United States.  </w:t>
      </w:r>
      <w:r w:rsidR="00736376">
        <w:t xml:space="preserve">Interviews will be no longer than 90 minutes and use a </w:t>
      </w:r>
      <w:r w:rsidR="004C574E">
        <w:t xml:space="preserve">series of </w:t>
      </w:r>
      <w:r w:rsidR="00736376">
        <w:t xml:space="preserve">cognitive interviewing prompts and probes.  We will limit this research to firms that are in at least </w:t>
      </w:r>
      <w:r w:rsidR="00760C4B">
        <w:t>two</w:t>
      </w:r>
      <w:r w:rsidR="00736376">
        <w:t xml:space="preserve"> in-scope annual surveys.  We will also target six to 10 participants from the prior Record Keeping </w:t>
      </w:r>
      <w:r w:rsidR="005123FC">
        <w:t xml:space="preserve">Study </w:t>
      </w:r>
      <w:r w:rsidR="00736376">
        <w:t>or other related research where we have built rapport with respondents.</w:t>
      </w:r>
    </w:p>
    <w:p w:rsidR="00736376" w:rsidP="00736376" w:rsidRDefault="00736376" w14:paraId="086CDCB0" w14:textId="77777777"/>
    <w:p w:rsidRPr="00D36526" w:rsidR="00B55033" w:rsidRDefault="00736376" w14:paraId="7A34C50B" w14:textId="19FF6553">
      <w:pPr>
        <w:rPr>
          <w:b/>
        </w:rPr>
      </w:pPr>
      <w:r w:rsidRPr="00D36526">
        <w:rPr>
          <w:b/>
        </w:rPr>
        <w:t>Method</w:t>
      </w:r>
    </w:p>
    <w:p w:rsidR="00736376" w:rsidRDefault="00736376" w14:paraId="75DEF24C" w14:textId="6D017CD5">
      <w:r>
        <w:t>Our research questions include the following:</w:t>
      </w:r>
    </w:p>
    <w:p w:rsidR="00736376" w:rsidP="00736376" w:rsidRDefault="00736376" w14:paraId="5628720F" w14:textId="77777777">
      <w:pPr>
        <w:pStyle w:val="ListParagraph"/>
        <w:numPr>
          <w:ilvl w:val="0"/>
          <w:numId w:val="1"/>
        </w:numPr>
      </w:pPr>
      <w:r>
        <w:rPr>
          <w:b/>
        </w:rPr>
        <w:t xml:space="preserve">”Topic” Approach: </w:t>
      </w:r>
      <w:r>
        <w:t xml:space="preserve">How does a drill-down approach (wherein respondents give an overall total and then the finer details of that total) hinder or enable respondents to answer harmonized questions?  </w:t>
      </w:r>
    </w:p>
    <w:p w:rsidR="00736376" w:rsidP="00736376" w:rsidRDefault="00736376" w14:paraId="68AC8A67" w14:textId="77777777">
      <w:pPr>
        <w:pStyle w:val="ListParagraph"/>
        <w:numPr>
          <w:ilvl w:val="1"/>
          <w:numId w:val="1"/>
        </w:numPr>
      </w:pPr>
      <w:r>
        <w:t xml:space="preserve">Are there industries for which this approach does not work?  </w:t>
      </w:r>
    </w:p>
    <w:p w:rsidR="00736376" w:rsidP="00736376" w:rsidRDefault="00736376" w14:paraId="3E469345" w14:textId="77777777">
      <w:pPr>
        <w:pStyle w:val="ListParagraph"/>
        <w:numPr>
          <w:ilvl w:val="1"/>
          <w:numId w:val="1"/>
        </w:numPr>
      </w:pPr>
      <w:r>
        <w:t>How comfortable or uncomfortable are businesses with a topic-driven instrument?</w:t>
      </w:r>
    </w:p>
    <w:p w:rsidR="00736376" w:rsidP="00736376" w:rsidRDefault="00736376" w14:paraId="348C8F97" w14:textId="77777777">
      <w:pPr>
        <w:pStyle w:val="ListParagraph"/>
        <w:numPr>
          <w:ilvl w:val="0"/>
          <w:numId w:val="1"/>
        </w:numPr>
      </w:pPr>
      <w:r>
        <w:rPr>
          <w:b/>
        </w:rPr>
        <w:t>Collection Unit:</w:t>
      </w:r>
      <w:r>
        <w:t xml:space="preserve">  What is the most detailed breakdown level the data are most readily available?  </w:t>
      </w:r>
    </w:p>
    <w:p w:rsidR="00736376" w:rsidP="00736376" w:rsidRDefault="00736376" w14:paraId="0F6D5F50" w14:textId="77777777">
      <w:pPr>
        <w:pStyle w:val="ListParagraph"/>
        <w:numPr>
          <w:ilvl w:val="1"/>
          <w:numId w:val="1"/>
        </w:numPr>
      </w:pPr>
      <w:r>
        <w:t>Are there industries that are more readily able to provide these data at a granular level?</w:t>
      </w:r>
    </w:p>
    <w:p w:rsidR="00736376" w:rsidP="00736376" w:rsidRDefault="00736376" w14:paraId="71EE302A" w14:textId="77777777">
      <w:pPr>
        <w:pStyle w:val="ListParagraph"/>
        <w:numPr>
          <w:ilvl w:val="1"/>
          <w:numId w:val="1"/>
        </w:numPr>
      </w:pPr>
      <w:r>
        <w:t>From the participants’ perspective, what is the best collection unit?</w:t>
      </w:r>
    </w:p>
    <w:p w:rsidR="00736376" w:rsidP="00736376" w:rsidRDefault="00736376" w14:paraId="59BAACA0" w14:textId="77777777">
      <w:pPr>
        <w:pStyle w:val="ListParagraph"/>
        <w:numPr>
          <w:ilvl w:val="1"/>
          <w:numId w:val="1"/>
        </w:numPr>
      </w:pPr>
      <w:r>
        <w:t>Are there questions that should be asked at varying levels of collection unit?</w:t>
      </w:r>
    </w:p>
    <w:p w:rsidR="00736376" w:rsidP="00736376" w:rsidRDefault="00736376" w14:paraId="697D4938" w14:textId="78FB7CEE">
      <w:pPr>
        <w:pStyle w:val="ListParagraph"/>
        <w:numPr>
          <w:ilvl w:val="1"/>
          <w:numId w:val="1"/>
        </w:numPr>
      </w:pPr>
      <w:r>
        <w:t>Can participants reconcile our collection unit choices (</w:t>
      </w:r>
      <w:r w:rsidR="00AC0FEA">
        <w:t xml:space="preserve">varying granularity of NAICS industries, establishment-level, state or other geographic level, </w:t>
      </w:r>
      <w:r>
        <w:t>etc.) with their own organizational setup?</w:t>
      </w:r>
    </w:p>
    <w:p w:rsidR="00736376" w:rsidP="00736376" w:rsidRDefault="00736376" w14:paraId="066ED40C" w14:textId="0A3469CA">
      <w:pPr>
        <w:pStyle w:val="ListParagraph"/>
        <w:numPr>
          <w:ilvl w:val="0"/>
          <w:numId w:val="1"/>
        </w:numPr>
      </w:pPr>
      <w:r>
        <w:rPr>
          <w:b/>
        </w:rPr>
        <w:t>Burden and Accessibility:</w:t>
      </w:r>
      <w:r>
        <w:t xml:space="preserve">  Does asking for these data at the </w:t>
      </w:r>
      <w:r w:rsidR="001118E6">
        <w:t xml:space="preserve">most easily available </w:t>
      </w:r>
      <w:r>
        <w:t xml:space="preserve">collection unit reduce the amount of time and effort it takes for respondents to complete the survey?  </w:t>
      </w:r>
    </w:p>
    <w:p w:rsidR="00736376" w:rsidP="00736376" w:rsidRDefault="00736376" w14:paraId="64C976A5" w14:textId="7471B563">
      <w:pPr>
        <w:pStyle w:val="ListParagraph"/>
        <w:numPr>
          <w:ilvl w:val="1"/>
          <w:numId w:val="1"/>
        </w:numPr>
      </w:pPr>
      <w:r>
        <w:t xml:space="preserve">Does the new approach </w:t>
      </w:r>
      <w:r w:rsidR="001118E6">
        <w:t>hinder</w:t>
      </w:r>
      <w:r>
        <w:t xml:space="preserve"> or </w:t>
      </w:r>
      <w:r w:rsidR="001118E6">
        <w:t>facilitate</w:t>
      </w:r>
      <w:r>
        <w:t xml:space="preserve"> </w:t>
      </w:r>
      <w:r w:rsidR="001118E6">
        <w:t>data reporting</w:t>
      </w:r>
      <w:r>
        <w:t>?</w:t>
      </w:r>
    </w:p>
    <w:p w:rsidR="00736376" w:rsidP="00736376" w:rsidRDefault="00736376" w14:paraId="1FD9912D" w14:textId="3AE9A414">
      <w:pPr>
        <w:pStyle w:val="ListParagraph"/>
        <w:numPr>
          <w:ilvl w:val="1"/>
          <w:numId w:val="1"/>
        </w:numPr>
      </w:pPr>
      <w:r>
        <w:t xml:space="preserve">Using a green (accessible), yellow (accessible with minor effort), orange (accessible with large effort), </w:t>
      </w:r>
      <w:r w:rsidR="005123FC">
        <w:t>and red</w:t>
      </w:r>
      <w:r>
        <w:t xml:space="preserve"> (inaccessible) categorizing scheme, how easy or difficult is it to report the requested data at the lowest collection unit?</w:t>
      </w:r>
    </w:p>
    <w:p w:rsidR="00736376" w:rsidP="006F4840" w:rsidRDefault="00736376" w14:paraId="6D1EF990" w14:textId="50E4036D">
      <w:pPr>
        <w:pStyle w:val="ListParagraph"/>
        <w:numPr>
          <w:ilvl w:val="1"/>
          <w:numId w:val="1"/>
        </w:numPr>
      </w:pPr>
      <w:r>
        <w:t xml:space="preserve">What are businesses’ preferred </w:t>
      </w:r>
      <w:r w:rsidR="004D624D">
        <w:t>collection</w:t>
      </w:r>
      <w:r>
        <w:t xml:space="preserve"> unit for each of these topics?</w:t>
      </w:r>
      <w:r w:rsidR="00EB4120">
        <w:t xml:space="preserve"> </w:t>
      </w:r>
    </w:p>
    <w:p w:rsidR="00B55033" w:rsidRDefault="00736376" w14:paraId="017A0AC4" w14:textId="5FE0653A">
      <w:r>
        <w:t>We plan to investigate these questions by conducting exploratory case study interviews with business survey respondents and with others responsible for financial records and reporting, to the degree possible.  While our research</w:t>
      </w:r>
      <w:r w:rsidR="00B012E1">
        <w:t xml:space="preserve"> usually</w:t>
      </w:r>
      <w:r>
        <w:t xml:space="preserve"> </w:t>
      </w:r>
      <w:r w:rsidR="00C13E7B">
        <w:t>involves a single</w:t>
      </w:r>
      <w:r>
        <w:t xml:space="preserve"> interv</w:t>
      </w:r>
      <w:r w:rsidR="006A650D">
        <w:t>iewer and a sing</w:t>
      </w:r>
      <w:r w:rsidR="00C13E7B">
        <w:t>le</w:t>
      </w:r>
      <w:r w:rsidR="006A650D">
        <w:t xml:space="preserve"> respondent, in this case, more than one Census Bureau researcher may </w:t>
      </w:r>
      <w:r w:rsidR="006F4840">
        <w:t>engage</w:t>
      </w:r>
      <w:r w:rsidR="00BC56DA">
        <w:t xml:space="preserve"> </w:t>
      </w:r>
      <w:r w:rsidR="006A650D">
        <w:t xml:space="preserve">more than one business representative </w:t>
      </w:r>
      <w:r w:rsidR="00C13E7B">
        <w:t xml:space="preserve">in a single meeting </w:t>
      </w:r>
      <w:r w:rsidR="006A650D">
        <w:t xml:space="preserve">to better ascertain how these data are compiled.  These interviews will take </w:t>
      </w:r>
      <w:r w:rsidR="00F74E10">
        <w:t xml:space="preserve">place </w:t>
      </w:r>
      <w:r w:rsidR="006A650D">
        <w:t xml:space="preserve">over the phone and </w:t>
      </w:r>
      <w:r w:rsidR="00F74E10">
        <w:t xml:space="preserve">will </w:t>
      </w:r>
      <w:r w:rsidR="006A650D">
        <w:t xml:space="preserve">be augmented by a secure online </w:t>
      </w:r>
      <w:r w:rsidR="00654959">
        <w:t>research response aid</w:t>
      </w:r>
      <w:r w:rsidR="00347172">
        <w:t xml:space="preserve"> to facilitate effective communication with </w:t>
      </w:r>
      <w:r w:rsidR="00654959">
        <w:t>respondents</w:t>
      </w:r>
      <w:r w:rsidR="006A650D">
        <w:t>.  If necessary, respondents can share their screens with researchers using Skype for Business</w:t>
      </w:r>
      <w:r w:rsidR="00FE17B9">
        <w:t>.</w:t>
      </w:r>
      <w:r w:rsidR="00FE17B9">
        <w:rPr>
          <w:rStyle w:val="FootnoteReference"/>
        </w:rPr>
        <w:footnoteReference w:id="1"/>
      </w:r>
      <w:r w:rsidR="00895D00">
        <w:t xml:space="preserve">  The interviews will follow an interview guide (Attachment A).</w:t>
      </w:r>
    </w:p>
    <w:p w:rsidR="00895D00" w:rsidRDefault="00895D00" w14:paraId="3937F8D8" w14:textId="3352425F"/>
    <w:p w:rsidR="00895D00" w:rsidRDefault="00895D00" w14:paraId="75C9106C" w14:textId="4D83580D">
      <w:r>
        <w:t>We will begin the interview by introducing the study and learning about the company’s activities and data reporters.  Then, we will ask a few questions on the record keeping practices of the company.  Most of the interview, however, will focus on the topic-</w:t>
      </w:r>
      <w:r w:rsidR="004D624D">
        <w:t>based</w:t>
      </w:r>
      <w:r>
        <w:t xml:space="preserve"> questions</w:t>
      </w:r>
      <w:r w:rsidR="004D624D">
        <w:t xml:space="preserve"> for a variety of collection units</w:t>
      </w:r>
      <w:r>
        <w:t>.  These questions focus respondents to first a topic of interest (revenue, expenses, and assets, and related subtopics)</w:t>
      </w:r>
      <w:r w:rsidR="00D4483D">
        <w:t xml:space="preserve"> and then to the levels of operation of interest, including:</w:t>
      </w:r>
    </w:p>
    <w:p w:rsidR="00D4483D" w:rsidP="00D4483D" w:rsidRDefault="00D4483D" w14:paraId="37AFF79C" w14:textId="3295FF21">
      <w:pPr>
        <w:pStyle w:val="ListParagraph"/>
        <w:numPr>
          <w:ilvl w:val="0"/>
          <w:numId w:val="9"/>
        </w:numPr>
      </w:pPr>
      <w:r w:rsidRPr="00AE7F83">
        <w:rPr>
          <w:b/>
        </w:rPr>
        <w:t>Establishment</w:t>
      </w:r>
      <w:r>
        <w:t xml:space="preserve">:  </w:t>
      </w:r>
      <w:r w:rsidR="00AE7F83">
        <w:t>an economic unit, usually at a single location, where business is conducted or where services or industrial operations are performed.</w:t>
      </w:r>
    </w:p>
    <w:p w:rsidR="00AE7F83" w:rsidP="00D4483D" w:rsidRDefault="00AE7F83" w14:paraId="6A4BB65F" w14:textId="0AC2B46F">
      <w:pPr>
        <w:pStyle w:val="ListParagraph"/>
        <w:numPr>
          <w:ilvl w:val="0"/>
          <w:numId w:val="9"/>
        </w:numPr>
      </w:pPr>
      <w:r w:rsidRPr="00AE7F83">
        <w:rPr>
          <w:b/>
        </w:rPr>
        <w:t>Industry</w:t>
      </w:r>
      <w:r>
        <w:t xml:space="preserve">:  </w:t>
      </w:r>
      <w:r w:rsidR="00A26DEA">
        <w:t>as measured by the National American Industry Classification System (NAICS), industry is the production-oriented classification of establishments into industries according to similarity in the processes used to produce goods or services.</w:t>
      </w:r>
    </w:p>
    <w:p w:rsidR="00712A7D" w:rsidP="00712A7D" w:rsidRDefault="00712A7D" w14:paraId="5DC4F459" w14:textId="1D7C321C">
      <w:pPr>
        <w:pStyle w:val="ListParagraph"/>
        <w:numPr>
          <w:ilvl w:val="0"/>
          <w:numId w:val="9"/>
        </w:numPr>
      </w:pPr>
      <w:r>
        <w:rPr>
          <w:b/>
        </w:rPr>
        <w:t>Business Segment or “</w:t>
      </w:r>
      <w:r w:rsidRPr="00AE7F83">
        <w:rPr>
          <w:b/>
        </w:rPr>
        <w:t>Kind of Activity Unit (KAU)</w:t>
      </w:r>
      <w:r>
        <w:rPr>
          <w:b/>
        </w:rPr>
        <w:t>”</w:t>
      </w:r>
      <w:r>
        <w:t xml:space="preserve">: </w:t>
      </w:r>
      <w:r>
        <w:t xml:space="preserve">a line of business that can be specified and for which data can be isolated for </w:t>
      </w:r>
      <w:r>
        <w:t xml:space="preserve">a unit that represents the consolidation of all establishments within the same </w:t>
      </w:r>
      <w:r>
        <w:t xml:space="preserve">2-, 4-, or </w:t>
      </w:r>
      <w:r>
        <w:t>6-digit NAICS code within a company.</w:t>
      </w:r>
    </w:p>
    <w:p w:rsidR="00B55033" w:rsidP="00E56307" w:rsidRDefault="00A26DEA" w14:paraId="707A66F1" w14:textId="74984ECA">
      <w:pPr>
        <w:pStyle w:val="ListParagraph"/>
        <w:numPr>
          <w:ilvl w:val="0"/>
          <w:numId w:val="9"/>
        </w:numPr>
      </w:pPr>
      <w:r>
        <w:rPr>
          <w:b/>
        </w:rPr>
        <w:t>Product Line:</w:t>
      </w:r>
      <w:r>
        <w:t xml:space="preserve"> as measured by the North American Product Classification System (NAPCS), product line is </w:t>
      </w:r>
      <w:r w:rsidR="00427A27">
        <w:t>an aggregation of outputs and products of any given business; whereas a business is assigned one NAICS code (industry), businesses can have multiple NAPCS codes linked to any given unit of operation.</w:t>
      </w:r>
    </w:p>
    <w:p w:rsidR="004C574E" w:rsidRDefault="00AA7636" w14:paraId="08100470" w14:textId="77777777">
      <w:r>
        <w:t xml:space="preserve">Using primarily unscripted probes in conjunction with </w:t>
      </w:r>
      <w:r w:rsidR="00FC330B">
        <w:t>the</w:t>
      </w:r>
      <w:r>
        <w:t xml:space="preserve"> interview guide, we will lead an open discussion with respondents to better understand the accessibility and burden of reporting these three critical topics</w:t>
      </w:r>
      <w:r w:rsidR="00FC330B">
        <w:t>/subtopics</w:t>
      </w:r>
      <w:r>
        <w:t xml:space="preserve"> by these four business units of operation.  We will primarily rely on scripted and unscripted probes to direct the discussion and work collaboratively towards shared meaning.  Subject </w:t>
      </w:r>
      <w:r w:rsidR="00FC330B">
        <w:t>matter experts</w:t>
      </w:r>
      <w:r>
        <w:t xml:space="preserve"> from the Economy-Wide Statistics Division (EWD) or other Economic divisions, as appropriate, will participate in the preparation for these interviews.  </w:t>
      </w:r>
    </w:p>
    <w:p w:rsidRPr="00EB4120" w:rsidR="006F4840" w:rsidP="006F4840" w:rsidRDefault="003969B3" w14:paraId="63FC83C9" w14:textId="4A7E9BEC">
      <w:r>
        <w:t>In order to address the research questions, w</w:t>
      </w:r>
      <w:r w:rsidR="006F4840">
        <w:t xml:space="preserve">e will operationalize the accessibility scale described above in Table 2 by administering a “cart sort” methodology with participants. </w:t>
      </w:r>
      <w:r w:rsidRPr="00EB4120" w:rsidR="006F4840">
        <w:t>A card sort is a well-established methodology for understanding how "participants relate and categorized concepts" (Goodman et al. 2012: 202).  In this case, we are asking respondents to categorize the accessibility of data at each of the different levels of measurement by assigning each level to a color representing accessibility.  The respondent will use virtual "cards," each containing a level of measurement, and will sort them into one of four color-coded categories rating the accessibility of the data.  Because we are providing the respondent with the accessibility scale, this is considered a closed card sort (as opposed to an open card sort, wherein respondent</w:t>
      </w:r>
      <w:r w:rsidR="0050094C">
        <w:t>s</w:t>
      </w:r>
      <w:r w:rsidRPr="00EB4120" w:rsidR="006F4840">
        <w:t xml:space="preserve"> would create the categories </w:t>
      </w:r>
      <w:r w:rsidR="0050094C">
        <w:t>themselves</w:t>
      </w:r>
      <w:r w:rsidRPr="00EB4120" w:rsidR="006F4840">
        <w:t>).</w:t>
      </w:r>
    </w:p>
    <w:p w:rsidR="007A75B6" w:rsidRDefault="00AA7636" w14:paraId="7AC19C1D" w14:textId="4F093026">
      <w:r>
        <w:t>Interviews will be audio recorded and may include screen capture technology if appropriate to aid researchers in accurately reporting findings and recommendations.  No audio or screen recording will be conducted without respondents’ consent.</w:t>
      </w:r>
      <w:r w:rsidR="004C574E">
        <w:t xml:space="preserve">  Respondents will be informed of their privacy rights through an informed consent form </w:t>
      </w:r>
      <w:r w:rsidR="00FE513E">
        <w:t xml:space="preserve">that researchers will send prior to </w:t>
      </w:r>
      <w:r w:rsidR="00886BCE">
        <w:t>the scheduled interview</w:t>
      </w:r>
      <w:r w:rsidR="00FE513E">
        <w:t>.</w:t>
      </w:r>
    </w:p>
    <w:p w:rsidR="007A75B6" w:rsidRDefault="007A75B6" w14:paraId="39AFD8AB" w14:textId="28AF329E"/>
    <w:p w:rsidR="00D36526" w:rsidP="00836FC9" w:rsidRDefault="00D36526" w14:paraId="64359583" w14:textId="0FAECBA6">
      <w:pPr>
        <w:keepNext/>
        <w:widowControl w:val="0"/>
      </w:pPr>
      <w:r>
        <w:rPr>
          <w:b/>
        </w:rPr>
        <w:lastRenderedPageBreak/>
        <w:t>Survey Population</w:t>
      </w:r>
    </w:p>
    <w:p w:rsidR="00D36526" w:rsidRDefault="00D36526" w14:paraId="3FC761FE" w14:textId="606003FD">
      <w:r>
        <w:t>ESMD researchers will select firms for recruitment using specific criteria that indicates that they may be most impacted by proposed changes to the reporting structure.  Selected companies should represent the “most typical” medium-to-large multi-unit organizational structures.  We will use the following information to aid in identifying appropriate firms:</w:t>
      </w:r>
    </w:p>
    <w:p w:rsidR="00D36526" w:rsidP="00D36526" w:rsidRDefault="00D36526" w14:paraId="0F0894E4" w14:textId="5B8459F1">
      <w:pPr>
        <w:pStyle w:val="ListParagraph"/>
        <w:numPr>
          <w:ilvl w:val="0"/>
          <w:numId w:val="10"/>
        </w:numPr>
      </w:pPr>
      <w:r>
        <w:t>Business size (as measured by payroll and employment)</w:t>
      </w:r>
    </w:p>
    <w:p w:rsidR="00D36526" w:rsidP="00D36526" w:rsidRDefault="00D36526" w14:paraId="7F7B59B9" w14:textId="61E6786F">
      <w:pPr>
        <w:pStyle w:val="ListParagraph"/>
        <w:numPr>
          <w:ilvl w:val="0"/>
          <w:numId w:val="10"/>
        </w:numPr>
      </w:pPr>
      <w:r>
        <w:t>Number of establishments</w:t>
      </w:r>
    </w:p>
    <w:p w:rsidR="00D36526" w:rsidP="00D36526" w:rsidRDefault="00D36526" w14:paraId="61A71848" w14:textId="492B3EEA">
      <w:pPr>
        <w:pStyle w:val="ListParagraph"/>
        <w:numPr>
          <w:ilvl w:val="0"/>
          <w:numId w:val="10"/>
        </w:numPr>
      </w:pPr>
      <w:r>
        <w:t>Number of states or jurisdictions with establishments</w:t>
      </w:r>
    </w:p>
    <w:p w:rsidR="00D36526" w:rsidP="00D36526" w:rsidRDefault="00D36526" w14:paraId="1B197FC3" w14:textId="169284E5">
      <w:pPr>
        <w:pStyle w:val="ListParagraph"/>
        <w:numPr>
          <w:ilvl w:val="0"/>
          <w:numId w:val="10"/>
        </w:numPr>
      </w:pPr>
      <w:r>
        <w:t>Number of unique employer identification numbers (EINs) for a business</w:t>
      </w:r>
    </w:p>
    <w:p w:rsidR="007A75B6" w:rsidRDefault="00D36526" w14:paraId="7023A4A5" w14:textId="12A52BBD">
      <w:r>
        <w:t xml:space="preserve">Additionally, targeted firms must be in-sample for at least </w:t>
      </w:r>
      <w:r w:rsidR="00836FC9">
        <w:t>two</w:t>
      </w:r>
      <w:r>
        <w:t xml:space="preserve"> in-scope annual economic surveys.  We will exclude companies currently enrolled in the Full Service </w:t>
      </w:r>
      <w:r w:rsidR="00A4219A">
        <w:t>Account Manager Program.</w:t>
      </w:r>
      <w:r w:rsidR="00A4219A">
        <w:rPr>
          <w:rStyle w:val="FootnoteReference"/>
        </w:rPr>
        <w:footnoteReference w:id="2"/>
      </w:r>
      <w:r w:rsidR="00A4219A">
        <w:t xml:space="preserve">  We will focus on companies that operate in multiple industries within the manufacturing, retail, wholesale, and/or service sectors.</w:t>
      </w:r>
    </w:p>
    <w:p w:rsidR="00A4219A" w:rsidRDefault="00A4219A" w14:paraId="2F22E498" w14:textId="68A867A5"/>
    <w:p w:rsidR="00A4219A" w:rsidRDefault="00A4219A" w14:paraId="1F9D0946" w14:textId="5C6CEEB9">
      <w:r>
        <w:rPr>
          <w:b/>
        </w:rPr>
        <w:t>Sample Selection:</w:t>
      </w:r>
    </w:p>
    <w:p w:rsidR="00A4219A" w:rsidRDefault="00A4219A" w14:paraId="5A0F091F" w14:textId="5964EE8F">
      <w:r>
        <w:t xml:space="preserve">We will contact potential </w:t>
      </w:r>
      <w:r w:rsidR="00886BCE">
        <w:t>study participants</w:t>
      </w:r>
      <w:r>
        <w:t xml:space="preserve"> via phone or email to explain the nature of our research and extend an invitation to participate in the study.  The sample of participants, then, will be those firms that agree to participation.  Respondents will be informed that their response is voluntary and that the information they provide is confidential and will be seen only by Census Bureau employees involved with the research project.  </w:t>
      </w:r>
      <w:r w:rsidR="00FF7143">
        <w:t xml:space="preserve">We will not provide incentives to participate.  Once interviews are scheduled, researchers will send a confirmation email to respondents verifying the time, date, and best staff to </w:t>
      </w:r>
      <w:r w:rsidR="00654959">
        <w:t>attend the meeting</w:t>
      </w:r>
      <w:r w:rsidR="00FF7143">
        <w:t xml:space="preserve">.  Shortly before the interview appointment, researchers will send </w:t>
      </w:r>
      <w:r w:rsidR="00654959">
        <w:t>participants</w:t>
      </w:r>
      <w:r w:rsidR="00FF7143">
        <w:t xml:space="preserve"> from the associated firm an email with links to the </w:t>
      </w:r>
      <w:r w:rsidR="00654959">
        <w:t>research response aid (</w:t>
      </w:r>
      <w:r w:rsidR="00FF7143">
        <w:t>Attachment B) and a consent form informing them of their rights under the Paperwork Reduction Act (PRA) and Privacy Act (PA)</w:t>
      </w:r>
      <w:r w:rsidR="00D84C15">
        <w:t xml:space="preserve"> (Attachment C)</w:t>
      </w:r>
      <w:r w:rsidR="00E557F3">
        <w:t>,</w:t>
      </w:r>
      <w:r w:rsidR="00886BCE">
        <w:t xml:space="preserve"> along with obtaining consent for audio recording and screen capture</w:t>
      </w:r>
      <w:r w:rsidR="00FF7143">
        <w:t>.</w:t>
      </w:r>
    </w:p>
    <w:p w:rsidR="00FF7143" w:rsidRDefault="00FF7143" w14:paraId="3DFF6427" w14:textId="09B1F0E1"/>
    <w:p w:rsidRPr="00E407B3" w:rsidR="00FF7143" w:rsidRDefault="00FF7143" w14:paraId="0A72B0DF" w14:textId="3FB8FE04">
      <w:pPr>
        <w:rPr>
          <w:b/>
        </w:rPr>
      </w:pPr>
      <w:r w:rsidRPr="00E407B3">
        <w:rPr>
          <w:b/>
        </w:rPr>
        <w:t>Timeline:</w:t>
      </w:r>
    </w:p>
    <w:p w:rsidR="00FF7143" w:rsidRDefault="00E407B3" w14:paraId="36F5BF96" w14:textId="33326A16">
      <w:r>
        <w:t xml:space="preserve">Researchers will begin recruiting for these interviews in </w:t>
      </w:r>
      <w:r w:rsidR="00850569">
        <w:t>October-November</w:t>
      </w:r>
      <w:r>
        <w:t xml:space="preserve">, 2020.  Interviewing and recruitment may take place concurrently through the </w:t>
      </w:r>
      <w:r w:rsidR="00850569">
        <w:t>four</w:t>
      </w:r>
      <w:r w:rsidR="00114B16">
        <w:t>-month</w:t>
      </w:r>
      <w:r>
        <w:t xml:space="preserve"> lifespan </w:t>
      </w:r>
      <w:r w:rsidR="00CF364A">
        <w:t xml:space="preserve">of data collection, concluding in </w:t>
      </w:r>
      <w:r w:rsidR="00850569">
        <w:t>February</w:t>
      </w:r>
      <w:r w:rsidR="00CF364A">
        <w:t>, 202</w:t>
      </w:r>
      <w:r w:rsidR="00850569">
        <w:t>1</w:t>
      </w:r>
      <w:r w:rsidR="00CF364A">
        <w:t xml:space="preserve">.  </w:t>
      </w:r>
    </w:p>
    <w:p w:rsidR="00CF364A" w:rsidRDefault="00CF364A" w14:paraId="57ADA61E" w14:textId="3BCAA953"/>
    <w:p w:rsidRPr="00CF364A" w:rsidR="00CF364A" w:rsidP="00682FE8" w:rsidRDefault="00CF364A" w14:paraId="68CE9DD5" w14:textId="1293B899">
      <w:pPr>
        <w:keepNext/>
        <w:widowControl w:val="0"/>
        <w:rPr>
          <w:b/>
        </w:rPr>
      </w:pPr>
      <w:r w:rsidRPr="00CF364A">
        <w:rPr>
          <w:b/>
        </w:rPr>
        <w:lastRenderedPageBreak/>
        <w:t>Burden Hours:</w:t>
      </w:r>
    </w:p>
    <w:p w:rsidRPr="00A4219A" w:rsidR="00CC7A12" w:rsidRDefault="00CF364A" w14:paraId="4436FD83" w14:textId="469F59B2">
      <w:r>
        <w:t xml:space="preserve">We anticipate that each interview </w:t>
      </w:r>
      <w:r w:rsidR="00FE513E">
        <w:t>may have up to</w:t>
      </w:r>
      <w:r>
        <w:t xml:space="preserve"> </w:t>
      </w:r>
      <w:r w:rsidR="00B367C9">
        <w:t>two</w:t>
      </w:r>
      <w:r>
        <w:t xml:space="preserve"> participants per company, and will last no longer than 90 minutes.  Further, we estimate it will take on average five minutes to recruit respondents, and expect to make up to five phone contacts per completed interview.  We are anticipating that recruitment calls will last on average five minutes per call, putting the total burden at </w:t>
      </w:r>
      <w:r w:rsidR="00CC7A12">
        <w:t xml:space="preserve">16.7 hours total for recruitment </w:t>
      </w:r>
      <w:r>
        <w:t>(5 attempted phone calls per completed interview x 40 cases x 5 minutes per case = 16.7 hours).</w:t>
      </w:r>
      <w:r w:rsidR="00CC7A12">
        <w:t xml:space="preserve">  At estimates of 40 interviews, maximum 90 minutes a piece, and </w:t>
      </w:r>
      <w:r w:rsidR="00FE513E">
        <w:t>maximum</w:t>
      </w:r>
      <w:r w:rsidR="00CC7A12">
        <w:t xml:space="preserve"> of </w:t>
      </w:r>
      <w:r w:rsidR="00CF5755">
        <w:t>2</w:t>
      </w:r>
      <w:r w:rsidR="00CC7A12">
        <w:t xml:space="preserve"> participants per interview, the</w:t>
      </w:r>
      <w:r w:rsidR="00682FE8">
        <w:t xml:space="preserve"> total interviewing burden is 12</w:t>
      </w:r>
      <w:r w:rsidR="00CC7A12">
        <w:t xml:space="preserve">0 hours (40 interviews x 90 minutes x </w:t>
      </w:r>
      <w:r w:rsidR="00CF5755">
        <w:t>2</w:t>
      </w:r>
      <w:r w:rsidR="00CC7A12">
        <w:t xml:space="preserve"> participants = 1</w:t>
      </w:r>
      <w:r w:rsidR="00CF5755">
        <w:t>2</w:t>
      </w:r>
      <w:r w:rsidR="00CC7A12">
        <w:t xml:space="preserve">0 hours). </w:t>
      </w:r>
      <w:r w:rsidR="00FE513E">
        <w:t xml:space="preserve">Finally, we will include an optional pre-interview meeting to troubleshoot any issues with technology, particularly with regard to Skype for Business; we anticipate these meetings to be no more than 10 minutes (10 minute meeting x 40 cases = about </w:t>
      </w:r>
      <w:r w:rsidR="00CF5755">
        <w:t>6.7</w:t>
      </w:r>
      <w:r w:rsidR="00FE513E">
        <w:t xml:space="preserve"> hours).  </w:t>
      </w:r>
      <w:r w:rsidR="00CC7A12">
        <w:t>Combined with recruiting, we estimate the total burden hours for this project to be</w:t>
      </w:r>
      <w:r w:rsidR="00FE513E">
        <w:t xml:space="preserve"> </w:t>
      </w:r>
      <w:r w:rsidR="00BE5D63">
        <w:t>143.4</w:t>
      </w:r>
      <w:r w:rsidR="00CC7A12">
        <w:t xml:space="preserve"> hours (16.7 hours for recruitment + 1</w:t>
      </w:r>
      <w:r w:rsidR="00CF5755">
        <w:t>2</w:t>
      </w:r>
      <w:r w:rsidR="00CC7A12">
        <w:t xml:space="preserve">0 hours for interviewing </w:t>
      </w:r>
      <w:r w:rsidR="00FE513E">
        <w:t xml:space="preserve">+ </w:t>
      </w:r>
      <w:r w:rsidR="00CF5755">
        <w:t>6.</w:t>
      </w:r>
      <w:r w:rsidR="00FE513E">
        <w:t xml:space="preserve">7 hours technical support </w:t>
      </w:r>
      <w:r w:rsidR="00CC7A12">
        <w:t xml:space="preserve">= </w:t>
      </w:r>
      <w:r w:rsidR="00BE5D63">
        <w:t>143.4</w:t>
      </w:r>
      <w:r w:rsidR="00CC7A12">
        <w:t xml:space="preserve"> hours).</w:t>
      </w:r>
    </w:p>
    <w:p w:rsidR="006F3E3B" w:rsidP="006F3E3B" w:rsidRDefault="006F3E3B" w14:paraId="37B3C888" w14:textId="77777777">
      <w:pPr>
        <w:rPr>
          <w:b/>
        </w:rPr>
      </w:pPr>
    </w:p>
    <w:p w:rsidRPr="009E6000" w:rsidR="006F3E3B" w:rsidP="006F3E3B" w:rsidRDefault="006F3E3B" w14:paraId="51AF06F7" w14:textId="084D9FC0">
      <w:pPr>
        <w:rPr>
          <w:b/>
        </w:rPr>
      </w:pPr>
      <w:r w:rsidRPr="009E6000">
        <w:rPr>
          <w:b/>
        </w:rPr>
        <w:t>References</w:t>
      </w:r>
      <w:r w:rsidRPr="009E6000" w:rsidR="00EE6920">
        <w:rPr>
          <w:b/>
        </w:rPr>
        <w:t xml:space="preserve"> Cited within This Letter</w:t>
      </w:r>
      <w:r w:rsidRPr="009E6000">
        <w:rPr>
          <w:b/>
        </w:rPr>
        <w:t>:</w:t>
      </w:r>
    </w:p>
    <w:p w:rsidRPr="00EE6920" w:rsidR="00EE6920" w:rsidP="00EE6920" w:rsidRDefault="00EE6920" w14:paraId="707E0022" w14:textId="77777777">
      <w:pPr>
        <w:rPr>
          <w:rFonts w:ascii="Times New Roman" w:hAnsi="Times New Roman" w:eastAsia="Times New Roman" w:cs="Times New Roman"/>
        </w:rPr>
      </w:pPr>
      <w:r w:rsidRPr="00EE6920">
        <w:rPr>
          <w:rFonts w:ascii="Calibri" w:hAnsi="Calibri" w:eastAsia="Times New Roman" w:cs="Calibri"/>
          <w:color w:val="000000"/>
          <w:shd w:val="clear" w:color="auto" w:fill="FFFFFF"/>
        </w:rPr>
        <w:t>Bavdaz, Mojca.  2010.  "Sources of Measurment Errors in Business Surveys."  Journal of Official Statistics, 26(1): 25-42.</w:t>
      </w:r>
    </w:p>
    <w:p w:rsidRPr="009E6000" w:rsidR="00EE6920" w:rsidP="00EE6920" w:rsidRDefault="00EE6920" w14:paraId="0F3E52F2" w14:textId="77777777">
      <w:pPr>
        <w:shd w:val="clear" w:color="auto" w:fill="FFFFFF"/>
        <w:textAlignment w:val="baseline"/>
        <w:rPr>
          <w:rFonts w:ascii="Calibri" w:hAnsi="Calibri" w:eastAsia="Times New Roman" w:cs="Calibri"/>
          <w:color w:val="000000"/>
        </w:rPr>
      </w:pPr>
      <w:r w:rsidRPr="009E6000">
        <w:rPr>
          <w:rFonts w:ascii="Calibri" w:hAnsi="Calibri" w:eastAsia="Times New Roman" w:cs="Calibri"/>
          <w:color w:val="000000"/>
        </w:rPr>
        <w:t>Goodman, E., Kuniavsky, M. and Moed, A. (2012), Observing the User Experience: A Practitioner’s Guide to User Research, Morgan Kaufmann, An Imprint of Elsevier, Waltham, MA.</w:t>
      </w:r>
    </w:p>
    <w:p w:rsidRPr="00EE6920" w:rsidR="00EE6920" w:rsidP="00EE6920" w:rsidRDefault="00EE6920" w14:paraId="76FF6AAD" w14:textId="576C208C">
      <w:pPr>
        <w:shd w:val="clear" w:color="auto" w:fill="FFFFFF"/>
        <w:textAlignment w:val="baseline"/>
        <w:rPr>
          <w:rFonts w:ascii="Calibri" w:hAnsi="Calibri" w:eastAsia="Times New Roman" w:cs="Calibri"/>
          <w:color w:val="000000"/>
        </w:rPr>
      </w:pPr>
      <w:r w:rsidRPr="00EE6920">
        <w:rPr>
          <w:rFonts w:ascii="Calibri" w:hAnsi="Calibri" w:eastAsia="Times New Roman" w:cs="Calibri"/>
          <w:color w:val="000000"/>
        </w:rPr>
        <w:t>Snijkers, Ger and Kenneth Arentsen.  2015.  "Collecting Financial Data from Large Non</w:t>
      </w:r>
      <w:r w:rsidR="00DA4551">
        <w:rPr>
          <w:rFonts w:ascii="Calibri" w:hAnsi="Calibri" w:eastAsia="Times New Roman" w:cs="Calibri"/>
          <w:color w:val="000000"/>
        </w:rPr>
        <w:t>-Financial Enterprises:  A Feasi</w:t>
      </w:r>
      <w:r w:rsidRPr="00EE6920">
        <w:rPr>
          <w:rFonts w:ascii="Calibri" w:hAnsi="Calibri" w:eastAsia="Times New Roman" w:cs="Calibri"/>
          <w:color w:val="000000"/>
        </w:rPr>
        <w:t>bility Study."  Presentation at the 4th International Workshop on Business Data Collection Methodology, Bureau of Labor Statistics, Washington, DC.</w:t>
      </w:r>
    </w:p>
    <w:p w:rsidRPr="00D54C02" w:rsidR="002E708D" w:rsidP="002E708D" w:rsidRDefault="00D54C02" w14:paraId="74CCD57F" w14:textId="319C40EA">
      <w:pPr>
        <w:rPr>
          <w:b/>
        </w:rPr>
      </w:pPr>
      <w:r>
        <w:rPr>
          <w:b/>
        </w:rPr>
        <w:t xml:space="preserve"> </w:t>
      </w:r>
    </w:p>
    <w:p w:rsidRPr="002E708D" w:rsidR="002E708D" w:rsidP="004E01C9" w:rsidRDefault="002E708D" w14:paraId="7D8B8CE0" w14:textId="030A0AF9">
      <w:pPr>
        <w:keepNext/>
        <w:keepLines/>
        <w:widowControl w:val="0"/>
        <w:rPr>
          <w:b/>
        </w:rPr>
      </w:pPr>
      <w:r w:rsidRPr="002E708D">
        <w:rPr>
          <w:b/>
        </w:rPr>
        <w:t>Contact:</w:t>
      </w:r>
    </w:p>
    <w:p w:rsidR="002E708D" w:rsidP="004E01C9" w:rsidRDefault="002E708D" w14:paraId="3353B512" w14:textId="7D8421A6">
      <w:pPr>
        <w:keepNext/>
        <w:keepLines/>
        <w:widowControl w:val="0"/>
      </w:pPr>
      <w:r>
        <w:t>The contact person for questions regarding data collection and statistical aspects of the design of this research is listed below:</w:t>
      </w:r>
    </w:p>
    <w:p w:rsidRPr="00202E53" w:rsidR="00202E53" w:rsidP="004E01C9" w:rsidRDefault="00B54F33" w14:paraId="703C40E7" w14:textId="068B78FF">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eastAsia="Calibri" w:cstheme="minorHAnsi"/>
          <w:color w:val="000000"/>
        </w:rPr>
      </w:pPr>
      <w:r w:rsidRPr="004E01C9">
        <w:rPr>
          <w:rFonts w:eastAsia="Calibri" w:cstheme="minorHAnsi"/>
          <w:color w:val="000000"/>
        </w:rPr>
        <w:t>Diane K.</w:t>
      </w:r>
      <w:r w:rsidR="00D54C02">
        <w:rPr>
          <w:rFonts w:eastAsia="Calibri" w:cstheme="minorHAnsi"/>
          <w:color w:val="000000"/>
        </w:rPr>
        <w:t xml:space="preserve"> </w:t>
      </w:r>
      <w:r w:rsidRPr="004E01C9">
        <w:rPr>
          <w:rFonts w:eastAsia="Calibri" w:cstheme="minorHAnsi"/>
          <w:color w:val="000000"/>
        </w:rPr>
        <w:t>Willimack</w:t>
      </w:r>
    </w:p>
    <w:p w:rsidRPr="00202E53" w:rsidR="00202E53" w:rsidP="00202E53" w:rsidRDefault="00B54F33" w14:paraId="5292DAF9" w14:textId="7C337A8F">
      <w:pPr>
        <w:autoSpaceDE w:val="0"/>
        <w:autoSpaceDN w:val="0"/>
        <w:adjustRightInd w:val="0"/>
        <w:spacing w:after="0" w:line="240" w:lineRule="auto"/>
        <w:rPr>
          <w:rFonts w:eastAsia="Calibri" w:cstheme="minorHAnsi"/>
        </w:rPr>
      </w:pPr>
      <w:r w:rsidRPr="004E01C9">
        <w:rPr>
          <w:rFonts w:eastAsia="Calibri" w:cstheme="minorHAnsi"/>
        </w:rPr>
        <w:t>Methodology Direc</w:t>
      </w:r>
      <w:r w:rsidR="000937CE">
        <w:rPr>
          <w:rFonts w:eastAsia="Calibri" w:cstheme="minorHAnsi"/>
        </w:rPr>
        <w:t>t</w:t>
      </w:r>
      <w:r w:rsidRPr="004E01C9">
        <w:rPr>
          <w:rFonts w:eastAsia="Calibri" w:cstheme="minorHAnsi"/>
        </w:rPr>
        <w:t>or for Measurement &amp; Response Improvement</w:t>
      </w:r>
    </w:p>
    <w:p w:rsidRPr="00202E53" w:rsidR="00202E53" w:rsidP="00202E53" w:rsidRDefault="00202E53" w14:paraId="66E76270" w14:textId="77777777">
      <w:pPr>
        <w:autoSpaceDE w:val="0"/>
        <w:autoSpaceDN w:val="0"/>
        <w:adjustRightInd w:val="0"/>
        <w:spacing w:after="0" w:line="240" w:lineRule="auto"/>
        <w:rPr>
          <w:rFonts w:eastAsia="Calibri" w:cstheme="minorHAnsi"/>
        </w:rPr>
      </w:pPr>
      <w:r w:rsidRPr="00202E53">
        <w:rPr>
          <w:rFonts w:eastAsia="Calibri" w:cstheme="minorHAnsi"/>
        </w:rPr>
        <w:t>Economic Statistics and Methodology Division</w:t>
      </w:r>
    </w:p>
    <w:p w:rsidRPr="00202E53" w:rsidR="00202E53" w:rsidP="00202E53" w:rsidRDefault="00202E53" w14:paraId="55B856AD" w14:textId="77777777">
      <w:pPr>
        <w:autoSpaceDE w:val="0"/>
        <w:autoSpaceDN w:val="0"/>
        <w:adjustRightInd w:val="0"/>
        <w:spacing w:after="0" w:line="240" w:lineRule="auto"/>
        <w:rPr>
          <w:rFonts w:eastAsia="Calibri" w:cstheme="minorHAnsi"/>
        </w:rPr>
      </w:pPr>
      <w:r w:rsidRPr="00202E53">
        <w:rPr>
          <w:rFonts w:eastAsia="Calibri" w:cstheme="minorHAnsi"/>
        </w:rPr>
        <w:t xml:space="preserve">U.S. Census Bureau </w:t>
      </w:r>
    </w:p>
    <w:p w:rsidRPr="00202E53" w:rsidR="00202E53" w:rsidP="00202E53" w:rsidRDefault="00202E53" w14:paraId="1BE20B95" w14:textId="77777777">
      <w:pPr>
        <w:autoSpaceDE w:val="0"/>
        <w:autoSpaceDN w:val="0"/>
        <w:adjustRightInd w:val="0"/>
        <w:spacing w:after="0" w:line="240" w:lineRule="auto"/>
        <w:rPr>
          <w:rFonts w:eastAsia="Calibri" w:cstheme="minorHAnsi"/>
        </w:rPr>
      </w:pPr>
      <w:r w:rsidRPr="00202E53">
        <w:rPr>
          <w:rFonts w:eastAsia="Calibri" w:cstheme="minorHAnsi"/>
        </w:rPr>
        <w:t>Washington, D.C. 20233</w:t>
      </w:r>
    </w:p>
    <w:p w:rsidRPr="00202E53" w:rsidR="00202E53" w:rsidP="00202E53" w:rsidRDefault="000937CE" w14:paraId="49E319B6" w14:textId="2E44EAC2">
      <w:pPr>
        <w:autoSpaceDE w:val="0"/>
        <w:autoSpaceDN w:val="0"/>
        <w:adjustRightInd w:val="0"/>
        <w:spacing w:after="0" w:line="240" w:lineRule="auto"/>
        <w:rPr>
          <w:rFonts w:eastAsia="Calibri" w:cstheme="minorHAnsi"/>
        </w:rPr>
      </w:pPr>
      <w:r>
        <w:rPr>
          <w:rFonts w:eastAsia="Calibri" w:cstheme="minorHAnsi"/>
        </w:rPr>
        <w:t>(301) 763-3538</w:t>
      </w:r>
    </w:p>
    <w:p w:rsidRPr="00202E53" w:rsidR="00202E53" w:rsidP="00202E53" w:rsidRDefault="000937CE" w14:paraId="285E3901" w14:textId="31B41E3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r>
        <w:rPr>
          <w:rFonts w:eastAsia="Calibri" w:cstheme="minorHAnsi"/>
        </w:rPr>
        <w:t>diane.k.willimack</w:t>
      </w:r>
      <w:r w:rsidRPr="00202E53" w:rsidR="00202E53">
        <w:rPr>
          <w:rFonts w:eastAsia="Calibri" w:cstheme="minorHAnsi"/>
        </w:rPr>
        <w:t>@census.gov</w:t>
      </w:r>
    </w:p>
    <w:p w:rsidRPr="00202E53" w:rsidR="00202E53" w:rsidP="00202E53" w:rsidRDefault="00202E53" w14:paraId="41BDA5B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eastAsia="Calibri" w:cstheme="minorHAnsi"/>
          <w:color w:val="000000"/>
        </w:rPr>
      </w:pPr>
    </w:p>
    <w:p w:rsidRPr="00202E53" w:rsidR="00202E53" w:rsidP="00202E53" w:rsidRDefault="00202E53" w14:paraId="238A585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eastAsia="Calibri" w:cstheme="minorHAnsi"/>
          <w:color w:val="000000"/>
        </w:rPr>
      </w:pPr>
    </w:p>
    <w:p w:rsidRPr="00202E53" w:rsidR="00D54C02" w:rsidP="00D54C02" w:rsidRDefault="00202E53" w14:paraId="42D53869" w14:textId="4F302E82">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rPr>
          <w:rFonts w:eastAsia="Calibri" w:cstheme="minorHAnsi"/>
          <w:b/>
          <w:color w:val="000000"/>
        </w:rPr>
      </w:pPr>
      <w:r w:rsidRPr="00202E53">
        <w:rPr>
          <w:rFonts w:eastAsia="Calibri" w:cstheme="minorHAnsi"/>
          <w:b/>
          <w:color w:val="000000"/>
        </w:rPr>
        <w:lastRenderedPageBreak/>
        <w:t>Enclosures</w:t>
      </w:r>
    </w:p>
    <w:p w:rsidR="00E56479" w:rsidP="00D54C02" w:rsidRDefault="00E56479" w14:paraId="4887512A" w14:textId="77777777">
      <w:pPr>
        <w:pStyle w:val="ListParagraph"/>
        <w:keepNext/>
        <w:keepLines/>
        <w:widowControl w:val="0"/>
        <w:numPr>
          <w:ilvl w:val="0"/>
          <w:numId w:val="12"/>
        </w:numPr>
      </w:pPr>
      <w:r>
        <w:t>Attachment A: Sample interview guide for exploratory interviews</w:t>
      </w:r>
    </w:p>
    <w:p w:rsidR="00E56479" w:rsidP="00D54C02" w:rsidRDefault="00E56479" w14:paraId="0A41848A" w14:textId="77777777">
      <w:pPr>
        <w:pStyle w:val="ListParagraph"/>
        <w:keepNext/>
        <w:keepLines/>
        <w:widowControl w:val="0"/>
        <w:numPr>
          <w:ilvl w:val="0"/>
          <w:numId w:val="12"/>
        </w:numPr>
      </w:pPr>
      <w:r>
        <w:t>Attachment B: Sample of research response aid for the card sort, organized by topic</w:t>
      </w:r>
    </w:p>
    <w:p w:rsidR="00E56479" w:rsidP="00D54C02" w:rsidRDefault="00E56479" w14:paraId="0E86522A" w14:textId="77777777">
      <w:pPr>
        <w:pStyle w:val="ListParagraph"/>
        <w:keepNext/>
        <w:keepLines/>
        <w:widowControl w:val="0"/>
        <w:numPr>
          <w:ilvl w:val="0"/>
          <w:numId w:val="12"/>
        </w:numPr>
      </w:pPr>
      <w:r>
        <w:t>Attachment C: Consent form informing participants of their rights under the Paperwork Reduction Act (PRA) and Privacy Act (PA), and requesting consent for audio taping and screen capture</w:t>
      </w:r>
    </w:p>
    <w:p w:rsidR="00202E53" w:rsidP="00202E53" w:rsidRDefault="00202E53" w14:paraId="73998BA4" w14:textId="413E8BC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p>
    <w:p w:rsidRPr="00202E53" w:rsidR="00E56479" w:rsidP="00202E53" w:rsidRDefault="00E56479" w14:paraId="4E11446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p>
    <w:p w:rsidRPr="00202E53" w:rsidR="00202E53" w:rsidP="00202E53" w:rsidRDefault="00E56479" w14:paraId="648F04C4" w14:textId="753A2F6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r w:rsidRPr="00E56479">
        <w:rPr>
          <w:rFonts w:eastAsia="Calibri" w:cstheme="minorHAnsi"/>
          <w:b/>
        </w:rPr>
        <w:t>c</w:t>
      </w:r>
      <w:r w:rsidRPr="00202E53" w:rsidR="00202E53">
        <w:rPr>
          <w:rFonts w:eastAsia="Calibri" w:cstheme="minorHAnsi"/>
          <w:b/>
        </w:rPr>
        <w:t>c</w:t>
      </w:r>
      <w:r w:rsidRPr="00202E53" w:rsidR="00202E53">
        <w:rPr>
          <w:rFonts w:eastAsia="Calibri" w:cstheme="minorHAnsi"/>
        </w:rPr>
        <w:t xml:space="preserve">:  </w:t>
      </w:r>
    </w:p>
    <w:p w:rsidRPr="00202E53" w:rsidR="00202E53" w:rsidP="00202E53" w:rsidRDefault="00202E53" w14:paraId="5DB6CC83" w14:textId="7385A48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r w:rsidRPr="00202E53">
        <w:rPr>
          <w:rFonts w:eastAsia="Calibri" w:cstheme="minorHAnsi"/>
        </w:rPr>
        <w:t>Nick Orsini</w:t>
      </w:r>
      <w:r w:rsidRPr="00202E53">
        <w:rPr>
          <w:rFonts w:eastAsia="Calibri" w:cstheme="minorHAnsi"/>
        </w:rPr>
        <w:tab/>
      </w:r>
      <w:r w:rsidRPr="00202E53">
        <w:rPr>
          <w:rFonts w:eastAsia="Calibri" w:cstheme="minorHAnsi"/>
        </w:rPr>
        <w:tab/>
        <w:t>(ADEP) with enclosure</w:t>
      </w:r>
    </w:p>
    <w:p w:rsidRPr="00202E53" w:rsidR="00202E53" w:rsidP="00202E53" w:rsidRDefault="00202E53" w14:paraId="48D09A5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r w:rsidRPr="00202E53">
        <w:rPr>
          <w:rFonts w:eastAsia="Calibri" w:cstheme="minorHAnsi"/>
        </w:rPr>
        <w:t>Carol Caldwell</w:t>
      </w:r>
      <w:r w:rsidRPr="00202E53">
        <w:rPr>
          <w:rFonts w:eastAsia="Calibri" w:cstheme="minorHAnsi"/>
        </w:rPr>
        <w:tab/>
      </w:r>
      <w:r w:rsidRPr="00202E53">
        <w:rPr>
          <w:rFonts w:eastAsia="Calibri" w:cstheme="minorHAnsi"/>
        </w:rPr>
        <w:tab/>
        <w:t>(ESMD) with enclosure</w:t>
      </w:r>
    </w:p>
    <w:p w:rsidRPr="00202E53" w:rsidR="00202E53" w:rsidP="00202E53" w:rsidRDefault="00202E53" w14:paraId="05BE4398" w14:textId="539EC2F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r w:rsidRPr="00202E53">
        <w:rPr>
          <w:rFonts w:eastAsia="Calibri" w:cstheme="minorHAnsi"/>
        </w:rPr>
        <w:t>Diane</w:t>
      </w:r>
      <w:r w:rsidR="004E01C9">
        <w:rPr>
          <w:rFonts w:eastAsia="Calibri" w:cstheme="minorHAnsi"/>
        </w:rPr>
        <w:t xml:space="preserve"> K.</w:t>
      </w:r>
      <w:r w:rsidRPr="00202E53">
        <w:rPr>
          <w:rFonts w:eastAsia="Calibri" w:cstheme="minorHAnsi"/>
        </w:rPr>
        <w:t xml:space="preserve"> Willimack </w:t>
      </w:r>
      <w:r w:rsidRPr="00202E53">
        <w:rPr>
          <w:rFonts w:eastAsia="Calibri" w:cstheme="minorHAnsi"/>
        </w:rPr>
        <w:tab/>
        <w:t>(ESMD) with enclosure</w:t>
      </w:r>
    </w:p>
    <w:p w:rsidRPr="00202E53" w:rsidR="00202E53" w:rsidP="00202E53" w:rsidRDefault="00202E53" w14:paraId="6F33C9F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Calibri" w:cstheme="minorHAnsi"/>
        </w:rPr>
      </w:pPr>
      <w:r w:rsidRPr="00202E53">
        <w:rPr>
          <w:rFonts w:eastAsia="Calibri" w:cstheme="minorHAnsi"/>
        </w:rPr>
        <w:t>Amy Anderson Riemer</w:t>
      </w:r>
      <w:r w:rsidRPr="00202E53">
        <w:rPr>
          <w:rFonts w:eastAsia="Calibri" w:cstheme="minorHAnsi"/>
        </w:rPr>
        <w:tab/>
        <w:t>(ESMD) with enclosure</w:t>
      </w:r>
    </w:p>
    <w:p w:rsidR="004E01C9" w:rsidP="00202E53" w:rsidRDefault="004E01C9" w14:paraId="4C2FABAA" w14:textId="4E0D032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Pr>
          <w:rFonts w:eastAsia="Calibri" w:cstheme="minorHAnsi"/>
        </w:rPr>
        <w:t>Melissa Cidade</w:t>
      </w:r>
      <w:r>
        <w:rPr>
          <w:rFonts w:eastAsia="Calibri" w:cstheme="minorHAnsi"/>
        </w:rPr>
        <w:tab/>
      </w:r>
      <w:r>
        <w:rPr>
          <w:rFonts w:eastAsia="Calibri" w:cstheme="minorHAnsi"/>
        </w:rPr>
        <w:tab/>
      </w:r>
      <w:r w:rsidRPr="00202E53">
        <w:rPr>
          <w:rFonts w:eastAsia="Calibri" w:cstheme="minorHAnsi"/>
        </w:rPr>
        <w:t>(ESMD) with enclosure</w:t>
      </w:r>
    </w:p>
    <w:p w:rsidR="004E01C9" w:rsidP="00202E53" w:rsidRDefault="004E01C9" w14:paraId="40E2DFAF" w14:textId="22D1130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Pr>
          <w:rFonts w:eastAsia="Calibri" w:cstheme="minorHAnsi"/>
        </w:rPr>
        <w:t>Laura Blaugh</w:t>
      </w:r>
      <w:r>
        <w:rPr>
          <w:rFonts w:eastAsia="Calibri" w:cstheme="minorHAnsi"/>
        </w:rPr>
        <w:tab/>
      </w:r>
      <w:r>
        <w:rPr>
          <w:rFonts w:eastAsia="Calibri" w:cstheme="minorHAnsi"/>
        </w:rPr>
        <w:tab/>
        <w:t>(EMD) with enclosure</w:t>
      </w:r>
    </w:p>
    <w:p w:rsidR="004E01C9" w:rsidP="00202E53" w:rsidRDefault="004E01C9" w14:paraId="49D2EACC" w14:textId="666B869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Pr>
          <w:rFonts w:eastAsia="Calibri" w:cstheme="minorHAnsi"/>
        </w:rPr>
        <w:t>Kathy Bonney</w:t>
      </w:r>
      <w:r>
        <w:rPr>
          <w:rFonts w:eastAsia="Calibri" w:cstheme="minorHAnsi"/>
        </w:rPr>
        <w:tab/>
      </w:r>
      <w:r>
        <w:rPr>
          <w:rFonts w:eastAsia="Calibri" w:cstheme="minorHAnsi"/>
        </w:rPr>
        <w:tab/>
        <w:t>(EMD) with enclosure</w:t>
      </w:r>
    </w:p>
    <w:p w:rsidR="004E01C9" w:rsidP="00202E53" w:rsidRDefault="004E01C9" w14:paraId="461828A6" w14:textId="35C8523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Pr>
          <w:rFonts w:eastAsia="Calibri" w:cstheme="minorHAnsi"/>
        </w:rPr>
        <w:t>James Burton</w:t>
      </w:r>
      <w:r>
        <w:rPr>
          <w:rFonts w:eastAsia="Calibri" w:cstheme="minorHAnsi"/>
        </w:rPr>
        <w:tab/>
      </w:r>
      <w:r>
        <w:rPr>
          <w:rFonts w:eastAsia="Calibri" w:cstheme="minorHAnsi"/>
        </w:rPr>
        <w:tab/>
        <w:t>(EMD) with enclosure</w:t>
      </w:r>
    </w:p>
    <w:p w:rsidRPr="00202E53" w:rsidR="00202E53" w:rsidP="00202E53" w:rsidRDefault="00202E53" w14:paraId="5807FF10" w14:textId="5BD9782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sidRPr="00202E53">
        <w:rPr>
          <w:rFonts w:eastAsia="Calibri" w:cstheme="minorHAnsi"/>
        </w:rPr>
        <w:t>Jennifer Hunter Childs</w:t>
      </w:r>
      <w:r w:rsidRPr="00202E53">
        <w:rPr>
          <w:rFonts w:eastAsia="Calibri" w:cstheme="minorHAnsi"/>
        </w:rPr>
        <w:tab/>
        <w:t>(ADRM) with enclosure</w:t>
      </w:r>
    </w:p>
    <w:p w:rsidRPr="00202E53" w:rsidR="00202E53" w:rsidP="00202E53" w:rsidRDefault="00202E53" w14:paraId="45D0E20D" w14:textId="5AAC17E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sidRPr="00202E53">
        <w:rPr>
          <w:rFonts w:eastAsia="Calibri" w:cstheme="minorHAnsi"/>
        </w:rPr>
        <w:t>Jasmine Luck</w:t>
      </w:r>
      <w:r w:rsidRPr="00202E53">
        <w:rPr>
          <w:rFonts w:eastAsia="Calibri" w:cstheme="minorHAnsi"/>
        </w:rPr>
        <w:tab/>
      </w:r>
      <w:r w:rsidRPr="00202E53">
        <w:rPr>
          <w:rFonts w:eastAsia="Calibri" w:cstheme="minorHAnsi"/>
        </w:rPr>
        <w:tab/>
        <w:t>(ADRM) with enclosure</w:t>
      </w:r>
    </w:p>
    <w:p w:rsidRPr="00202E53" w:rsidR="00202E53" w:rsidP="00202E53" w:rsidRDefault="00202E53" w14:paraId="797CF35F" w14:textId="171E2F9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sidRPr="00202E53">
        <w:rPr>
          <w:rFonts w:eastAsia="Calibri" w:cstheme="minorHAnsi"/>
        </w:rPr>
        <w:t>Danielle Norman</w:t>
      </w:r>
      <w:r w:rsidRPr="00202E53">
        <w:rPr>
          <w:rFonts w:eastAsia="Calibri" w:cstheme="minorHAnsi"/>
        </w:rPr>
        <w:tab/>
        <w:t>(PCO) with enclosure</w:t>
      </w:r>
    </w:p>
    <w:p w:rsidRPr="00202E53" w:rsidR="00202E53" w:rsidP="00202E53" w:rsidRDefault="00202E53" w14:paraId="49917DD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eastAsia="Calibri" w:cstheme="minorHAnsi"/>
        </w:rPr>
      </w:pPr>
      <w:r w:rsidRPr="00202E53">
        <w:rPr>
          <w:rFonts w:eastAsia="Calibri" w:cstheme="minorHAnsi"/>
          <w:color w:val="000000"/>
          <w:shd w:val="clear" w:color="auto" w:fill="FFFFFF"/>
        </w:rPr>
        <w:t>Mary Lenaiyasa</w:t>
      </w:r>
      <w:r w:rsidRPr="00202E53">
        <w:rPr>
          <w:rFonts w:eastAsia="Calibri" w:cstheme="minorHAnsi"/>
        </w:rPr>
        <w:tab/>
      </w:r>
      <w:r w:rsidRPr="00202E53">
        <w:rPr>
          <w:rFonts w:eastAsia="Calibri" w:cstheme="minorHAnsi"/>
        </w:rPr>
        <w:tab/>
        <w:t>(PCO) with enclosure</w:t>
      </w:r>
    </w:p>
    <w:p w:rsidRPr="004E01C9" w:rsidR="003A11CC" w:rsidP="002E708D" w:rsidRDefault="003A11CC" w14:paraId="6E6455CB" w14:textId="77777777">
      <w:pPr>
        <w:rPr>
          <w:rFonts w:cstheme="minorHAnsi"/>
        </w:rPr>
      </w:pPr>
    </w:p>
    <w:p w:rsidRPr="004E01C9" w:rsidR="002E708D" w:rsidP="002E708D" w:rsidRDefault="002E708D" w14:paraId="704C82D0" w14:textId="27452401">
      <w:pPr>
        <w:rPr>
          <w:rFonts w:cstheme="minorHAnsi"/>
        </w:rPr>
      </w:pPr>
    </w:p>
    <w:p w:rsidRPr="004E01C9" w:rsidR="00E7094C" w:rsidP="008E7946" w:rsidRDefault="00E7094C" w14:paraId="2B6FCCDC" w14:textId="7B12E66A">
      <w:pPr>
        <w:rPr>
          <w:rFonts w:cstheme="minorHAnsi"/>
        </w:rPr>
      </w:pPr>
    </w:p>
    <w:p w:rsidRPr="004E01C9" w:rsidR="00E7094C" w:rsidP="008E7946" w:rsidRDefault="00E7094C" w14:paraId="1AE76972" w14:textId="77777777">
      <w:pPr>
        <w:rPr>
          <w:rFonts w:cstheme="minorHAnsi"/>
        </w:rPr>
      </w:pPr>
    </w:p>
    <w:sectPr w:rsidRPr="004E01C9" w:rsidR="00E709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51C2D" w14:textId="77777777" w:rsidR="005F075B" w:rsidRDefault="005F075B" w:rsidP="005F075B">
      <w:pPr>
        <w:spacing w:after="0" w:line="240" w:lineRule="auto"/>
      </w:pPr>
      <w:r>
        <w:separator/>
      </w:r>
    </w:p>
  </w:endnote>
  <w:endnote w:type="continuationSeparator" w:id="0">
    <w:p w14:paraId="79CC1567" w14:textId="77777777" w:rsidR="005F075B" w:rsidRDefault="005F075B" w:rsidP="005F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2A7B" w14:textId="77777777" w:rsidR="00F61F5A" w:rsidRDefault="00F61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912848563"/>
      <w:docPartObj>
        <w:docPartGallery w:val="Page Numbers (Bottom of Page)"/>
        <w:docPartUnique/>
      </w:docPartObj>
    </w:sdtPr>
    <w:sdtContent>
      <w:sdt>
        <w:sdtPr>
          <w:id w:val="-1769616900"/>
          <w:docPartObj>
            <w:docPartGallery w:val="Page Numbers (Top of Page)"/>
            <w:docPartUnique/>
          </w:docPartObj>
        </w:sdtPr>
        <w:sdtContent>
          <w:p w14:paraId="58A34F0F" w14:textId="5700087E" w:rsidR="00F61F5A" w:rsidRDefault="00F61F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6C7DEAFB" w14:textId="77777777" w:rsidR="00E56479" w:rsidRDefault="00E56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5AF2" w14:textId="77777777" w:rsidR="00F61F5A" w:rsidRDefault="00F6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7306" w14:textId="77777777" w:rsidR="005F075B" w:rsidRDefault="005F075B" w:rsidP="005F075B">
      <w:pPr>
        <w:spacing w:after="0" w:line="240" w:lineRule="auto"/>
      </w:pPr>
      <w:r>
        <w:separator/>
      </w:r>
    </w:p>
  </w:footnote>
  <w:footnote w:type="continuationSeparator" w:id="0">
    <w:p w14:paraId="3E61C5AD" w14:textId="77777777" w:rsidR="005F075B" w:rsidRDefault="005F075B" w:rsidP="005F075B">
      <w:pPr>
        <w:spacing w:after="0" w:line="240" w:lineRule="auto"/>
      </w:pPr>
      <w:r>
        <w:continuationSeparator/>
      </w:r>
    </w:p>
  </w:footnote>
  <w:footnote w:id="1">
    <w:p w14:paraId="2D07D3F3" w14:textId="4EA17809" w:rsidR="00FE17B9" w:rsidRDefault="00FE17B9">
      <w:pPr>
        <w:pStyle w:val="FootnoteText"/>
      </w:pPr>
      <w:r>
        <w:rPr>
          <w:rStyle w:val="FootnoteReference"/>
        </w:rPr>
        <w:footnoteRef/>
      </w:r>
      <w:r>
        <w:t xml:space="preserve"> Per the parameters outlined in the June 18, 2020 memo from the Policy Coordination Office to the Chair of the Data Stewardship Executive Committee on Using </w:t>
      </w:r>
      <w:r w:rsidRPr="00FE17B9">
        <w:rPr>
          <w:i/>
        </w:rPr>
        <w:t>Skype for Business</w:t>
      </w:r>
      <w:r>
        <w:t xml:space="preserve"> for Conducting Title 13 Qualitative Research Remotely.</w:t>
      </w:r>
    </w:p>
  </w:footnote>
  <w:footnote w:id="2">
    <w:p w14:paraId="680A3EBE" w14:textId="16BACC12" w:rsidR="00A4219A" w:rsidRDefault="00A4219A">
      <w:pPr>
        <w:pStyle w:val="FootnoteText"/>
      </w:pPr>
      <w:r>
        <w:rPr>
          <w:rStyle w:val="FootnoteReference"/>
        </w:rPr>
        <w:footnoteRef/>
      </w:r>
      <w:r>
        <w:t xml:space="preserve"> A select number of large and complex companies have been </w:t>
      </w:r>
      <w:r w:rsidR="00B367C9">
        <w:t>assigned</w:t>
      </w:r>
      <w:r>
        <w:t xml:space="preserve"> an account manager by the Census Bureau.  These managers work with key contacts at companies to develop rapport and provide support in meeting the reporting requirements for economic surveys.  They are excluded from this study because of their special relationship already in place with the Census 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4D98" w14:textId="77777777" w:rsidR="00F61F5A" w:rsidRDefault="00F61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AC903" w14:textId="77777777" w:rsidR="00F61F5A" w:rsidRDefault="00F61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0574" w14:textId="77777777" w:rsidR="00F61F5A" w:rsidRDefault="00F61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882"/>
    <w:multiLevelType w:val="hybridMultilevel"/>
    <w:tmpl w:val="0762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20C37"/>
    <w:multiLevelType w:val="hybridMultilevel"/>
    <w:tmpl w:val="86E0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3A70C3"/>
    <w:multiLevelType w:val="hybridMultilevel"/>
    <w:tmpl w:val="3C96B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 w15:restartNumberingAfterBreak="0">
    <w:nsid w:val="48B47743"/>
    <w:multiLevelType w:val="hybridMultilevel"/>
    <w:tmpl w:val="0AD00FF0"/>
    <w:lvl w:ilvl="0" w:tplc="D4762E0E">
      <w:start w:val="1"/>
      <w:numFmt w:val="bullet"/>
      <w:lvlText w:val="•"/>
      <w:lvlJc w:val="left"/>
      <w:pPr>
        <w:tabs>
          <w:tab w:val="num" w:pos="720"/>
        </w:tabs>
        <w:ind w:left="720" w:hanging="360"/>
      </w:pPr>
      <w:rPr>
        <w:rFonts w:ascii="Arial" w:hAnsi="Arial" w:hint="default"/>
      </w:rPr>
    </w:lvl>
    <w:lvl w:ilvl="1" w:tplc="2A8C9CD4">
      <w:start w:val="114"/>
      <w:numFmt w:val="bullet"/>
      <w:lvlText w:val="•"/>
      <w:lvlJc w:val="left"/>
      <w:pPr>
        <w:tabs>
          <w:tab w:val="num" w:pos="1440"/>
        </w:tabs>
        <w:ind w:left="1440" w:hanging="360"/>
      </w:pPr>
      <w:rPr>
        <w:rFonts w:ascii="Arial" w:hAnsi="Arial" w:hint="default"/>
      </w:rPr>
    </w:lvl>
    <w:lvl w:ilvl="2" w:tplc="0DA491D6" w:tentative="1">
      <w:start w:val="1"/>
      <w:numFmt w:val="bullet"/>
      <w:lvlText w:val="•"/>
      <w:lvlJc w:val="left"/>
      <w:pPr>
        <w:tabs>
          <w:tab w:val="num" w:pos="2160"/>
        </w:tabs>
        <w:ind w:left="2160" w:hanging="360"/>
      </w:pPr>
      <w:rPr>
        <w:rFonts w:ascii="Arial" w:hAnsi="Arial" w:hint="default"/>
      </w:rPr>
    </w:lvl>
    <w:lvl w:ilvl="3" w:tplc="4DDC47F8" w:tentative="1">
      <w:start w:val="1"/>
      <w:numFmt w:val="bullet"/>
      <w:lvlText w:val="•"/>
      <w:lvlJc w:val="left"/>
      <w:pPr>
        <w:tabs>
          <w:tab w:val="num" w:pos="2880"/>
        </w:tabs>
        <w:ind w:left="2880" w:hanging="360"/>
      </w:pPr>
      <w:rPr>
        <w:rFonts w:ascii="Arial" w:hAnsi="Arial" w:hint="default"/>
      </w:rPr>
    </w:lvl>
    <w:lvl w:ilvl="4" w:tplc="6532A18C" w:tentative="1">
      <w:start w:val="1"/>
      <w:numFmt w:val="bullet"/>
      <w:lvlText w:val="•"/>
      <w:lvlJc w:val="left"/>
      <w:pPr>
        <w:tabs>
          <w:tab w:val="num" w:pos="3600"/>
        </w:tabs>
        <w:ind w:left="3600" w:hanging="360"/>
      </w:pPr>
      <w:rPr>
        <w:rFonts w:ascii="Arial" w:hAnsi="Arial" w:hint="default"/>
      </w:rPr>
    </w:lvl>
    <w:lvl w:ilvl="5" w:tplc="01C6748A" w:tentative="1">
      <w:start w:val="1"/>
      <w:numFmt w:val="bullet"/>
      <w:lvlText w:val="•"/>
      <w:lvlJc w:val="left"/>
      <w:pPr>
        <w:tabs>
          <w:tab w:val="num" w:pos="4320"/>
        </w:tabs>
        <w:ind w:left="4320" w:hanging="360"/>
      </w:pPr>
      <w:rPr>
        <w:rFonts w:ascii="Arial" w:hAnsi="Arial" w:hint="default"/>
      </w:rPr>
    </w:lvl>
    <w:lvl w:ilvl="6" w:tplc="6C74FBDA" w:tentative="1">
      <w:start w:val="1"/>
      <w:numFmt w:val="bullet"/>
      <w:lvlText w:val="•"/>
      <w:lvlJc w:val="left"/>
      <w:pPr>
        <w:tabs>
          <w:tab w:val="num" w:pos="5040"/>
        </w:tabs>
        <w:ind w:left="5040" w:hanging="360"/>
      </w:pPr>
      <w:rPr>
        <w:rFonts w:ascii="Arial" w:hAnsi="Arial" w:hint="default"/>
      </w:rPr>
    </w:lvl>
    <w:lvl w:ilvl="7" w:tplc="9C329D36" w:tentative="1">
      <w:start w:val="1"/>
      <w:numFmt w:val="bullet"/>
      <w:lvlText w:val="•"/>
      <w:lvlJc w:val="left"/>
      <w:pPr>
        <w:tabs>
          <w:tab w:val="num" w:pos="5760"/>
        </w:tabs>
        <w:ind w:left="5760" w:hanging="360"/>
      </w:pPr>
      <w:rPr>
        <w:rFonts w:ascii="Arial" w:hAnsi="Arial" w:hint="default"/>
      </w:rPr>
    </w:lvl>
    <w:lvl w:ilvl="8" w:tplc="AAA4D7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543EAE"/>
    <w:multiLevelType w:val="hybridMultilevel"/>
    <w:tmpl w:val="CAD24FD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420FF"/>
    <w:multiLevelType w:val="hybridMultilevel"/>
    <w:tmpl w:val="D5A4A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B62B5"/>
    <w:multiLevelType w:val="hybridMultilevel"/>
    <w:tmpl w:val="030EA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B9393A"/>
    <w:multiLevelType w:val="hybridMultilevel"/>
    <w:tmpl w:val="486A5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E5700"/>
    <w:multiLevelType w:val="hybridMultilevel"/>
    <w:tmpl w:val="EB16564E"/>
    <w:lvl w:ilvl="0" w:tplc="5FC2EBDE">
      <w:start w:val="1"/>
      <w:numFmt w:val="bullet"/>
      <w:lvlText w:val="•"/>
      <w:lvlJc w:val="left"/>
      <w:pPr>
        <w:tabs>
          <w:tab w:val="num" w:pos="720"/>
        </w:tabs>
        <w:ind w:left="720" w:hanging="360"/>
      </w:pPr>
      <w:rPr>
        <w:rFonts w:ascii="Times New Roman" w:hAnsi="Times New Roman" w:hint="default"/>
      </w:rPr>
    </w:lvl>
    <w:lvl w:ilvl="1" w:tplc="32484D5E">
      <w:start w:val="114"/>
      <w:numFmt w:val="bullet"/>
      <w:lvlText w:val="•"/>
      <w:lvlJc w:val="left"/>
      <w:pPr>
        <w:tabs>
          <w:tab w:val="num" w:pos="1440"/>
        </w:tabs>
        <w:ind w:left="1440" w:hanging="360"/>
      </w:pPr>
      <w:rPr>
        <w:rFonts w:ascii="Times New Roman" w:hAnsi="Times New Roman" w:hint="default"/>
      </w:rPr>
    </w:lvl>
    <w:lvl w:ilvl="2" w:tplc="5FAC9DEC" w:tentative="1">
      <w:start w:val="1"/>
      <w:numFmt w:val="bullet"/>
      <w:lvlText w:val="•"/>
      <w:lvlJc w:val="left"/>
      <w:pPr>
        <w:tabs>
          <w:tab w:val="num" w:pos="2160"/>
        </w:tabs>
        <w:ind w:left="2160" w:hanging="360"/>
      </w:pPr>
      <w:rPr>
        <w:rFonts w:ascii="Times New Roman" w:hAnsi="Times New Roman" w:hint="default"/>
      </w:rPr>
    </w:lvl>
    <w:lvl w:ilvl="3" w:tplc="FBE63786" w:tentative="1">
      <w:start w:val="1"/>
      <w:numFmt w:val="bullet"/>
      <w:lvlText w:val="•"/>
      <w:lvlJc w:val="left"/>
      <w:pPr>
        <w:tabs>
          <w:tab w:val="num" w:pos="2880"/>
        </w:tabs>
        <w:ind w:left="2880" w:hanging="360"/>
      </w:pPr>
      <w:rPr>
        <w:rFonts w:ascii="Times New Roman" w:hAnsi="Times New Roman" w:hint="default"/>
      </w:rPr>
    </w:lvl>
    <w:lvl w:ilvl="4" w:tplc="9500B942" w:tentative="1">
      <w:start w:val="1"/>
      <w:numFmt w:val="bullet"/>
      <w:lvlText w:val="•"/>
      <w:lvlJc w:val="left"/>
      <w:pPr>
        <w:tabs>
          <w:tab w:val="num" w:pos="3600"/>
        </w:tabs>
        <w:ind w:left="3600" w:hanging="360"/>
      </w:pPr>
      <w:rPr>
        <w:rFonts w:ascii="Times New Roman" w:hAnsi="Times New Roman" w:hint="default"/>
      </w:rPr>
    </w:lvl>
    <w:lvl w:ilvl="5" w:tplc="8D628C7C" w:tentative="1">
      <w:start w:val="1"/>
      <w:numFmt w:val="bullet"/>
      <w:lvlText w:val="•"/>
      <w:lvlJc w:val="left"/>
      <w:pPr>
        <w:tabs>
          <w:tab w:val="num" w:pos="4320"/>
        </w:tabs>
        <w:ind w:left="4320" w:hanging="360"/>
      </w:pPr>
      <w:rPr>
        <w:rFonts w:ascii="Times New Roman" w:hAnsi="Times New Roman" w:hint="default"/>
      </w:rPr>
    </w:lvl>
    <w:lvl w:ilvl="6" w:tplc="FA0AF5F6" w:tentative="1">
      <w:start w:val="1"/>
      <w:numFmt w:val="bullet"/>
      <w:lvlText w:val="•"/>
      <w:lvlJc w:val="left"/>
      <w:pPr>
        <w:tabs>
          <w:tab w:val="num" w:pos="5040"/>
        </w:tabs>
        <w:ind w:left="5040" w:hanging="360"/>
      </w:pPr>
      <w:rPr>
        <w:rFonts w:ascii="Times New Roman" w:hAnsi="Times New Roman" w:hint="default"/>
      </w:rPr>
    </w:lvl>
    <w:lvl w:ilvl="7" w:tplc="A04E7B68" w:tentative="1">
      <w:start w:val="1"/>
      <w:numFmt w:val="bullet"/>
      <w:lvlText w:val="•"/>
      <w:lvlJc w:val="left"/>
      <w:pPr>
        <w:tabs>
          <w:tab w:val="num" w:pos="5760"/>
        </w:tabs>
        <w:ind w:left="5760" w:hanging="360"/>
      </w:pPr>
      <w:rPr>
        <w:rFonts w:ascii="Times New Roman" w:hAnsi="Times New Roman" w:hint="default"/>
      </w:rPr>
    </w:lvl>
    <w:lvl w:ilvl="8" w:tplc="E5A44F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74300B7"/>
    <w:multiLevelType w:val="hybridMultilevel"/>
    <w:tmpl w:val="11CA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30651"/>
    <w:multiLevelType w:val="hybridMultilevel"/>
    <w:tmpl w:val="C4022846"/>
    <w:lvl w:ilvl="0" w:tplc="C7AA5D60">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6F3E6D7E"/>
    <w:multiLevelType w:val="hybridMultilevel"/>
    <w:tmpl w:val="BABAE638"/>
    <w:lvl w:ilvl="0" w:tplc="C7AA5D60">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7"/>
  </w:num>
  <w:num w:numId="2">
    <w:abstractNumId w:val="11"/>
  </w:num>
  <w:num w:numId="3">
    <w:abstractNumId w:val="2"/>
  </w:num>
  <w:num w:numId="4">
    <w:abstractNumId w:val="10"/>
  </w:num>
  <w:num w:numId="5">
    <w:abstractNumId w:val="5"/>
  </w:num>
  <w:num w:numId="6">
    <w:abstractNumId w:val="4"/>
  </w:num>
  <w:num w:numId="7">
    <w:abstractNumId w:val="3"/>
  </w:num>
  <w:num w:numId="8">
    <w:abstractNumId w:val="8"/>
  </w:num>
  <w:num w:numId="9">
    <w:abstractNumId w:val="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4B"/>
    <w:rsid w:val="000251D8"/>
    <w:rsid w:val="00074EB1"/>
    <w:rsid w:val="000937CE"/>
    <w:rsid w:val="00093BE9"/>
    <w:rsid w:val="000D2EDE"/>
    <w:rsid w:val="001031C4"/>
    <w:rsid w:val="0010639E"/>
    <w:rsid w:val="001114DB"/>
    <w:rsid w:val="001118E6"/>
    <w:rsid w:val="00114B16"/>
    <w:rsid w:val="001665B4"/>
    <w:rsid w:val="00172443"/>
    <w:rsid w:val="00195EE8"/>
    <w:rsid w:val="001A7564"/>
    <w:rsid w:val="001B2021"/>
    <w:rsid w:val="001C3B13"/>
    <w:rsid w:val="00202E53"/>
    <w:rsid w:val="00210796"/>
    <w:rsid w:val="002405DB"/>
    <w:rsid w:val="00247721"/>
    <w:rsid w:val="002A3D8F"/>
    <w:rsid w:val="002B66B7"/>
    <w:rsid w:val="002C482B"/>
    <w:rsid w:val="002E708D"/>
    <w:rsid w:val="003030C2"/>
    <w:rsid w:val="00307216"/>
    <w:rsid w:val="00322964"/>
    <w:rsid w:val="00335763"/>
    <w:rsid w:val="00347172"/>
    <w:rsid w:val="00385A83"/>
    <w:rsid w:val="00385E2B"/>
    <w:rsid w:val="0039471A"/>
    <w:rsid w:val="003969B3"/>
    <w:rsid w:val="003A11CC"/>
    <w:rsid w:val="003D2A04"/>
    <w:rsid w:val="003E1B37"/>
    <w:rsid w:val="003F2331"/>
    <w:rsid w:val="00427A27"/>
    <w:rsid w:val="00497587"/>
    <w:rsid w:val="004A0FC2"/>
    <w:rsid w:val="004A2C0C"/>
    <w:rsid w:val="004B6077"/>
    <w:rsid w:val="004C574E"/>
    <w:rsid w:val="004D624D"/>
    <w:rsid w:val="004D6D51"/>
    <w:rsid w:val="004E01C9"/>
    <w:rsid w:val="004E7CDB"/>
    <w:rsid w:val="0050094C"/>
    <w:rsid w:val="005123FC"/>
    <w:rsid w:val="00587A28"/>
    <w:rsid w:val="005D577B"/>
    <w:rsid w:val="005E1D41"/>
    <w:rsid w:val="005F075B"/>
    <w:rsid w:val="006005B6"/>
    <w:rsid w:val="00654959"/>
    <w:rsid w:val="00682FE8"/>
    <w:rsid w:val="00692474"/>
    <w:rsid w:val="00694B85"/>
    <w:rsid w:val="006956B3"/>
    <w:rsid w:val="006A650D"/>
    <w:rsid w:val="006C111C"/>
    <w:rsid w:val="006F3E3B"/>
    <w:rsid w:val="006F4840"/>
    <w:rsid w:val="00712A7D"/>
    <w:rsid w:val="00736376"/>
    <w:rsid w:val="00743527"/>
    <w:rsid w:val="00760C4B"/>
    <w:rsid w:val="007A75B6"/>
    <w:rsid w:val="007C02C9"/>
    <w:rsid w:val="007C186C"/>
    <w:rsid w:val="00836FC9"/>
    <w:rsid w:val="0084056B"/>
    <w:rsid w:val="00843D9C"/>
    <w:rsid w:val="00850569"/>
    <w:rsid w:val="008535A1"/>
    <w:rsid w:val="00855D60"/>
    <w:rsid w:val="008614A6"/>
    <w:rsid w:val="00886BCE"/>
    <w:rsid w:val="00895D00"/>
    <w:rsid w:val="008E7946"/>
    <w:rsid w:val="0091532F"/>
    <w:rsid w:val="00940F39"/>
    <w:rsid w:val="009434A3"/>
    <w:rsid w:val="00982F6B"/>
    <w:rsid w:val="009E6000"/>
    <w:rsid w:val="009E69C3"/>
    <w:rsid w:val="009F5F03"/>
    <w:rsid w:val="00A26DEA"/>
    <w:rsid w:val="00A4219A"/>
    <w:rsid w:val="00A60AF3"/>
    <w:rsid w:val="00A825A6"/>
    <w:rsid w:val="00AA07E2"/>
    <w:rsid w:val="00AA7578"/>
    <w:rsid w:val="00AA7636"/>
    <w:rsid w:val="00AB6843"/>
    <w:rsid w:val="00AC0FEA"/>
    <w:rsid w:val="00AE7F83"/>
    <w:rsid w:val="00AF09AD"/>
    <w:rsid w:val="00B012E1"/>
    <w:rsid w:val="00B367C9"/>
    <w:rsid w:val="00B54F33"/>
    <w:rsid w:val="00B55033"/>
    <w:rsid w:val="00B8232D"/>
    <w:rsid w:val="00BC56DA"/>
    <w:rsid w:val="00BE5D63"/>
    <w:rsid w:val="00C1068F"/>
    <w:rsid w:val="00C13E7B"/>
    <w:rsid w:val="00C434D2"/>
    <w:rsid w:val="00C705CF"/>
    <w:rsid w:val="00CC7A12"/>
    <w:rsid w:val="00CF364A"/>
    <w:rsid w:val="00CF5755"/>
    <w:rsid w:val="00D122A5"/>
    <w:rsid w:val="00D2313B"/>
    <w:rsid w:val="00D36526"/>
    <w:rsid w:val="00D4483D"/>
    <w:rsid w:val="00D45ED4"/>
    <w:rsid w:val="00D54C02"/>
    <w:rsid w:val="00D6535F"/>
    <w:rsid w:val="00D7432E"/>
    <w:rsid w:val="00D84C15"/>
    <w:rsid w:val="00DA4551"/>
    <w:rsid w:val="00DB16F1"/>
    <w:rsid w:val="00DC453C"/>
    <w:rsid w:val="00DD5523"/>
    <w:rsid w:val="00E23F34"/>
    <w:rsid w:val="00E3216B"/>
    <w:rsid w:val="00E407B3"/>
    <w:rsid w:val="00E531BA"/>
    <w:rsid w:val="00E557F3"/>
    <w:rsid w:val="00E56307"/>
    <w:rsid w:val="00E56479"/>
    <w:rsid w:val="00E6142B"/>
    <w:rsid w:val="00E7094C"/>
    <w:rsid w:val="00EB4120"/>
    <w:rsid w:val="00EC2502"/>
    <w:rsid w:val="00EC7A25"/>
    <w:rsid w:val="00EE6920"/>
    <w:rsid w:val="00EF24CB"/>
    <w:rsid w:val="00F0564B"/>
    <w:rsid w:val="00F4312C"/>
    <w:rsid w:val="00F448FC"/>
    <w:rsid w:val="00F61F5A"/>
    <w:rsid w:val="00F737C0"/>
    <w:rsid w:val="00F74E10"/>
    <w:rsid w:val="00F74E35"/>
    <w:rsid w:val="00F774F6"/>
    <w:rsid w:val="00F80CF4"/>
    <w:rsid w:val="00FA2849"/>
    <w:rsid w:val="00FC330B"/>
    <w:rsid w:val="00FD41DA"/>
    <w:rsid w:val="00FD65AA"/>
    <w:rsid w:val="00FD6946"/>
    <w:rsid w:val="00FE17B9"/>
    <w:rsid w:val="00FE4355"/>
    <w:rsid w:val="00FE513E"/>
    <w:rsid w:val="00FE56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F3EF"/>
  <w15:chartTrackingRefBased/>
  <w15:docId w15:val="{93A63679-59FA-405E-A1A2-A7940A89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A6"/>
    <w:pPr>
      <w:ind w:left="720"/>
      <w:contextualSpacing/>
    </w:pPr>
  </w:style>
  <w:style w:type="paragraph" w:styleId="BalloonText">
    <w:name w:val="Balloon Text"/>
    <w:basedOn w:val="Normal"/>
    <w:link w:val="BalloonTextChar"/>
    <w:uiPriority w:val="99"/>
    <w:semiHidden/>
    <w:unhideWhenUsed/>
    <w:rsid w:val="00855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60"/>
    <w:rPr>
      <w:rFonts w:ascii="Segoe UI" w:hAnsi="Segoe UI" w:cs="Segoe UI"/>
      <w:sz w:val="18"/>
      <w:szCs w:val="18"/>
    </w:rPr>
  </w:style>
  <w:style w:type="character" w:styleId="CommentReference">
    <w:name w:val="annotation reference"/>
    <w:basedOn w:val="DefaultParagraphFont"/>
    <w:uiPriority w:val="99"/>
    <w:semiHidden/>
    <w:unhideWhenUsed/>
    <w:rsid w:val="00E531BA"/>
    <w:rPr>
      <w:sz w:val="16"/>
      <w:szCs w:val="16"/>
    </w:rPr>
  </w:style>
  <w:style w:type="paragraph" w:styleId="CommentText">
    <w:name w:val="annotation text"/>
    <w:basedOn w:val="Normal"/>
    <w:link w:val="CommentTextChar"/>
    <w:uiPriority w:val="99"/>
    <w:semiHidden/>
    <w:unhideWhenUsed/>
    <w:rsid w:val="00E531BA"/>
    <w:pPr>
      <w:spacing w:line="240" w:lineRule="auto"/>
    </w:pPr>
    <w:rPr>
      <w:sz w:val="20"/>
      <w:szCs w:val="20"/>
    </w:rPr>
  </w:style>
  <w:style w:type="character" w:customStyle="1" w:styleId="CommentTextChar">
    <w:name w:val="Comment Text Char"/>
    <w:basedOn w:val="DefaultParagraphFont"/>
    <w:link w:val="CommentText"/>
    <w:uiPriority w:val="99"/>
    <w:semiHidden/>
    <w:rsid w:val="00E531BA"/>
    <w:rPr>
      <w:sz w:val="20"/>
      <w:szCs w:val="20"/>
    </w:rPr>
  </w:style>
  <w:style w:type="paragraph" w:styleId="CommentSubject">
    <w:name w:val="annotation subject"/>
    <w:basedOn w:val="CommentText"/>
    <w:next w:val="CommentText"/>
    <w:link w:val="CommentSubjectChar"/>
    <w:uiPriority w:val="99"/>
    <w:semiHidden/>
    <w:unhideWhenUsed/>
    <w:rsid w:val="00E531BA"/>
    <w:rPr>
      <w:b/>
      <w:bCs/>
    </w:rPr>
  </w:style>
  <w:style w:type="character" w:customStyle="1" w:styleId="CommentSubjectChar">
    <w:name w:val="Comment Subject Char"/>
    <w:basedOn w:val="CommentTextChar"/>
    <w:link w:val="CommentSubject"/>
    <w:uiPriority w:val="99"/>
    <w:semiHidden/>
    <w:rsid w:val="00E531BA"/>
    <w:rPr>
      <w:b/>
      <w:bCs/>
      <w:sz w:val="20"/>
      <w:szCs w:val="20"/>
    </w:rPr>
  </w:style>
  <w:style w:type="paragraph" w:styleId="Header">
    <w:name w:val="header"/>
    <w:basedOn w:val="Normal"/>
    <w:link w:val="HeaderChar"/>
    <w:uiPriority w:val="99"/>
    <w:unhideWhenUsed/>
    <w:rsid w:val="005F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75B"/>
  </w:style>
  <w:style w:type="paragraph" w:styleId="Footer">
    <w:name w:val="footer"/>
    <w:basedOn w:val="Normal"/>
    <w:link w:val="FooterChar"/>
    <w:uiPriority w:val="99"/>
    <w:unhideWhenUsed/>
    <w:rsid w:val="005F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75B"/>
  </w:style>
  <w:style w:type="paragraph" w:styleId="NoSpacing">
    <w:name w:val="No Spacing"/>
    <w:uiPriority w:val="1"/>
    <w:qFormat/>
    <w:rsid w:val="00E7094C"/>
    <w:pPr>
      <w:spacing w:after="0" w:line="240" w:lineRule="auto"/>
    </w:pPr>
  </w:style>
  <w:style w:type="paragraph" w:styleId="Title">
    <w:name w:val="Title"/>
    <w:basedOn w:val="Normal"/>
    <w:next w:val="Normal"/>
    <w:link w:val="TitleChar"/>
    <w:uiPriority w:val="10"/>
    <w:qFormat/>
    <w:rsid w:val="00E709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94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E709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94C"/>
    <w:rPr>
      <w:sz w:val="20"/>
      <w:szCs w:val="20"/>
    </w:rPr>
  </w:style>
  <w:style w:type="character" w:styleId="FootnoteReference">
    <w:name w:val="footnote reference"/>
    <w:basedOn w:val="DefaultParagraphFont"/>
    <w:uiPriority w:val="99"/>
    <w:semiHidden/>
    <w:unhideWhenUsed/>
    <w:rsid w:val="00E7094C"/>
    <w:rPr>
      <w:vertAlign w:val="superscript"/>
    </w:rPr>
  </w:style>
  <w:style w:type="character" w:styleId="Hyperlink">
    <w:name w:val="Hyperlink"/>
    <w:basedOn w:val="DefaultParagraphFont"/>
    <w:uiPriority w:val="99"/>
    <w:unhideWhenUsed/>
    <w:rsid w:val="00385E2B"/>
    <w:rPr>
      <w:color w:val="0563C1" w:themeColor="hyperlink"/>
      <w:u w:val="single"/>
    </w:rPr>
  </w:style>
  <w:style w:type="table" w:styleId="TableGrid">
    <w:name w:val="Table Grid"/>
    <w:basedOn w:val="TableNormal"/>
    <w:uiPriority w:val="39"/>
    <w:rsid w:val="00B5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D55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3229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2904">
      <w:bodyDiv w:val="1"/>
      <w:marLeft w:val="0"/>
      <w:marRight w:val="0"/>
      <w:marTop w:val="0"/>
      <w:marBottom w:val="0"/>
      <w:divBdr>
        <w:top w:val="none" w:sz="0" w:space="0" w:color="auto"/>
        <w:left w:val="none" w:sz="0" w:space="0" w:color="auto"/>
        <w:bottom w:val="none" w:sz="0" w:space="0" w:color="auto"/>
        <w:right w:val="none" w:sz="0" w:space="0" w:color="auto"/>
      </w:divBdr>
    </w:div>
    <w:div w:id="614364101">
      <w:bodyDiv w:val="1"/>
      <w:marLeft w:val="0"/>
      <w:marRight w:val="0"/>
      <w:marTop w:val="0"/>
      <w:marBottom w:val="0"/>
      <w:divBdr>
        <w:top w:val="none" w:sz="0" w:space="0" w:color="auto"/>
        <w:left w:val="none" w:sz="0" w:space="0" w:color="auto"/>
        <w:bottom w:val="none" w:sz="0" w:space="0" w:color="auto"/>
        <w:right w:val="none" w:sz="0" w:space="0" w:color="auto"/>
      </w:divBdr>
      <w:divsChild>
        <w:div w:id="847253577">
          <w:marLeft w:val="547"/>
          <w:marRight w:val="0"/>
          <w:marTop w:val="0"/>
          <w:marBottom w:val="0"/>
          <w:divBdr>
            <w:top w:val="none" w:sz="0" w:space="0" w:color="auto"/>
            <w:left w:val="none" w:sz="0" w:space="0" w:color="auto"/>
            <w:bottom w:val="none" w:sz="0" w:space="0" w:color="auto"/>
            <w:right w:val="none" w:sz="0" w:space="0" w:color="auto"/>
          </w:divBdr>
        </w:div>
        <w:div w:id="894052582">
          <w:marLeft w:val="1166"/>
          <w:marRight w:val="0"/>
          <w:marTop w:val="0"/>
          <w:marBottom w:val="0"/>
          <w:divBdr>
            <w:top w:val="none" w:sz="0" w:space="0" w:color="auto"/>
            <w:left w:val="none" w:sz="0" w:space="0" w:color="auto"/>
            <w:bottom w:val="none" w:sz="0" w:space="0" w:color="auto"/>
            <w:right w:val="none" w:sz="0" w:space="0" w:color="auto"/>
          </w:divBdr>
        </w:div>
        <w:div w:id="1749842593">
          <w:marLeft w:val="1166"/>
          <w:marRight w:val="0"/>
          <w:marTop w:val="0"/>
          <w:marBottom w:val="0"/>
          <w:divBdr>
            <w:top w:val="none" w:sz="0" w:space="0" w:color="auto"/>
            <w:left w:val="none" w:sz="0" w:space="0" w:color="auto"/>
            <w:bottom w:val="none" w:sz="0" w:space="0" w:color="auto"/>
            <w:right w:val="none" w:sz="0" w:space="0" w:color="auto"/>
          </w:divBdr>
        </w:div>
        <w:div w:id="252783994">
          <w:marLeft w:val="547"/>
          <w:marRight w:val="0"/>
          <w:marTop w:val="0"/>
          <w:marBottom w:val="0"/>
          <w:divBdr>
            <w:top w:val="none" w:sz="0" w:space="0" w:color="auto"/>
            <w:left w:val="none" w:sz="0" w:space="0" w:color="auto"/>
            <w:bottom w:val="none" w:sz="0" w:space="0" w:color="auto"/>
            <w:right w:val="none" w:sz="0" w:space="0" w:color="auto"/>
          </w:divBdr>
        </w:div>
        <w:div w:id="526137748">
          <w:marLeft w:val="1166"/>
          <w:marRight w:val="0"/>
          <w:marTop w:val="0"/>
          <w:marBottom w:val="0"/>
          <w:divBdr>
            <w:top w:val="none" w:sz="0" w:space="0" w:color="auto"/>
            <w:left w:val="none" w:sz="0" w:space="0" w:color="auto"/>
            <w:bottom w:val="none" w:sz="0" w:space="0" w:color="auto"/>
            <w:right w:val="none" w:sz="0" w:space="0" w:color="auto"/>
          </w:divBdr>
        </w:div>
        <w:div w:id="2055694147">
          <w:marLeft w:val="1166"/>
          <w:marRight w:val="0"/>
          <w:marTop w:val="0"/>
          <w:marBottom w:val="0"/>
          <w:divBdr>
            <w:top w:val="none" w:sz="0" w:space="0" w:color="auto"/>
            <w:left w:val="none" w:sz="0" w:space="0" w:color="auto"/>
            <w:bottom w:val="none" w:sz="0" w:space="0" w:color="auto"/>
            <w:right w:val="none" w:sz="0" w:space="0" w:color="auto"/>
          </w:divBdr>
        </w:div>
        <w:div w:id="2060663260">
          <w:marLeft w:val="1166"/>
          <w:marRight w:val="0"/>
          <w:marTop w:val="0"/>
          <w:marBottom w:val="0"/>
          <w:divBdr>
            <w:top w:val="none" w:sz="0" w:space="0" w:color="auto"/>
            <w:left w:val="none" w:sz="0" w:space="0" w:color="auto"/>
            <w:bottom w:val="none" w:sz="0" w:space="0" w:color="auto"/>
            <w:right w:val="none" w:sz="0" w:space="0" w:color="auto"/>
          </w:divBdr>
        </w:div>
        <w:div w:id="216204881">
          <w:marLeft w:val="547"/>
          <w:marRight w:val="0"/>
          <w:marTop w:val="0"/>
          <w:marBottom w:val="0"/>
          <w:divBdr>
            <w:top w:val="none" w:sz="0" w:space="0" w:color="auto"/>
            <w:left w:val="none" w:sz="0" w:space="0" w:color="auto"/>
            <w:bottom w:val="none" w:sz="0" w:space="0" w:color="auto"/>
            <w:right w:val="none" w:sz="0" w:space="0" w:color="auto"/>
          </w:divBdr>
        </w:div>
        <w:div w:id="1316033261">
          <w:marLeft w:val="1166"/>
          <w:marRight w:val="0"/>
          <w:marTop w:val="0"/>
          <w:marBottom w:val="0"/>
          <w:divBdr>
            <w:top w:val="none" w:sz="0" w:space="0" w:color="auto"/>
            <w:left w:val="none" w:sz="0" w:space="0" w:color="auto"/>
            <w:bottom w:val="none" w:sz="0" w:space="0" w:color="auto"/>
            <w:right w:val="none" w:sz="0" w:space="0" w:color="auto"/>
          </w:divBdr>
        </w:div>
        <w:div w:id="459081026">
          <w:marLeft w:val="1166"/>
          <w:marRight w:val="0"/>
          <w:marTop w:val="0"/>
          <w:marBottom w:val="0"/>
          <w:divBdr>
            <w:top w:val="none" w:sz="0" w:space="0" w:color="auto"/>
            <w:left w:val="none" w:sz="0" w:space="0" w:color="auto"/>
            <w:bottom w:val="none" w:sz="0" w:space="0" w:color="auto"/>
            <w:right w:val="none" w:sz="0" w:space="0" w:color="auto"/>
          </w:divBdr>
        </w:div>
        <w:div w:id="1943875228">
          <w:marLeft w:val="1166"/>
          <w:marRight w:val="0"/>
          <w:marTop w:val="0"/>
          <w:marBottom w:val="0"/>
          <w:divBdr>
            <w:top w:val="none" w:sz="0" w:space="0" w:color="auto"/>
            <w:left w:val="none" w:sz="0" w:space="0" w:color="auto"/>
            <w:bottom w:val="none" w:sz="0" w:space="0" w:color="auto"/>
            <w:right w:val="none" w:sz="0" w:space="0" w:color="auto"/>
          </w:divBdr>
        </w:div>
        <w:div w:id="902637712">
          <w:marLeft w:val="547"/>
          <w:marRight w:val="0"/>
          <w:marTop w:val="0"/>
          <w:marBottom w:val="0"/>
          <w:divBdr>
            <w:top w:val="none" w:sz="0" w:space="0" w:color="auto"/>
            <w:left w:val="none" w:sz="0" w:space="0" w:color="auto"/>
            <w:bottom w:val="none" w:sz="0" w:space="0" w:color="auto"/>
            <w:right w:val="none" w:sz="0" w:space="0" w:color="auto"/>
          </w:divBdr>
        </w:div>
        <w:div w:id="1783986874">
          <w:marLeft w:val="1166"/>
          <w:marRight w:val="0"/>
          <w:marTop w:val="0"/>
          <w:marBottom w:val="0"/>
          <w:divBdr>
            <w:top w:val="none" w:sz="0" w:space="0" w:color="auto"/>
            <w:left w:val="none" w:sz="0" w:space="0" w:color="auto"/>
            <w:bottom w:val="none" w:sz="0" w:space="0" w:color="auto"/>
            <w:right w:val="none" w:sz="0" w:space="0" w:color="auto"/>
          </w:divBdr>
        </w:div>
        <w:div w:id="185487021">
          <w:marLeft w:val="1166"/>
          <w:marRight w:val="0"/>
          <w:marTop w:val="0"/>
          <w:marBottom w:val="0"/>
          <w:divBdr>
            <w:top w:val="none" w:sz="0" w:space="0" w:color="auto"/>
            <w:left w:val="none" w:sz="0" w:space="0" w:color="auto"/>
            <w:bottom w:val="none" w:sz="0" w:space="0" w:color="auto"/>
            <w:right w:val="none" w:sz="0" w:space="0" w:color="auto"/>
          </w:divBdr>
        </w:div>
        <w:div w:id="794759383">
          <w:marLeft w:val="1166"/>
          <w:marRight w:val="0"/>
          <w:marTop w:val="0"/>
          <w:marBottom w:val="0"/>
          <w:divBdr>
            <w:top w:val="none" w:sz="0" w:space="0" w:color="auto"/>
            <w:left w:val="none" w:sz="0" w:space="0" w:color="auto"/>
            <w:bottom w:val="none" w:sz="0" w:space="0" w:color="auto"/>
            <w:right w:val="none" w:sz="0" w:space="0" w:color="auto"/>
          </w:divBdr>
        </w:div>
        <w:div w:id="1274481910">
          <w:marLeft w:val="547"/>
          <w:marRight w:val="0"/>
          <w:marTop w:val="0"/>
          <w:marBottom w:val="0"/>
          <w:divBdr>
            <w:top w:val="none" w:sz="0" w:space="0" w:color="auto"/>
            <w:left w:val="none" w:sz="0" w:space="0" w:color="auto"/>
            <w:bottom w:val="none" w:sz="0" w:space="0" w:color="auto"/>
            <w:right w:val="none" w:sz="0" w:space="0" w:color="auto"/>
          </w:divBdr>
        </w:div>
        <w:div w:id="1490293905">
          <w:marLeft w:val="1166"/>
          <w:marRight w:val="0"/>
          <w:marTop w:val="0"/>
          <w:marBottom w:val="0"/>
          <w:divBdr>
            <w:top w:val="none" w:sz="0" w:space="0" w:color="auto"/>
            <w:left w:val="none" w:sz="0" w:space="0" w:color="auto"/>
            <w:bottom w:val="none" w:sz="0" w:space="0" w:color="auto"/>
            <w:right w:val="none" w:sz="0" w:space="0" w:color="auto"/>
          </w:divBdr>
        </w:div>
        <w:div w:id="1715808272">
          <w:marLeft w:val="1166"/>
          <w:marRight w:val="0"/>
          <w:marTop w:val="0"/>
          <w:marBottom w:val="0"/>
          <w:divBdr>
            <w:top w:val="none" w:sz="0" w:space="0" w:color="auto"/>
            <w:left w:val="none" w:sz="0" w:space="0" w:color="auto"/>
            <w:bottom w:val="none" w:sz="0" w:space="0" w:color="auto"/>
            <w:right w:val="none" w:sz="0" w:space="0" w:color="auto"/>
          </w:divBdr>
        </w:div>
        <w:div w:id="1783261508">
          <w:marLeft w:val="1166"/>
          <w:marRight w:val="0"/>
          <w:marTop w:val="0"/>
          <w:marBottom w:val="0"/>
          <w:divBdr>
            <w:top w:val="none" w:sz="0" w:space="0" w:color="auto"/>
            <w:left w:val="none" w:sz="0" w:space="0" w:color="auto"/>
            <w:bottom w:val="none" w:sz="0" w:space="0" w:color="auto"/>
            <w:right w:val="none" w:sz="0" w:space="0" w:color="auto"/>
          </w:divBdr>
        </w:div>
        <w:div w:id="1385720251">
          <w:marLeft w:val="547"/>
          <w:marRight w:val="0"/>
          <w:marTop w:val="0"/>
          <w:marBottom w:val="0"/>
          <w:divBdr>
            <w:top w:val="none" w:sz="0" w:space="0" w:color="auto"/>
            <w:left w:val="none" w:sz="0" w:space="0" w:color="auto"/>
            <w:bottom w:val="none" w:sz="0" w:space="0" w:color="auto"/>
            <w:right w:val="none" w:sz="0" w:space="0" w:color="auto"/>
          </w:divBdr>
        </w:div>
        <w:div w:id="877355034">
          <w:marLeft w:val="1166"/>
          <w:marRight w:val="0"/>
          <w:marTop w:val="0"/>
          <w:marBottom w:val="0"/>
          <w:divBdr>
            <w:top w:val="none" w:sz="0" w:space="0" w:color="auto"/>
            <w:left w:val="none" w:sz="0" w:space="0" w:color="auto"/>
            <w:bottom w:val="none" w:sz="0" w:space="0" w:color="auto"/>
            <w:right w:val="none" w:sz="0" w:space="0" w:color="auto"/>
          </w:divBdr>
        </w:div>
        <w:div w:id="764107132">
          <w:marLeft w:val="1166"/>
          <w:marRight w:val="0"/>
          <w:marTop w:val="0"/>
          <w:marBottom w:val="0"/>
          <w:divBdr>
            <w:top w:val="none" w:sz="0" w:space="0" w:color="auto"/>
            <w:left w:val="none" w:sz="0" w:space="0" w:color="auto"/>
            <w:bottom w:val="none" w:sz="0" w:space="0" w:color="auto"/>
            <w:right w:val="none" w:sz="0" w:space="0" w:color="auto"/>
          </w:divBdr>
        </w:div>
        <w:div w:id="436172277">
          <w:marLeft w:val="1166"/>
          <w:marRight w:val="0"/>
          <w:marTop w:val="0"/>
          <w:marBottom w:val="0"/>
          <w:divBdr>
            <w:top w:val="none" w:sz="0" w:space="0" w:color="auto"/>
            <w:left w:val="none" w:sz="0" w:space="0" w:color="auto"/>
            <w:bottom w:val="none" w:sz="0" w:space="0" w:color="auto"/>
            <w:right w:val="none" w:sz="0" w:space="0" w:color="auto"/>
          </w:divBdr>
        </w:div>
        <w:div w:id="191235870">
          <w:marLeft w:val="547"/>
          <w:marRight w:val="0"/>
          <w:marTop w:val="0"/>
          <w:marBottom w:val="0"/>
          <w:divBdr>
            <w:top w:val="none" w:sz="0" w:space="0" w:color="auto"/>
            <w:left w:val="none" w:sz="0" w:space="0" w:color="auto"/>
            <w:bottom w:val="none" w:sz="0" w:space="0" w:color="auto"/>
            <w:right w:val="none" w:sz="0" w:space="0" w:color="auto"/>
          </w:divBdr>
        </w:div>
        <w:div w:id="1974017964">
          <w:marLeft w:val="1166"/>
          <w:marRight w:val="0"/>
          <w:marTop w:val="0"/>
          <w:marBottom w:val="0"/>
          <w:divBdr>
            <w:top w:val="none" w:sz="0" w:space="0" w:color="auto"/>
            <w:left w:val="none" w:sz="0" w:space="0" w:color="auto"/>
            <w:bottom w:val="none" w:sz="0" w:space="0" w:color="auto"/>
            <w:right w:val="none" w:sz="0" w:space="0" w:color="auto"/>
          </w:divBdr>
        </w:div>
        <w:div w:id="1454130834">
          <w:marLeft w:val="1166"/>
          <w:marRight w:val="0"/>
          <w:marTop w:val="0"/>
          <w:marBottom w:val="0"/>
          <w:divBdr>
            <w:top w:val="none" w:sz="0" w:space="0" w:color="auto"/>
            <w:left w:val="none" w:sz="0" w:space="0" w:color="auto"/>
            <w:bottom w:val="none" w:sz="0" w:space="0" w:color="auto"/>
            <w:right w:val="none" w:sz="0" w:space="0" w:color="auto"/>
          </w:divBdr>
        </w:div>
        <w:div w:id="1719821501">
          <w:marLeft w:val="1166"/>
          <w:marRight w:val="0"/>
          <w:marTop w:val="0"/>
          <w:marBottom w:val="0"/>
          <w:divBdr>
            <w:top w:val="none" w:sz="0" w:space="0" w:color="auto"/>
            <w:left w:val="none" w:sz="0" w:space="0" w:color="auto"/>
            <w:bottom w:val="none" w:sz="0" w:space="0" w:color="auto"/>
            <w:right w:val="none" w:sz="0" w:space="0" w:color="auto"/>
          </w:divBdr>
        </w:div>
        <w:div w:id="1517688786">
          <w:marLeft w:val="547"/>
          <w:marRight w:val="0"/>
          <w:marTop w:val="0"/>
          <w:marBottom w:val="0"/>
          <w:divBdr>
            <w:top w:val="none" w:sz="0" w:space="0" w:color="auto"/>
            <w:left w:val="none" w:sz="0" w:space="0" w:color="auto"/>
            <w:bottom w:val="none" w:sz="0" w:space="0" w:color="auto"/>
            <w:right w:val="none" w:sz="0" w:space="0" w:color="auto"/>
          </w:divBdr>
        </w:div>
        <w:div w:id="1597056117">
          <w:marLeft w:val="1166"/>
          <w:marRight w:val="0"/>
          <w:marTop w:val="0"/>
          <w:marBottom w:val="0"/>
          <w:divBdr>
            <w:top w:val="none" w:sz="0" w:space="0" w:color="auto"/>
            <w:left w:val="none" w:sz="0" w:space="0" w:color="auto"/>
            <w:bottom w:val="none" w:sz="0" w:space="0" w:color="auto"/>
            <w:right w:val="none" w:sz="0" w:space="0" w:color="auto"/>
          </w:divBdr>
        </w:div>
        <w:div w:id="545532147">
          <w:marLeft w:val="1166"/>
          <w:marRight w:val="0"/>
          <w:marTop w:val="0"/>
          <w:marBottom w:val="0"/>
          <w:divBdr>
            <w:top w:val="none" w:sz="0" w:space="0" w:color="auto"/>
            <w:left w:val="none" w:sz="0" w:space="0" w:color="auto"/>
            <w:bottom w:val="none" w:sz="0" w:space="0" w:color="auto"/>
            <w:right w:val="none" w:sz="0" w:space="0" w:color="auto"/>
          </w:divBdr>
        </w:div>
        <w:div w:id="890769149">
          <w:marLeft w:val="1166"/>
          <w:marRight w:val="0"/>
          <w:marTop w:val="0"/>
          <w:marBottom w:val="0"/>
          <w:divBdr>
            <w:top w:val="none" w:sz="0" w:space="0" w:color="auto"/>
            <w:left w:val="none" w:sz="0" w:space="0" w:color="auto"/>
            <w:bottom w:val="none" w:sz="0" w:space="0" w:color="auto"/>
            <w:right w:val="none" w:sz="0" w:space="0" w:color="auto"/>
          </w:divBdr>
        </w:div>
        <w:div w:id="701324766">
          <w:marLeft w:val="547"/>
          <w:marRight w:val="0"/>
          <w:marTop w:val="0"/>
          <w:marBottom w:val="0"/>
          <w:divBdr>
            <w:top w:val="none" w:sz="0" w:space="0" w:color="auto"/>
            <w:left w:val="none" w:sz="0" w:space="0" w:color="auto"/>
            <w:bottom w:val="none" w:sz="0" w:space="0" w:color="auto"/>
            <w:right w:val="none" w:sz="0" w:space="0" w:color="auto"/>
          </w:divBdr>
        </w:div>
        <w:div w:id="6450094">
          <w:marLeft w:val="1166"/>
          <w:marRight w:val="0"/>
          <w:marTop w:val="0"/>
          <w:marBottom w:val="0"/>
          <w:divBdr>
            <w:top w:val="none" w:sz="0" w:space="0" w:color="auto"/>
            <w:left w:val="none" w:sz="0" w:space="0" w:color="auto"/>
            <w:bottom w:val="none" w:sz="0" w:space="0" w:color="auto"/>
            <w:right w:val="none" w:sz="0" w:space="0" w:color="auto"/>
          </w:divBdr>
        </w:div>
        <w:div w:id="1852209995">
          <w:marLeft w:val="1166"/>
          <w:marRight w:val="0"/>
          <w:marTop w:val="0"/>
          <w:marBottom w:val="0"/>
          <w:divBdr>
            <w:top w:val="none" w:sz="0" w:space="0" w:color="auto"/>
            <w:left w:val="none" w:sz="0" w:space="0" w:color="auto"/>
            <w:bottom w:val="none" w:sz="0" w:space="0" w:color="auto"/>
            <w:right w:val="none" w:sz="0" w:space="0" w:color="auto"/>
          </w:divBdr>
        </w:div>
        <w:div w:id="1180780691">
          <w:marLeft w:val="1166"/>
          <w:marRight w:val="0"/>
          <w:marTop w:val="0"/>
          <w:marBottom w:val="0"/>
          <w:divBdr>
            <w:top w:val="none" w:sz="0" w:space="0" w:color="auto"/>
            <w:left w:val="none" w:sz="0" w:space="0" w:color="auto"/>
            <w:bottom w:val="none" w:sz="0" w:space="0" w:color="auto"/>
            <w:right w:val="none" w:sz="0" w:space="0" w:color="auto"/>
          </w:divBdr>
        </w:div>
        <w:div w:id="953287039">
          <w:marLeft w:val="547"/>
          <w:marRight w:val="0"/>
          <w:marTop w:val="0"/>
          <w:marBottom w:val="0"/>
          <w:divBdr>
            <w:top w:val="none" w:sz="0" w:space="0" w:color="auto"/>
            <w:left w:val="none" w:sz="0" w:space="0" w:color="auto"/>
            <w:bottom w:val="none" w:sz="0" w:space="0" w:color="auto"/>
            <w:right w:val="none" w:sz="0" w:space="0" w:color="auto"/>
          </w:divBdr>
        </w:div>
        <w:div w:id="1400057749">
          <w:marLeft w:val="1166"/>
          <w:marRight w:val="0"/>
          <w:marTop w:val="0"/>
          <w:marBottom w:val="0"/>
          <w:divBdr>
            <w:top w:val="none" w:sz="0" w:space="0" w:color="auto"/>
            <w:left w:val="none" w:sz="0" w:space="0" w:color="auto"/>
            <w:bottom w:val="none" w:sz="0" w:space="0" w:color="auto"/>
            <w:right w:val="none" w:sz="0" w:space="0" w:color="auto"/>
          </w:divBdr>
        </w:div>
        <w:div w:id="678893729">
          <w:marLeft w:val="1166"/>
          <w:marRight w:val="0"/>
          <w:marTop w:val="0"/>
          <w:marBottom w:val="0"/>
          <w:divBdr>
            <w:top w:val="none" w:sz="0" w:space="0" w:color="auto"/>
            <w:left w:val="none" w:sz="0" w:space="0" w:color="auto"/>
            <w:bottom w:val="none" w:sz="0" w:space="0" w:color="auto"/>
            <w:right w:val="none" w:sz="0" w:space="0" w:color="auto"/>
          </w:divBdr>
        </w:div>
        <w:div w:id="5450417">
          <w:marLeft w:val="547"/>
          <w:marRight w:val="0"/>
          <w:marTop w:val="0"/>
          <w:marBottom w:val="0"/>
          <w:divBdr>
            <w:top w:val="none" w:sz="0" w:space="0" w:color="auto"/>
            <w:left w:val="none" w:sz="0" w:space="0" w:color="auto"/>
            <w:bottom w:val="none" w:sz="0" w:space="0" w:color="auto"/>
            <w:right w:val="none" w:sz="0" w:space="0" w:color="auto"/>
          </w:divBdr>
        </w:div>
        <w:div w:id="1682273286">
          <w:marLeft w:val="1166"/>
          <w:marRight w:val="0"/>
          <w:marTop w:val="0"/>
          <w:marBottom w:val="0"/>
          <w:divBdr>
            <w:top w:val="none" w:sz="0" w:space="0" w:color="auto"/>
            <w:left w:val="none" w:sz="0" w:space="0" w:color="auto"/>
            <w:bottom w:val="none" w:sz="0" w:space="0" w:color="auto"/>
            <w:right w:val="none" w:sz="0" w:space="0" w:color="auto"/>
          </w:divBdr>
        </w:div>
        <w:div w:id="646470479">
          <w:marLeft w:val="1166"/>
          <w:marRight w:val="0"/>
          <w:marTop w:val="0"/>
          <w:marBottom w:val="0"/>
          <w:divBdr>
            <w:top w:val="none" w:sz="0" w:space="0" w:color="auto"/>
            <w:left w:val="none" w:sz="0" w:space="0" w:color="auto"/>
            <w:bottom w:val="none" w:sz="0" w:space="0" w:color="auto"/>
            <w:right w:val="none" w:sz="0" w:space="0" w:color="auto"/>
          </w:divBdr>
        </w:div>
        <w:div w:id="1391658543">
          <w:marLeft w:val="1166"/>
          <w:marRight w:val="0"/>
          <w:marTop w:val="0"/>
          <w:marBottom w:val="0"/>
          <w:divBdr>
            <w:top w:val="none" w:sz="0" w:space="0" w:color="auto"/>
            <w:left w:val="none" w:sz="0" w:space="0" w:color="auto"/>
            <w:bottom w:val="none" w:sz="0" w:space="0" w:color="auto"/>
            <w:right w:val="none" w:sz="0" w:space="0" w:color="auto"/>
          </w:divBdr>
        </w:div>
        <w:div w:id="1851020471">
          <w:marLeft w:val="547"/>
          <w:marRight w:val="0"/>
          <w:marTop w:val="0"/>
          <w:marBottom w:val="0"/>
          <w:divBdr>
            <w:top w:val="none" w:sz="0" w:space="0" w:color="auto"/>
            <w:left w:val="none" w:sz="0" w:space="0" w:color="auto"/>
            <w:bottom w:val="none" w:sz="0" w:space="0" w:color="auto"/>
            <w:right w:val="none" w:sz="0" w:space="0" w:color="auto"/>
          </w:divBdr>
        </w:div>
        <w:div w:id="1590459300">
          <w:marLeft w:val="1166"/>
          <w:marRight w:val="0"/>
          <w:marTop w:val="0"/>
          <w:marBottom w:val="0"/>
          <w:divBdr>
            <w:top w:val="none" w:sz="0" w:space="0" w:color="auto"/>
            <w:left w:val="none" w:sz="0" w:space="0" w:color="auto"/>
            <w:bottom w:val="none" w:sz="0" w:space="0" w:color="auto"/>
            <w:right w:val="none" w:sz="0" w:space="0" w:color="auto"/>
          </w:divBdr>
        </w:div>
        <w:div w:id="1564367611">
          <w:marLeft w:val="1166"/>
          <w:marRight w:val="0"/>
          <w:marTop w:val="0"/>
          <w:marBottom w:val="0"/>
          <w:divBdr>
            <w:top w:val="none" w:sz="0" w:space="0" w:color="auto"/>
            <w:left w:val="none" w:sz="0" w:space="0" w:color="auto"/>
            <w:bottom w:val="none" w:sz="0" w:space="0" w:color="auto"/>
            <w:right w:val="none" w:sz="0" w:space="0" w:color="auto"/>
          </w:divBdr>
        </w:div>
        <w:div w:id="636647721">
          <w:marLeft w:val="1166"/>
          <w:marRight w:val="0"/>
          <w:marTop w:val="0"/>
          <w:marBottom w:val="0"/>
          <w:divBdr>
            <w:top w:val="none" w:sz="0" w:space="0" w:color="auto"/>
            <w:left w:val="none" w:sz="0" w:space="0" w:color="auto"/>
            <w:bottom w:val="none" w:sz="0" w:space="0" w:color="auto"/>
            <w:right w:val="none" w:sz="0" w:space="0" w:color="auto"/>
          </w:divBdr>
        </w:div>
        <w:div w:id="877860234">
          <w:marLeft w:val="547"/>
          <w:marRight w:val="0"/>
          <w:marTop w:val="0"/>
          <w:marBottom w:val="0"/>
          <w:divBdr>
            <w:top w:val="none" w:sz="0" w:space="0" w:color="auto"/>
            <w:left w:val="none" w:sz="0" w:space="0" w:color="auto"/>
            <w:bottom w:val="none" w:sz="0" w:space="0" w:color="auto"/>
            <w:right w:val="none" w:sz="0" w:space="0" w:color="auto"/>
          </w:divBdr>
        </w:div>
        <w:div w:id="1044523712">
          <w:marLeft w:val="1166"/>
          <w:marRight w:val="0"/>
          <w:marTop w:val="0"/>
          <w:marBottom w:val="0"/>
          <w:divBdr>
            <w:top w:val="none" w:sz="0" w:space="0" w:color="auto"/>
            <w:left w:val="none" w:sz="0" w:space="0" w:color="auto"/>
            <w:bottom w:val="none" w:sz="0" w:space="0" w:color="auto"/>
            <w:right w:val="none" w:sz="0" w:space="0" w:color="auto"/>
          </w:divBdr>
        </w:div>
        <w:div w:id="686449266">
          <w:marLeft w:val="1166"/>
          <w:marRight w:val="0"/>
          <w:marTop w:val="0"/>
          <w:marBottom w:val="0"/>
          <w:divBdr>
            <w:top w:val="none" w:sz="0" w:space="0" w:color="auto"/>
            <w:left w:val="none" w:sz="0" w:space="0" w:color="auto"/>
            <w:bottom w:val="none" w:sz="0" w:space="0" w:color="auto"/>
            <w:right w:val="none" w:sz="0" w:space="0" w:color="auto"/>
          </w:divBdr>
        </w:div>
        <w:div w:id="119879750">
          <w:marLeft w:val="1166"/>
          <w:marRight w:val="0"/>
          <w:marTop w:val="0"/>
          <w:marBottom w:val="0"/>
          <w:divBdr>
            <w:top w:val="none" w:sz="0" w:space="0" w:color="auto"/>
            <w:left w:val="none" w:sz="0" w:space="0" w:color="auto"/>
            <w:bottom w:val="none" w:sz="0" w:space="0" w:color="auto"/>
            <w:right w:val="none" w:sz="0" w:space="0" w:color="auto"/>
          </w:divBdr>
        </w:div>
        <w:div w:id="642464888">
          <w:marLeft w:val="547"/>
          <w:marRight w:val="0"/>
          <w:marTop w:val="0"/>
          <w:marBottom w:val="0"/>
          <w:divBdr>
            <w:top w:val="none" w:sz="0" w:space="0" w:color="auto"/>
            <w:left w:val="none" w:sz="0" w:space="0" w:color="auto"/>
            <w:bottom w:val="none" w:sz="0" w:space="0" w:color="auto"/>
            <w:right w:val="none" w:sz="0" w:space="0" w:color="auto"/>
          </w:divBdr>
        </w:div>
        <w:div w:id="1561095949">
          <w:marLeft w:val="1166"/>
          <w:marRight w:val="0"/>
          <w:marTop w:val="0"/>
          <w:marBottom w:val="0"/>
          <w:divBdr>
            <w:top w:val="none" w:sz="0" w:space="0" w:color="auto"/>
            <w:left w:val="none" w:sz="0" w:space="0" w:color="auto"/>
            <w:bottom w:val="none" w:sz="0" w:space="0" w:color="auto"/>
            <w:right w:val="none" w:sz="0" w:space="0" w:color="auto"/>
          </w:divBdr>
        </w:div>
        <w:div w:id="1427455201">
          <w:marLeft w:val="1166"/>
          <w:marRight w:val="0"/>
          <w:marTop w:val="0"/>
          <w:marBottom w:val="0"/>
          <w:divBdr>
            <w:top w:val="none" w:sz="0" w:space="0" w:color="auto"/>
            <w:left w:val="none" w:sz="0" w:space="0" w:color="auto"/>
            <w:bottom w:val="none" w:sz="0" w:space="0" w:color="auto"/>
            <w:right w:val="none" w:sz="0" w:space="0" w:color="auto"/>
          </w:divBdr>
        </w:div>
        <w:div w:id="2012756425">
          <w:marLeft w:val="1166"/>
          <w:marRight w:val="0"/>
          <w:marTop w:val="0"/>
          <w:marBottom w:val="0"/>
          <w:divBdr>
            <w:top w:val="none" w:sz="0" w:space="0" w:color="auto"/>
            <w:left w:val="none" w:sz="0" w:space="0" w:color="auto"/>
            <w:bottom w:val="none" w:sz="0" w:space="0" w:color="auto"/>
            <w:right w:val="none" w:sz="0" w:space="0" w:color="auto"/>
          </w:divBdr>
        </w:div>
        <w:div w:id="1957365829">
          <w:marLeft w:val="547"/>
          <w:marRight w:val="0"/>
          <w:marTop w:val="0"/>
          <w:marBottom w:val="0"/>
          <w:divBdr>
            <w:top w:val="none" w:sz="0" w:space="0" w:color="auto"/>
            <w:left w:val="none" w:sz="0" w:space="0" w:color="auto"/>
            <w:bottom w:val="none" w:sz="0" w:space="0" w:color="auto"/>
            <w:right w:val="none" w:sz="0" w:space="0" w:color="auto"/>
          </w:divBdr>
        </w:div>
        <w:div w:id="434596252">
          <w:marLeft w:val="1166"/>
          <w:marRight w:val="0"/>
          <w:marTop w:val="0"/>
          <w:marBottom w:val="0"/>
          <w:divBdr>
            <w:top w:val="none" w:sz="0" w:space="0" w:color="auto"/>
            <w:left w:val="none" w:sz="0" w:space="0" w:color="auto"/>
            <w:bottom w:val="none" w:sz="0" w:space="0" w:color="auto"/>
            <w:right w:val="none" w:sz="0" w:space="0" w:color="auto"/>
          </w:divBdr>
        </w:div>
        <w:div w:id="516236410">
          <w:marLeft w:val="1166"/>
          <w:marRight w:val="0"/>
          <w:marTop w:val="0"/>
          <w:marBottom w:val="0"/>
          <w:divBdr>
            <w:top w:val="none" w:sz="0" w:space="0" w:color="auto"/>
            <w:left w:val="none" w:sz="0" w:space="0" w:color="auto"/>
            <w:bottom w:val="none" w:sz="0" w:space="0" w:color="auto"/>
            <w:right w:val="none" w:sz="0" w:space="0" w:color="auto"/>
          </w:divBdr>
        </w:div>
        <w:div w:id="212891672">
          <w:marLeft w:val="1166"/>
          <w:marRight w:val="0"/>
          <w:marTop w:val="0"/>
          <w:marBottom w:val="0"/>
          <w:divBdr>
            <w:top w:val="none" w:sz="0" w:space="0" w:color="auto"/>
            <w:left w:val="none" w:sz="0" w:space="0" w:color="auto"/>
            <w:bottom w:val="none" w:sz="0" w:space="0" w:color="auto"/>
            <w:right w:val="none" w:sz="0" w:space="0" w:color="auto"/>
          </w:divBdr>
        </w:div>
        <w:div w:id="1135025070">
          <w:marLeft w:val="547"/>
          <w:marRight w:val="0"/>
          <w:marTop w:val="0"/>
          <w:marBottom w:val="0"/>
          <w:divBdr>
            <w:top w:val="none" w:sz="0" w:space="0" w:color="auto"/>
            <w:left w:val="none" w:sz="0" w:space="0" w:color="auto"/>
            <w:bottom w:val="none" w:sz="0" w:space="0" w:color="auto"/>
            <w:right w:val="none" w:sz="0" w:space="0" w:color="auto"/>
          </w:divBdr>
        </w:div>
        <w:div w:id="1834224930">
          <w:marLeft w:val="1166"/>
          <w:marRight w:val="0"/>
          <w:marTop w:val="0"/>
          <w:marBottom w:val="0"/>
          <w:divBdr>
            <w:top w:val="none" w:sz="0" w:space="0" w:color="auto"/>
            <w:left w:val="none" w:sz="0" w:space="0" w:color="auto"/>
            <w:bottom w:val="none" w:sz="0" w:space="0" w:color="auto"/>
            <w:right w:val="none" w:sz="0" w:space="0" w:color="auto"/>
          </w:divBdr>
        </w:div>
        <w:div w:id="1177578585">
          <w:marLeft w:val="1166"/>
          <w:marRight w:val="0"/>
          <w:marTop w:val="0"/>
          <w:marBottom w:val="0"/>
          <w:divBdr>
            <w:top w:val="none" w:sz="0" w:space="0" w:color="auto"/>
            <w:left w:val="none" w:sz="0" w:space="0" w:color="auto"/>
            <w:bottom w:val="none" w:sz="0" w:space="0" w:color="auto"/>
            <w:right w:val="none" w:sz="0" w:space="0" w:color="auto"/>
          </w:divBdr>
        </w:div>
        <w:div w:id="2099784815">
          <w:marLeft w:val="1166"/>
          <w:marRight w:val="0"/>
          <w:marTop w:val="0"/>
          <w:marBottom w:val="0"/>
          <w:divBdr>
            <w:top w:val="none" w:sz="0" w:space="0" w:color="auto"/>
            <w:left w:val="none" w:sz="0" w:space="0" w:color="auto"/>
            <w:bottom w:val="none" w:sz="0" w:space="0" w:color="auto"/>
            <w:right w:val="none" w:sz="0" w:space="0" w:color="auto"/>
          </w:divBdr>
        </w:div>
      </w:divsChild>
    </w:div>
    <w:div w:id="711424689">
      <w:bodyDiv w:val="1"/>
      <w:marLeft w:val="0"/>
      <w:marRight w:val="0"/>
      <w:marTop w:val="0"/>
      <w:marBottom w:val="0"/>
      <w:divBdr>
        <w:top w:val="none" w:sz="0" w:space="0" w:color="auto"/>
        <w:left w:val="none" w:sz="0" w:space="0" w:color="auto"/>
        <w:bottom w:val="none" w:sz="0" w:space="0" w:color="auto"/>
        <w:right w:val="none" w:sz="0" w:space="0" w:color="auto"/>
      </w:divBdr>
      <w:divsChild>
        <w:div w:id="729229019">
          <w:marLeft w:val="0"/>
          <w:marRight w:val="0"/>
          <w:marTop w:val="0"/>
          <w:marBottom w:val="0"/>
          <w:divBdr>
            <w:top w:val="none" w:sz="0" w:space="0" w:color="auto"/>
            <w:left w:val="none" w:sz="0" w:space="0" w:color="auto"/>
            <w:bottom w:val="none" w:sz="0" w:space="0" w:color="auto"/>
            <w:right w:val="none" w:sz="0" w:space="0" w:color="auto"/>
          </w:divBdr>
        </w:div>
      </w:divsChild>
    </w:div>
    <w:div w:id="759909254">
      <w:bodyDiv w:val="1"/>
      <w:marLeft w:val="0"/>
      <w:marRight w:val="0"/>
      <w:marTop w:val="0"/>
      <w:marBottom w:val="0"/>
      <w:divBdr>
        <w:top w:val="none" w:sz="0" w:space="0" w:color="auto"/>
        <w:left w:val="none" w:sz="0" w:space="0" w:color="auto"/>
        <w:bottom w:val="none" w:sz="0" w:space="0" w:color="auto"/>
        <w:right w:val="none" w:sz="0" w:space="0" w:color="auto"/>
      </w:divBdr>
      <w:divsChild>
        <w:div w:id="49502552">
          <w:marLeft w:val="0"/>
          <w:marRight w:val="0"/>
          <w:marTop w:val="0"/>
          <w:marBottom w:val="0"/>
          <w:divBdr>
            <w:top w:val="none" w:sz="0" w:space="0" w:color="auto"/>
            <w:left w:val="none" w:sz="0" w:space="0" w:color="auto"/>
            <w:bottom w:val="none" w:sz="0" w:space="0" w:color="auto"/>
            <w:right w:val="none" w:sz="0" w:space="0" w:color="auto"/>
          </w:divBdr>
        </w:div>
        <w:div w:id="543062819">
          <w:marLeft w:val="0"/>
          <w:marRight w:val="0"/>
          <w:marTop w:val="0"/>
          <w:marBottom w:val="0"/>
          <w:divBdr>
            <w:top w:val="none" w:sz="0" w:space="0" w:color="auto"/>
            <w:left w:val="none" w:sz="0" w:space="0" w:color="auto"/>
            <w:bottom w:val="none" w:sz="0" w:space="0" w:color="auto"/>
            <w:right w:val="none" w:sz="0" w:space="0" w:color="auto"/>
          </w:divBdr>
        </w:div>
      </w:divsChild>
    </w:div>
    <w:div w:id="871766663">
      <w:bodyDiv w:val="1"/>
      <w:marLeft w:val="0"/>
      <w:marRight w:val="0"/>
      <w:marTop w:val="0"/>
      <w:marBottom w:val="0"/>
      <w:divBdr>
        <w:top w:val="none" w:sz="0" w:space="0" w:color="auto"/>
        <w:left w:val="none" w:sz="0" w:space="0" w:color="auto"/>
        <w:bottom w:val="none" w:sz="0" w:space="0" w:color="auto"/>
        <w:right w:val="none" w:sz="0" w:space="0" w:color="auto"/>
      </w:divBdr>
    </w:div>
    <w:div w:id="1608004196">
      <w:bodyDiv w:val="1"/>
      <w:marLeft w:val="0"/>
      <w:marRight w:val="0"/>
      <w:marTop w:val="0"/>
      <w:marBottom w:val="0"/>
      <w:divBdr>
        <w:top w:val="none" w:sz="0" w:space="0" w:color="auto"/>
        <w:left w:val="none" w:sz="0" w:space="0" w:color="auto"/>
        <w:bottom w:val="none" w:sz="0" w:space="0" w:color="auto"/>
        <w:right w:val="none" w:sz="0" w:space="0" w:color="auto"/>
      </w:divBdr>
      <w:divsChild>
        <w:div w:id="1222014375">
          <w:marLeft w:val="360"/>
          <w:marRight w:val="0"/>
          <w:marTop w:val="200"/>
          <w:marBottom w:val="0"/>
          <w:divBdr>
            <w:top w:val="none" w:sz="0" w:space="0" w:color="auto"/>
            <w:left w:val="none" w:sz="0" w:space="0" w:color="auto"/>
            <w:bottom w:val="none" w:sz="0" w:space="0" w:color="auto"/>
            <w:right w:val="none" w:sz="0" w:space="0" w:color="auto"/>
          </w:divBdr>
        </w:div>
        <w:div w:id="1120220393">
          <w:marLeft w:val="1080"/>
          <w:marRight w:val="0"/>
          <w:marTop w:val="100"/>
          <w:marBottom w:val="0"/>
          <w:divBdr>
            <w:top w:val="none" w:sz="0" w:space="0" w:color="auto"/>
            <w:left w:val="none" w:sz="0" w:space="0" w:color="auto"/>
            <w:bottom w:val="none" w:sz="0" w:space="0" w:color="auto"/>
            <w:right w:val="none" w:sz="0" w:space="0" w:color="auto"/>
          </w:divBdr>
        </w:div>
        <w:div w:id="24642424">
          <w:marLeft w:val="1080"/>
          <w:marRight w:val="0"/>
          <w:marTop w:val="100"/>
          <w:marBottom w:val="0"/>
          <w:divBdr>
            <w:top w:val="none" w:sz="0" w:space="0" w:color="auto"/>
            <w:left w:val="none" w:sz="0" w:space="0" w:color="auto"/>
            <w:bottom w:val="none" w:sz="0" w:space="0" w:color="auto"/>
            <w:right w:val="none" w:sz="0" w:space="0" w:color="auto"/>
          </w:divBdr>
        </w:div>
        <w:div w:id="539248439">
          <w:marLeft w:val="1080"/>
          <w:marRight w:val="0"/>
          <w:marTop w:val="100"/>
          <w:marBottom w:val="0"/>
          <w:divBdr>
            <w:top w:val="none" w:sz="0" w:space="0" w:color="auto"/>
            <w:left w:val="none" w:sz="0" w:space="0" w:color="auto"/>
            <w:bottom w:val="none" w:sz="0" w:space="0" w:color="auto"/>
            <w:right w:val="none" w:sz="0" w:space="0" w:color="auto"/>
          </w:divBdr>
        </w:div>
        <w:div w:id="148719944">
          <w:marLeft w:val="360"/>
          <w:marRight w:val="0"/>
          <w:marTop w:val="200"/>
          <w:marBottom w:val="0"/>
          <w:divBdr>
            <w:top w:val="none" w:sz="0" w:space="0" w:color="auto"/>
            <w:left w:val="none" w:sz="0" w:space="0" w:color="auto"/>
            <w:bottom w:val="none" w:sz="0" w:space="0" w:color="auto"/>
            <w:right w:val="none" w:sz="0" w:space="0" w:color="auto"/>
          </w:divBdr>
        </w:div>
        <w:div w:id="122433416">
          <w:marLeft w:val="1080"/>
          <w:marRight w:val="0"/>
          <w:marTop w:val="100"/>
          <w:marBottom w:val="0"/>
          <w:divBdr>
            <w:top w:val="none" w:sz="0" w:space="0" w:color="auto"/>
            <w:left w:val="none" w:sz="0" w:space="0" w:color="auto"/>
            <w:bottom w:val="none" w:sz="0" w:space="0" w:color="auto"/>
            <w:right w:val="none" w:sz="0" w:space="0" w:color="auto"/>
          </w:divBdr>
        </w:div>
        <w:div w:id="1216114887">
          <w:marLeft w:val="1080"/>
          <w:marRight w:val="0"/>
          <w:marTop w:val="100"/>
          <w:marBottom w:val="0"/>
          <w:divBdr>
            <w:top w:val="none" w:sz="0" w:space="0" w:color="auto"/>
            <w:left w:val="none" w:sz="0" w:space="0" w:color="auto"/>
            <w:bottom w:val="none" w:sz="0" w:space="0" w:color="auto"/>
            <w:right w:val="none" w:sz="0" w:space="0" w:color="auto"/>
          </w:divBdr>
        </w:div>
        <w:div w:id="1297101351">
          <w:marLeft w:val="360"/>
          <w:marRight w:val="0"/>
          <w:marTop w:val="200"/>
          <w:marBottom w:val="0"/>
          <w:divBdr>
            <w:top w:val="none" w:sz="0" w:space="0" w:color="auto"/>
            <w:left w:val="none" w:sz="0" w:space="0" w:color="auto"/>
            <w:bottom w:val="none" w:sz="0" w:space="0" w:color="auto"/>
            <w:right w:val="none" w:sz="0" w:space="0" w:color="auto"/>
          </w:divBdr>
        </w:div>
        <w:div w:id="1067654903">
          <w:marLeft w:val="1080"/>
          <w:marRight w:val="0"/>
          <w:marTop w:val="100"/>
          <w:marBottom w:val="0"/>
          <w:divBdr>
            <w:top w:val="none" w:sz="0" w:space="0" w:color="auto"/>
            <w:left w:val="none" w:sz="0" w:space="0" w:color="auto"/>
            <w:bottom w:val="none" w:sz="0" w:space="0" w:color="auto"/>
            <w:right w:val="none" w:sz="0" w:space="0" w:color="auto"/>
          </w:divBdr>
        </w:div>
        <w:div w:id="848181408">
          <w:marLeft w:val="1080"/>
          <w:marRight w:val="0"/>
          <w:marTop w:val="100"/>
          <w:marBottom w:val="0"/>
          <w:divBdr>
            <w:top w:val="none" w:sz="0" w:space="0" w:color="auto"/>
            <w:left w:val="none" w:sz="0" w:space="0" w:color="auto"/>
            <w:bottom w:val="none" w:sz="0" w:space="0" w:color="auto"/>
            <w:right w:val="none" w:sz="0" w:space="0" w:color="auto"/>
          </w:divBdr>
        </w:div>
      </w:divsChild>
    </w:div>
    <w:div w:id="1759205626">
      <w:bodyDiv w:val="1"/>
      <w:marLeft w:val="0"/>
      <w:marRight w:val="0"/>
      <w:marTop w:val="0"/>
      <w:marBottom w:val="0"/>
      <w:divBdr>
        <w:top w:val="none" w:sz="0" w:space="0" w:color="auto"/>
        <w:left w:val="none" w:sz="0" w:space="0" w:color="auto"/>
        <w:bottom w:val="none" w:sz="0" w:space="0" w:color="auto"/>
        <w:right w:val="none" w:sz="0" w:space="0" w:color="auto"/>
      </w:divBdr>
    </w:div>
    <w:div w:id="2050908880">
      <w:bodyDiv w:val="1"/>
      <w:marLeft w:val="0"/>
      <w:marRight w:val="0"/>
      <w:marTop w:val="0"/>
      <w:marBottom w:val="0"/>
      <w:divBdr>
        <w:top w:val="none" w:sz="0" w:space="0" w:color="auto"/>
        <w:left w:val="none" w:sz="0" w:space="0" w:color="auto"/>
        <w:bottom w:val="none" w:sz="0" w:space="0" w:color="auto"/>
        <w:right w:val="none" w:sz="0" w:space="0" w:color="auto"/>
      </w:divBdr>
      <w:divsChild>
        <w:div w:id="382146134">
          <w:marLeft w:val="360"/>
          <w:marRight w:val="0"/>
          <w:marTop w:val="200"/>
          <w:marBottom w:val="0"/>
          <w:divBdr>
            <w:top w:val="none" w:sz="0" w:space="0" w:color="auto"/>
            <w:left w:val="none" w:sz="0" w:space="0" w:color="auto"/>
            <w:bottom w:val="none" w:sz="0" w:space="0" w:color="auto"/>
            <w:right w:val="none" w:sz="0" w:space="0" w:color="auto"/>
          </w:divBdr>
        </w:div>
        <w:div w:id="707536647">
          <w:marLeft w:val="1080"/>
          <w:marRight w:val="0"/>
          <w:marTop w:val="100"/>
          <w:marBottom w:val="0"/>
          <w:divBdr>
            <w:top w:val="none" w:sz="0" w:space="0" w:color="auto"/>
            <w:left w:val="none" w:sz="0" w:space="0" w:color="auto"/>
            <w:bottom w:val="none" w:sz="0" w:space="0" w:color="auto"/>
            <w:right w:val="none" w:sz="0" w:space="0" w:color="auto"/>
          </w:divBdr>
        </w:div>
        <w:div w:id="1502894408">
          <w:marLeft w:val="1080"/>
          <w:marRight w:val="0"/>
          <w:marTop w:val="100"/>
          <w:marBottom w:val="0"/>
          <w:divBdr>
            <w:top w:val="none" w:sz="0" w:space="0" w:color="auto"/>
            <w:left w:val="none" w:sz="0" w:space="0" w:color="auto"/>
            <w:bottom w:val="none" w:sz="0" w:space="0" w:color="auto"/>
            <w:right w:val="none" w:sz="0" w:space="0" w:color="auto"/>
          </w:divBdr>
        </w:div>
        <w:div w:id="1614050011">
          <w:marLeft w:val="1080"/>
          <w:marRight w:val="0"/>
          <w:marTop w:val="100"/>
          <w:marBottom w:val="0"/>
          <w:divBdr>
            <w:top w:val="none" w:sz="0" w:space="0" w:color="auto"/>
            <w:left w:val="none" w:sz="0" w:space="0" w:color="auto"/>
            <w:bottom w:val="none" w:sz="0" w:space="0" w:color="auto"/>
            <w:right w:val="none" w:sz="0" w:space="0" w:color="auto"/>
          </w:divBdr>
        </w:div>
        <w:div w:id="1029332103">
          <w:marLeft w:val="360"/>
          <w:marRight w:val="0"/>
          <w:marTop w:val="200"/>
          <w:marBottom w:val="0"/>
          <w:divBdr>
            <w:top w:val="none" w:sz="0" w:space="0" w:color="auto"/>
            <w:left w:val="none" w:sz="0" w:space="0" w:color="auto"/>
            <w:bottom w:val="none" w:sz="0" w:space="0" w:color="auto"/>
            <w:right w:val="none" w:sz="0" w:space="0" w:color="auto"/>
          </w:divBdr>
        </w:div>
        <w:div w:id="1956673663">
          <w:marLeft w:val="1080"/>
          <w:marRight w:val="0"/>
          <w:marTop w:val="100"/>
          <w:marBottom w:val="0"/>
          <w:divBdr>
            <w:top w:val="none" w:sz="0" w:space="0" w:color="auto"/>
            <w:left w:val="none" w:sz="0" w:space="0" w:color="auto"/>
            <w:bottom w:val="none" w:sz="0" w:space="0" w:color="auto"/>
            <w:right w:val="none" w:sz="0" w:space="0" w:color="auto"/>
          </w:divBdr>
        </w:div>
        <w:div w:id="217589771">
          <w:marLeft w:val="1080"/>
          <w:marRight w:val="0"/>
          <w:marTop w:val="100"/>
          <w:marBottom w:val="0"/>
          <w:divBdr>
            <w:top w:val="none" w:sz="0" w:space="0" w:color="auto"/>
            <w:left w:val="none" w:sz="0" w:space="0" w:color="auto"/>
            <w:bottom w:val="none" w:sz="0" w:space="0" w:color="auto"/>
            <w:right w:val="none" w:sz="0" w:space="0" w:color="auto"/>
          </w:divBdr>
        </w:div>
        <w:div w:id="922834882">
          <w:marLeft w:val="360"/>
          <w:marRight w:val="0"/>
          <w:marTop w:val="200"/>
          <w:marBottom w:val="0"/>
          <w:divBdr>
            <w:top w:val="none" w:sz="0" w:space="0" w:color="auto"/>
            <w:left w:val="none" w:sz="0" w:space="0" w:color="auto"/>
            <w:bottom w:val="none" w:sz="0" w:space="0" w:color="auto"/>
            <w:right w:val="none" w:sz="0" w:space="0" w:color="auto"/>
          </w:divBdr>
        </w:div>
        <w:div w:id="1671637325">
          <w:marLeft w:val="1080"/>
          <w:marRight w:val="0"/>
          <w:marTop w:val="100"/>
          <w:marBottom w:val="0"/>
          <w:divBdr>
            <w:top w:val="none" w:sz="0" w:space="0" w:color="auto"/>
            <w:left w:val="none" w:sz="0" w:space="0" w:color="auto"/>
            <w:bottom w:val="none" w:sz="0" w:space="0" w:color="auto"/>
            <w:right w:val="none" w:sz="0" w:space="0" w:color="auto"/>
          </w:divBdr>
        </w:div>
        <w:div w:id="47206082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p.edu/catalog/25098/reengineering-the-census-bureaus-annual-economic-survey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916D-80AB-4887-ACDA-AAC46D15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Cidade(CENSUS/ADDP FED)</dc:creator>
  <cp:keywords/>
  <dc:description/>
  <cp:lastModifiedBy>Diane K Willimack (CENSUS/ESMD FED)</cp:lastModifiedBy>
  <cp:revision>2</cp:revision>
  <dcterms:created xsi:type="dcterms:W3CDTF">2020-09-25T21:19:00Z</dcterms:created>
  <dcterms:modified xsi:type="dcterms:W3CDTF">2020-09-25T21:19:00Z</dcterms:modified>
</cp:coreProperties>
</file>