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1E" w:rsidRPr="003F2AB3" w:rsidRDefault="003F2AB3" w:rsidP="004B131E">
      <w:pPr>
        <w:spacing w:after="0" w:line="240" w:lineRule="auto"/>
        <w:rPr>
          <w:rFonts w:ascii="Times New Roman" w:hAnsi="Times New Roman" w:cs="Times New Roman"/>
          <w:sz w:val="18"/>
          <w:szCs w:val="18"/>
        </w:rPr>
      </w:pPr>
      <w:bookmarkStart w:id="0" w:name="_GoBack"/>
      <w:bookmarkEnd w:id="0"/>
      <w:r w:rsidRPr="003F2AB3">
        <w:rPr>
          <w:rFonts w:ascii="Times New Roman" w:hAnsi="Times New Roman" w:cs="Times New Roman"/>
          <w:sz w:val="18"/>
          <w:szCs w:val="18"/>
        </w:rPr>
        <w:t xml:space="preserve">Revised: </w:t>
      </w:r>
      <w:r>
        <w:rPr>
          <w:rFonts w:ascii="Times New Roman" w:hAnsi="Times New Roman" w:cs="Times New Roman"/>
          <w:sz w:val="18"/>
          <w:szCs w:val="18"/>
        </w:rPr>
        <w:t>06</w:t>
      </w:r>
      <w:r w:rsidRPr="003F2AB3">
        <w:rPr>
          <w:rFonts w:ascii="Times New Roman" w:hAnsi="Times New Roman" w:cs="Times New Roman"/>
          <w:sz w:val="18"/>
          <w:szCs w:val="18"/>
        </w:rPr>
        <w:t>/</w:t>
      </w:r>
      <w:r>
        <w:rPr>
          <w:rFonts w:ascii="Times New Roman" w:hAnsi="Times New Roman" w:cs="Times New Roman"/>
          <w:sz w:val="18"/>
          <w:szCs w:val="18"/>
        </w:rPr>
        <w:t>25</w:t>
      </w:r>
      <w:r w:rsidRPr="003F2AB3">
        <w:rPr>
          <w:rFonts w:ascii="Times New Roman" w:hAnsi="Times New Roman" w:cs="Times New Roman"/>
          <w:sz w:val="18"/>
          <w:szCs w:val="18"/>
        </w:rPr>
        <w:t>/201</w:t>
      </w:r>
      <w:r>
        <w:rPr>
          <w:rFonts w:ascii="Times New Roman" w:hAnsi="Times New Roman" w:cs="Times New Roman"/>
          <w:sz w:val="18"/>
          <w:szCs w:val="18"/>
        </w:rPr>
        <w:t>4</w:t>
      </w:r>
      <w:r w:rsidR="00443066">
        <w:rPr>
          <w:rFonts w:ascii="Times New Roman" w:hAnsi="Times New Roman" w:cs="Times New Roman"/>
          <w:sz w:val="18"/>
          <w:szCs w:val="18"/>
        </w:rPr>
        <w:tab/>
      </w:r>
      <w:r w:rsidR="00443066">
        <w:rPr>
          <w:rFonts w:ascii="Times New Roman" w:hAnsi="Times New Roman" w:cs="Times New Roman"/>
          <w:sz w:val="18"/>
          <w:szCs w:val="18"/>
        </w:rPr>
        <w:tab/>
      </w:r>
      <w:r w:rsidRPr="003F2AB3">
        <w:rPr>
          <w:rFonts w:ascii="Times New Roman" w:hAnsi="Times New Roman" w:cs="Times New Roman"/>
          <w:sz w:val="18"/>
          <w:szCs w:val="18"/>
        </w:rPr>
        <w:t xml:space="preserve"> </w:t>
      </w:r>
      <w:r w:rsidRPr="003F2AB3">
        <w:rPr>
          <w:rFonts w:ascii="Times New Roman" w:hAnsi="Times New Roman" w:cs="Times New Roman"/>
          <w:sz w:val="18"/>
          <w:szCs w:val="18"/>
        </w:rPr>
        <w:tab/>
      </w:r>
      <w:r w:rsidRPr="003F2AB3">
        <w:rPr>
          <w:rFonts w:ascii="Times New Roman" w:hAnsi="Times New Roman" w:cs="Times New Roman"/>
          <w:sz w:val="18"/>
          <w:szCs w:val="18"/>
        </w:rPr>
        <w:tab/>
      </w:r>
      <w:r w:rsidRPr="003F2AB3">
        <w:rPr>
          <w:rFonts w:ascii="Times New Roman" w:hAnsi="Times New Roman" w:cs="Times New Roman"/>
          <w:sz w:val="18"/>
          <w:szCs w:val="18"/>
        </w:rPr>
        <w:tab/>
      </w:r>
      <w:r w:rsidRPr="003F2AB3">
        <w:rPr>
          <w:rFonts w:ascii="Times New Roman" w:hAnsi="Times New Roman" w:cs="Times New Roman"/>
          <w:sz w:val="18"/>
          <w:szCs w:val="18"/>
        </w:rPr>
        <w:tab/>
        <w:t>OMB Control No: 0648-0330; Expiration Date: 11/30/201</w:t>
      </w:r>
      <w:r w:rsidR="00EA5EB0">
        <w:rPr>
          <w:rFonts w:ascii="Times New Roman" w:hAnsi="Times New Roman" w:cs="Times New Roman"/>
          <w:sz w:val="18"/>
          <w:szCs w:val="18"/>
        </w:rPr>
        <w:t>7</w:t>
      </w:r>
    </w:p>
    <w:tbl>
      <w:tblPr>
        <w:tblStyle w:val="TableGrid"/>
        <w:tblW w:w="0" w:type="auto"/>
        <w:tblLook w:val="04A0" w:firstRow="1" w:lastRow="0" w:firstColumn="1" w:lastColumn="0" w:noHBand="0" w:noVBand="1"/>
      </w:tblPr>
      <w:tblGrid>
        <w:gridCol w:w="1188"/>
        <w:gridCol w:w="5040"/>
        <w:gridCol w:w="2916"/>
        <w:gridCol w:w="1296"/>
      </w:tblGrid>
      <w:tr w:rsidR="00290F18" w:rsidTr="00290F18">
        <w:tc>
          <w:tcPr>
            <w:tcW w:w="1188" w:type="dxa"/>
            <w:vAlign w:val="center"/>
          </w:tcPr>
          <w:p w:rsidR="00290F18" w:rsidRPr="00E61CEA" w:rsidRDefault="00290F18" w:rsidP="00E61CEA">
            <w:pPr>
              <w:tabs>
                <w:tab w:val="left" w:pos="360"/>
                <w:tab w:val="left" w:pos="720"/>
                <w:tab w:val="left" w:pos="1080"/>
                <w:tab w:val="left" w:pos="1440"/>
              </w:tabs>
              <w:ind w:left="720" w:hanging="720"/>
              <w:jc w:val="center"/>
              <w:rPr>
                <w:rFonts w:ascii="Times New Roman" w:hAnsi="Times New Roman" w:cs="Times New Roman"/>
                <w:b/>
                <w:sz w:val="26"/>
                <w:szCs w:val="26"/>
              </w:rPr>
            </w:pPr>
            <w:r>
              <w:rPr>
                <w:noProof/>
                <w:sz w:val="18"/>
                <w:szCs w:val="18"/>
              </w:rPr>
              <w:drawing>
                <wp:inline distT="0" distB="0" distL="0" distR="0" wp14:anchorId="5FA5B426" wp14:editId="72FCF0FD">
                  <wp:extent cx="556260" cy="556260"/>
                  <wp:effectExtent l="0" t="0" r="0" b="0"/>
                  <wp:docPr id="1" name="Picture 1"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5040" w:type="dxa"/>
            <w:vAlign w:val="center"/>
          </w:tcPr>
          <w:p w:rsidR="00A02FBB" w:rsidRDefault="00290F18" w:rsidP="00290F18">
            <w:pPr>
              <w:tabs>
                <w:tab w:val="left" w:pos="360"/>
                <w:tab w:val="left" w:pos="720"/>
                <w:tab w:val="left" w:pos="1080"/>
                <w:tab w:val="left" w:pos="1440"/>
              </w:tabs>
              <w:ind w:left="720" w:hanging="720"/>
              <w:jc w:val="center"/>
              <w:rPr>
                <w:rFonts w:ascii="Times New Roman" w:hAnsi="Times New Roman" w:cs="Times New Roman"/>
                <w:b/>
                <w:sz w:val="23"/>
                <w:szCs w:val="23"/>
              </w:rPr>
            </w:pPr>
            <w:r w:rsidRPr="00A02FBB">
              <w:rPr>
                <w:rFonts w:ascii="Times New Roman" w:hAnsi="Times New Roman" w:cs="Times New Roman"/>
                <w:b/>
                <w:sz w:val="23"/>
                <w:szCs w:val="23"/>
              </w:rPr>
              <w:t xml:space="preserve">CATCH MONITORING AND </w:t>
            </w:r>
          </w:p>
          <w:p w:rsidR="00EA5EB0" w:rsidRPr="00A02FBB" w:rsidRDefault="00290F18" w:rsidP="00EA5EB0">
            <w:pPr>
              <w:tabs>
                <w:tab w:val="left" w:pos="360"/>
                <w:tab w:val="left" w:pos="720"/>
                <w:tab w:val="left" w:pos="1080"/>
                <w:tab w:val="left" w:pos="1440"/>
              </w:tabs>
              <w:ind w:left="720" w:hanging="720"/>
              <w:jc w:val="center"/>
              <w:rPr>
                <w:rFonts w:ascii="Times New Roman" w:hAnsi="Times New Roman" w:cs="Times New Roman"/>
                <w:sz w:val="23"/>
                <w:szCs w:val="23"/>
              </w:rPr>
            </w:pPr>
            <w:r w:rsidRPr="00A02FBB">
              <w:rPr>
                <w:rFonts w:ascii="Times New Roman" w:hAnsi="Times New Roman" w:cs="Times New Roman"/>
                <w:b/>
                <w:sz w:val="23"/>
                <w:szCs w:val="23"/>
              </w:rPr>
              <w:t>CONTROL PLAN (CMCP)</w:t>
            </w:r>
          </w:p>
          <w:p w:rsidR="00290F18" w:rsidRPr="00A02FBB" w:rsidRDefault="00290F18" w:rsidP="00A02FBB">
            <w:pPr>
              <w:tabs>
                <w:tab w:val="left" w:pos="360"/>
                <w:tab w:val="left" w:pos="720"/>
                <w:tab w:val="left" w:pos="1080"/>
                <w:tab w:val="left" w:pos="1440"/>
              </w:tabs>
              <w:ind w:left="720" w:hanging="720"/>
              <w:jc w:val="center"/>
              <w:rPr>
                <w:rFonts w:ascii="Times New Roman" w:hAnsi="Times New Roman" w:cs="Times New Roman"/>
                <w:sz w:val="23"/>
                <w:szCs w:val="23"/>
              </w:rPr>
            </w:pPr>
          </w:p>
        </w:tc>
        <w:tc>
          <w:tcPr>
            <w:tcW w:w="2916" w:type="dxa"/>
            <w:vAlign w:val="center"/>
          </w:tcPr>
          <w:p w:rsidR="00290F18" w:rsidRPr="0075679D" w:rsidRDefault="00290F18" w:rsidP="00290F18">
            <w:pPr>
              <w:rPr>
                <w:b/>
                <w:sz w:val="18"/>
                <w:szCs w:val="18"/>
              </w:rPr>
            </w:pPr>
            <w:r w:rsidRPr="0075679D">
              <w:rPr>
                <w:b/>
                <w:sz w:val="18"/>
                <w:szCs w:val="18"/>
              </w:rPr>
              <w:t xml:space="preserve">Fax or Mail completed forms and diagrams to:  </w:t>
            </w:r>
          </w:p>
          <w:p w:rsidR="00290F18" w:rsidRDefault="00290F18" w:rsidP="00524505">
            <w:pPr>
              <w:rPr>
                <w:rFonts w:ascii="Times New Roman" w:hAnsi="Times New Roman" w:cs="Times New Roman"/>
                <w:sz w:val="18"/>
                <w:szCs w:val="18"/>
              </w:rPr>
            </w:pPr>
          </w:p>
          <w:p w:rsidR="00290F18" w:rsidRPr="00443066"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U.S. Department of Commerce</w:t>
            </w:r>
          </w:p>
          <w:p w:rsidR="00290F18" w:rsidRPr="00443066"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NOAA/NMFS, Alaska Region</w:t>
            </w:r>
          </w:p>
          <w:p w:rsidR="00290F18"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Post Office Box 21668</w:t>
            </w:r>
          </w:p>
          <w:p w:rsidR="00290F18" w:rsidRPr="00443066"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Juneau, Alaska 99802-1668</w:t>
            </w:r>
          </w:p>
          <w:p w:rsidR="00290F18" w:rsidRPr="00443066"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Fax: 907-586-7465</w:t>
            </w:r>
          </w:p>
          <w:p w:rsidR="00290F18" w:rsidRPr="00443066"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Telephone: 907-586-7228</w:t>
            </w:r>
          </w:p>
        </w:tc>
        <w:tc>
          <w:tcPr>
            <w:tcW w:w="1296" w:type="dxa"/>
          </w:tcPr>
          <w:p w:rsidR="00290F18" w:rsidRDefault="00290F18" w:rsidP="00E61CEA">
            <w:pPr>
              <w:rPr>
                <w:rFonts w:ascii="Times New Roman" w:hAnsi="Times New Roman" w:cs="Times New Roman"/>
              </w:rPr>
            </w:pPr>
            <w:r w:rsidRPr="0055244E">
              <w:rPr>
                <w:noProof/>
                <w:sz w:val="16"/>
                <w:szCs w:val="16"/>
              </w:rPr>
              <w:drawing>
                <wp:anchor distT="0" distB="0" distL="114300" distR="114300" simplePos="0" relativeHeight="251661312" behindDoc="0" locked="0" layoutInCell="1" allowOverlap="1" wp14:anchorId="6CB61C48" wp14:editId="2167F875">
                  <wp:simplePos x="0" y="0"/>
                  <wp:positionH relativeFrom="column">
                    <wp:posOffset>-56515</wp:posOffset>
                  </wp:positionH>
                  <wp:positionV relativeFrom="paragraph">
                    <wp:posOffset>156210</wp:posOffset>
                  </wp:positionV>
                  <wp:extent cx="682625" cy="649605"/>
                  <wp:effectExtent l="0" t="0" r="3175"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625" cy="6496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86E23" w:rsidRPr="00386E23" w:rsidRDefault="00386E23" w:rsidP="00386E23">
      <w:pPr>
        <w:spacing w:after="0" w:line="240" w:lineRule="auto"/>
        <w:rPr>
          <w:rFonts w:ascii="Times New Roman" w:hAnsi="Times New Roman" w:cs="Times New Roman"/>
        </w:rPr>
      </w:pP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r w:rsidRPr="004B131E">
        <w:rPr>
          <w:rFonts w:ascii="Times New Roman" w:hAnsi="Times New Roman" w:cs="Times New Roman"/>
        </w:rPr>
        <w:t xml:space="preserve">A CMCP is a plan submitted by the owner or manager of </w:t>
      </w:r>
      <w:r w:rsidR="00386E23">
        <w:rPr>
          <w:rFonts w:ascii="Times New Roman" w:hAnsi="Times New Roman" w:cs="Times New Roman"/>
        </w:rPr>
        <w:t>a</w:t>
      </w:r>
      <w:r w:rsidRPr="004B131E">
        <w:rPr>
          <w:rFonts w:ascii="Times New Roman" w:hAnsi="Times New Roman" w:cs="Times New Roman"/>
        </w:rPr>
        <w:t xml:space="preserve"> shoreside processor or SFP and approved by NMFS, detailing how the processing plant will meet the catch monitoring and control standards detailed in §679.28(g).  The owner or manager of a shoreside processor or SFP receiving fish harvested in the following fisheries must prepare, submit, and have approved a CMCP prior to the receipt of fish harvested in these fisheries:</w:t>
      </w: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r w:rsidRPr="004B131E">
        <w:rPr>
          <w:rFonts w:ascii="Times New Roman" w:hAnsi="Times New Roman" w:cs="Times New Roman"/>
        </w:rPr>
        <w:tab/>
        <w:t>♦</w:t>
      </w:r>
      <w:r w:rsidRPr="004B131E">
        <w:rPr>
          <w:rFonts w:ascii="Times New Roman" w:hAnsi="Times New Roman" w:cs="Times New Roman"/>
        </w:rPr>
        <w:tab/>
        <w:t>AFA pollock,</w:t>
      </w: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r w:rsidRPr="004B131E">
        <w:rPr>
          <w:rFonts w:ascii="Times New Roman" w:hAnsi="Times New Roman" w:cs="Times New Roman"/>
        </w:rPr>
        <w:tab/>
        <w:t>♦</w:t>
      </w:r>
      <w:r w:rsidRPr="004B131E">
        <w:rPr>
          <w:rFonts w:ascii="Times New Roman" w:hAnsi="Times New Roman" w:cs="Times New Roman"/>
        </w:rPr>
        <w:tab/>
        <w:t>Aleutian Islands directed pollock,</w:t>
      </w: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p>
    <w:p w:rsid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r w:rsidRPr="004B131E">
        <w:rPr>
          <w:rFonts w:ascii="Times New Roman" w:hAnsi="Times New Roman" w:cs="Times New Roman"/>
        </w:rPr>
        <w:tab/>
        <w:t>♦</w:t>
      </w:r>
      <w:r w:rsidRPr="004B131E">
        <w:rPr>
          <w:rFonts w:ascii="Times New Roman" w:hAnsi="Times New Roman" w:cs="Times New Roman"/>
        </w:rPr>
        <w:tab/>
        <w:t xml:space="preserve">Rockfish Program, unless those fish are harvested under the entry level rockfish fishery </w:t>
      </w:r>
      <w:r w:rsidR="003F2AB3">
        <w:rPr>
          <w:rFonts w:ascii="Times New Roman" w:hAnsi="Times New Roman" w:cs="Times New Roman"/>
        </w:rPr>
        <w:t xml:space="preserve">under </w:t>
      </w:r>
      <w:r w:rsidRPr="004B131E">
        <w:rPr>
          <w:rFonts w:ascii="Times New Roman" w:hAnsi="Times New Roman" w:cs="Times New Roman"/>
        </w:rPr>
        <w:t>§ 679.83.</w:t>
      </w:r>
    </w:p>
    <w:p w:rsidR="00983DA3" w:rsidRDefault="00983DA3" w:rsidP="00386E23">
      <w:pPr>
        <w:tabs>
          <w:tab w:val="left" w:pos="360"/>
          <w:tab w:val="left" w:pos="720"/>
          <w:tab w:val="left" w:pos="1080"/>
          <w:tab w:val="left" w:pos="1440"/>
        </w:tabs>
        <w:spacing w:after="0" w:line="240" w:lineRule="auto"/>
        <w:rPr>
          <w:rFonts w:ascii="Times New Roman" w:hAnsi="Times New Roman" w:cs="Times New Roman"/>
        </w:rPr>
      </w:pPr>
    </w:p>
    <w:p w:rsidR="00967EB1" w:rsidRDefault="00983DA3" w:rsidP="00386E23">
      <w:pPr>
        <w:tabs>
          <w:tab w:val="left" w:pos="360"/>
          <w:tab w:val="left" w:pos="720"/>
          <w:tab w:val="left" w:pos="1080"/>
          <w:tab w:val="left" w:pos="1440"/>
        </w:tabs>
        <w:spacing w:after="0" w:line="240" w:lineRule="auto"/>
        <w:rPr>
          <w:rFonts w:ascii="Times New Roman" w:hAnsi="Times New Roman" w:cs="Times New Roman"/>
        </w:rPr>
      </w:pPr>
      <w:r w:rsidRPr="00983DA3">
        <w:rPr>
          <w:rFonts w:ascii="Times New Roman" w:hAnsi="Times New Roman" w:cs="Times New Roman"/>
        </w:rPr>
        <w:t xml:space="preserve">NMFS will approve a CMCP </w:t>
      </w:r>
      <w:r w:rsidR="00A55427">
        <w:rPr>
          <w:rFonts w:ascii="Times New Roman" w:hAnsi="Times New Roman" w:cs="Times New Roman"/>
        </w:rPr>
        <w:t>f</w:t>
      </w:r>
      <w:r w:rsidR="00A55427" w:rsidRPr="00A55427">
        <w:rPr>
          <w:rFonts w:ascii="Times New Roman" w:hAnsi="Times New Roman" w:cs="Times New Roman"/>
        </w:rPr>
        <w:t>or 1 year if it meets the performance standards</w:t>
      </w:r>
      <w:r w:rsidR="00A55427">
        <w:rPr>
          <w:rFonts w:ascii="Times New Roman" w:hAnsi="Times New Roman" w:cs="Times New Roman"/>
        </w:rPr>
        <w:t xml:space="preserve"> and </w:t>
      </w:r>
      <w:r w:rsidRPr="00983DA3">
        <w:rPr>
          <w:rFonts w:ascii="Times New Roman" w:hAnsi="Times New Roman" w:cs="Times New Roman"/>
        </w:rPr>
        <w:t xml:space="preserve">requirements. </w:t>
      </w:r>
    </w:p>
    <w:p w:rsidR="00967EB1" w:rsidRDefault="00967EB1" w:rsidP="00386E23">
      <w:pPr>
        <w:tabs>
          <w:tab w:val="left" w:pos="360"/>
          <w:tab w:val="left" w:pos="720"/>
          <w:tab w:val="left" w:pos="1080"/>
          <w:tab w:val="left" w:pos="1440"/>
        </w:tabs>
        <w:spacing w:after="0" w:line="240" w:lineRule="auto"/>
        <w:rPr>
          <w:rFonts w:ascii="Times New Roman" w:hAnsi="Times New Roman" w:cs="Times New Roman"/>
        </w:rPr>
      </w:pPr>
    </w:p>
    <w:p w:rsidR="00983DA3" w:rsidRDefault="00983DA3" w:rsidP="00386E23">
      <w:pPr>
        <w:tabs>
          <w:tab w:val="left" w:pos="360"/>
          <w:tab w:val="left" w:pos="720"/>
          <w:tab w:val="left" w:pos="1080"/>
          <w:tab w:val="left" w:pos="1440"/>
        </w:tabs>
        <w:spacing w:after="0" w:line="240" w:lineRule="auto"/>
        <w:rPr>
          <w:rFonts w:ascii="Times New Roman" w:hAnsi="Times New Roman" w:cs="Times New Roman"/>
        </w:rPr>
      </w:pPr>
      <w:r w:rsidRPr="00983DA3">
        <w:rPr>
          <w:rFonts w:ascii="Times New Roman" w:hAnsi="Times New Roman" w:cs="Times New Roman"/>
        </w:rPr>
        <w:t>The processor must be inspected by NMFS prior to approval of the CMCP to ensure that the processor conforms to the elements addressed in the CMCP.  NMFS will complete its review of the CMCP within 14 working days of receiving a complete CMCP and conducting a CMCP inspection.  If NMFS disapproves a CMCP, the plant owner or manager may resubmit a revised CMCP or file an administrative appeal as set forth under the administrative appeals procedures described at § 679.43.</w:t>
      </w:r>
    </w:p>
    <w:p w:rsidR="00983DA3" w:rsidRDefault="00983DA3" w:rsidP="00386E23">
      <w:pPr>
        <w:tabs>
          <w:tab w:val="left" w:pos="360"/>
          <w:tab w:val="left" w:pos="720"/>
          <w:tab w:val="left" w:pos="1080"/>
          <w:tab w:val="left" w:pos="1440"/>
        </w:tabs>
        <w:spacing w:after="0" w:line="240" w:lineRule="auto"/>
        <w:rPr>
          <w:rFonts w:ascii="Times New Roman" w:hAnsi="Times New Roman" w:cs="Times New Roman"/>
        </w:rPr>
      </w:pPr>
    </w:p>
    <w:p w:rsidR="00983DA3" w:rsidRPr="004B131E" w:rsidRDefault="00983DA3" w:rsidP="00983DA3">
      <w:pPr>
        <w:tabs>
          <w:tab w:val="left" w:pos="360"/>
          <w:tab w:val="left" w:pos="720"/>
          <w:tab w:val="left" w:pos="1080"/>
          <w:tab w:val="left" w:pos="1440"/>
        </w:tabs>
        <w:spacing w:after="0" w:line="240" w:lineRule="auto"/>
        <w:rPr>
          <w:rFonts w:ascii="Times New Roman" w:hAnsi="Times New Roman" w:cs="Times New Roman"/>
        </w:rPr>
      </w:pPr>
      <w:r w:rsidRPr="004B131E">
        <w:rPr>
          <w:rFonts w:ascii="Times New Roman" w:hAnsi="Times New Roman" w:cs="Times New Roman"/>
        </w:rPr>
        <w:t xml:space="preserve">The CMCP must be maintained on the premises and made available to authorized officers or NMFS-authorized personnel upon request.  </w:t>
      </w:r>
    </w:p>
    <w:p w:rsidR="00242CD7" w:rsidRDefault="00242CD7" w:rsidP="00524505">
      <w:pPr>
        <w:tabs>
          <w:tab w:val="left" w:pos="360"/>
          <w:tab w:val="left" w:pos="720"/>
          <w:tab w:val="left" w:pos="1080"/>
          <w:tab w:val="left" w:pos="1440"/>
        </w:tabs>
        <w:spacing w:after="0" w:line="240" w:lineRule="auto"/>
        <w:rPr>
          <w:rFonts w:ascii="Times New Roman" w:hAnsi="Times New Roman" w:cs="Times New Roman"/>
        </w:rPr>
      </w:pPr>
    </w:p>
    <w:p w:rsidR="00524505" w:rsidRDefault="00524505" w:rsidP="00524505">
      <w:pPr>
        <w:tabs>
          <w:tab w:val="left" w:pos="360"/>
          <w:tab w:val="left" w:pos="720"/>
          <w:tab w:val="left" w:pos="1080"/>
          <w:tab w:val="left" w:pos="1440"/>
        </w:tabs>
        <w:spacing w:after="0" w:line="240" w:lineRule="auto"/>
        <w:rPr>
          <w:rFonts w:ascii="Times New Roman" w:hAnsi="Times New Roman" w:cs="Times New Roman"/>
        </w:rPr>
      </w:pPr>
      <w:r w:rsidRPr="00E61CEA">
        <w:rPr>
          <w:rFonts w:ascii="Times New Roman" w:hAnsi="Times New Roman" w:cs="Times New Roman"/>
        </w:rPr>
        <w:t>Th</w:t>
      </w:r>
      <w:r>
        <w:rPr>
          <w:rFonts w:ascii="Times New Roman" w:hAnsi="Times New Roman" w:cs="Times New Roman"/>
        </w:rPr>
        <w:t xml:space="preserve">e contents of a CMCP are provided below.  </w:t>
      </w:r>
      <w:r w:rsidRPr="00E61CEA">
        <w:rPr>
          <w:rFonts w:ascii="Times New Roman" w:hAnsi="Times New Roman" w:cs="Times New Roman"/>
        </w:rPr>
        <w:t>An</w:t>
      </w:r>
      <w:r>
        <w:rPr>
          <w:rFonts w:ascii="Times New Roman" w:hAnsi="Times New Roman" w:cs="Times New Roman"/>
        </w:rPr>
        <w:t xml:space="preserve">y </w:t>
      </w:r>
      <w:r w:rsidRPr="00E61CEA">
        <w:rPr>
          <w:rFonts w:ascii="Times New Roman" w:hAnsi="Times New Roman" w:cs="Times New Roman"/>
        </w:rPr>
        <w:t>format may be used, but it must include all the required information found in 50 CFR 6</w:t>
      </w:r>
      <w:r>
        <w:rPr>
          <w:rFonts w:ascii="Times New Roman" w:hAnsi="Times New Roman" w:cs="Times New Roman"/>
        </w:rPr>
        <w:t>79.28(g)</w:t>
      </w:r>
      <w:r w:rsidRPr="00E61CEA">
        <w:rPr>
          <w:rFonts w:ascii="Times New Roman" w:hAnsi="Times New Roman" w:cs="Times New Roman"/>
        </w:rPr>
        <w:t>.  Additional pages may be submitted if needed.</w:t>
      </w:r>
    </w:p>
    <w:p w:rsidR="004B131E" w:rsidRPr="004B131E" w:rsidRDefault="004B131E" w:rsidP="004B131E">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448"/>
        <w:gridCol w:w="7992"/>
      </w:tblGrid>
      <w:tr w:rsidR="003F1328" w:rsidTr="00044881">
        <w:tc>
          <w:tcPr>
            <w:tcW w:w="2448" w:type="dxa"/>
          </w:tcPr>
          <w:p w:rsidR="003F1328" w:rsidRPr="00044881" w:rsidRDefault="003F1328" w:rsidP="004B131E">
            <w:pPr>
              <w:rPr>
                <w:rFonts w:ascii="Times New Roman" w:hAnsi="Times New Roman" w:cs="Times New Roman"/>
                <w:b/>
                <w:sz w:val="20"/>
                <w:szCs w:val="20"/>
              </w:rPr>
            </w:pPr>
            <w:r w:rsidRPr="00044881">
              <w:rPr>
                <w:rFonts w:ascii="Times New Roman" w:hAnsi="Times New Roman" w:cs="Times New Roman"/>
                <w:b/>
                <w:sz w:val="20"/>
                <w:szCs w:val="20"/>
              </w:rPr>
              <w:t>Catch Sorting and weighing</w:t>
            </w:r>
          </w:p>
        </w:tc>
        <w:tc>
          <w:tcPr>
            <w:tcW w:w="7992" w:type="dxa"/>
          </w:tcPr>
          <w:p w:rsidR="001D5293" w:rsidRPr="00044881" w:rsidRDefault="001D5293" w:rsidP="001D5293">
            <w:pPr>
              <w:tabs>
                <w:tab w:val="left" w:pos="408"/>
              </w:tabs>
              <w:rPr>
                <w:rFonts w:ascii="Times New Roman" w:hAnsi="Times New Roman" w:cs="Times New Roman"/>
                <w:sz w:val="20"/>
                <w:szCs w:val="20"/>
              </w:rPr>
            </w:pPr>
            <w:r w:rsidRPr="00044881">
              <w:rPr>
                <w:rFonts w:ascii="Times New Roman" w:hAnsi="Times New Roman" w:cs="Times New Roman"/>
                <w:sz w:val="20"/>
                <w:szCs w:val="20"/>
              </w:rPr>
              <w:t xml:space="preserve">All groundfish delivered to the plant must be sorted and weighed by species.  The CMCP must detail </w:t>
            </w:r>
          </w:p>
          <w:p w:rsidR="001D5293" w:rsidRPr="00044881" w:rsidRDefault="001D5293" w:rsidP="001D5293">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t>Amount and location of space for sorting catch</w:t>
            </w:r>
          </w:p>
          <w:p w:rsidR="001D5293" w:rsidRPr="00044881" w:rsidRDefault="001D5293" w:rsidP="001D5293">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t xml:space="preserve">Number of staff assigned to catch sorting </w:t>
            </w:r>
          </w:p>
          <w:p w:rsidR="003F1328" w:rsidRPr="00044881" w:rsidRDefault="001D5293" w:rsidP="001D5293">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t>Maximum rate that catch will flow through the sorting area</w:t>
            </w:r>
          </w:p>
        </w:tc>
      </w:tr>
      <w:tr w:rsidR="001D5293" w:rsidTr="00044881">
        <w:tc>
          <w:tcPr>
            <w:tcW w:w="2448" w:type="dxa"/>
          </w:tcPr>
          <w:p w:rsidR="001D5293" w:rsidRPr="00044881" w:rsidRDefault="001D5293" w:rsidP="004B131E">
            <w:pPr>
              <w:rPr>
                <w:rFonts w:ascii="Times New Roman" w:hAnsi="Times New Roman" w:cs="Times New Roman"/>
                <w:b/>
                <w:sz w:val="20"/>
                <w:szCs w:val="20"/>
              </w:rPr>
            </w:pPr>
            <w:r w:rsidRPr="00044881">
              <w:rPr>
                <w:rFonts w:ascii="Times New Roman" w:hAnsi="Times New Roman" w:cs="Times New Roman"/>
                <w:b/>
                <w:sz w:val="20"/>
                <w:szCs w:val="20"/>
              </w:rPr>
              <w:t>Scales used for weighing groundfish</w:t>
            </w:r>
          </w:p>
        </w:tc>
        <w:tc>
          <w:tcPr>
            <w:tcW w:w="7992" w:type="dxa"/>
          </w:tcPr>
          <w:p w:rsidR="001D5293" w:rsidRPr="00044881" w:rsidRDefault="001D5293" w:rsidP="004B131E">
            <w:pPr>
              <w:rPr>
                <w:rFonts w:ascii="Times New Roman" w:hAnsi="Times New Roman" w:cs="Times New Roman"/>
                <w:sz w:val="20"/>
                <w:szCs w:val="20"/>
              </w:rPr>
            </w:pPr>
            <w:r w:rsidRPr="00044881">
              <w:rPr>
                <w:rFonts w:ascii="Times New Roman" w:hAnsi="Times New Roman" w:cs="Times New Roman"/>
                <w:sz w:val="20"/>
                <w:szCs w:val="20"/>
              </w:rPr>
              <w:t xml:space="preserve">Identify by serial number each scale used to weigh groundfish and describe the rational for its use </w:t>
            </w:r>
          </w:p>
        </w:tc>
      </w:tr>
      <w:tr w:rsidR="001D5293" w:rsidTr="00044881">
        <w:tc>
          <w:tcPr>
            <w:tcW w:w="2448" w:type="dxa"/>
          </w:tcPr>
          <w:p w:rsidR="001D5293" w:rsidRPr="00044881" w:rsidRDefault="001D5293" w:rsidP="004B131E">
            <w:pPr>
              <w:rPr>
                <w:rFonts w:ascii="Times New Roman" w:hAnsi="Times New Roman" w:cs="Times New Roman"/>
                <w:b/>
                <w:sz w:val="20"/>
                <w:szCs w:val="20"/>
              </w:rPr>
            </w:pPr>
            <w:r w:rsidRPr="00044881">
              <w:rPr>
                <w:rFonts w:ascii="Times New Roman" w:hAnsi="Times New Roman" w:cs="Times New Roman"/>
                <w:b/>
                <w:sz w:val="20"/>
                <w:szCs w:val="20"/>
              </w:rPr>
              <w:t>Scale testing procedure</w:t>
            </w:r>
          </w:p>
        </w:tc>
        <w:tc>
          <w:tcPr>
            <w:tcW w:w="7992" w:type="dxa"/>
          </w:tcPr>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 xml:space="preserve">Scales identified in the CMCP must be accurate within the specified limits.  </w:t>
            </w:r>
          </w:p>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For each scale identified in the CMCP, testing plan must</w:t>
            </w:r>
          </w:p>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Describe the procedure the plant will use to test the scale</w:t>
            </w:r>
          </w:p>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List the test weights and equipment required to test the scale</w:t>
            </w:r>
          </w:p>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List where the test weights and equipment are stored</w:t>
            </w:r>
          </w:p>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List the plant personnel responsible for conducting the scale testing</w:t>
            </w:r>
          </w:p>
        </w:tc>
      </w:tr>
      <w:tr w:rsidR="00E628B2" w:rsidTr="00044881">
        <w:tc>
          <w:tcPr>
            <w:tcW w:w="2448" w:type="dxa"/>
          </w:tcPr>
          <w:p w:rsidR="00E628B2" w:rsidRPr="00044881" w:rsidRDefault="00E628B2" w:rsidP="00E628B2">
            <w:pPr>
              <w:rPr>
                <w:rFonts w:ascii="Times New Roman" w:hAnsi="Times New Roman" w:cs="Times New Roman"/>
                <w:b/>
                <w:sz w:val="20"/>
                <w:szCs w:val="20"/>
              </w:rPr>
            </w:pPr>
            <w:r w:rsidRPr="00044881">
              <w:rPr>
                <w:rFonts w:ascii="Times New Roman" w:hAnsi="Times New Roman" w:cs="Times New Roman"/>
                <w:b/>
                <w:sz w:val="20"/>
                <w:szCs w:val="20"/>
              </w:rPr>
              <w:t>Printed record</w:t>
            </w:r>
          </w:p>
        </w:tc>
        <w:tc>
          <w:tcPr>
            <w:tcW w:w="7992" w:type="dxa"/>
          </w:tcPr>
          <w:p w:rsidR="00E628B2" w:rsidRPr="00044881" w:rsidRDefault="00E628B2" w:rsidP="00E628B2">
            <w:pPr>
              <w:tabs>
                <w:tab w:val="left" w:pos="444"/>
              </w:tabs>
              <w:rPr>
                <w:rFonts w:ascii="Times New Roman" w:hAnsi="Times New Roman" w:cs="Times New Roman"/>
                <w:sz w:val="20"/>
                <w:szCs w:val="20"/>
              </w:rPr>
            </w:pPr>
            <w:r w:rsidRPr="00044881">
              <w:rPr>
                <w:rFonts w:ascii="Times New Roman" w:hAnsi="Times New Roman" w:cs="Times New Roman"/>
                <w:sz w:val="20"/>
                <w:szCs w:val="20"/>
              </w:rPr>
              <w:t xml:space="preserve">Request for exemption </w:t>
            </w:r>
          </w:p>
          <w:p w:rsidR="00E628B2" w:rsidRPr="00044881" w:rsidRDefault="00E628B2" w:rsidP="00E628B2">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t>Identification of any scale that cannot produce a complete printed record</w:t>
            </w:r>
          </w:p>
          <w:p w:rsidR="00E628B2" w:rsidRPr="00044881" w:rsidRDefault="00E628B2" w:rsidP="00E628B2">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t xml:space="preserve">Explain how the processor will use the scale </w:t>
            </w:r>
          </w:p>
          <w:p w:rsidR="00E628B2" w:rsidRPr="00044881" w:rsidRDefault="00E628B2" w:rsidP="00E628B2">
            <w:pPr>
              <w:tabs>
                <w:tab w:val="left" w:pos="444"/>
              </w:tabs>
              <w:ind w:hanging="432"/>
              <w:rPr>
                <w:rFonts w:ascii="Times New Roman" w:hAnsi="Times New Roman" w:cs="Times New Roman"/>
                <w:sz w:val="20"/>
                <w:szCs w:val="20"/>
              </w:rPr>
            </w:pPr>
            <w:r w:rsidRPr="00044881">
              <w:rPr>
                <w:rFonts w:ascii="Times New Roman" w:hAnsi="Times New Roman" w:cs="Times New Roman"/>
                <w:sz w:val="20"/>
                <w:szCs w:val="20"/>
              </w:rPr>
              <w:tab/>
              <w:t>Explain  how the plant intends to produce a complete record of the total weight of each delivery</w:t>
            </w:r>
          </w:p>
        </w:tc>
      </w:tr>
      <w:tr w:rsidR="00E628B2" w:rsidTr="00044881">
        <w:tc>
          <w:tcPr>
            <w:tcW w:w="2448" w:type="dxa"/>
          </w:tcPr>
          <w:p w:rsidR="00E628B2" w:rsidRPr="00044881" w:rsidRDefault="00E628B2" w:rsidP="00E628B2">
            <w:pPr>
              <w:rPr>
                <w:rFonts w:ascii="Times New Roman" w:hAnsi="Times New Roman" w:cs="Times New Roman"/>
                <w:b/>
                <w:sz w:val="20"/>
                <w:szCs w:val="20"/>
              </w:rPr>
            </w:pPr>
            <w:r w:rsidRPr="00044881">
              <w:rPr>
                <w:rFonts w:ascii="Times New Roman" w:hAnsi="Times New Roman" w:cs="Times New Roman"/>
                <w:b/>
                <w:sz w:val="20"/>
                <w:szCs w:val="20"/>
              </w:rPr>
              <w:t xml:space="preserve">Delivery point  </w:t>
            </w:r>
          </w:p>
          <w:p w:rsidR="00E628B2" w:rsidRPr="00044881" w:rsidRDefault="00E628B2" w:rsidP="00E628B2">
            <w:pPr>
              <w:rPr>
                <w:rFonts w:ascii="Times New Roman" w:hAnsi="Times New Roman" w:cs="Times New Roman"/>
                <w:sz w:val="20"/>
                <w:szCs w:val="20"/>
              </w:rPr>
            </w:pPr>
          </w:p>
        </w:tc>
        <w:tc>
          <w:tcPr>
            <w:tcW w:w="7992" w:type="dxa"/>
          </w:tcPr>
          <w:p w:rsidR="00E628B2" w:rsidRPr="00044881" w:rsidRDefault="00E628B2" w:rsidP="00E628B2">
            <w:pPr>
              <w:tabs>
                <w:tab w:val="left" w:pos="432"/>
              </w:tabs>
              <w:rPr>
                <w:rFonts w:ascii="Times New Roman" w:hAnsi="Times New Roman" w:cs="Times New Roman"/>
                <w:sz w:val="20"/>
                <w:szCs w:val="20"/>
              </w:rPr>
            </w:pPr>
            <w:r w:rsidRPr="00044881">
              <w:rPr>
                <w:rFonts w:ascii="Times New Roman" w:hAnsi="Times New Roman" w:cs="Times New Roman"/>
                <w:sz w:val="20"/>
                <w:szCs w:val="20"/>
              </w:rPr>
              <w:t xml:space="preserve">The delivery point is the first location where fish removed from a delivering catcher vessel can be sorted or diverted to more than one location. </w:t>
            </w:r>
          </w:p>
          <w:p w:rsidR="00E628B2" w:rsidRPr="00044881" w:rsidRDefault="00E628B2" w:rsidP="00E628B2">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 xml:space="preserve">If the catch is pumped from the hold of a catcher vessel or a codend, </w:t>
            </w:r>
          </w:p>
          <w:p w:rsidR="00E628B2" w:rsidRPr="00044881" w:rsidRDefault="00E628B2" w:rsidP="00E628B2">
            <w:pPr>
              <w:tabs>
                <w:tab w:val="left" w:pos="432"/>
              </w:tabs>
              <w:rPr>
                <w:rFonts w:ascii="Times New Roman" w:hAnsi="Times New Roman" w:cs="Times New Roman"/>
                <w:sz w:val="20"/>
                <w:szCs w:val="20"/>
              </w:rPr>
            </w:pPr>
            <w:r w:rsidRPr="00044881">
              <w:rPr>
                <w:rFonts w:ascii="Times New Roman" w:hAnsi="Times New Roman" w:cs="Times New Roman"/>
                <w:sz w:val="20"/>
                <w:szCs w:val="20"/>
              </w:rPr>
              <w:lastRenderedPageBreak/>
              <w:tab/>
            </w:r>
            <w:r w:rsidRPr="00044881">
              <w:rPr>
                <w:rFonts w:ascii="Times New Roman" w:hAnsi="Times New Roman" w:cs="Times New Roman"/>
                <w:sz w:val="20"/>
                <w:szCs w:val="20"/>
              </w:rPr>
              <w:tab/>
              <w:t xml:space="preserve">the delivery point is where the pump first discharges the catch.   </w:t>
            </w:r>
          </w:p>
          <w:p w:rsidR="00E628B2" w:rsidRPr="00044881" w:rsidRDefault="00E628B2" w:rsidP="00E628B2">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 xml:space="preserve">If catch is removed  from a vessel by brailing, </w:t>
            </w:r>
          </w:p>
          <w:p w:rsidR="000B4A85" w:rsidRPr="00044881" w:rsidRDefault="00E628B2" w:rsidP="00E628B2">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t>the delivery point normally is the bin or belt where the brailer discharges</w:t>
            </w:r>
          </w:p>
          <w:p w:rsidR="00E628B2" w:rsidRPr="00044881" w:rsidRDefault="000B4A85" w:rsidP="00E628B2">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t>the catch.</w:t>
            </w:r>
          </w:p>
        </w:tc>
      </w:tr>
      <w:tr w:rsidR="00E628B2" w:rsidTr="00044881">
        <w:tc>
          <w:tcPr>
            <w:tcW w:w="2448" w:type="dxa"/>
          </w:tcPr>
          <w:p w:rsidR="00E628B2" w:rsidRPr="00044881" w:rsidRDefault="000F0FBF" w:rsidP="00E628B2">
            <w:pPr>
              <w:rPr>
                <w:rFonts w:ascii="Times New Roman" w:hAnsi="Times New Roman" w:cs="Times New Roman"/>
                <w:b/>
                <w:sz w:val="20"/>
                <w:szCs w:val="20"/>
              </w:rPr>
            </w:pPr>
            <w:r w:rsidRPr="00044881">
              <w:rPr>
                <w:rFonts w:ascii="Times New Roman" w:hAnsi="Times New Roman" w:cs="Times New Roman"/>
                <w:b/>
                <w:sz w:val="20"/>
                <w:szCs w:val="20"/>
              </w:rPr>
              <w:lastRenderedPageBreak/>
              <w:t>Observation area</w:t>
            </w:r>
          </w:p>
        </w:tc>
        <w:tc>
          <w:tcPr>
            <w:tcW w:w="7992" w:type="dxa"/>
          </w:tcPr>
          <w:p w:rsidR="000F0FBF" w:rsidRPr="00044881" w:rsidRDefault="000F0FBF"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 xml:space="preserve">Observation area is location designated on CMCP where individual may monitor </w:t>
            </w:r>
            <w:r w:rsidR="00524505" w:rsidRPr="00044881">
              <w:rPr>
                <w:rFonts w:ascii="Times New Roman" w:hAnsi="Times New Roman" w:cs="Times New Roman"/>
                <w:sz w:val="20"/>
                <w:szCs w:val="20"/>
              </w:rPr>
              <w:tab/>
            </w:r>
            <w:r w:rsidRPr="00044881">
              <w:rPr>
                <w:rFonts w:ascii="Times New Roman" w:hAnsi="Times New Roman" w:cs="Times New Roman"/>
                <w:sz w:val="20"/>
                <w:szCs w:val="20"/>
              </w:rPr>
              <w:t xml:space="preserve">the flow of fish during delivery </w:t>
            </w:r>
          </w:p>
          <w:p w:rsidR="00524505" w:rsidRPr="00044881" w:rsidRDefault="000F0FBF"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Must be freely accessible to NMFS staff or NMFS-authorized personnel at any time</w:t>
            </w:r>
          </w:p>
          <w:p w:rsidR="000F0FBF" w:rsidRPr="00044881" w:rsidRDefault="00524505"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r>
            <w:r w:rsidR="000F0FBF" w:rsidRPr="00044881">
              <w:rPr>
                <w:rFonts w:ascii="Times New Roman" w:hAnsi="Times New Roman" w:cs="Times New Roman"/>
                <w:sz w:val="20"/>
                <w:szCs w:val="20"/>
              </w:rPr>
              <w:t>a valid CMCP is required</w:t>
            </w:r>
          </w:p>
          <w:p w:rsidR="00524505" w:rsidRPr="00044881" w:rsidRDefault="000F0FBF"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Must have an unobstructed view or otherwise be able to monitor the entire flow of</w:t>
            </w:r>
          </w:p>
          <w:p w:rsidR="00524505" w:rsidRPr="00044881" w:rsidRDefault="00524505"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r>
            <w:r w:rsidR="000F0FBF" w:rsidRPr="00044881">
              <w:rPr>
                <w:rFonts w:ascii="Times New Roman" w:hAnsi="Times New Roman" w:cs="Times New Roman"/>
                <w:sz w:val="20"/>
                <w:szCs w:val="20"/>
              </w:rPr>
              <w:t>fish between the delivery point and a location where all sorting has taken place</w:t>
            </w:r>
          </w:p>
          <w:p w:rsidR="00E628B2" w:rsidRPr="00044881" w:rsidRDefault="00524505"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r>
            <w:r w:rsidR="000F0FBF" w:rsidRPr="00044881">
              <w:rPr>
                <w:rFonts w:ascii="Times New Roman" w:hAnsi="Times New Roman" w:cs="Times New Roman"/>
                <w:sz w:val="20"/>
                <w:szCs w:val="20"/>
              </w:rPr>
              <w:t>and each species has been weighed</w:t>
            </w:r>
          </w:p>
        </w:tc>
      </w:tr>
      <w:tr w:rsidR="00E628B2" w:rsidTr="00044881">
        <w:tc>
          <w:tcPr>
            <w:tcW w:w="2448" w:type="dxa"/>
          </w:tcPr>
          <w:p w:rsidR="00E628B2" w:rsidRPr="00044881" w:rsidRDefault="000F0FBF" w:rsidP="00E628B2">
            <w:pPr>
              <w:rPr>
                <w:rFonts w:ascii="Times New Roman" w:hAnsi="Times New Roman" w:cs="Times New Roman"/>
                <w:b/>
                <w:sz w:val="20"/>
                <w:szCs w:val="20"/>
              </w:rPr>
            </w:pPr>
            <w:r w:rsidRPr="00044881">
              <w:rPr>
                <w:rFonts w:ascii="Times New Roman" w:hAnsi="Times New Roman" w:cs="Times New Roman"/>
                <w:b/>
                <w:sz w:val="20"/>
                <w:szCs w:val="20"/>
              </w:rPr>
              <w:t>Observer work station</w:t>
            </w:r>
          </w:p>
        </w:tc>
        <w:tc>
          <w:tcPr>
            <w:tcW w:w="7992" w:type="dxa"/>
          </w:tcPr>
          <w:p w:rsidR="008E4EF6" w:rsidRPr="00044881" w:rsidRDefault="000F0FBF"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Must identify an observer work station for the exclusive use of NMFS-certified</w:t>
            </w:r>
          </w:p>
          <w:p w:rsidR="000F0FBF" w:rsidRPr="00044881" w:rsidRDefault="0094694E"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r>
            <w:r w:rsidR="000F0FBF" w:rsidRPr="00044881">
              <w:rPr>
                <w:rFonts w:ascii="Times New Roman" w:hAnsi="Times New Roman" w:cs="Times New Roman"/>
                <w:sz w:val="20"/>
                <w:szCs w:val="20"/>
              </w:rPr>
              <w:t>observers.</w:t>
            </w:r>
          </w:p>
          <w:p w:rsidR="000F0FBF" w:rsidRPr="00044881" w:rsidRDefault="000F0FBF"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 xml:space="preserve">The observer area must be located near the observer work station. </w:t>
            </w:r>
          </w:p>
          <w:p w:rsidR="008E4EF6" w:rsidRPr="00044881" w:rsidRDefault="000F0FBF"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The plant liaison must be able to walk between the work station and the observation</w:t>
            </w:r>
          </w:p>
          <w:p w:rsidR="000F0FBF" w:rsidRPr="00044881" w:rsidRDefault="008E4EF6"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r>
            <w:r w:rsidR="000F0FBF" w:rsidRPr="00044881">
              <w:rPr>
                <w:rFonts w:ascii="Times New Roman" w:hAnsi="Times New Roman" w:cs="Times New Roman"/>
                <w:sz w:val="20"/>
                <w:szCs w:val="20"/>
              </w:rPr>
              <w:t xml:space="preserve">area in less than 20 seconds without encountering safety hazards. </w:t>
            </w:r>
          </w:p>
          <w:p w:rsidR="000F0FBF" w:rsidRPr="00044881" w:rsidRDefault="000F0FBF"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The work station must meet the following criteria</w:t>
            </w:r>
          </w:p>
          <w:p w:rsidR="001D0AC7"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Be located in an area protected from the weather where the observer has access</w:t>
            </w:r>
          </w:p>
          <w:p w:rsidR="000F0FBF" w:rsidRPr="00044881" w:rsidRDefault="001D0AC7"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r>
            <w:r w:rsidR="000F0FBF" w:rsidRPr="00044881">
              <w:rPr>
                <w:rFonts w:ascii="Times New Roman" w:hAnsi="Times New Roman" w:cs="Times New Roman"/>
                <w:sz w:val="20"/>
                <w:szCs w:val="20"/>
              </w:rPr>
              <w:t xml:space="preserve">to unsorted catch  </w:t>
            </w:r>
          </w:p>
          <w:p w:rsidR="000F0FBF"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Provide a platform scale of at least 50 kg capacity</w:t>
            </w:r>
          </w:p>
          <w:p w:rsidR="000F0FBF"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 xml:space="preserve">Include </w:t>
            </w:r>
          </w:p>
          <w:p w:rsidR="000F0FBF"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t>a workspace</w:t>
            </w:r>
            <w:r w:rsidR="001D0AC7" w:rsidRPr="00044881">
              <w:rPr>
                <w:rFonts w:ascii="Times New Roman" w:hAnsi="Times New Roman" w:cs="Times New Roman"/>
                <w:sz w:val="20"/>
                <w:szCs w:val="20"/>
              </w:rPr>
              <w:t xml:space="preserve">, </w:t>
            </w:r>
            <w:r w:rsidRPr="00044881">
              <w:rPr>
                <w:rFonts w:ascii="Times New Roman" w:hAnsi="Times New Roman" w:cs="Times New Roman"/>
                <w:sz w:val="20"/>
                <w:szCs w:val="20"/>
              </w:rPr>
              <w:t>at least 4.5 sq</w:t>
            </w:r>
            <w:r w:rsidR="001D0AC7" w:rsidRPr="00044881">
              <w:rPr>
                <w:rFonts w:ascii="Times New Roman" w:hAnsi="Times New Roman" w:cs="Times New Roman"/>
                <w:sz w:val="20"/>
                <w:szCs w:val="20"/>
              </w:rPr>
              <w:t>uare</w:t>
            </w:r>
            <w:r w:rsidRPr="00044881">
              <w:rPr>
                <w:rFonts w:ascii="Times New Roman" w:hAnsi="Times New Roman" w:cs="Times New Roman"/>
                <w:sz w:val="20"/>
                <w:szCs w:val="20"/>
              </w:rPr>
              <w:t xml:space="preserve"> m</w:t>
            </w:r>
            <w:r w:rsidR="001D0AC7" w:rsidRPr="00044881">
              <w:rPr>
                <w:rFonts w:ascii="Times New Roman" w:hAnsi="Times New Roman" w:cs="Times New Roman"/>
                <w:sz w:val="20"/>
                <w:szCs w:val="20"/>
              </w:rPr>
              <w:t>eters</w:t>
            </w:r>
          </w:p>
          <w:p w:rsidR="000F0FBF"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t>a table</w:t>
            </w:r>
          </w:p>
          <w:p w:rsidR="00E628B2"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t xml:space="preserve">a secure and lockable cabinet </w:t>
            </w:r>
            <w:r w:rsidR="001D0AC7" w:rsidRPr="00044881">
              <w:rPr>
                <w:rFonts w:ascii="Times New Roman" w:hAnsi="Times New Roman" w:cs="Times New Roman"/>
                <w:sz w:val="20"/>
                <w:szCs w:val="20"/>
              </w:rPr>
              <w:t>or locker of at least 0.5 cu m.</w:t>
            </w:r>
          </w:p>
        </w:tc>
      </w:tr>
      <w:tr w:rsidR="001D0AC7" w:rsidTr="00044881">
        <w:tc>
          <w:tcPr>
            <w:tcW w:w="2448" w:type="dxa"/>
          </w:tcPr>
          <w:p w:rsidR="001D0AC7" w:rsidRPr="00044881" w:rsidRDefault="001D0AC7" w:rsidP="001D0AC7">
            <w:pPr>
              <w:rPr>
                <w:rFonts w:ascii="Times New Roman" w:hAnsi="Times New Roman" w:cs="Times New Roman"/>
                <w:b/>
                <w:sz w:val="20"/>
                <w:szCs w:val="20"/>
              </w:rPr>
            </w:pPr>
            <w:r w:rsidRPr="00044881">
              <w:rPr>
                <w:rFonts w:ascii="Times New Roman" w:hAnsi="Times New Roman" w:cs="Times New Roman"/>
                <w:b/>
                <w:sz w:val="20"/>
                <w:szCs w:val="20"/>
              </w:rPr>
              <w:t>Communication with observer</w:t>
            </w:r>
          </w:p>
          <w:p w:rsidR="001D0AC7" w:rsidRPr="00044881" w:rsidRDefault="001D0AC7" w:rsidP="00E628B2">
            <w:pPr>
              <w:rPr>
                <w:rFonts w:ascii="Times New Roman" w:hAnsi="Times New Roman" w:cs="Times New Roman"/>
                <w:sz w:val="20"/>
                <w:szCs w:val="20"/>
              </w:rPr>
            </w:pPr>
          </w:p>
        </w:tc>
        <w:tc>
          <w:tcPr>
            <w:tcW w:w="7992" w:type="dxa"/>
          </w:tcPr>
          <w:p w:rsidR="001D0AC7" w:rsidRPr="00044881" w:rsidRDefault="001D0AC7" w:rsidP="000F0FBF">
            <w:pPr>
              <w:rPr>
                <w:rFonts w:ascii="Times New Roman" w:hAnsi="Times New Roman" w:cs="Times New Roman"/>
                <w:sz w:val="20"/>
                <w:szCs w:val="20"/>
              </w:rPr>
            </w:pPr>
            <w:r w:rsidRPr="00044881">
              <w:rPr>
                <w:rFonts w:ascii="Times New Roman" w:hAnsi="Times New Roman" w:cs="Times New Roman"/>
                <w:sz w:val="20"/>
                <w:szCs w:val="20"/>
              </w:rPr>
              <w:t>Describe communication equipment (such as radios, pagers or cellular telephones) used to facilitate communications within the plant and provide the NMFS-certified observer with the same communications equipment</w:t>
            </w:r>
          </w:p>
        </w:tc>
      </w:tr>
      <w:tr w:rsidR="001D0AC7" w:rsidTr="00044881">
        <w:tc>
          <w:tcPr>
            <w:tcW w:w="2448" w:type="dxa"/>
          </w:tcPr>
          <w:p w:rsidR="001D0AC7" w:rsidRPr="00044881" w:rsidRDefault="001D0AC7" w:rsidP="001D0AC7">
            <w:pPr>
              <w:rPr>
                <w:rFonts w:ascii="Times New Roman" w:hAnsi="Times New Roman" w:cs="Times New Roman"/>
                <w:b/>
                <w:sz w:val="20"/>
                <w:szCs w:val="20"/>
              </w:rPr>
            </w:pPr>
            <w:r w:rsidRPr="00044881">
              <w:rPr>
                <w:rFonts w:ascii="Times New Roman" w:hAnsi="Times New Roman" w:cs="Times New Roman"/>
                <w:b/>
                <w:sz w:val="20"/>
                <w:szCs w:val="20"/>
              </w:rPr>
              <w:t>Plant liaison</w:t>
            </w:r>
          </w:p>
          <w:p w:rsidR="001D0AC7" w:rsidRPr="00044881" w:rsidRDefault="001D0AC7" w:rsidP="00E628B2">
            <w:pPr>
              <w:rPr>
                <w:rFonts w:ascii="Times New Roman" w:hAnsi="Times New Roman" w:cs="Times New Roman"/>
                <w:sz w:val="20"/>
                <w:szCs w:val="20"/>
              </w:rPr>
            </w:pPr>
          </w:p>
        </w:tc>
        <w:tc>
          <w:tcPr>
            <w:tcW w:w="7992" w:type="dxa"/>
          </w:tcPr>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Designate a plant liaison responsible for</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Orienting new observers to the plant</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Assisting in the resolution of observer concerns</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Informing NMFS if changes must be made to the CMCP</w:t>
            </w:r>
          </w:p>
        </w:tc>
      </w:tr>
      <w:tr w:rsidR="001D0AC7" w:rsidTr="00044881">
        <w:tc>
          <w:tcPr>
            <w:tcW w:w="2448" w:type="dxa"/>
          </w:tcPr>
          <w:p w:rsidR="001D0AC7" w:rsidRPr="00044881" w:rsidRDefault="001D0AC7" w:rsidP="001D0AC7">
            <w:pPr>
              <w:rPr>
                <w:rFonts w:ascii="Times New Roman" w:hAnsi="Times New Roman" w:cs="Times New Roman"/>
                <w:b/>
                <w:sz w:val="20"/>
                <w:szCs w:val="20"/>
              </w:rPr>
            </w:pPr>
            <w:r w:rsidRPr="00044881">
              <w:rPr>
                <w:rFonts w:ascii="Times New Roman" w:hAnsi="Times New Roman" w:cs="Times New Roman"/>
                <w:b/>
                <w:sz w:val="20"/>
                <w:szCs w:val="20"/>
              </w:rPr>
              <w:t>Attachments</w:t>
            </w:r>
          </w:p>
          <w:p w:rsidR="001D0AC7" w:rsidRPr="00044881" w:rsidRDefault="001D0AC7" w:rsidP="00E628B2">
            <w:pPr>
              <w:rPr>
                <w:rFonts w:ascii="Times New Roman" w:hAnsi="Times New Roman" w:cs="Times New Roman"/>
                <w:sz w:val="20"/>
                <w:szCs w:val="20"/>
              </w:rPr>
            </w:pPr>
          </w:p>
        </w:tc>
        <w:tc>
          <w:tcPr>
            <w:tcW w:w="7992" w:type="dxa"/>
          </w:tcPr>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 xml:space="preserve">Scale drawing of </w:t>
            </w:r>
            <w:r w:rsidR="00A279FD" w:rsidRPr="00044881">
              <w:rPr>
                <w:rFonts w:ascii="Times New Roman" w:hAnsi="Times New Roman" w:cs="Times New Roman"/>
                <w:sz w:val="20"/>
                <w:szCs w:val="20"/>
              </w:rPr>
              <w:t xml:space="preserve">shoreside </w:t>
            </w:r>
            <w:r w:rsidRPr="00044881">
              <w:rPr>
                <w:rFonts w:ascii="Times New Roman" w:hAnsi="Times New Roman" w:cs="Times New Roman"/>
                <w:sz w:val="20"/>
                <w:szCs w:val="20"/>
              </w:rPr>
              <w:t xml:space="preserve">processor </w:t>
            </w:r>
            <w:r w:rsidR="00A279FD" w:rsidRPr="00044881">
              <w:rPr>
                <w:rFonts w:ascii="Times New Roman" w:hAnsi="Times New Roman" w:cs="Times New Roman"/>
                <w:sz w:val="20"/>
                <w:szCs w:val="20"/>
              </w:rPr>
              <w:t>or SFP</w:t>
            </w:r>
            <w:r w:rsidRPr="00044881">
              <w:rPr>
                <w:rFonts w:ascii="Times New Roman" w:hAnsi="Times New Roman" w:cs="Times New Roman"/>
                <w:sz w:val="20"/>
                <w:szCs w:val="20"/>
              </w:rPr>
              <w:t xml:space="preserve"> showing</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Delivery point</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Observation area</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Observer work station</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Location of each scale used to weigh catch</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Each location where catch is sorted</w:t>
            </w:r>
          </w:p>
          <w:p w:rsidR="00EB3AB9" w:rsidRPr="00044881" w:rsidRDefault="00EB3AB9" w:rsidP="00EB3AB9">
            <w:pPr>
              <w:tabs>
                <w:tab w:val="left" w:pos="432"/>
                <w:tab w:val="left" w:pos="792"/>
              </w:tabs>
              <w:ind w:left="792" w:hanging="792"/>
              <w:rPr>
                <w:rFonts w:ascii="Times New Roman" w:hAnsi="Times New Roman" w:cs="Times New Roman"/>
                <w:sz w:val="20"/>
                <w:szCs w:val="20"/>
              </w:rPr>
            </w:pPr>
            <w:r w:rsidRPr="00044881">
              <w:rPr>
                <w:rFonts w:ascii="Times New Roman" w:hAnsi="Times New Roman" w:cs="Times New Roman"/>
                <w:sz w:val="20"/>
                <w:szCs w:val="20"/>
              </w:rPr>
              <w:tab/>
              <w:t>For shoreside processors or SFPs taking deliveries from vessels directed fishing for Bering Sea pollock, including vessels directed fishing for pollock CDQ in the Bering Sea, the location of the salmon storage container.</w:t>
            </w:r>
          </w:p>
          <w:p w:rsidR="00EB3AB9" w:rsidRPr="00044881" w:rsidRDefault="00AE00F2" w:rsidP="00AE00F2">
            <w:pPr>
              <w:tabs>
                <w:tab w:val="left" w:pos="420"/>
                <w:tab w:val="left" w:pos="780"/>
              </w:tabs>
              <w:ind w:left="792" w:hanging="792"/>
              <w:rPr>
                <w:rFonts w:ascii="Times New Roman" w:hAnsi="Times New Roman" w:cs="Times New Roman"/>
                <w:sz w:val="20"/>
                <w:szCs w:val="20"/>
              </w:rPr>
            </w:pPr>
            <w:r w:rsidRPr="00044881">
              <w:rPr>
                <w:rFonts w:ascii="Times New Roman" w:hAnsi="Times New Roman" w:cs="Times New Roman"/>
                <w:sz w:val="20"/>
                <w:szCs w:val="20"/>
              </w:rPr>
              <w:tab/>
            </w:r>
            <w:r w:rsidR="00EB3AB9" w:rsidRPr="00044881">
              <w:rPr>
                <w:rFonts w:ascii="Times New Roman" w:hAnsi="Times New Roman" w:cs="Times New Roman"/>
                <w:sz w:val="20"/>
                <w:szCs w:val="20"/>
              </w:rPr>
              <w:t>For shoreside processors receiving deliveries of groundfish harvested under the authority of a rockfish CQ permit, describe how the CMCP specialist will be notified of deliveries of groundfish harvested under the authority of a rockfish CQ permit.</w:t>
            </w:r>
          </w:p>
        </w:tc>
      </w:tr>
    </w:tbl>
    <w:p w:rsidR="004B131E" w:rsidRPr="004B131E" w:rsidRDefault="004B131E" w:rsidP="004B131E">
      <w:pPr>
        <w:spacing w:after="0" w:line="240" w:lineRule="auto"/>
        <w:rPr>
          <w:rFonts w:ascii="Times New Roman" w:hAnsi="Times New Roman" w:cs="Times New Roman"/>
        </w:rPr>
      </w:pPr>
    </w:p>
    <w:p w:rsidR="004B131E" w:rsidRPr="004B131E" w:rsidRDefault="004B131E" w:rsidP="004B131E">
      <w:pPr>
        <w:spacing w:after="0" w:line="240" w:lineRule="auto"/>
        <w:rPr>
          <w:rFonts w:ascii="Times New Roman" w:hAnsi="Times New Roman" w:cs="Times New Roman"/>
        </w:rPr>
      </w:pPr>
    </w:p>
    <w:p w:rsidR="0029084D" w:rsidRDefault="00A55427" w:rsidP="00A55427">
      <w:pPr>
        <w:spacing w:after="0" w:line="240" w:lineRule="auto"/>
        <w:rPr>
          <w:rFonts w:ascii="Times New Roman" w:hAnsi="Times New Roman" w:cs="Times New Roman"/>
        </w:rPr>
      </w:pPr>
      <w:r w:rsidRPr="00A55427">
        <w:rPr>
          <w:rFonts w:ascii="Times New Roman" w:hAnsi="Times New Roman" w:cs="Times New Roman"/>
        </w:rPr>
        <w:t>An owner and manager may change an approved CMCP by submitting a CMCP addendum to NMFS. NMFS will approve the modified CMCP if it continues to meet the performance standards.  Depending on the nature and magnitude of the change requested, NMFS may require a CMCP inspection</w:t>
      </w:r>
      <w:r w:rsidR="0029084D">
        <w:rPr>
          <w:rFonts w:ascii="Times New Roman" w:hAnsi="Times New Roman" w:cs="Times New Roman"/>
        </w:rPr>
        <w:t>.</w:t>
      </w:r>
      <w:r w:rsidRPr="00A55427">
        <w:rPr>
          <w:rFonts w:ascii="Times New Roman" w:hAnsi="Times New Roman" w:cs="Times New Roman"/>
        </w:rPr>
        <w:t xml:space="preserve">  </w:t>
      </w:r>
    </w:p>
    <w:p w:rsidR="0029084D" w:rsidRDefault="0029084D" w:rsidP="00A55427">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448"/>
        <w:gridCol w:w="7992"/>
      </w:tblGrid>
      <w:tr w:rsidR="0029084D" w:rsidTr="00044881">
        <w:tc>
          <w:tcPr>
            <w:tcW w:w="2448" w:type="dxa"/>
          </w:tcPr>
          <w:p w:rsidR="0029084D" w:rsidRPr="00044881" w:rsidRDefault="0029084D" w:rsidP="00A55427">
            <w:pPr>
              <w:rPr>
                <w:rFonts w:ascii="Times New Roman" w:hAnsi="Times New Roman" w:cs="Times New Roman"/>
                <w:b/>
                <w:sz w:val="20"/>
                <w:szCs w:val="20"/>
              </w:rPr>
            </w:pPr>
            <w:r w:rsidRPr="00044881">
              <w:rPr>
                <w:rFonts w:ascii="Times New Roman" w:hAnsi="Times New Roman" w:cs="Times New Roman"/>
                <w:b/>
                <w:sz w:val="20"/>
                <w:szCs w:val="20"/>
              </w:rPr>
              <w:t xml:space="preserve">CMCP addendum </w:t>
            </w:r>
          </w:p>
        </w:tc>
        <w:tc>
          <w:tcPr>
            <w:tcW w:w="7992" w:type="dxa"/>
          </w:tcPr>
          <w:p w:rsidR="0029084D" w:rsidRPr="00044881" w:rsidRDefault="0029084D" w:rsidP="0029084D">
            <w:pPr>
              <w:tabs>
                <w:tab w:val="left" w:pos="360"/>
                <w:tab w:val="left" w:pos="720"/>
                <w:tab w:val="left" w:pos="1080"/>
              </w:tabs>
              <w:rPr>
                <w:rFonts w:ascii="Times New Roman" w:hAnsi="Times New Roman" w:cs="Times New Roman"/>
                <w:sz w:val="20"/>
                <w:szCs w:val="20"/>
              </w:rPr>
            </w:pPr>
            <w:r w:rsidRPr="00044881">
              <w:rPr>
                <w:rFonts w:ascii="Times New Roman" w:hAnsi="Times New Roman" w:cs="Times New Roman"/>
                <w:sz w:val="20"/>
                <w:szCs w:val="20"/>
              </w:rPr>
              <w:t>Name and signature of the person submitting the addendum;</w:t>
            </w:r>
          </w:p>
          <w:p w:rsidR="0029084D" w:rsidRPr="00044881" w:rsidRDefault="0029084D" w:rsidP="0029084D">
            <w:pPr>
              <w:tabs>
                <w:tab w:val="left" w:pos="360"/>
                <w:tab w:val="left" w:pos="720"/>
                <w:tab w:val="left" w:pos="1080"/>
              </w:tabs>
              <w:rPr>
                <w:rFonts w:ascii="Times New Roman" w:hAnsi="Times New Roman" w:cs="Times New Roman"/>
                <w:sz w:val="20"/>
                <w:szCs w:val="20"/>
              </w:rPr>
            </w:pPr>
            <w:r w:rsidRPr="00044881">
              <w:rPr>
                <w:rFonts w:ascii="Times New Roman" w:hAnsi="Times New Roman" w:cs="Times New Roman"/>
                <w:sz w:val="20"/>
                <w:szCs w:val="20"/>
              </w:rPr>
              <w:t>Address, telephone number, fax number and email address of the person submitting</w:t>
            </w:r>
            <w:r w:rsidR="00044881">
              <w:rPr>
                <w:rFonts w:ascii="Times New Roman" w:hAnsi="Times New Roman" w:cs="Times New Roman"/>
                <w:sz w:val="20"/>
                <w:szCs w:val="20"/>
              </w:rPr>
              <w:t xml:space="preserve"> </w:t>
            </w:r>
            <w:r w:rsidRPr="00044881">
              <w:rPr>
                <w:rFonts w:ascii="Times New Roman" w:hAnsi="Times New Roman" w:cs="Times New Roman"/>
                <w:sz w:val="20"/>
                <w:szCs w:val="20"/>
              </w:rPr>
              <w:t xml:space="preserve"> addendum;</w:t>
            </w:r>
          </w:p>
          <w:p w:rsidR="0029084D" w:rsidRPr="00044881" w:rsidRDefault="0029084D" w:rsidP="0029084D">
            <w:pPr>
              <w:tabs>
                <w:tab w:val="left" w:pos="360"/>
                <w:tab w:val="left" w:pos="720"/>
                <w:tab w:val="left" w:pos="1080"/>
              </w:tabs>
              <w:rPr>
                <w:rFonts w:ascii="Times New Roman" w:hAnsi="Times New Roman" w:cs="Times New Roman"/>
                <w:sz w:val="20"/>
                <w:szCs w:val="20"/>
              </w:rPr>
            </w:pPr>
            <w:r w:rsidRPr="00044881">
              <w:rPr>
                <w:rFonts w:ascii="Times New Roman" w:hAnsi="Times New Roman" w:cs="Times New Roman"/>
                <w:sz w:val="20"/>
                <w:szCs w:val="20"/>
              </w:rPr>
              <w:t>Complete description of the proposed CMCP change.</w:t>
            </w:r>
          </w:p>
        </w:tc>
      </w:tr>
    </w:tbl>
    <w:p w:rsidR="00BD4CDE" w:rsidRPr="00290F18" w:rsidRDefault="00BD4CDE" w:rsidP="00290F18">
      <w:pPr>
        <w:tabs>
          <w:tab w:val="left" w:pos="360"/>
          <w:tab w:val="left" w:pos="720"/>
          <w:tab w:val="left" w:pos="1080"/>
          <w:tab w:val="left" w:pos="1440"/>
        </w:tabs>
        <w:spacing w:after="0" w:line="240" w:lineRule="auto"/>
        <w:ind w:left="720" w:hanging="720"/>
        <w:jc w:val="center"/>
        <w:rPr>
          <w:rFonts w:ascii="Times New Roman" w:hAnsi="Times New Roman" w:cs="Times New Roman"/>
          <w:sz w:val="24"/>
          <w:szCs w:val="24"/>
        </w:rPr>
      </w:pPr>
    </w:p>
    <w:sectPr w:rsidR="00BD4CDE" w:rsidRPr="00290F18" w:rsidSect="00A02FBB">
      <w:footerReference w:type="default" r:id="rId10"/>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A2" w:rsidRDefault="002448A2" w:rsidP="00A279FD">
      <w:pPr>
        <w:spacing w:after="0" w:line="240" w:lineRule="auto"/>
      </w:pPr>
      <w:r>
        <w:separator/>
      </w:r>
    </w:p>
  </w:endnote>
  <w:endnote w:type="continuationSeparator" w:id="0">
    <w:p w:rsidR="002448A2" w:rsidRDefault="002448A2" w:rsidP="00A2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223701"/>
      <w:docPartObj>
        <w:docPartGallery w:val="Page Numbers (Bottom of Page)"/>
        <w:docPartUnique/>
      </w:docPartObj>
    </w:sdtPr>
    <w:sdtEndPr/>
    <w:sdtContent>
      <w:sdt>
        <w:sdtPr>
          <w:id w:val="-1669238322"/>
          <w:docPartObj>
            <w:docPartGallery w:val="Page Numbers (Top of Page)"/>
            <w:docPartUnique/>
          </w:docPartObj>
        </w:sdtPr>
        <w:sdtEndPr/>
        <w:sdtContent>
          <w:p w:rsidR="00A279FD" w:rsidRDefault="00A279FD">
            <w:pPr>
              <w:pStyle w:val="Footer"/>
              <w:jc w:val="center"/>
            </w:pPr>
          </w:p>
          <w:p w:rsidR="00A279FD" w:rsidRDefault="00A279FD">
            <w:pPr>
              <w:pStyle w:val="Footer"/>
              <w:jc w:val="center"/>
            </w:pPr>
            <w:r>
              <w:t>CMCP for Shoreside Processors &amp; SFPs</w:t>
            </w:r>
          </w:p>
          <w:p w:rsidR="00A279FD" w:rsidRDefault="00A279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1390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3905">
              <w:rPr>
                <w:b/>
                <w:bCs/>
                <w:noProof/>
              </w:rPr>
              <w:t>2</w:t>
            </w:r>
            <w:r>
              <w:rPr>
                <w:b/>
                <w:bCs/>
                <w:sz w:val="24"/>
                <w:szCs w:val="24"/>
              </w:rPr>
              <w:fldChar w:fldCharType="end"/>
            </w:r>
          </w:p>
        </w:sdtContent>
      </w:sdt>
    </w:sdtContent>
  </w:sdt>
  <w:p w:rsidR="00A279FD" w:rsidRDefault="00A279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A2" w:rsidRDefault="002448A2" w:rsidP="00A279FD">
      <w:pPr>
        <w:spacing w:after="0" w:line="240" w:lineRule="auto"/>
      </w:pPr>
      <w:r>
        <w:separator/>
      </w:r>
    </w:p>
  </w:footnote>
  <w:footnote w:type="continuationSeparator" w:id="0">
    <w:p w:rsidR="002448A2" w:rsidRDefault="002448A2" w:rsidP="00A279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CB"/>
    <w:rsid w:val="00044881"/>
    <w:rsid w:val="000B4A85"/>
    <w:rsid w:val="000F0FBF"/>
    <w:rsid w:val="001D0AC7"/>
    <w:rsid w:val="001D5293"/>
    <w:rsid w:val="00242CD7"/>
    <w:rsid w:val="002448A2"/>
    <w:rsid w:val="0029084D"/>
    <w:rsid w:val="00290F18"/>
    <w:rsid w:val="00386E23"/>
    <w:rsid w:val="003F1328"/>
    <w:rsid w:val="003F2AB3"/>
    <w:rsid w:val="00443066"/>
    <w:rsid w:val="004B131E"/>
    <w:rsid w:val="004E0023"/>
    <w:rsid w:val="00524505"/>
    <w:rsid w:val="008E4EF6"/>
    <w:rsid w:val="00913905"/>
    <w:rsid w:val="0094694E"/>
    <w:rsid w:val="00967EB1"/>
    <w:rsid w:val="00983DA3"/>
    <w:rsid w:val="00A02FBB"/>
    <w:rsid w:val="00A279FD"/>
    <w:rsid w:val="00A55427"/>
    <w:rsid w:val="00AE00F2"/>
    <w:rsid w:val="00AE6FCB"/>
    <w:rsid w:val="00BD4CDE"/>
    <w:rsid w:val="00E61CEA"/>
    <w:rsid w:val="00E628B2"/>
    <w:rsid w:val="00EA5EB0"/>
    <w:rsid w:val="00EB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3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066"/>
    <w:rPr>
      <w:rFonts w:ascii="Tahoma" w:hAnsi="Tahoma" w:cs="Tahoma"/>
      <w:sz w:val="16"/>
      <w:szCs w:val="16"/>
    </w:rPr>
  </w:style>
  <w:style w:type="paragraph" w:styleId="Header">
    <w:name w:val="header"/>
    <w:basedOn w:val="Normal"/>
    <w:link w:val="HeaderChar"/>
    <w:uiPriority w:val="99"/>
    <w:unhideWhenUsed/>
    <w:rsid w:val="00A27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9FD"/>
  </w:style>
  <w:style w:type="paragraph" w:styleId="Footer">
    <w:name w:val="footer"/>
    <w:basedOn w:val="Normal"/>
    <w:link w:val="FooterChar"/>
    <w:uiPriority w:val="99"/>
    <w:unhideWhenUsed/>
    <w:rsid w:val="00A27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3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066"/>
    <w:rPr>
      <w:rFonts w:ascii="Tahoma" w:hAnsi="Tahoma" w:cs="Tahoma"/>
      <w:sz w:val="16"/>
      <w:szCs w:val="16"/>
    </w:rPr>
  </w:style>
  <w:style w:type="paragraph" w:styleId="Header">
    <w:name w:val="header"/>
    <w:basedOn w:val="Normal"/>
    <w:link w:val="HeaderChar"/>
    <w:uiPriority w:val="99"/>
    <w:unhideWhenUsed/>
    <w:rsid w:val="00A27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9FD"/>
  </w:style>
  <w:style w:type="paragraph" w:styleId="Footer">
    <w:name w:val="footer"/>
    <w:basedOn w:val="Normal"/>
    <w:link w:val="FooterChar"/>
    <w:uiPriority w:val="99"/>
    <w:unhideWhenUsed/>
    <w:rsid w:val="00A27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329C-40DF-4A7D-B437-3113D12A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SYSTEM</cp:lastModifiedBy>
  <cp:revision>2</cp:revision>
  <dcterms:created xsi:type="dcterms:W3CDTF">2017-09-11T18:47:00Z</dcterms:created>
  <dcterms:modified xsi:type="dcterms:W3CDTF">2017-09-11T18:47:00Z</dcterms:modified>
</cp:coreProperties>
</file>