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bookmarkStart w:id="1" w:name="_GoBack"/>
      <w:bookmarkEnd w:id="1"/>
      <w:r>
        <w:rPr>
          <w:u w:val="single"/>
        </w:rPr>
        <w:t>SUPPORTING STATEMENT</w:t>
      </w:r>
    </w:p>
    <w:p w:rsidR="00F32885" w:rsidRDefault="00F32885" w:rsidP="00AC5BD4">
      <w:pPr>
        <w:pStyle w:val="NormalWeb"/>
        <w:tabs>
          <w:tab w:val="left" w:pos="360"/>
          <w:tab w:val="left" w:pos="720"/>
          <w:tab w:val="left" w:pos="1080"/>
          <w:tab w:val="left" w:pos="1440"/>
        </w:tabs>
        <w:spacing w:line="288" w:lineRule="atLeast"/>
        <w:jc w:val="center"/>
        <w:rPr>
          <w:u w:val="single"/>
        </w:rPr>
      </w:pPr>
      <w:r>
        <w:rPr>
          <w:u w:val="single"/>
        </w:rPr>
        <w:t>OMB Control Number</w:t>
      </w:r>
      <w:r w:rsidR="00DF78EC">
        <w:rPr>
          <w:u w:val="single"/>
        </w:rPr>
        <w:t xml:space="preserve"> 0704-0441</w:t>
      </w:r>
      <w:r w:rsidR="008972BD">
        <w:rPr>
          <w:u w:val="single"/>
        </w:rPr>
        <w:t xml:space="preserve"> — </w:t>
      </w:r>
      <w:r w:rsidR="00AC4386">
        <w:rPr>
          <w:u w:val="single"/>
        </w:rPr>
        <w:t xml:space="preserve">Defense Federal Acquisition Regulation Supplement, </w:t>
      </w:r>
      <w:r w:rsidR="00A5318F">
        <w:rPr>
          <w:u w:val="single"/>
        </w:rPr>
        <w:t xml:space="preserve">   </w:t>
      </w:r>
      <w:r w:rsidR="00AC4386">
        <w:rPr>
          <w:u w:val="single"/>
        </w:rPr>
        <w:t>Part 246</w:t>
      </w:r>
      <w:r w:rsidR="00B5481B">
        <w:rPr>
          <w:u w:val="single"/>
        </w:rPr>
        <w:t>, Quality Assurance,</w:t>
      </w:r>
      <w:r w:rsidR="00AC4386">
        <w:rPr>
          <w:u w:val="single"/>
        </w:rPr>
        <w:t xml:space="preserve"> and Related Clauses in DFARS 252.246</w:t>
      </w:r>
    </w:p>
    <w:p w:rsidR="005E0A0F" w:rsidRDefault="005E0A0F" w:rsidP="00AC5BD4">
      <w:pPr>
        <w:pStyle w:val="NormalWeb"/>
        <w:tabs>
          <w:tab w:val="left" w:pos="360"/>
          <w:tab w:val="left" w:pos="720"/>
          <w:tab w:val="left" w:pos="1080"/>
          <w:tab w:val="left" w:pos="1440"/>
        </w:tabs>
        <w:spacing w:line="288" w:lineRule="atLeast"/>
      </w:pPr>
      <w:r>
        <w:t>A.</w:t>
      </w:r>
      <w:r w:rsidR="00AC4386">
        <w:t xml:space="preserve"> </w:t>
      </w:r>
      <w:r>
        <w:t xml:space="preserve"> </w:t>
      </w:r>
      <w:r>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2" w:name="cp432"/>
      <w:bookmarkEnd w:id="0"/>
      <w:r>
        <w:tab/>
      </w:r>
      <w:r w:rsidR="005E0A0F">
        <w:t>1.</w:t>
      </w:r>
      <w:r w:rsidR="00AC4386">
        <w:t xml:space="preserve"> </w:t>
      </w:r>
      <w:r w:rsidR="005E0A0F">
        <w:t xml:space="preserve"> </w:t>
      </w:r>
      <w:r w:rsidR="005E0A0F">
        <w:rPr>
          <w:u w:val="single"/>
        </w:rPr>
        <w:t>Need for the Information Collection</w:t>
      </w:r>
    </w:p>
    <w:bookmarkEnd w:id="2"/>
    <w:p w:rsidR="00AC4386" w:rsidRDefault="00AC5BD4" w:rsidP="00AC5BD4">
      <w:pPr>
        <w:pStyle w:val="NormalWeb"/>
        <w:tabs>
          <w:tab w:val="left" w:pos="360"/>
          <w:tab w:val="left" w:pos="720"/>
          <w:tab w:val="left" w:pos="1080"/>
          <w:tab w:val="left" w:pos="1440"/>
        </w:tabs>
        <w:spacing w:line="288" w:lineRule="atLeast"/>
      </w:pPr>
      <w:r>
        <w:tab/>
      </w:r>
      <w:r>
        <w:tab/>
      </w:r>
      <w:bookmarkStart w:id="3" w:name="OLE_LINK5"/>
      <w:r w:rsidR="00AC4386">
        <w:t xml:space="preserve">This justification supports renewal </w:t>
      </w:r>
      <w:r w:rsidR="00EB07CF">
        <w:t xml:space="preserve">and revision </w:t>
      </w:r>
      <w:r w:rsidR="00AC4386">
        <w:t>of OMB Control Number 0704-0441</w:t>
      </w:r>
      <w:r w:rsidR="00DF78EC">
        <w:t>.  This renewal</w:t>
      </w:r>
      <w:r w:rsidR="00AC4386">
        <w:t xml:space="preserve"> include</w:t>
      </w:r>
      <w:r w:rsidR="00917D8E">
        <w:t>s</w:t>
      </w:r>
      <w:r w:rsidR="00AC4386">
        <w:t xml:space="preserve"> the incorporation of OMB Control Number 0704-0</w:t>
      </w:r>
      <w:r w:rsidR="0005162C">
        <w:t>541.</w:t>
      </w:r>
      <w:r w:rsidR="00AC4386">
        <w:t xml:space="preserve">  </w:t>
      </w:r>
      <w:r w:rsidR="00917D8E">
        <w:t>The information collections under OMB Control Number 0704-0441</w:t>
      </w:r>
      <w:r w:rsidR="00AC4386">
        <w:t xml:space="preserve"> </w:t>
      </w:r>
      <w:r w:rsidR="00BF5E1B">
        <w:t>now</w:t>
      </w:r>
      <w:r w:rsidR="00917D8E">
        <w:t xml:space="preserve"> </w:t>
      </w:r>
      <w:r w:rsidR="00AC4386">
        <w:t>pertain to</w:t>
      </w:r>
      <w:r w:rsidR="00917D8E">
        <w:t xml:space="preserve"> all</w:t>
      </w:r>
      <w:r w:rsidR="00AC4386">
        <w:t xml:space="preserve"> information that offerors or contractors must submit related to </w:t>
      </w:r>
      <w:r w:rsidR="00917D8E">
        <w:t xml:space="preserve">DFARS </w:t>
      </w:r>
      <w:r w:rsidR="00AC4386">
        <w:t>contract quality assurance programs.</w:t>
      </w:r>
      <w:bookmarkEnd w:id="3"/>
      <w:r w:rsidR="00AC4386">
        <w:t xml:space="preserve"> </w:t>
      </w:r>
      <w:r w:rsidR="00917D8E">
        <w:t xml:space="preserve"> (See paragraph 4 below.) </w:t>
      </w:r>
      <w:r w:rsidR="00AC4386">
        <w:t xml:space="preserve"> Specific circumstances requiring information colle</w:t>
      </w:r>
      <w:r w:rsidR="00B96A61">
        <w:t xml:space="preserve">ctions </w:t>
      </w:r>
      <w:r w:rsidR="00DF78EC">
        <w:t xml:space="preserve">under 0704-0441 </w:t>
      </w:r>
      <w:r w:rsidR="00B96A61">
        <w:t>are as follows:</w:t>
      </w:r>
    </w:p>
    <w:p w:rsidR="00B96A61" w:rsidRDefault="00EB0C6C" w:rsidP="00AC5BD4">
      <w:pPr>
        <w:pStyle w:val="NormalWeb"/>
        <w:tabs>
          <w:tab w:val="left" w:pos="360"/>
          <w:tab w:val="left" w:pos="720"/>
          <w:tab w:val="left" w:pos="1080"/>
          <w:tab w:val="left" w:pos="1440"/>
        </w:tabs>
        <w:spacing w:line="288" w:lineRule="atLeast"/>
      </w:pPr>
      <w:r>
        <w:tab/>
      </w:r>
      <w:r>
        <w:tab/>
      </w:r>
      <w:bookmarkStart w:id="4" w:name="OLE_LINK1"/>
      <w:bookmarkStart w:id="5" w:name="OLE_LINK2"/>
      <w:r>
        <w:t>a.  252.2</w:t>
      </w:r>
      <w:r w:rsidR="00B96A61">
        <w:t>46</w:t>
      </w:r>
      <w:r>
        <w:t>-7</w:t>
      </w:r>
      <w:r w:rsidR="00B96A61">
        <w:t>003</w:t>
      </w:r>
      <w:r>
        <w:t xml:space="preserve">, </w:t>
      </w:r>
      <w:r w:rsidR="00B96A61">
        <w:t>Notification of Potential Safety Issues</w:t>
      </w:r>
      <w:r>
        <w:t>, requires contractors to</w:t>
      </w:r>
      <w:r w:rsidR="00B96A61">
        <w:t xml:space="preserve"> provide notification of (1) all nonconformances for parts identified as critical safety items acquired by the Government under the contract, and (2) all nonconformances or deficiencies that may result in a safety impact for systems, or subsystems, assemblies, subassemblies, or parts integral to a system acquired by or serviced for the Government under the contract.</w:t>
      </w:r>
    </w:p>
    <w:p w:rsidR="00EB0C6C" w:rsidRDefault="00EB0C6C" w:rsidP="00AC5BD4">
      <w:pPr>
        <w:pStyle w:val="NormalWeb"/>
        <w:tabs>
          <w:tab w:val="left" w:pos="360"/>
          <w:tab w:val="left" w:pos="720"/>
          <w:tab w:val="left" w:pos="1080"/>
          <w:tab w:val="left" w:pos="1440"/>
        </w:tabs>
        <w:spacing w:line="288" w:lineRule="atLeast"/>
      </w:pPr>
      <w:r>
        <w:tab/>
      </w:r>
      <w:r>
        <w:tab/>
        <w:t xml:space="preserve">b.  </w:t>
      </w:r>
      <w:r w:rsidRPr="00EB0C6C">
        <w:t>252.2</w:t>
      </w:r>
      <w:r w:rsidR="00B96A61">
        <w:t>46</w:t>
      </w:r>
      <w:r w:rsidRPr="00EB0C6C">
        <w:t>-7</w:t>
      </w:r>
      <w:r w:rsidR="00B96A61">
        <w:t>005</w:t>
      </w:r>
      <w:r w:rsidRPr="00EB0C6C">
        <w:t xml:space="preserve">, </w:t>
      </w:r>
      <w:r w:rsidR="00B96A61">
        <w:t>Notice of Warranty Tracking of Serialized Items</w:t>
      </w:r>
      <w:r w:rsidRPr="00EB0C6C">
        <w:t>, requires</w:t>
      </w:r>
      <w:r w:rsidR="00CD69C3">
        <w:t xml:space="preserve"> an</w:t>
      </w:r>
      <w:r w:rsidRPr="00EB0C6C">
        <w:t xml:space="preserve"> offeror to</w:t>
      </w:r>
      <w:r w:rsidR="00B96A61">
        <w:t xml:space="preserve"> provide with its offer</w:t>
      </w:r>
      <w:r w:rsidR="0097366B">
        <w:t>,</w:t>
      </w:r>
      <w:r w:rsidR="00B96A61">
        <w:t xml:space="preserve"> for each contract line item number</w:t>
      </w:r>
      <w:r w:rsidR="0097366B">
        <w:t>,</w:t>
      </w:r>
      <w:r w:rsidR="00B96A61">
        <w:t xml:space="preserve"> </w:t>
      </w:r>
      <w:r w:rsidR="0097366B">
        <w:t xml:space="preserve">warranty tracking </w:t>
      </w:r>
      <w:r w:rsidR="00B96A61">
        <w:t>information for each warranted item</w:t>
      </w:r>
      <w:r w:rsidR="0097366B">
        <w:t>.</w:t>
      </w:r>
    </w:p>
    <w:p w:rsidR="0097366B" w:rsidRDefault="0097366B" w:rsidP="00AC5BD4">
      <w:pPr>
        <w:pStyle w:val="NormalWeb"/>
        <w:tabs>
          <w:tab w:val="left" w:pos="360"/>
          <w:tab w:val="left" w:pos="720"/>
          <w:tab w:val="left" w:pos="1080"/>
          <w:tab w:val="left" w:pos="1440"/>
        </w:tabs>
        <w:spacing w:line="288" w:lineRule="atLeast"/>
      </w:pPr>
      <w:r>
        <w:tab/>
      </w:r>
      <w:r>
        <w:tab/>
        <w:t xml:space="preserve">c.  252.246-7006, Warranty Tracking of Serialized Items, requires contractors, for </w:t>
      </w:r>
      <w:r w:rsidR="005D222D">
        <w:t>warranted items, to provide (1) the unique item identifier, and (2) the warranty repair sour</w:t>
      </w:r>
      <w:r w:rsidR="007425C7">
        <w:t>ce information and instructions.</w:t>
      </w:r>
    </w:p>
    <w:p w:rsidR="00A45D59" w:rsidRDefault="00EF429A" w:rsidP="00A45D59">
      <w:pPr>
        <w:pStyle w:val="NormalWeb"/>
        <w:tabs>
          <w:tab w:val="left" w:pos="720"/>
          <w:tab w:val="left" w:pos="1080"/>
          <w:tab w:val="left" w:pos="1440"/>
        </w:tabs>
        <w:spacing w:line="288" w:lineRule="atLeast"/>
      </w:pPr>
      <w:r>
        <w:tab/>
      </w:r>
      <w:r>
        <w:tab/>
        <w:t xml:space="preserve">d.  </w:t>
      </w:r>
      <w:r w:rsidR="00AF5061">
        <w:t>252.</w:t>
      </w:r>
      <w:r w:rsidR="00614A91">
        <w:t>246-7008, Sources of Electronic Parts</w:t>
      </w:r>
      <w:r w:rsidR="00633FEE">
        <w:t>, p</w:t>
      </w:r>
      <w:r w:rsidR="00A45D59">
        <w:t xml:space="preserve">aragraph (c)(3)(ii) of the clause requires DoD contractors and subcontractors that are not the original manufacturer of or an authorized supplier for an electronic part to make available to the Government, upon request, the </w:t>
      </w:r>
      <w:r w:rsidR="0005162C">
        <w:t>information below.  (Transferred in from 0704-0541.)</w:t>
      </w:r>
    </w:p>
    <w:p w:rsidR="00A45D59" w:rsidRDefault="00A45D59" w:rsidP="006E3E8A">
      <w:pPr>
        <w:pStyle w:val="NormalWeb"/>
        <w:numPr>
          <w:ilvl w:val="0"/>
          <w:numId w:val="4"/>
        </w:numPr>
        <w:tabs>
          <w:tab w:val="left" w:pos="720"/>
          <w:tab w:val="left" w:pos="1080"/>
          <w:tab w:val="left" w:pos="1440"/>
        </w:tabs>
        <w:spacing w:line="288" w:lineRule="atLeast"/>
      </w:pPr>
      <w:r>
        <w:t>Documentation of traceability from the original manufacturer of electronic parts</w:t>
      </w:r>
      <w:r w:rsidR="00EF0922">
        <w:t xml:space="preserve"> to acceptance by the Government</w:t>
      </w:r>
      <w:r>
        <w:t>; or</w:t>
      </w:r>
    </w:p>
    <w:p w:rsidR="00A45D59" w:rsidRDefault="00A45D59" w:rsidP="006E3E8A">
      <w:pPr>
        <w:pStyle w:val="NormalWeb"/>
        <w:numPr>
          <w:ilvl w:val="0"/>
          <w:numId w:val="4"/>
        </w:numPr>
        <w:tabs>
          <w:tab w:val="left" w:pos="720"/>
          <w:tab w:val="left" w:pos="1080"/>
          <w:tab w:val="left" w:pos="1440"/>
        </w:tabs>
        <w:spacing w:line="288" w:lineRule="atLeast"/>
      </w:pPr>
      <w:r>
        <w:t>W</w:t>
      </w:r>
      <w:r w:rsidRPr="00BE130D">
        <w:t>hen traceability of electronic parts cannot be established</w:t>
      </w:r>
      <w:r>
        <w:t>,</w:t>
      </w:r>
      <w:r w:rsidRPr="00BE130D">
        <w:t xml:space="preserve"> </w:t>
      </w:r>
      <w:r>
        <w:t>documentation of the inspection, testing, and authentication performed in accordance with industry standards.</w:t>
      </w:r>
    </w:p>
    <w:p w:rsidR="00A45D59" w:rsidRDefault="00A45D59" w:rsidP="00A45D59">
      <w:pPr>
        <w:pStyle w:val="NormalWeb"/>
        <w:tabs>
          <w:tab w:val="left" w:pos="720"/>
          <w:tab w:val="left" w:pos="1080"/>
          <w:tab w:val="left" w:pos="1440"/>
        </w:tabs>
        <w:spacing w:line="288" w:lineRule="atLeast"/>
      </w:pPr>
      <w:r>
        <w:tab/>
        <w:t>In addition, in accordance with paragraph (b)(3)(ii) of the clause, DoD contractors and subcontractors are required to promptly notify the contracting officer in writing and make available, upon request, documentation of inspection, testing</w:t>
      </w:r>
      <w:r w:rsidR="00620253">
        <w:t>,</w:t>
      </w:r>
      <w:r>
        <w:t xml:space="preserve"> and </w:t>
      </w:r>
      <w:r w:rsidR="00620253">
        <w:t>authentication</w:t>
      </w:r>
      <w:r>
        <w:t xml:space="preserve"> of an electronic part, if the contractor or subcontractor is unable to— </w:t>
      </w:r>
    </w:p>
    <w:p w:rsidR="00A45D59" w:rsidRDefault="00A45D59" w:rsidP="006E3E8A">
      <w:pPr>
        <w:pStyle w:val="NormalWeb"/>
        <w:numPr>
          <w:ilvl w:val="0"/>
          <w:numId w:val="6"/>
        </w:numPr>
        <w:tabs>
          <w:tab w:val="left" w:pos="720"/>
          <w:tab w:val="left" w:pos="1080"/>
          <w:tab w:val="left" w:pos="1440"/>
        </w:tabs>
        <w:spacing w:line="288" w:lineRule="atLeast"/>
      </w:pPr>
      <w:r>
        <w:lastRenderedPageBreak/>
        <w:t>O</w:t>
      </w:r>
      <w:r w:rsidRPr="003930A2">
        <w:t>btain an electronic part that is—</w:t>
      </w:r>
    </w:p>
    <w:p w:rsidR="00A45D59" w:rsidRDefault="00A45D59" w:rsidP="00620253">
      <w:pPr>
        <w:pStyle w:val="NormalWeb"/>
        <w:numPr>
          <w:ilvl w:val="1"/>
          <w:numId w:val="6"/>
        </w:numPr>
        <w:tabs>
          <w:tab w:val="left" w:pos="720"/>
          <w:tab w:val="left" w:pos="1080"/>
          <w:tab w:val="left" w:pos="1440"/>
        </w:tabs>
        <w:spacing w:line="288" w:lineRule="atLeast"/>
      </w:pPr>
      <w:r>
        <w:t>In production by the original manufacturer or an authorized aftermarket manufacturer;</w:t>
      </w:r>
    </w:p>
    <w:p w:rsidR="00A45D59" w:rsidRDefault="00A45D59" w:rsidP="006E3E8A">
      <w:pPr>
        <w:pStyle w:val="NormalWeb"/>
        <w:numPr>
          <w:ilvl w:val="1"/>
          <w:numId w:val="6"/>
        </w:numPr>
        <w:tabs>
          <w:tab w:val="left" w:pos="720"/>
          <w:tab w:val="left" w:pos="1080"/>
          <w:tab w:val="left" w:pos="1440"/>
        </w:tabs>
        <w:spacing w:line="288" w:lineRule="atLeast"/>
      </w:pPr>
      <w:r>
        <w:t xml:space="preserve">Currently available in stock from the original manufacturer, an authorized supplier, or a supplier who obtain such parts exclusively from the original manufacturer or an authorized supplier of those parts; or </w:t>
      </w:r>
    </w:p>
    <w:p w:rsidR="00A45D59" w:rsidRDefault="00A45D59" w:rsidP="006E3E8A">
      <w:pPr>
        <w:pStyle w:val="NormalWeb"/>
        <w:numPr>
          <w:ilvl w:val="1"/>
          <w:numId w:val="6"/>
        </w:numPr>
        <w:tabs>
          <w:tab w:val="left" w:pos="720"/>
          <w:tab w:val="left" w:pos="1080"/>
          <w:tab w:val="left" w:pos="1440"/>
        </w:tabs>
        <w:spacing w:line="288" w:lineRule="atLeast"/>
      </w:pPr>
      <w:r>
        <w:t>From a contractor-approved supplier where the contractor assumes responsibility for the authenticity of the part; or</w:t>
      </w:r>
    </w:p>
    <w:p w:rsidR="00A45D59" w:rsidRDefault="00A45D59" w:rsidP="006E3E8A">
      <w:pPr>
        <w:pStyle w:val="NormalWeb"/>
        <w:numPr>
          <w:ilvl w:val="0"/>
          <w:numId w:val="6"/>
        </w:numPr>
        <w:tabs>
          <w:tab w:val="left" w:pos="720"/>
          <w:tab w:val="left" w:pos="1080"/>
          <w:tab w:val="left" w:pos="1440"/>
        </w:tabs>
        <w:spacing w:line="288" w:lineRule="atLeast"/>
      </w:pPr>
      <w:r>
        <w:t xml:space="preserve">Confirm that an electronic </w:t>
      </w:r>
      <w:r w:rsidRPr="003930A2">
        <w:t>part is new or not previously used and that it has not been comingled in supplier new production or stock with used, refurbished, reclaimed, or returned parts</w:t>
      </w:r>
      <w:r>
        <w:t>.</w:t>
      </w:r>
    </w:p>
    <w:bookmarkEnd w:id="4"/>
    <w:bookmarkEnd w:id="5"/>
    <w:p w:rsidR="005E0A0F" w:rsidRDefault="00AC5BD4" w:rsidP="00AC5BD4">
      <w:pPr>
        <w:pStyle w:val="NormalWeb"/>
        <w:tabs>
          <w:tab w:val="left" w:pos="360"/>
          <w:tab w:val="left" w:pos="720"/>
          <w:tab w:val="left" w:pos="1080"/>
          <w:tab w:val="left" w:pos="1440"/>
        </w:tabs>
        <w:spacing w:line="288" w:lineRule="atLeast"/>
      </w:pPr>
      <w:r>
        <w:tab/>
      </w:r>
      <w:r w:rsidR="005E0A0F">
        <w:t>2.</w:t>
      </w:r>
      <w:r w:rsidR="009F484F">
        <w:t xml:space="preserve">  </w:t>
      </w:r>
      <w:r w:rsidR="005E0A0F">
        <w:rPr>
          <w:u w:val="single"/>
        </w:rPr>
        <w:t>Use of the Information</w:t>
      </w:r>
    </w:p>
    <w:p w:rsidR="00241DFF" w:rsidRDefault="00AC5BD4" w:rsidP="00CD69C3">
      <w:pPr>
        <w:pStyle w:val="NormalWeb"/>
        <w:tabs>
          <w:tab w:val="left" w:pos="360"/>
          <w:tab w:val="left" w:pos="720"/>
          <w:tab w:val="left" w:pos="1080"/>
          <w:tab w:val="left" w:pos="1440"/>
        </w:tabs>
        <w:spacing w:line="288" w:lineRule="atLeast"/>
      </w:pPr>
      <w:r>
        <w:tab/>
      </w:r>
      <w:r>
        <w:tab/>
      </w:r>
      <w:r w:rsidR="00CD69C3">
        <w:t xml:space="preserve">a.  252.246-7003, Notification of Potential Safety Issues.  Contracting officers require timely notification of potential safety defects so that </w:t>
      </w:r>
      <w:r w:rsidR="00241DFF">
        <w:t xml:space="preserve">(1) </w:t>
      </w:r>
      <w:r w:rsidR="00CD69C3">
        <w:t xml:space="preserve">systems and equipment likely affected by the situation can be </w:t>
      </w:r>
      <w:r w:rsidR="007425C7">
        <w:t xml:space="preserve">readily </w:t>
      </w:r>
      <w:r w:rsidR="00CD69C3">
        <w:t>identified</w:t>
      </w:r>
      <w:r w:rsidR="00241DFF">
        <w:t>,</w:t>
      </w:r>
      <w:r w:rsidR="00CD69C3">
        <w:t xml:space="preserve"> </w:t>
      </w:r>
      <w:r w:rsidR="00241DFF">
        <w:t>and (2) appropriate engineering investigation and follow-on actions can be taken to establish and mitigate risk.</w:t>
      </w:r>
    </w:p>
    <w:p w:rsidR="00CD69C3" w:rsidRDefault="00CD69C3" w:rsidP="00CD69C3">
      <w:pPr>
        <w:pStyle w:val="NormalWeb"/>
        <w:tabs>
          <w:tab w:val="left" w:pos="360"/>
          <w:tab w:val="left" w:pos="720"/>
          <w:tab w:val="left" w:pos="1080"/>
          <w:tab w:val="left" w:pos="1440"/>
        </w:tabs>
        <w:spacing w:line="288" w:lineRule="atLeast"/>
      </w:pPr>
      <w:r>
        <w:tab/>
      </w:r>
      <w:r>
        <w:tab/>
        <w:t xml:space="preserve">b.  </w:t>
      </w:r>
      <w:r w:rsidRPr="00EB0C6C">
        <w:t>252.2</w:t>
      </w:r>
      <w:r>
        <w:t>46</w:t>
      </w:r>
      <w:r w:rsidRPr="00EB0C6C">
        <w:t>-7</w:t>
      </w:r>
      <w:r>
        <w:t>005</w:t>
      </w:r>
      <w:r w:rsidRPr="00EB0C6C">
        <w:t xml:space="preserve">, </w:t>
      </w:r>
      <w:r>
        <w:t>Notice of Warranty Tracking of Serialized Items</w:t>
      </w:r>
      <w:r w:rsidR="002A3929">
        <w:t xml:space="preserve">.  </w:t>
      </w:r>
      <w:r w:rsidR="0005249A">
        <w:t>The i</w:t>
      </w:r>
      <w:r w:rsidR="002A3929">
        <w:t xml:space="preserve">nformation provided by offerors under this </w:t>
      </w:r>
      <w:r w:rsidR="008F6DB7">
        <w:t>provision</w:t>
      </w:r>
      <w:r w:rsidRPr="00EB0C6C">
        <w:t xml:space="preserve"> </w:t>
      </w:r>
      <w:r w:rsidR="008F6DB7">
        <w:t>alerts</w:t>
      </w:r>
      <w:r w:rsidR="002A3929">
        <w:t xml:space="preserve"> contracting officers </w:t>
      </w:r>
      <w:r w:rsidR="0005249A">
        <w:t>in</w:t>
      </w:r>
      <w:r w:rsidR="00045364">
        <w:t xml:space="preserve"> those</w:t>
      </w:r>
      <w:r w:rsidR="0005249A">
        <w:t xml:space="preserve"> cases where</w:t>
      </w:r>
      <w:r w:rsidR="002A3929">
        <w:t xml:space="preserve"> the offeror </w:t>
      </w:r>
      <w:r w:rsidR="008F6DB7">
        <w:t xml:space="preserve">is proposing to </w:t>
      </w:r>
      <w:r w:rsidR="002A3929">
        <w:t xml:space="preserve">provide a warranty for </w:t>
      </w:r>
      <w:r w:rsidR="008F6DB7">
        <w:t xml:space="preserve">an </w:t>
      </w:r>
      <w:r w:rsidR="002A3929">
        <w:t>individual contract line item</w:t>
      </w:r>
      <w:r w:rsidR="0005249A">
        <w:t xml:space="preserve"> for which</w:t>
      </w:r>
      <w:r w:rsidR="002A3929">
        <w:t xml:space="preserve"> </w:t>
      </w:r>
      <w:r w:rsidR="007425C7">
        <w:t>DoD</w:t>
      </w:r>
      <w:r w:rsidR="002A3929">
        <w:t xml:space="preserve"> has not specified a warranty</w:t>
      </w:r>
      <w:r w:rsidR="00045364">
        <w:t xml:space="preserve"> in the solicitation</w:t>
      </w:r>
      <w:r w:rsidR="002A3929">
        <w:t xml:space="preserve">.  </w:t>
      </w:r>
      <w:r w:rsidR="00045364">
        <w:t>The warranty notice</w:t>
      </w:r>
      <w:r w:rsidR="008F6DB7">
        <w:t xml:space="preserve"> will permit the Government to recognize and utilize </w:t>
      </w:r>
      <w:r w:rsidR="00045364">
        <w:t>any</w:t>
      </w:r>
      <w:r w:rsidR="008F6DB7">
        <w:t xml:space="preserve"> warranty after contract award.</w:t>
      </w:r>
    </w:p>
    <w:p w:rsidR="00CD69C3" w:rsidRDefault="00CD69C3" w:rsidP="00CD69C3">
      <w:pPr>
        <w:pStyle w:val="NormalWeb"/>
        <w:tabs>
          <w:tab w:val="left" w:pos="360"/>
          <w:tab w:val="left" w:pos="720"/>
          <w:tab w:val="left" w:pos="1080"/>
          <w:tab w:val="left" w:pos="1440"/>
        </w:tabs>
        <w:spacing w:line="288" w:lineRule="atLeast"/>
      </w:pPr>
      <w:r>
        <w:tab/>
      </w:r>
      <w:r>
        <w:tab/>
        <w:t>c.  252.246-7006, Warranty Tracking of Serialized Items</w:t>
      </w:r>
      <w:r w:rsidR="0005162C">
        <w:t>, implements section 818 of the National Defense Authorization Act (NDAA) for Fiscal Year (FY) 2012 (Pub. L. 112-81 as amended by section 817 of the NDAA for FY 2015 (Pub. L. 113-291)</w:t>
      </w:r>
      <w:r w:rsidR="008F6DB7">
        <w:t xml:space="preserve">.  </w:t>
      </w:r>
      <w:r w:rsidR="00045364">
        <w:t xml:space="preserve">The information </w:t>
      </w:r>
      <w:r w:rsidR="00687B44">
        <w:t xml:space="preserve">provided by contractors allows </w:t>
      </w:r>
      <w:r w:rsidR="007425C7">
        <w:t>DoD</w:t>
      </w:r>
      <w:r w:rsidR="00687B44">
        <w:t xml:space="preserve"> to</w:t>
      </w:r>
      <w:r w:rsidR="007425C7">
        <w:t xml:space="preserve"> track warranties for item unique item identification (IUID) required items in the IUID registry to</w:t>
      </w:r>
      <w:r w:rsidR="00687B44">
        <w:t xml:space="preserve"> </w:t>
      </w:r>
      <w:r w:rsidR="007425C7">
        <w:t>obtain</w:t>
      </w:r>
      <w:r w:rsidR="00687B44">
        <w:t xml:space="preserve"> maximum utility of warranties provided on contracted items.</w:t>
      </w:r>
      <w:r w:rsidR="007425C7">
        <w:t xml:space="preserve">  The identification and enforcement of warranties is essential to the effectiveness and efficiency of DoD’s material readiness.  Providing visibility and accountability of warranty data associated with acquired goods, from the identification of the requirement to the expiration date of the warranted item, significantly enhances DoD’s ability to take full advantage of warranties, resulting in—</w:t>
      </w:r>
    </w:p>
    <w:p w:rsidR="007425C7" w:rsidRDefault="007425C7" w:rsidP="00DF78EC">
      <w:pPr>
        <w:pStyle w:val="NormalWeb"/>
        <w:tabs>
          <w:tab w:val="left" w:pos="360"/>
          <w:tab w:val="left" w:pos="720"/>
          <w:tab w:val="left" w:pos="1080"/>
          <w:tab w:val="left" w:pos="1440"/>
        </w:tabs>
        <w:spacing w:before="0" w:beforeAutospacing="0" w:after="0" w:afterAutospacing="0"/>
      </w:pPr>
      <w:r>
        <w:tab/>
      </w:r>
      <w:r>
        <w:tab/>
      </w:r>
      <w:r>
        <w:tab/>
      </w:r>
      <w:r w:rsidR="004818C0">
        <w:t>(1)  Reduced costs;</w:t>
      </w:r>
    </w:p>
    <w:p w:rsidR="004818C0" w:rsidRDefault="004818C0" w:rsidP="00DF78EC">
      <w:pPr>
        <w:pStyle w:val="NormalWeb"/>
        <w:tabs>
          <w:tab w:val="left" w:pos="360"/>
          <w:tab w:val="left" w:pos="720"/>
          <w:tab w:val="left" w:pos="1080"/>
          <w:tab w:val="left" w:pos="1440"/>
        </w:tabs>
        <w:spacing w:before="0" w:beforeAutospacing="0" w:after="0" w:afterAutospacing="0"/>
      </w:pPr>
      <w:r>
        <w:tab/>
      </w:r>
      <w:r>
        <w:tab/>
      </w:r>
      <w:r>
        <w:tab/>
        <w:t>(2)  Ability to recognize benefits included at no additional cost;</w:t>
      </w:r>
    </w:p>
    <w:p w:rsidR="004818C0" w:rsidRDefault="004818C0" w:rsidP="00DF78EC">
      <w:pPr>
        <w:pStyle w:val="NormalWeb"/>
        <w:tabs>
          <w:tab w:val="left" w:pos="360"/>
          <w:tab w:val="left" w:pos="720"/>
          <w:tab w:val="left" w:pos="1080"/>
          <w:tab w:val="left" w:pos="1440"/>
        </w:tabs>
        <w:spacing w:before="0" w:beforeAutospacing="0" w:after="0" w:afterAutospacing="0"/>
      </w:pPr>
      <w:r>
        <w:tab/>
      </w:r>
      <w:r>
        <w:tab/>
      </w:r>
      <w:r>
        <w:tab/>
        <w:t>(3)  Ability to compare performance against Government-specified warranties; and</w:t>
      </w:r>
    </w:p>
    <w:p w:rsidR="004818C0" w:rsidRDefault="004818C0" w:rsidP="00DF78EC">
      <w:pPr>
        <w:pStyle w:val="NormalWeb"/>
        <w:tabs>
          <w:tab w:val="left" w:pos="360"/>
          <w:tab w:val="left" w:pos="720"/>
          <w:tab w:val="left" w:pos="1080"/>
          <w:tab w:val="left" w:pos="1440"/>
        </w:tabs>
        <w:spacing w:before="0" w:beforeAutospacing="0" w:after="0" w:afterAutospacing="0"/>
      </w:pPr>
      <w:r>
        <w:tab/>
      </w:r>
      <w:r>
        <w:tab/>
      </w:r>
      <w:r>
        <w:tab/>
        <w:t>(4)  Identification of sufficient durations for warranties for specific goods.</w:t>
      </w:r>
    </w:p>
    <w:p w:rsidR="00A45D59" w:rsidRDefault="00A45D59" w:rsidP="00DF78EC">
      <w:pPr>
        <w:pStyle w:val="NormalWeb"/>
        <w:tabs>
          <w:tab w:val="left" w:pos="360"/>
          <w:tab w:val="left" w:pos="720"/>
          <w:tab w:val="left" w:pos="1080"/>
          <w:tab w:val="left" w:pos="1440"/>
        </w:tabs>
        <w:spacing w:before="0" w:beforeAutospacing="0" w:after="0" w:afterAutospacing="0"/>
      </w:pPr>
      <w:r>
        <w:tab/>
      </w:r>
    </w:p>
    <w:p w:rsidR="00A45D59" w:rsidRDefault="00A45D59" w:rsidP="00DF78EC">
      <w:pPr>
        <w:pStyle w:val="NormalWeb"/>
        <w:tabs>
          <w:tab w:val="left" w:pos="360"/>
          <w:tab w:val="left" w:pos="720"/>
          <w:tab w:val="left" w:pos="1080"/>
          <w:tab w:val="left" w:pos="1440"/>
        </w:tabs>
        <w:spacing w:before="0" w:beforeAutospacing="0" w:after="0" w:afterAutospacing="0"/>
      </w:pPr>
      <w:r>
        <w:tab/>
      </w:r>
      <w:r>
        <w:tab/>
        <w:t xml:space="preserve">d.  252.246-7008, Sources of Electronic Parts.  </w:t>
      </w:r>
      <w:r w:rsidRPr="00BD06F8">
        <w:t>The notification</w:t>
      </w:r>
      <w:r>
        <w:t xml:space="preserve"> and documentation </w:t>
      </w:r>
      <w:r w:rsidRPr="00BD06F8">
        <w:t>requirement</w:t>
      </w:r>
      <w:r>
        <w:t>s described in section 1 of this supporting statement</w:t>
      </w:r>
      <w:r w:rsidRPr="00BD06F8">
        <w:t xml:space="preserve"> </w:t>
      </w:r>
      <w:r>
        <w:t>are</w:t>
      </w:r>
      <w:r w:rsidRPr="00BD06F8">
        <w:t xml:space="preserve"> necessary to comply with </w:t>
      </w:r>
      <w:r>
        <w:t>statute</w:t>
      </w:r>
      <w:r w:rsidRPr="00BD06F8">
        <w:t xml:space="preserve">.  The contracting officer will use the information to ensure that the contractor performs </w:t>
      </w:r>
      <w:r w:rsidR="00BF5E1B">
        <w:t xml:space="preserve">traceability/tracking and </w:t>
      </w:r>
      <w:r w:rsidRPr="00BD06F8">
        <w:t>the additional inspection, testing, and authentication required when an electronic part is not obtained from a trusted supplier.  The Government may also use this information to more actively perform acceptance.</w:t>
      </w:r>
    </w:p>
    <w:p w:rsidR="005E0A0F" w:rsidRDefault="00AC5BD4" w:rsidP="00AC5BD4">
      <w:pPr>
        <w:pStyle w:val="NormalWeb"/>
        <w:tabs>
          <w:tab w:val="left" w:pos="360"/>
          <w:tab w:val="left" w:pos="720"/>
          <w:tab w:val="left" w:pos="1080"/>
          <w:tab w:val="left" w:pos="1440"/>
        </w:tabs>
        <w:spacing w:line="288" w:lineRule="atLeast"/>
        <w:rPr>
          <w:u w:val="single"/>
        </w:rPr>
      </w:pPr>
      <w:r>
        <w:tab/>
      </w:r>
      <w:r w:rsidR="005E0A0F">
        <w:t>3.</w:t>
      </w:r>
      <w:r w:rsidR="009F484F">
        <w:t xml:space="preserve">  </w:t>
      </w:r>
      <w:r w:rsidR="005E0A0F">
        <w:rPr>
          <w:u w:val="single"/>
        </w:rPr>
        <w:t>Use of Information Technology</w:t>
      </w:r>
    </w:p>
    <w:p w:rsidR="009B6F1D" w:rsidRDefault="004818C0" w:rsidP="00AC5BD4">
      <w:pPr>
        <w:pStyle w:val="NormalWeb"/>
        <w:tabs>
          <w:tab w:val="left" w:pos="360"/>
          <w:tab w:val="left" w:pos="720"/>
          <w:tab w:val="left" w:pos="1080"/>
          <w:tab w:val="left" w:pos="1440"/>
        </w:tabs>
        <w:spacing w:line="288" w:lineRule="atLeast"/>
      </w:pPr>
      <w:r>
        <w:tab/>
      </w:r>
      <w:r>
        <w:tab/>
        <w:t>Information technology is used to the maximum extent</w:t>
      </w:r>
      <w:r w:rsidR="00307B14" w:rsidRPr="00307B14">
        <w:t xml:space="preserve"> practicable</w:t>
      </w:r>
      <w:r w:rsidR="00307B14">
        <w:t xml:space="preserve"> and </w:t>
      </w:r>
      <w:r w:rsidR="00307B14" w:rsidRPr="00307B14">
        <w:t>100 percent of the responses are anticipated to be collected electronically</w:t>
      </w:r>
      <w:r w:rsidR="00B83E95" w:rsidRPr="00B83E95">
        <w:t>.</w:t>
      </w:r>
      <w:r w:rsidR="00B83E95">
        <w:t xml:space="preserve">  </w:t>
      </w:r>
      <w:r>
        <w:t>Contractors are required to submit their warranty data in electronic format that is accessible via the Product Data Reporting and Evaluation Program</w:t>
      </w:r>
      <w:r w:rsidR="00AE6FF8">
        <w:t xml:space="preserve"> (PEDREP)</w:t>
      </w:r>
      <w:r>
        <w:t xml:space="preserve"> to record the warranty and source of repair information.</w:t>
      </w:r>
      <w:r w:rsidR="00AE6FF8">
        <w:t xml:space="preserve">  Use of the electronic PEDREP formats ensures that the data elements for warranty terms are effectively transmitted through various systems, such as Electronic Document Access, </w:t>
      </w:r>
      <w:r w:rsidR="009B3224" w:rsidRPr="009B3224">
        <w:t>Procurement Integrated Enterprise Environment (PIEE)</w:t>
      </w:r>
      <w:r w:rsidR="009B3224">
        <w:t xml:space="preserve"> (formerly known as </w:t>
      </w:r>
      <w:r w:rsidR="00AE6FF8">
        <w:t>Wide Area WorkFlow</w:t>
      </w:r>
      <w:r w:rsidR="009B3224">
        <w:t>)</w:t>
      </w:r>
      <w:r w:rsidR="00AE6FF8">
        <w:t>, the Invoice, Receipt, Acceptance and Property Transfer module and the PEDREP Warranty Tracking database.</w:t>
      </w:r>
      <w:r w:rsidR="0005162C">
        <w:t xml:space="preserve">  Compliance </w:t>
      </w:r>
      <w:r w:rsidR="00BF5E1B">
        <w:t>documentation</w:t>
      </w:r>
      <w:r w:rsidR="0005162C">
        <w:t xml:space="preserve"> for </w:t>
      </w:r>
      <w:r w:rsidR="00F30F68">
        <w:t xml:space="preserve">electronic parts may also be submitted via electronic means. </w:t>
      </w:r>
    </w:p>
    <w:p w:rsidR="005E0A0F" w:rsidRDefault="00AC5BD4" w:rsidP="00AC5BD4">
      <w:pPr>
        <w:pStyle w:val="NormalWeb"/>
        <w:tabs>
          <w:tab w:val="left" w:pos="360"/>
          <w:tab w:val="left" w:pos="720"/>
          <w:tab w:val="left" w:pos="1080"/>
          <w:tab w:val="left" w:pos="1440"/>
        </w:tabs>
        <w:spacing w:line="288" w:lineRule="atLeast"/>
      </w:pPr>
      <w:r>
        <w:tab/>
      </w:r>
      <w:r w:rsidR="005E0A0F">
        <w:t>4.</w:t>
      </w:r>
      <w:r w:rsidR="009F484F">
        <w:t xml:space="preserve">  </w:t>
      </w:r>
      <w:r w:rsidR="005E0A0F">
        <w:rPr>
          <w:u w:val="single"/>
        </w:rPr>
        <w:t>Non-duplication</w:t>
      </w:r>
    </w:p>
    <w:p w:rsidR="00FB3212" w:rsidRDefault="00AC5BD4" w:rsidP="00AC5BD4">
      <w:pPr>
        <w:pStyle w:val="NormalWeb"/>
        <w:tabs>
          <w:tab w:val="left" w:pos="360"/>
          <w:tab w:val="left" w:pos="720"/>
          <w:tab w:val="left" w:pos="1080"/>
          <w:tab w:val="left" w:pos="1440"/>
        </w:tabs>
        <w:spacing w:line="288" w:lineRule="atLeast"/>
      </w:pPr>
      <w:r>
        <w:tab/>
      </w:r>
      <w:r>
        <w:tab/>
      </w:r>
      <w:bookmarkStart w:id="6" w:name="cp440"/>
      <w:r w:rsidR="00AE6FF8">
        <w:t>As a matter of policy, DoD reviews the Federal Acquisition Regulation to determine if adequate language already exists.  The language in DFARS part 246 applies solely to DoD and is not considered duplicative of the language in FAR part 46.  Since the nature of the reporting requirement is contract specific, similar information is not readily available.</w:t>
      </w:r>
    </w:p>
    <w:p w:rsidR="004720BE" w:rsidRDefault="004720BE" w:rsidP="00AC5BD4">
      <w:pPr>
        <w:pStyle w:val="NormalWeb"/>
        <w:tabs>
          <w:tab w:val="left" w:pos="360"/>
          <w:tab w:val="left" w:pos="720"/>
          <w:tab w:val="left" w:pos="1080"/>
          <w:tab w:val="left" w:pos="1440"/>
        </w:tabs>
        <w:spacing w:line="288" w:lineRule="atLeast"/>
      </w:pPr>
      <w:r>
        <w:tab/>
      </w:r>
      <w:r>
        <w:tab/>
      </w:r>
      <w:r w:rsidR="00917D8E">
        <w:t>DoD strives to streamline management of Paperwork Reduction Act requirements and looks for opportunities to consolidate the number of individual renewals required for each DFARS part during the three-year renewal cycle.  Accordingly, the information collection requirement approved under OMB Control Number 0704-0</w:t>
      </w:r>
      <w:r w:rsidR="006E3E8A">
        <w:t>541</w:t>
      </w:r>
      <w:r w:rsidR="00917D8E">
        <w:t xml:space="preserve">, which expires </w:t>
      </w:r>
      <w:r w:rsidR="006E3E8A">
        <w:t>September 30, 2019</w:t>
      </w:r>
      <w:r w:rsidR="00917D8E">
        <w:t xml:space="preserve">, </w:t>
      </w:r>
      <w:r w:rsidR="004230D6">
        <w:t>is</w:t>
      </w:r>
      <w:r w:rsidR="00917D8E">
        <w:t xml:space="preserve"> being included in this justification for inclusion under 0704-0441.  Upon the approval of the expansion and extension of OMB Control Number 0704-0441, OMB will be requested to discontinue 0704-0</w:t>
      </w:r>
      <w:r w:rsidR="006E3E8A">
        <w:t>541</w:t>
      </w:r>
      <w:r w:rsidR="00917D8E">
        <w:t>.</w:t>
      </w:r>
    </w:p>
    <w:p w:rsidR="005E0A0F" w:rsidRDefault="00AC5BD4" w:rsidP="00AC5BD4">
      <w:pPr>
        <w:pStyle w:val="NormalWeb"/>
        <w:tabs>
          <w:tab w:val="left" w:pos="360"/>
          <w:tab w:val="left" w:pos="720"/>
          <w:tab w:val="left" w:pos="1080"/>
          <w:tab w:val="left" w:pos="1440"/>
        </w:tabs>
        <w:spacing w:line="288" w:lineRule="atLeast"/>
      </w:pPr>
      <w:r>
        <w:tab/>
      </w:r>
      <w:r w:rsidR="005E0A0F">
        <w:t>5.</w:t>
      </w:r>
      <w:r w:rsidR="009F484F">
        <w:t xml:space="preserve">  </w:t>
      </w:r>
      <w:r w:rsidR="005E0A0F">
        <w:rPr>
          <w:u w:val="single"/>
        </w:rPr>
        <w:t>Burden on Small Business</w:t>
      </w:r>
    </w:p>
    <w:p w:rsidR="00FB3212" w:rsidRDefault="00AC5BD4" w:rsidP="00AC5BD4">
      <w:pPr>
        <w:pStyle w:val="NormalWeb"/>
        <w:tabs>
          <w:tab w:val="left" w:pos="360"/>
          <w:tab w:val="left" w:pos="720"/>
          <w:tab w:val="left" w:pos="1080"/>
          <w:tab w:val="left" w:pos="1440"/>
        </w:tabs>
        <w:spacing w:line="288" w:lineRule="atLeast"/>
      </w:pPr>
      <w:bookmarkStart w:id="7" w:name="cp441"/>
      <w:bookmarkEnd w:id="6"/>
      <w:r>
        <w:tab/>
      </w:r>
      <w:r>
        <w:tab/>
      </w:r>
      <w:bookmarkEnd w:id="7"/>
      <w:r w:rsidR="00AE6FF8" w:rsidRPr="00AE6FF8">
        <w:t>The collection of this information is not expected to have a significant impact on a substantial number of small businesses or other small entities.  The requirements for information collection are only occasional as the circumstances dictate.  The burden applied to small business is the minimum consistent with applicable laws, Executive orders, regulations, and prudent business practices.</w:t>
      </w:r>
    </w:p>
    <w:p w:rsidR="005E0A0F" w:rsidRDefault="00AC5BD4" w:rsidP="00AC5BD4">
      <w:pPr>
        <w:pStyle w:val="NormalWeb"/>
        <w:tabs>
          <w:tab w:val="left" w:pos="360"/>
          <w:tab w:val="left" w:pos="720"/>
          <w:tab w:val="left" w:pos="1080"/>
          <w:tab w:val="left" w:pos="1440"/>
        </w:tabs>
        <w:spacing w:line="288" w:lineRule="atLeast"/>
      </w:pPr>
      <w:r>
        <w:tab/>
      </w:r>
      <w:r w:rsidR="005E0A0F">
        <w:t>6.</w:t>
      </w:r>
      <w:r w:rsidR="009F484F">
        <w:t xml:space="preserve">  </w:t>
      </w:r>
      <w:r w:rsidR="005E0A0F">
        <w:rPr>
          <w:u w:val="single"/>
        </w:rPr>
        <w:t>Less Frequent Collection</w:t>
      </w:r>
    </w:p>
    <w:p w:rsidR="00FB3212" w:rsidRDefault="00AC5BD4" w:rsidP="00AC5BD4">
      <w:pPr>
        <w:pStyle w:val="NormalWeb"/>
        <w:tabs>
          <w:tab w:val="left" w:pos="360"/>
          <w:tab w:val="left" w:pos="720"/>
          <w:tab w:val="left" w:pos="1080"/>
          <w:tab w:val="left" w:pos="1440"/>
        </w:tabs>
        <w:spacing w:line="288" w:lineRule="atLeast"/>
      </w:pPr>
      <w:bookmarkStart w:id="8" w:name="cp444"/>
      <w:r>
        <w:tab/>
      </w:r>
      <w:r>
        <w:tab/>
      </w:r>
      <w:r w:rsidR="00AE6FF8">
        <w:t xml:space="preserve">Since the nature of the reporting requirement is contract specific, similar information is not readily available elsewhere; therefore, collection is required on a case-by-case basis pursuant to the solicitation </w:t>
      </w:r>
      <w:r w:rsidR="00DF78EC">
        <w:t xml:space="preserve">provision </w:t>
      </w:r>
      <w:r w:rsidR="00AE6FF8">
        <w:t xml:space="preserve">or contract </w:t>
      </w:r>
      <w:r w:rsidR="00DF78EC">
        <w:t>clause requirements</w:t>
      </w:r>
      <w:r w:rsidR="00AE6FF8">
        <w:t>.  The consequence of not collecting the information in this manner is the potential for safety repercussions or the loss of warranties for contracted items.</w:t>
      </w:r>
      <w:r w:rsidR="00A45D59">
        <w:t xml:space="preserve">  For clause 252.246-7008, contractors will only make documentation regarding traceability and inspection, testing, and authentication, upon request by the Government</w:t>
      </w:r>
      <w:r w:rsidR="00A45D59" w:rsidRPr="00BD06F8">
        <w:t xml:space="preserve">.  </w:t>
      </w:r>
      <w:r w:rsidR="00A45D59">
        <w:t>In addition, t</w:t>
      </w:r>
      <w:r w:rsidR="00A45D59" w:rsidRPr="00BD06F8">
        <w:t xml:space="preserve">he contractor is only required to notify the contracting officer if the contractor is </w:t>
      </w:r>
      <w:r w:rsidR="00A45D59" w:rsidRPr="00FE51CB">
        <w:rPr>
          <w:i/>
          <w:u w:val="single"/>
        </w:rPr>
        <w:t>unable</w:t>
      </w:r>
      <w:r w:rsidR="00A45D59" w:rsidRPr="00BD06F8">
        <w:t xml:space="preserve"> to buy an electronic part from a trusted supplier</w:t>
      </w:r>
      <w:r w:rsidR="00A45D59">
        <w:t>.  Also, i</w:t>
      </w:r>
      <w:r w:rsidR="00A45D59" w:rsidRPr="003930A2">
        <w:t>f such notification is required for an electronic part to be used in a designated lot of assemblies to be acquired under a single contract, the Contractor may submit one notification for the lot, providing identification of the assemblies containing the parts</w:t>
      </w:r>
      <w:r w:rsidR="00A45D59">
        <w:t>.</w:t>
      </w:r>
    </w:p>
    <w:p w:rsidR="005E0A0F" w:rsidRDefault="00AC5BD4" w:rsidP="00AC5BD4">
      <w:pPr>
        <w:pStyle w:val="NormalWeb"/>
        <w:tabs>
          <w:tab w:val="left" w:pos="360"/>
          <w:tab w:val="left" w:pos="720"/>
          <w:tab w:val="left" w:pos="1080"/>
          <w:tab w:val="left" w:pos="1440"/>
        </w:tabs>
        <w:spacing w:line="288" w:lineRule="atLeast"/>
      </w:pPr>
      <w:r>
        <w:tab/>
      </w:r>
      <w:r w:rsidR="005E0A0F">
        <w:t>7.</w:t>
      </w:r>
      <w:r w:rsidR="009F484F">
        <w:t xml:space="preserve">  </w:t>
      </w:r>
      <w:r w:rsidR="005E0A0F">
        <w:rPr>
          <w:u w:val="single"/>
        </w:rPr>
        <w:t>Paperwork Reduction Act Guidelines</w:t>
      </w:r>
    </w:p>
    <w:p w:rsidR="000133D0" w:rsidRDefault="00AC5BD4" w:rsidP="00AC5BD4">
      <w:pPr>
        <w:pStyle w:val="NormalWeb"/>
        <w:tabs>
          <w:tab w:val="left" w:pos="360"/>
          <w:tab w:val="left" w:pos="720"/>
          <w:tab w:val="left" w:pos="1080"/>
          <w:tab w:val="left" w:pos="1440"/>
        </w:tabs>
        <w:spacing w:line="288" w:lineRule="atLeast"/>
      </w:pPr>
      <w:bookmarkStart w:id="9" w:name="cp446"/>
      <w:bookmarkEnd w:id="8"/>
      <w:r>
        <w:tab/>
      </w:r>
      <w:r>
        <w:tab/>
      </w:r>
      <w:r w:rsidR="000133D0" w:rsidRPr="000133D0">
        <w:t>There are no special circumstances for collection.  Collection of this information is consistent with the guidelines at 5 CFR 1320.5(d)(2).</w:t>
      </w:r>
    </w:p>
    <w:p w:rsidR="005E0A0F" w:rsidRDefault="00AC5BD4" w:rsidP="00AC5BD4">
      <w:pPr>
        <w:pStyle w:val="NormalWeb"/>
        <w:tabs>
          <w:tab w:val="left" w:pos="360"/>
          <w:tab w:val="left" w:pos="720"/>
          <w:tab w:val="left" w:pos="1080"/>
          <w:tab w:val="left" w:pos="1440"/>
        </w:tabs>
        <w:spacing w:line="288" w:lineRule="atLeast"/>
      </w:pPr>
      <w:r>
        <w:tab/>
      </w:r>
      <w:r w:rsidR="005E0A0F">
        <w:t>8.</w:t>
      </w:r>
      <w:r w:rsidR="009F484F">
        <w:t xml:space="preserve">  </w:t>
      </w:r>
      <w:r w:rsidR="005E0A0F">
        <w:rPr>
          <w:u w:val="single"/>
        </w:rPr>
        <w:t>Consultation and Public Comments</w:t>
      </w:r>
    </w:p>
    <w:p w:rsidR="000133D0" w:rsidRDefault="00AC5BD4" w:rsidP="000133D0">
      <w:pPr>
        <w:pStyle w:val="NormalWeb"/>
        <w:tabs>
          <w:tab w:val="left" w:pos="360"/>
          <w:tab w:val="left" w:pos="720"/>
          <w:tab w:val="left" w:pos="1080"/>
          <w:tab w:val="left" w:pos="1440"/>
        </w:tabs>
        <w:spacing w:line="288" w:lineRule="atLeast"/>
      </w:pPr>
      <w:bookmarkStart w:id="10" w:name="cp447"/>
      <w:bookmarkEnd w:id="9"/>
      <w:r>
        <w:tab/>
      </w:r>
      <w:r>
        <w:tab/>
      </w:r>
      <w:bookmarkStart w:id="11" w:name="cp449"/>
      <w:bookmarkEnd w:id="10"/>
      <w:r w:rsidR="000133D0">
        <w:t xml:space="preserve">a.  </w:t>
      </w:r>
      <w:r w:rsidR="000133D0" w:rsidRPr="000133D0">
        <w:t xml:space="preserve">This information collection is consistent with the guidelines in 5 CFR 1320.6.  Public comments were solicited in the </w:t>
      </w:r>
      <w:r w:rsidR="000133D0" w:rsidRPr="000B110E">
        <w:rPr>
          <w:i/>
          <w:iCs/>
        </w:rPr>
        <w:t>Federal Register</w:t>
      </w:r>
      <w:r w:rsidR="000133D0" w:rsidRPr="000133D0">
        <w:t xml:space="preserve"> on </w:t>
      </w:r>
      <w:r w:rsidR="000B110E">
        <w:t>July 15</w:t>
      </w:r>
      <w:r w:rsidR="00A45D59">
        <w:t>,</w:t>
      </w:r>
      <w:r w:rsidR="000133D0" w:rsidRPr="000133D0">
        <w:t xml:space="preserve"> 201</w:t>
      </w:r>
      <w:r w:rsidR="00A45D59">
        <w:t>9</w:t>
      </w:r>
      <w:r w:rsidR="0040365A" w:rsidRPr="0040365A">
        <w:t xml:space="preserve"> </w:t>
      </w:r>
      <w:r w:rsidR="00A45D59">
        <w:t>(</w:t>
      </w:r>
      <w:hyperlink r:id="rId9" w:history="1">
        <w:r w:rsidR="000B110E" w:rsidRPr="00403AC9">
          <w:rPr>
            <w:rStyle w:val="Hyperlink"/>
          </w:rPr>
          <w:t>84</w:t>
        </w:r>
        <w:r w:rsidR="00A45D59" w:rsidRPr="00403AC9">
          <w:rPr>
            <w:rStyle w:val="Hyperlink"/>
          </w:rPr>
          <w:t xml:space="preserve"> FR </w:t>
        </w:r>
        <w:r w:rsidR="000B110E" w:rsidRPr="00403AC9">
          <w:rPr>
            <w:rStyle w:val="Hyperlink"/>
          </w:rPr>
          <w:t>33759</w:t>
        </w:r>
      </w:hyperlink>
      <w:r w:rsidR="00A45D59">
        <w:t>)</w:t>
      </w:r>
      <w:r w:rsidR="000133D0" w:rsidRPr="000133D0">
        <w:t xml:space="preserve">.  </w:t>
      </w:r>
      <w:r w:rsidR="000B110E">
        <w:t>No</w:t>
      </w:r>
      <w:r w:rsidR="000133D0" w:rsidRPr="000133D0">
        <w:t xml:space="preserve"> comments were received in response to this notice.</w:t>
      </w:r>
    </w:p>
    <w:p w:rsidR="000133D0" w:rsidRDefault="000133D0" w:rsidP="000133D0">
      <w:pPr>
        <w:pStyle w:val="NormalWeb"/>
        <w:tabs>
          <w:tab w:val="left" w:pos="360"/>
          <w:tab w:val="left" w:pos="720"/>
          <w:tab w:val="left" w:pos="1080"/>
          <w:tab w:val="left" w:pos="1440"/>
        </w:tabs>
        <w:spacing w:line="288" w:lineRule="atLeast"/>
      </w:pPr>
      <w:r>
        <w:tab/>
      </w:r>
      <w:r>
        <w:tab/>
        <w:t>b.  The</w:t>
      </w:r>
      <w:r w:rsidRPr="000133D0">
        <w:t xml:space="preserve"> Defense Contract Management Agency</w:t>
      </w:r>
      <w:r>
        <w:t xml:space="preserve"> (DCMA)</w:t>
      </w:r>
      <w:r w:rsidRPr="000133D0">
        <w:t xml:space="preserve"> chair of the DFARS Quality Assuran</w:t>
      </w:r>
      <w:r>
        <w:t xml:space="preserve">ce Committee was requested to review the </w:t>
      </w:r>
      <w:r w:rsidR="009F484F">
        <w:t xml:space="preserve">validity of the </w:t>
      </w:r>
      <w:r>
        <w:t xml:space="preserve">information collection requirements for the </w:t>
      </w:r>
      <w:r w:rsidR="006E3E8A">
        <w:t>four</w:t>
      </w:r>
      <w:r>
        <w:t xml:space="preserve"> clauses and to provide updated estimates of the public burdens.  The burdens</w:t>
      </w:r>
      <w:r w:rsidR="009F484F">
        <w:t>,</w:t>
      </w:r>
      <w:r>
        <w:t xml:space="preserve"> included in paragraph 12 below, reflect the</w:t>
      </w:r>
      <w:r w:rsidR="009F484F">
        <w:t xml:space="preserve"> validation of the need for the collection requirements,</w:t>
      </w:r>
      <w:r>
        <w:t xml:space="preserve"> judgement</w:t>
      </w:r>
      <w:r w:rsidR="009F484F">
        <w:t>,</w:t>
      </w:r>
      <w:r>
        <w:t xml:space="preserve"> and best estimates of the </w:t>
      </w:r>
      <w:r w:rsidR="006E3E8A">
        <w:t>DoD</w:t>
      </w:r>
      <w:r>
        <w:t xml:space="preserve"> subject matter expert.</w:t>
      </w:r>
    </w:p>
    <w:p w:rsidR="00A34217" w:rsidRPr="00A34217" w:rsidRDefault="00A34217" w:rsidP="00A34217">
      <w:pPr>
        <w:pStyle w:val="NormalWeb"/>
        <w:tabs>
          <w:tab w:val="left" w:pos="360"/>
          <w:tab w:val="left" w:pos="720"/>
          <w:tab w:val="left" w:pos="1080"/>
          <w:tab w:val="left" w:pos="1440"/>
        </w:tabs>
        <w:spacing w:line="288" w:lineRule="atLeast"/>
      </w:pPr>
      <w:r>
        <w:tab/>
      </w:r>
      <w:r>
        <w:tab/>
        <w:t xml:space="preserve">c.  </w:t>
      </w:r>
      <w:r w:rsidRPr="00A34217">
        <w:t xml:space="preserve">A notice of submission to OMB </w:t>
      </w:r>
      <w:r w:rsidR="0040365A">
        <w:t xml:space="preserve">for clearance of this information collection </w:t>
      </w:r>
      <w:r w:rsidRPr="00A34217">
        <w:t xml:space="preserve">was published in the </w:t>
      </w:r>
      <w:r w:rsidRPr="00A34217">
        <w:rPr>
          <w:i/>
        </w:rPr>
        <w:t>Federal Register</w:t>
      </w:r>
      <w:r w:rsidRPr="00A34217">
        <w:t xml:space="preserve"> on </w:t>
      </w:r>
      <w:r w:rsidR="00403AC9">
        <w:t>September 25</w:t>
      </w:r>
      <w:r w:rsidRPr="00A34217">
        <w:t>, 201</w:t>
      </w:r>
      <w:r w:rsidR="00A45D59">
        <w:t>9</w:t>
      </w:r>
      <w:r w:rsidRPr="00A34217">
        <w:t xml:space="preserve"> (</w:t>
      </w:r>
      <w:hyperlink r:id="rId10" w:history="1">
        <w:r w:rsidR="000B110E" w:rsidRPr="00403AC9">
          <w:rPr>
            <w:rStyle w:val="Hyperlink"/>
          </w:rPr>
          <w:t>84</w:t>
        </w:r>
        <w:r w:rsidR="00A45D59" w:rsidRPr="00403AC9">
          <w:rPr>
            <w:rStyle w:val="Hyperlink"/>
          </w:rPr>
          <w:t xml:space="preserve"> FR </w:t>
        </w:r>
        <w:r w:rsidR="00403AC9" w:rsidRPr="00403AC9">
          <w:rPr>
            <w:rStyle w:val="Hyperlink"/>
          </w:rPr>
          <w:t>50414</w:t>
        </w:r>
      </w:hyperlink>
      <w:r w:rsidR="00A45D59">
        <w:t>)</w:t>
      </w:r>
      <w:r w:rsidRPr="00A34217">
        <w:t>.</w:t>
      </w:r>
    </w:p>
    <w:p w:rsidR="005E0A0F" w:rsidRDefault="00AC5BD4" w:rsidP="00FB3212">
      <w:pPr>
        <w:pStyle w:val="NormalWeb"/>
        <w:tabs>
          <w:tab w:val="left" w:pos="360"/>
          <w:tab w:val="left" w:pos="720"/>
          <w:tab w:val="left" w:pos="1080"/>
          <w:tab w:val="left" w:pos="1440"/>
        </w:tabs>
        <w:spacing w:line="288" w:lineRule="atLeast"/>
      </w:pPr>
      <w:r>
        <w:tab/>
      </w:r>
      <w:r w:rsidR="005E0A0F">
        <w:t>9.</w:t>
      </w:r>
      <w:r w:rsidR="009F484F">
        <w:t xml:space="preserve"> </w:t>
      </w:r>
      <w:r w:rsidR="005E0A0F">
        <w:t xml:space="preserve"> </w:t>
      </w:r>
      <w:r w:rsidR="005E0A0F">
        <w:rPr>
          <w:u w:val="single"/>
        </w:rPr>
        <w:t>Gifts or Payment</w:t>
      </w:r>
    </w:p>
    <w:p w:rsidR="00AC5BD4" w:rsidRDefault="00AC5BD4" w:rsidP="00AC5BD4">
      <w:pPr>
        <w:pStyle w:val="NormalWeb"/>
        <w:tabs>
          <w:tab w:val="left" w:pos="360"/>
          <w:tab w:val="left" w:pos="720"/>
          <w:tab w:val="left" w:pos="1080"/>
          <w:tab w:val="left" w:pos="1440"/>
        </w:tabs>
        <w:spacing w:line="288" w:lineRule="atLeast"/>
      </w:pPr>
      <w:bookmarkStart w:id="12" w:name="cp450"/>
      <w:bookmarkEnd w:id="11"/>
      <w:r>
        <w:tab/>
      </w:r>
      <w:r>
        <w:tab/>
      </w:r>
      <w:bookmarkEnd w:id="12"/>
      <w:r w:rsidR="009F484F" w:rsidRPr="009F484F">
        <w:t>DoD will not provide a payment or gift to respondents to this information collection requirement.</w:t>
      </w:r>
    </w:p>
    <w:p w:rsidR="005E0A0F" w:rsidRDefault="00AC5BD4" w:rsidP="00AC5BD4">
      <w:pPr>
        <w:pStyle w:val="NormalWeb"/>
        <w:tabs>
          <w:tab w:val="left" w:pos="360"/>
          <w:tab w:val="left" w:pos="720"/>
          <w:tab w:val="left" w:pos="1080"/>
          <w:tab w:val="left" w:pos="1440"/>
        </w:tabs>
        <w:spacing w:line="288" w:lineRule="atLeast"/>
      </w:pPr>
      <w:r>
        <w:tab/>
      </w:r>
      <w:r w:rsidR="005E0A0F">
        <w:t>10.</w:t>
      </w:r>
      <w:r w:rsidR="009F484F">
        <w:t xml:space="preserve"> </w:t>
      </w:r>
      <w:r w:rsidR="005E0A0F">
        <w:t xml:space="preserve"> </w:t>
      </w:r>
      <w:r w:rsidR="005E0A0F">
        <w:rPr>
          <w:u w:val="single"/>
        </w:rPr>
        <w:t>Confidentiality</w:t>
      </w:r>
    </w:p>
    <w:p w:rsidR="009F484F" w:rsidRDefault="00FB3212" w:rsidP="00FB3212">
      <w:pPr>
        <w:pStyle w:val="NormalWeb"/>
        <w:tabs>
          <w:tab w:val="left" w:pos="360"/>
          <w:tab w:val="left" w:pos="720"/>
          <w:tab w:val="left" w:pos="1080"/>
          <w:tab w:val="left" w:pos="1440"/>
        </w:tabs>
        <w:spacing w:line="288" w:lineRule="atLeast"/>
      </w:pPr>
      <w:r>
        <w:tab/>
      </w:r>
      <w:r>
        <w:tab/>
      </w:r>
      <w:r w:rsidR="009F484F" w:rsidRPr="009F484F">
        <w:t>This information is disclosed only to the extent consistent with statutory requirements, current regulations, and prudent business practices.</w:t>
      </w:r>
      <w:r w:rsidR="009F484F">
        <w:t xml:space="preserve">  The collection of information does not include any personally identifiable information; therefore, no Privacy Impact Assessment or Privacy Act System of Records Notice is required.</w:t>
      </w:r>
    </w:p>
    <w:p w:rsidR="005E0A0F" w:rsidRDefault="00AC5BD4" w:rsidP="00FB3212">
      <w:pPr>
        <w:pStyle w:val="NormalWeb"/>
        <w:tabs>
          <w:tab w:val="left" w:pos="360"/>
          <w:tab w:val="left" w:pos="720"/>
          <w:tab w:val="left" w:pos="1080"/>
          <w:tab w:val="left" w:pos="1440"/>
        </w:tabs>
        <w:spacing w:line="288" w:lineRule="atLeast"/>
      </w:pPr>
      <w:r>
        <w:tab/>
      </w:r>
      <w:r w:rsidR="005E0A0F">
        <w:t>11.</w:t>
      </w:r>
      <w:r w:rsidR="009F484F">
        <w:t xml:space="preserve"> </w:t>
      </w:r>
      <w:r w:rsidR="005E0A0F">
        <w:t xml:space="preserve"> </w:t>
      </w:r>
      <w:r w:rsidR="005E0A0F">
        <w:rPr>
          <w:u w:val="single"/>
        </w:rPr>
        <w:t>Sensitive Questions</w:t>
      </w:r>
    </w:p>
    <w:p w:rsidR="009F484F" w:rsidRDefault="00AC5BD4" w:rsidP="00AC5BD4">
      <w:pPr>
        <w:pStyle w:val="NormalWeb"/>
        <w:tabs>
          <w:tab w:val="left" w:pos="360"/>
          <w:tab w:val="left" w:pos="720"/>
          <w:tab w:val="left" w:pos="1080"/>
          <w:tab w:val="left" w:pos="1440"/>
        </w:tabs>
        <w:spacing w:line="288" w:lineRule="atLeast"/>
      </w:pPr>
      <w:bookmarkStart w:id="13" w:name="cp456"/>
      <w:r>
        <w:tab/>
      </w:r>
      <w:r>
        <w:tab/>
      </w:r>
      <w:r w:rsidR="009F484F">
        <w:t>No sensitive questions are involved in the information collection.</w:t>
      </w:r>
    </w:p>
    <w:p w:rsidR="005E0A0F" w:rsidRDefault="00AC5BD4" w:rsidP="00AC5BD4">
      <w:pPr>
        <w:pStyle w:val="NormalWeb"/>
        <w:tabs>
          <w:tab w:val="left" w:pos="360"/>
          <w:tab w:val="left" w:pos="720"/>
          <w:tab w:val="left" w:pos="1080"/>
          <w:tab w:val="left" w:pos="1440"/>
        </w:tabs>
        <w:spacing w:line="288" w:lineRule="atLeast"/>
        <w:rPr>
          <w:u w:val="single"/>
        </w:rPr>
      </w:pPr>
      <w:r>
        <w:tab/>
      </w:r>
      <w:r w:rsidR="005E0A0F">
        <w:t>12.</w:t>
      </w:r>
      <w:r w:rsidR="009F484F">
        <w:t xml:space="preserve"> </w:t>
      </w:r>
      <w:r w:rsidR="005E0A0F">
        <w:t xml:space="preserve"> </w:t>
      </w:r>
      <w:r w:rsidR="005E0A0F">
        <w:rPr>
          <w:u w:val="single"/>
        </w:rPr>
        <w:t>Respondent Burden and its Labor Costs</w:t>
      </w:r>
    </w:p>
    <w:tbl>
      <w:tblPr>
        <w:tblStyle w:val="TableGrid"/>
        <w:tblW w:w="9846" w:type="dxa"/>
        <w:tblInd w:w="-185" w:type="dxa"/>
        <w:tblLayout w:type="fixed"/>
        <w:tblLook w:val="04A0" w:firstRow="1" w:lastRow="0" w:firstColumn="1" w:lastColumn="0" w:noHBand="0" w:noVBand="1"/>
      </w:tblPr>
      <w:tblGrid>
        <w:gridCol w:w="1620"/>
        <w:gridCol w:w="1394"/>
        <w:gridCol w:w="1255"/>
        <w:gridCol w:w="1233"/>
        <w:gridCol w:w="1152"/>
        <w:gridCol w:w="894"/>
        <w:gridCol w:w="936"/>
        <w:gridCol w:w="1362"/>
      </w:tblGrid>
      <w:tr w:rsidR="005F30D4" w:rsidTr="00122AD0">
        <w:tc>
          <w:tcPr>
            <w:tcW w:w="9846" w:type="dxa"/>
            <w:gridSpan w:val="8"/>
            <w:vAlign w:val="center"/>
          </w:tcPr>
          <w:p w:rsidR="005F30D4" w:rsidRDefault="00231567" w:rsidP="006404BD">
            <w:pPr>
              <w:pStyle w:val="NormalWeb"/>
              <w:tabs>
                <w:tab w:val="left" w:pos="360"/>
                <w:tab w:val="left" w:pos="720"/>
                <w:tab w:val="left" w:pos="1080"/>
                <w:tab w:val="left" w:pos="1440"/>
              </w:tabs>
              <w:spacing w:before="0" w:beforeAutospacing="0" w:after="0" w:afterAutospacing="0"/>
              <w:jc w:val="center"/>
              <w:rPr>
                <w:sz w:val="22"/>
                <w:szCs w:val="22"/>
              </w:rPr>
            </w:pPr>
            <w:r>
              <w:rPr>
                <w:sz w:val="22"/>
                <w:szCs w:val="22"/>
              </w:rPr>
              <w:t xml:space="preserve">ESTIMATED </w:t>
            </w:r>
            <w:r w:rsidR="005F30D4">
              <w:rPr>
                <w:sz w:val="22"/>
                <w:szCs w:val="22"/>
              </w:rPr>
              <w:t>PUBLIC REPORTING</w:t>
            </w:r>
            <w:r w:rsidR="006404BD">
              <w:rPr>
                <w:sz w:val="22"/>
                <w:szCs w:val="22"/>
              </w:rPr>
              <w:t xml:space="preserve"> BURDEN</w:t>
            </w:r>
            <w:r w:rsidR="00C43271">
              <w:rPr>
                <w:sz w:val="22"/>
                <w:szCs w:val="22"/>
              </w:rPr>
              <w:t xml:space="preserve">: </w:t>
            </w:r>
          </w:p>
        </w:tc>
      </w:tr>
      <w:tr w:rsidR="00C43271" w:rsidTr="00122AD0">
        <w:tc>
          <w:tcPr>
            <w:tcW w:w="1620" w:type="dxa"/>
            <w:tcBorders>
              <w:top w:val="nil"/>
              <w:left w:val="single" w:sz="4" w:space="0" w:color="auto"/>
              <w:bottom w:val="single" w:sz="4" w:space="0" w:color="auto"/>
              <w:right w:val="single" w:sz="4" w:space="0" w:color="auto"/>
            </w:tcBorders>
            <w:shd w:val="clear" w:color="auto" w:fill="auto"/>
            <w:vAlign w:val="bottom"/>
          </w:tcPr>
          <w:p w:rsidR="005F30D4" w:rsidRPr="005F30D4" w:rsidRDefault="00122AD0" w:rsidP="00EF60B5">
            <w:pPr>
              <w:jc w:val="center"/>
              <w:rPr>
                <w:color w:val="000000"/>
                <w:sz w:val="22"/>
                <w:szCs w:val="22"/>
              </w:rPr>
            </w:pPr>
            <w:r>
              <w:rPr>
                <w:color w:val="000000"/>
                <w:sz w:val="22"/>
                <w:szCs w:val="22"/>
              </w:rPr>
              <w:t>0704-0441</w:t>
            </w:r>
          </w:p>
        </w:tc>
        <w:tc>
          <w:tcPr>
            <w:tcW w:w="1394" w:type="dxa"/>
            <w:tcBorders>
              <w:top w:val="nil"/>
              <w:left w:val="nil"/>
              <w:bottom w:val="single" w:sz="4" w:space="0" w:color="auto"/>
              <w:right w:val="single" w:sz="4" w:space="0" w:color="auto"/>
            </w:tcBorders>
            <w:shd w:val="clear" w:color="auto" w:fill="auto"/>
            <w:vAlign w:val="bottom"/>
          </w:tcPr>
          <w:p w:rsidR="005F30D4" w:rsidRPr="005F30D4" w:rsidRDefault="005F30D4" w:rsidP="00EF60B5">
            <w:pPr>
              <w:jc w:val="center"/>
              <w:rPr>
                <w:color w:val="000000"/>
                <w:sz w:val="22"/>
                <w:szCs w:val="22"/>
              </w:rPr>
            </w:pPr>
            <w:r w:rsidRPr="005F30D4">
              <w:rPr>
                <w:color w:val="000000"/>
                <w:sz w:val="22"/>
                <w:szCs w:val="22"/>
              </w:rPr>
              <w:t>Respondents</w:t>
            </w:r>
          </w:p>
        </w:tc>
        <w:tc>
          <w:tcPr>
            <w:tcW w:w="1255" w:type="dxa"/>
            <w:tcBorders>
              <w:top w:val="nil"/>
              <w:left w:val="nil"/>
              <w:bottom w:val="single" w:sz="4" w:space="0" w:color="auto"/>
              <w:right w:val="single" w:sz="4" w:space="0" w:color="auto"/>
            </w:tcBorders>
            <w:shd w:val="clear" w:color="auto" w:fill="auto"/>
            <w:vAlign w:val="bottom"/>
          </w:tcPr>
          <w:p w:rsidR="005F30D4" w:rsidRDefault="005F30D4" w:rsidP="00EF60B5">
            <w:pPr>
              <w:jc w:val="center"/>
              <w:rPr>
                <w:color w:val="000000"/>
                <w:sz w:val="22"/>
                <w:szCs w:val="22"/>
              </w:rPr>
            </w:pPr>
            <w:r w:rsidRPr="005F30D4">
              <w:rPr>
                <w:color w:val="000000"/>
                <w:sz w:val="22"/>
                <w:szCs w:val="22"/>
              </w:rPr>
              <w:t>Response/</w:t>
            </w:r>
          </w:p>
          <w:p w:rsidR="005F30D4" w:rsidRPr="005F30D4" w:rsidRDefault="005F30D4" w:rsidP="00EF60B5">
            <w:pPr>
              <w:jc w:val="center"/>
              <w:rPr>
                <w:color w:val="000000"/>
                <w:sz w:val="22"/>
                <w:szCs w:val="22"/>
              </w:rPr>
            </w:pPr>
            <w:r w:rsidRPr="005F30D4">
              <w:rPr>
                <w:color w:val="000000"/>
                <w:sz w:val="22"/>
                <w:szCs w:val="22"/>
              </w:rPr>
              <w:t>Respondent</w:t>
            </w:r>
          </w:p>
        </w:tc>
        <w:tc>
          <w:tcPr>
            <w:tcW w:w="1233" w:type="dxa"/>
            <w:tcBorders>
              <w:top w:val="nil"/>
              <w:left w:val="nil"/>
              <w:bottom w:val="single" w:sz="4" w:space="0" w:color="auto"/>
              <w:right w:val="single" w:sz="4" w:space="0" w:color="auto"/>
            </w:tcBorders>
            <w:shd w:val="clear" w:color="auto" w:fill="auto"/>
            <w:vAlign w:val="bottom"/>
          </w:tcPr>
          <w:p w:rsidR="005F30D4" w:rsidRPr="005F30D4" w:rsidRDefault="005F30D4" w:rsidP="00EF60B5">
            <w:pPr>
              <w:jc w:val="center"/>
              <w:rPr>
                <w:color w:val="000000"/>
                <w:sz w:val="22"/>
                <w:szCs w:val="22"/>
              </w:rPr>
            </w:pPr>
            <w:r w:rsidRPr="005F30D4">
              <w:rPr>
                <w:color w:val="000000"/>
                <w:sz w:val="22"/>
                <w:szCs w:val="22"/>
              </w:rPr>
              <w:t>Annual Responses</w:t>
            </w:r>
          </w:p>
        </w:tc>
        <w:tc>
          <w:tcPr>
            <w:tcW w:w="1152" w:type="dxa"/>
            <w:tcBorders>
              <w:top w:val="nil"/>
              <w:left w:val="nil"/>
              <w:bottom w:val="single" w:sz="4" w:space="0" w:color="auto"/>
              <w:right w:val="single" w:sz="4" w:space="0" w:color="auto"/>
            </w:tcBorders>
            <w:shd w:val="clear" w:color="auto" w:fill="auto"/>
            <w:vAlign w:val="bottom"/>
          </w:tcPr>
          <w:p w:rsidR="005F30D4" w:rsidRPr="005F30D4" w:rsidRDefault="00EF60B5" w:rsidP="00C43271">
            <w:pPr>
              <w:jc w:val="center"/>
              <w:rPr>
                <w:color w:val="000000"/>
                <w:sz w:val="22"/>
                <w:szCs w:val="22"/>
              </w:rPr>
            </w:pPr>
            <w:r>
              <w:rPr>
                <w:color w:val="000000"/>
                <w:sz w:val="22"/>
                <w:szCs w:val="22"/>
              </w:rPr>
              <w:t>Hours/</w:t>
            </w:r>
            <w:r w:rsidR="005F30D4" w:rsidRPr="005F30D4">
              <w:rPr>
                <w:color w:val="000000"/>
                <w:sz w:val="22"/>
                <w:szCs w:val="22"/>
              </w:rPr>
              <w:t xml:space="preserve"> Respon</w:t>
            </w:r>
            <w:r w:rsidR="00C43271">
              <w:rPr>
                <w:color w:val="000000"/>
                <w:sz w:val="22"/>
                <w:szCs w:val="22"/>
              </w:rPr>
              <w:t>se</w:t>
            </w:r>
          </w:p>
        </w:tc>
        <w:tc>
          <w:tcPr>
            <w:tcW w:w="894" w:type="dxa"/>
            <w:tcBorders>
              <w:top w:val="nil"/>
              <w:left w:val="nil"/>
              <w:bottom w:val="single" w:sz="4" w:space="0" w:color="auto"/>
              <w:right w:val="single" w:sz="4" w:space="0" w:color="auto"/>
            </w:tcBorders>
            <w:shd w:val="clear" w:color="auto" w:fill="auto"/>
            <w:vAlign w:val="bottom"/>
          </w:tcPr>
          <w:p w:rsidR="005F30D4" w:rsidRPr="005F30D4" w:rsidRDefault="00EF60B5" w:rsidP="00EF60B5">
            <w:pPr>
              <w:jc w:val="center"/>
              <w:rPr>
                <w:color w:val="000000"/>
                <w:sz w:val="22"/>
                <w:szCs w:val="22"/>
              </w:rPr>
            </w:pPr>
            <w:r>
              <w:rPr>
                <w:color w:val="000000"/>
                <w:sz w:val="22"/>
                <w:szCs w:val="22"/>
              </w:rPr>
              <w:t>Total</w:t>
            </w:r>
            <w:r w:rsidR="005F30D4" w:rsidRPr="005F30D4">
              <w:rPr>
                <w:color w:val="000000"/>
                <w:sz w:val="22"/>
                <w:szCs w:val="22"/>
              </w:rPr>
              <w:t xml:space="preserve"> Hours</w:t>
            </w:r>
          </w:p>
        </w:tc>
        <w:tc>
          <w:tcPr>
            <w:tcW w:w="936" w:type="dxa"/>
            <w:tcBorders>
              <w:top w:val="nil"/>
              <w:left w:val="nil"/>
              <w:bottom w:val="single" w:sz="4" w:space="0" w:color="auto"/>
              <w:right w:val="single" w:sz="4" w:space="0" w:color="auto"/>
            </w:tcBorders>
            <w:shd w:val="clear" w:color="auto" w:fill="auto"/>
            <w:vAlign w:val="bottom"/>
          </w:tcPr>
          <w:p w:rsidR="005F30D4" w:rsidRPr="005F30D4" w:rsidRDefault="005F30D4" w:rsidP="00EF60B5">
            <w:pPr>
              <w:jc w:val="center"/>
              <w:rPr>
                <w:color w:val="000000"/>
                <w:sz w:val="22"/>
                <w:szCs w:val="22"/>
              </w:rPr>
            </w:pPr>
            <w:r w:rsidRPr="005F30D4">
              <w:rPr>
                <w:color w:val="000000"/>
                <w:sz w:val="22"/>
                <w:szCs w:val="22"/>
              </w:rPr>
              <w:t>Rate</w:t>
            </w:r>
          </w:p>
        </w:tc>
        <w:tc>
          <w:tcPr>
            <w:tcW w:w="1362" w:type="dxa"/>
            <w:tcBorders>
              <w:top w:val="nil"/>
              <w:left w:val="nil"/>
              <w:bottom w:val="single" w:sz="4" w:space="0" w:color="auto"/>
              <w:right w:val="single" w:sz="4" w:space="0" w:color="auto"/>
            </w:tcBorders>
            <w:shd w:val="clear" w:color="auto" w:fill="auto"/>
            <w:vAlign w:val="bottom"/>
          </w:tcPr>
          <w:p w:rsidR="005F30D4" w:rsidRPr="005F30D4" w:rsidRDefault="005F30D4" w:rsidP="00EF60B5">
            <w:pPr>
              <w:jc w:val="center"/>
              <w:rPr>
                <w:color w:val="000000"/>
                <w:sz w:val="22"/>
                <w:szCs w:val="22"/>
              </w:rPr>
            </w:pPr>
            <w:r w:rsidRPr="005F30D4">
              <w:rPr>
                <w:color w:val="000000"/>
                <w:sz w:val="22"/>
                <w:szCs w:val="22"/>
              </w:rPr>
              <w:t>Total Annual Cost to Public</w:t>
            </w:r>
          </w:p>
        </w:tc>
      </w:tr>
      <w:tr w:rsidR="00C43271" w:rsidTr="00122AD0">
        <w:tc>
          <w:tcPr>
            <w:tcW w:w="1620" w:type="dxa"/>
            <w:tcBorders>
              <w:top w:val="nil"/>
              <w:left w:val="single" w:sz="4" w:space="0" w:color="auto"/>
              <w:bottom w:val="single" w:sz="4" w:space="0" w:color="auto"/>
              <w:right w:val="single" w:sz="4" w:space="0" w:color="auto"/>
            </w:tcBorders>
            <w:shd w:val="clear" w:color="auto" w:fill="auto"/>
            <w:vAlign w:val="bottom"/>
          </w:tcPr>
          <w:p w:rsidR="005F30D4" w:rsidRPr="005F30D4" w:rsidRDefault="00122AD0" w:rsidP="005F30D4">
            <w:pPr>
              <w:rPr>
                <w:color w:val="000000"/>
                <w:sz w:val="22"/>
                <w:szCs w:val="22"/>
              </w:rPr>
            </w:pPr>
            <w:r>
              <w:rPr>
                <w:color w:val="000000"/>
                <w:sz w:val="22"/>
                <w:szCs w:val="22"/>
              </w:rPr>
              <w:t>252.246</w:t>
            </w:r>
            <w:r w:rsidR="005F30D4" w:rsidRPr="005F30D4">
              <w:rPr>
                <w:color w:val="000000"/>
                <w:sz w:val="22"/>
                <w:szCs w:val="22"/>
              </w:rPr>
              <w:t>-7003</w:t>
            </w:r>
          </w:p>
        </w:tc>
        <w:tc>
          <w:tcPr>
            <w:tcW w:w="1394"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250</w:t>
            </w:r>
          </w:p>
        </w:tc>
        <w:tc>
          <w:tcPr>
            <w:tcW w:w="1255"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1</w:t>
            </w:r>
          </w:p>
        </w:tc>
        <w:tc>
          <w:tcPr>
            <w:tcW w:w="1233"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250</w:t>
            </w:r>
          </w:p>
        </w:tc>
        <w:tc>
          <w:tcPr>
            <w:tcW w:w="1152"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1</w:t>
            </w:r>
          </w:p>
        </w:tc>
        <w:tc>
          <w:tcPr>
            <w:tcW w:w="894"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 xml:space="preserve">       250 </w:t>
            </w:r>
          </w:p>
        </w:tc>
        <w:tc>
          <w:tcPr>
            <w:tcW w:w="936"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bCs/>
                <w:color w:val="000000"/>
                <w:sz w:val="22"/>
                <w:szCs w:val="22"/>
              </w:rPr>
            </w:pPr>
            <w:r w:rsidRPr="005F30D4">
              <w:rPr>
                <w:bCs/>
                <w:color w:val="000000"/>
                <w:sz w:val="22"/>
                <w:szCs w:val="22"/>
              </w:rPr>
              <w:t xml:space="preserve"> $55.19</w:t>
            </w:r>
          </w:p>
        </w:tc>
        <w:tc>
          <w:tcPr>
            <w:tcW w:w="1362" w:type="dxa"/>
            <w:tcBorders>
              <w:top w:val="nil"/>
              <w:left w:val="nil"/>
              <w:bottom w:val="single" w:sz="4" w:space="0" w:color="auto"/>
              <w:right w:val="single" w:sz="4" w:space="0" w:color="auto"/>
            </w:tcBorders>
            <w:shd w:val="clear" w:color="auto" w:fill="auto"/>
            <w:vAlign w:val="bottom"/>
          </w:tcPr>
          <w:p w:rsidR="005F30D4" w:rsidRPr="005F30D4" w:rsidRDefault="00EF60B5" w:rsidP="00EF60B5">
            <w:pPr>
              <w:jc w:val="right"/>
              <w:rPr>
                <w:bCs/>
                <w:color w:val="000000"/>
                <w:sz w:val="22"/>
                <w:szCs w:val="22"/>
              </w:rPr>
            </w:pPr>
            <w:r>
              <w:rPr>
                <w:bCs/>
                <w:color w:val="000000"/>
                <w:sz w:val="22"/>
                <w:szCs w:val="22"/>
              </w:rPr>
              <w:t xml:space="preserve"> $</w:t>
            </w:r>
            <w:r w:rsidR="005F30D4" w:rsidRPr="005F30D4">
              <w:rPr>
                <w:bCs/>
                <w:color w:val="000000"/>
                <w:sz w:val="22"/>
                <w:szCs w:val="22"/>
              </w:rPr>
              <w:t xml:space="preserve">13,798 </w:t>
            </w:r>
          </w:p>
        </w:tc>
      </w:tr>
      <w:tr w:rsidR="00C43271" w:rsidTr="00122AD0">
        <w:tc>
          <w:tcPr>
            <w:tcW w:w="1620" w:type="dxa"/>
            <w:tcBorders>
              <w:top w:val="nil"/>
              <w:left w:val="single" w:sz="4" w:space="0" w:color="auto"/>
              <w:bottom w:val="single" w:sz="4" w:space="0" w:color="auto"/>
              <w:right w:val="single" w:sz="4" w:space="0" w:color="auto"/>
            </w:tcBorders>
            <w:shd w:val="clear" w:color="auto" w:fill="auto"/>
            <w:vAlign w:val="bottom"/>
          </w:tcPr>
          <w:p w:rsidR="005F30D4" w:rsidRPr="005F30D4" w:rsidRDefault="00122AD0" w:rsidP="005F30D4">
            <w:pPr>
              <w:rPr>
                <w:color w:val="000000"/>
                <w:sz w:val="22"/>
                <w:szCs w:val="22"/>
              </w:rPr>
            </w:pPr>
            <w:r>
              <w:rPr>
                <w:color w:val="000000"/>
                <w:sz w:val="22"/>
                <w:szCs w:val="22"/>
              </w:rPr>
              <w:t>252.246</w:t>
            </w:r>
            <w:r w:rsidR="005F30D4" w:rsidRPr="005F30D4">
              <w:rPr>
                <w:color w:val="000000"/>
                <w:sz w:val="22"/>
                <w:szCs w:val="22"/>
              </w:rPr>
              <w:t>-7005</w:t>
            </w:r>
          </w:p>
        </w:tc>
        <w:tc>
          <w:tcPr>
            <w:tcW w:w="1394"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25,105</w:t>
            </w:r>
          </w:p>
        </w:tc>
        <w:tc>
          <w:tcPr>
            <w:tcW w:w="1255"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1</w:t>
            </w:r>
          </w:p>
        </w:tc>
        <w:tc>
          <w:tcPr>
            <w:tcW w:w="1233"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25,105</w:t>
            </w:r>
          </w:p>
        </w:tc>
        <w:tc>
          <w:tcPr>
            <w:tcW w:w="1152"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0.5</w:t>
            </w:r>
          </w:p>
        </w:tc>
        <w:tc>
          <w:tcPr>
            <w:tcW w:w="894"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 xml:space="preserve">  12,553 </w:t>
            </w:r>
          </w:p>
        </w:tc>
        <w:tc>
          <w:tcPr>
            <w:tcW w:w="936"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bCs/>
                <w:color w:val="000000"/>
                <w:sz w:val="22"/>
                <w:szCs w:val="22"/>
              </w:rPr>
            </w:pPr>
            <w:r w:rsidRPr="005F30D4">
              <w:rPr>
                <w:bCs/>
                <w:color w:val="000000"/>
                <w:sz w:val="22"/>
                <w:szCs w:val="22"/>
              </w:rPr>
              <w:t>$55.19</w:t>
            </w:r>
          </w:p>
        </w:tc>
        <w:tc>
          <w:tcPr>
            <w:tcW w:w="1362"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bCs/>
                <w:color w:val="000000"/>
                <w:sz w:val="22"/>
                <w:szCs w:val="22"/>
              </w:rPr>
            </w:pPr>
            <w:r w:rsidRPr="005F30D4">
              <w:rPr>
                <w:bCs/>
                <w:color w:val="000000"/>
                <w:sz w:val="22"/>
                <w:szCs w:val="22"/>
              </w:rPr>
              <w:t xml:space="preserve"> $ 1,048,610 </w:t>
            </w:r>
          </w:p>
        </w:tc>
      </w:tr>
      <w:tr w:rsidR="00C43271" w:rsidTr="00122AD0">
        <w:tc>
          <w:tcPr>
            <w:tcW w:w="1620" w:type="dxa"/>
            <w:tcBorders>
              <w:top w:val="nil"/>
              <w:left w:val="single" w:sz="4" w:space="0" w:color="auto"/>
              <w:bottom w:val="single" w:sz="4" w:space="0" w:color="auto"/>
              <w:right w:val="single" w:sz="4" w:space="0" w:color="auto"/>
            </w:tcBorders>
            <w:shd w:val="clear" w:color="auto" w:fill="auto"/>
            <w:vAlign w:val="bottom"/>
          </w:tcPr>
          <w:p w:rsidR="005F30D4" w:rsidRPr="005F30D4" w:rsidRDefault="00122AD0" w:rsidP="005F30D4">
            <w:pPr>
              <w:rPr>
                <w:color w:val="000000"/>
                <w:sz w:val="22"/>
                <w:szCs w:val="22"/>
              </w:rPr>
            </w:pPr>
            <w:r>
              <w:rPr>
                <w:color w:val="000000"/>
                <w:sz w:val="22"/>
                <w:szCs w:val="22"/>
              </w:rPr>
              <w:t>252.246</w:t>
            </w:r>
            <w:r w:rsidR="005F30D4" w:rsidRPr="005F30D4">
              <w:rPr>
                <w:color w:val="000000"/>
                <w:sz w:val="22"/>
                <w:szCs w:val="22"/>
              </w:rPr>
              <w:t>-7006</w:t>
            </w:r>
          </w:p>
        </w:tc>
        <w:tc>
          <w:tcPr>
            <w:tcW w:w="1394"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5,021</w:t>
            </w:r>
          </w:p>
        </w:tc>
        <w:tc>
          <w:tcPr>
            <w:tcW w:w="1255"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1</w:t>
            </w:r>
          </w:p>
        </w:tc>
        <w:tc>
          <w:tcPr>
            <w:tcW w:w="1233"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5,021</w:t>
            </w:r>
          </w:p>
        </w:tc>
        <w:tc>
          <w:tcPr>
            <w:tcW w:w="1152"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0.5</w:t>
            </w:r>
          </w:p>
        </w:tc>
        <w:tc>
          <w:tcPr>
            <w:tcW w:w="894"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color w:val="000000"/>
                <w:sz w:val="22"/>
                <w:szCs w:val="22"/>
              </w:rPr>
            </w:pPr>
            <w:r w:rsidRPr="005F30D4">
              <w:rPr>
                <w:color w:val="000000"/>
                <w:sz w:val="22"/>
                <w:szCs w:val="22"/>
              </w:rPr>
              <w:t xml:space="preserve">    2,511 </w:t>
            </w:r>
          </w:p>
        </w:tc>
        <w:tc>
          <w:tcPr>
            <w:tcW w:w="936" w:type="dxa"/>
            <w:tcBorders>
              <w:top w:val="nil"/>
              <w:left w:val="nil"/>
              <w:bottom w:val="single" w:sz="4" w:space="0" w:color="auto"/>
              <w:right w:val="single" w:sz="4" w:space="0" w:color="auto"/>
            </w:tcBorders>
            <w:shd w:val="clear" w:color="auto" w:fill="auto"/>
            <w:vAlign w:val="bottom"/>
          </w:tcPr>
          <w:p w:rsidR="005F30D4" w:rsidRPr="005F30D4" w:rsidRDefault="005F30D4" w:rsidP="005F30D4">
            <w:pPr>
              <w:jc w:val="right"/>
              <w:rPr>
                <w:bCs/>
                <w:color w:val="000000"/>
                <w:sz w:val="22"/>
                <w:szCs w:val="22"/>
              </w:rPr>
            </w:pPr>
            <w:r w:rsidRPr="005F30D4">
              <w:rPr>
                <w:bCs/>
                <w:color w:val="000000"/>
                <w:sz w:val="22"/>
                <w:szCs w:val="22"/>
              </w:rPr>
              <w:t>$55.19</w:t>
            </w:r>
          </w:p>
        </w:tc>
        <w:tc>
          <w:tcPr>
            <w:tcW w:w="1362" w:type="dxa"/>
            <w:tcBorders>
              <w:top w:val="nil"/>
              <w:left w:val="nil"/>
              <w:bottom w:val="single" w:sz="4" w:space="0" w:color="auto"/>
              <w:right w:val="single" w:sz="4" w:space="0" w:color="auto"/>
            </w:tcBorders>
            <w:shd w:val="clear" w:color="auto" w:fill="auto"/>
            <w:vAlign w:val="bottom"/>
          </w:tcPr>
          <w:p w:rsidR="005F30D4" w:rsidRPr="005F30D4" w:rsidRDefault="00EF60B5" w:rsidP="005F30D4">
            <w:pPr>
              <w:jc w:val="right"/>
              <w:rPr>
                <w:bCs/>
                <w:color w:val="000000"/>
                <w:sz w:val="22"/>
                <w:szCs w:val="22"/>
              </w:rPr>
            </w:pPr>
            <w:r>
              <w:rPr>
                <w:bCs/>
                <w:color w:val="000000"/>
                <w:sz w:val="22"/>
                <w:szCs w:val="22"/>
              </w:rPr>
              <w:t xml:space="preserve"> $</w:t>
            </w:r>
            <w:r w:rsidR="005F30D4" w:rsidRPr="005F30D4">
              <w:rPr>
                <w:bCs/>
                <w:color w:val="000000"/>
                <w:sz w:val="22"/>
                <w:szCs w:val="22"/>
              </w:rPr>
              <w:t xml:space="preserve">441,520 </w:t>
            </w:r>
          </w:p>
        </w:tc>
      </w:tr>
      <w:tr w:rsidR="00C43271" w:rsidRPr="00C43271" w:rsidTr="00122AD0">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C43271" w:rsidRPr="00C43271" w:rsidRDefault="00122AD0" w:rsidP="00C43271">
            <w:pPr>
              <w:rPr>
                <w:color w:val="000000"/>
                <w:sz w:val="22"/>
                <w:szCs w:val="22"/>
              </w:rPr>
            </w:pPr>
            <w:r>
              <w:rPr>
                <w:color w:val="000000"/>
                <w:sz w:val="22"/>
                <w:szCs w:val="22"/>
              </w:rPr>
              <w:t>252.246</w:t>
            </w:r>
            <w:r w:rsidR="00C43271">
              <w:rPr>
                <w:color w:val="000000"/>
                <w:sz w:val="22"/>
                <w:szCs w:val="22"/>
              </w:rPr>
              <w:t>-7008</w:t>
            </w:r>
          </w:p>
        </w:tc>
        <w:tc>
          <w:tcPr>
            <w:tcW w:w="1394" w:type="dxa"/>
            <w:tcBorders>
              <w:top w:val="single" w:sz="4" w:space="0" w:color="auto"/>
              <w:left w:val="nil"/>
              <w:bottom w:val="single" w:sz="4" w:space="0" w:color="auto"/>
              <w:right w:val="single" w:sz="4" w:space="0" w:color="auto"/>
            </w:tcBorders>
            <w:shd w:val="clear" w:color="auto" w:fill="auto"/>
            <w:vAlign w:val="bottom"/>
          </w:tcPr>
          <w:p w:rsidR="00C43271" w:rsidRPr="00C43271" w:rsidRDefault="00C43271" w:rsidP="005F30D4">
            <w:pPr>
              <w:jc w:val="right"/>
              <w:rPr>
                <w:color w:val="000000"/>
                <w:sz w:val="22"/>
                <w:szCs w:val="22"/>
              </w:rPr>
            </w:pPr>
            <w:r>
              <w:rPr>
                <w:color w:val="000000"/>
                <w:sz w:val="22"/>
                <w:szCs w:val="22"/>
              </w:rPr>
              <w:t>4,466</w:t>
            </w:r>
          </w:p>
        </w:tc>
        <w:tc>
          <w:tcPr>
            <w:tcW w:w="1255" w:type="dxa"/>
            <w:tcBorders>
              <w:top w:val="single" w:sz="4" w:space="0" w:color="auto"/>
              <w:left w:val="nil"/>
              <w:bottom w:val="single" w:sz="4" w:space="0" w:color="auto"/>
              <w:right w:val="single" w:sz="4" w:space="0" w:color="auto"/>
            </w:tcBorders>
            <w:shd w:val="clear" w:color="auto" w:fill="auto"/>
            <w:vAlign w:val="bottom"/>
          </w:tcPr>
          <w:p w:rsidR="00C43271" w:rsidRPr="00C43271" w:rsidRDefault="00C43271" w:rsidP="005F30D4">
            <w:pPr>
              <w:jc w:val="right"/>
              <w:rPr>
                <w:color w:val="000000"/>
                <w:sz w:val="22"/>
                <w:szCs w:val="22"/>
              </w:rPr>
            </w:pPr>
            <w:r>
              <w:rPr>
                <w:color w:val="000000"/>
                <w:sz w:val="22"/>
                <w:szCs w:val="22"/>
              </w:rPr>
              <w:t>5.32</w:t>
            </w:r>
          </w:p>
        </w:tc>
        <w:tc>
          <w:tcPr>
            <w:tcW w:w="1233" w:type="dxa"/>
            <w:tcBorders>
              <w:top w:val="single" w:sz="4" w:space="0" w:color="auto"/>
              <w:left w:val="nil"/>
              <w:bottom w:val="single" w:sz="4" w:space="0" w:color="auto"/>
              <w:right w:val="single" w:sz="4" w:space="0" w:color="auto"/>
            </w:tcBorders>
            <w:shd w:val="clear" w:color="auto" w:fill="auto"/>
            <w:vAlign w:val="bottom"/>
          </w:tcPr>
          <w:p w:rsidR="00C43271" w:rsidRPr="00C43271" w:rsidRDefault="00C43271" w:rsidP="005F30D4">
            <w:pPr>
              <w:jc w:val="right"/>
              <w:rPr>
                <w:color w:val="000000"/>
                <w:sz w:val="22"/>
                <w:szCs w:val="22"/>
              </w:rPr>
            </w:pPr>
            <w:r>
              <w:rPr>
                <w:color w:val="000000"/>
                <w:sz w:val="22"/>
                <w:szCs w:val="22"/>
              </w:rPr>
              <w:t>23,761</w:t>
            </w:r>
          </w:p>
        </w:tc>
        <w:tc>
          <w:tcPr>
            <w:tcW w:w="1152" w:type="dxa"/>
            <w:tcBorders>
              <w:top w:val="single" w:sz="4" w:space="0" w:color="auto"/>
              <w:left w:val="nil"/>
              <w:bottom w:val="single" w:sz="4" w:space="0" w:color="auto"/>
              <w:right w:val="single" w:sz="4" w:space="0" w:color="auto"/>
            </w:tcBorders>
            <w:shd w:val="clear" w:color="auto" w:fill="auto"/>
            <w:vAlign w:val="bottom"/>
          </w:tcPr>
          <w:p w:rsidR="00C43271" w:rsidRPr="00C43271" w:rsidRDefault="00C43271" w:rsidP="005F30D4">
            <w:pPr>
              <w:jc w:val="right"/>
              <w:rPr>
                <w:color w:val="000000"/>
                <w:sz w:val="22"/>
                <w:szCs w:val="22"/>
              </w:rPr>
            </w:pPr>
            <w:r>
              <w:rPr>
                <w:color w:val="000000"/>
                <w:sz w:val="22"/>
                <w:szCs w:val="22"/>
              </w:rPr>
              <w:t>1</w:t>
            </w:r>
          </w:p>
        </w:tc>
        <w:tc>
          <w:tcPr>
            <w:tcW w:w="894" w:type="dxa"/>
            <w:tcBorders>
              <w:top w:val="single" w:sz="4" w:space="0" w:color="auto"/>
              <w:left w:val="nil"/>
              <w:bottom w:val="single" w:sz="4" w:space="0" w:color="auto"/>
              <w:right w:val="single" w:sz="4" w:space="0" w:color="auto"/>
            </w:tcBorders>
            <w:shd w:val="clear" w:color="auto" w:fill="auto"/>
            <w:vAlign w:val="bottom"/>
          </w:tcPr>
          <w:p w:rsidR="00C43271" w:rsidRPr="00C43271" w:rsidRDefault="00C43271" w:rsidP="005F30D4">
            <w:pPr>
              <w:jc w:val="right"/>
              <w:rPr>
                <w:color w:val="000000"/>
                <w:sz w:val="22"/>
                <w:szCs w:val="22"/>
              </w:rPr>
            </w:pPr>
            <w:r>
              <w:rPr>
                <w:color w:val="000000"/>
                <w:sz w:val="22"/>
                <w:szCs w:val="22"/>
              </w:rPr>
              <w:t>23,761</w:t>
            </w:r>
          </w:p>
        </w:tc>
        <w:tc>
          <w:tcPr>
            <w:tcW w:w="936" w:type="dxa"/>
            <w:tcBorders>
              <w:top w:val="single" w:sz="4" w:space="0" w:color="auto"/>
              <w:left w:val="nil"/>
              <w:bottom w:val="single" w:sz="4" w:space="0" w:color="auto"/>
              <w:right w:val="single" w:sz="4" w:space="0" w:color="auto"/>
            </w:tcBorders>
            <w:shd w:val="clear" w:color="auto" w:fill="auto"/>
            <w:vAlign w:val="bottom"/>
          </w:tcPr>
          <w:p w:rsidR="00C43271" w:rsidRPr="00C43271" w:rsidRDefault="00C43271" w:rsidP="005F30D4">
            <w:pPr>
              <w:jc w:val="right"/>
              <w:rPr>
                <w:bCs/>
                <w:color w:val="000000"/>
                <w:sz w:val="22"/>
                <w:szCs w:val="22"/>
              </w:rPr>
            </w:pPr>
            <w:r>
              <w:rPr>
                <w:bCs/>
                <w:color w:val="000000"/>
                <w:sz w:val="22"/>
                <w:szCs w:val="22"/>
              </w:rPr>
              <w:t>$55.19</w:t>
            </w:r>
          </w:p>
        </w:tc>
        <w:tc>
          <w:tcPr>
            <w:tcW w:w="1362" w:type="dxa"/>
            <w:tcBorders>
              <w:top w:val="single" w:sz="4" w:space="0" w:color="auto"/>
              <w:left w:val="nil"/>
              <w:bottom w:val="single" w:sz="4" w:space="0" w:color="auto"/>
              <w:right w:val="single" w:sz="4" w:space="0" w:color="auto"/>
            </w:tcBorders>
            <w:shd w:val="clear" w:color="auto" w:fill="auto"/>
            <w:vAlign w:val="bottom"/>
          </w:tcPr>
          <w:p w:rsidR="00C43271" w:rsidRPr="00C43271" w:rsidRDefault="006404BD" w:rsidP="005F30D4">
            <w:pPr>
              <w:jc w:val="right"/>
              <w:rPr>
                <w:bCs/>
                <w:color w:val="000000"/>
                <w:sz w:val="22"/>
                <w:szCs w:val="22"/>
              </w:rPr>
            </w:pPr>
            <w:r>
              <w:rPr>
                <w:bCs/>
                <w:color w:val="000000"/>
                <w:sz w:val="22"/>
                <w:szCs w:val="22"/>
              </w:rPr>
              <w:t>$</w:t>
            </w:r>
            <w:r w:rsidR="00C43271">
              <w:rPr>
                <w:bCs/>
                <w:color w:val="000000"/>
                <w:sz w:val="22"/>
                <w:szCs w:val="22"/>
              </w:rPr>
              <w:t>1,311,370</w:t>
            </w:r>
          </w:p>
        </w:tc>
      </w:tr>
      <w:tr w:rsidR="00C43271" w:rsidTr="00122AD0">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6729E7" w:rsidRPr="00C43271" w:rsidRDefault="00C43271" w:rsidP="005F30D4">
            <w:pPr>
              <w:rPr>
                <w:b/>
                <w:color w:val="000000"/>
                <w:sz w:val="22"/>
                <w:szCs w:val="22"/>
              </w:rPr>
            </w:pPr>
            <w:r w:rsidRPr="00C43271">
              <w:rPr>
                <w:b/>
                <w:color w:val="000000"/>
                <w:sz w:val="22"/>
                <w:szCs w:val="22"/>
              </w:rPr>
              <w:t>TOTAL</w:t>
            </w:r>
          </w:p>
        </w:tc>
        <w:tc>
          <w:tcPr>
            <w:tcW w:w="1394" w:type="dxa"/>
            <w:tcBorders>
              <w:top w:val="single" w:sz="4" w:space="0" w:color="auto"/>
              <w:left w:val="nil"/>
              <w:bottom w:val="single" w:sz="4" w:space="0" w:color="auto"/>
              <w:right w:val="single" w:sz="4" w:space="0" w:color="auto"/>
            </w:tcBorders>
            <w:shd w:val="clear" w:color="auto" w:fill="auto"/>
            <w:vAlign w:val="bottom"/>
          </w:tcPr>
          <w:p w:rsidR="006729E7" w:rsidRPr="00C43271" w:rsidRDefault="00C43271" w:rsidP="00122AD0">
            <w:pPr>
              <w:jc w:val="right"/>
              <w:rPr>
                <w:b/>
                <w:color w:val="000000"/>
                <w:sz w:val="22"/>
                <w:szCs w:val="22"/>
              </w:rPr>
            </w:pPr>
            <w:r w:rsidRPr="00C43271">
              <w:rPr>
                <w:b/>
                <w:color w:val="000000"/>
                <w:sz w:val="22"/>
                <w:szCs w:val="22"/>
              </w:rPr>
              <w:t>3</w:t>
            </w:r>
            <w:r w:rsidR="00122AD0">
              <w:rPr>
                <w:b/>
                <w:color w:val="000000"/>
                <w:sz w:val="22"/>
                <w:szCs w:val="22"/>
              </w:rPr>
              <w:t>4</w:t>
            </w:r>
            <w:r w:rsidRPr="00C43271">
              <w:rPr>
                <w:b/>
                <w:color w:val="000000"/>
                <w:sz w:val="22"/>
                <w:szCs w:val="22"/>
              </w:rPr>
              <w:t>,</w:t>
            </w:r>
            <w:r>
              <w:rPr>
                <w:b/>
                <w:color w:val="000000"/>
                <w:sz w:val="22"/>
                <w:szCs w:val="22"/>
              </w:rPr>
              <w:t>842</w:t>
            </w:r>
          </w:p>
        </w:tc>
        <w:tc>
          <w:tcPr>
            <w:tcW w:w="1255" w:type="dxa"/>
            <w:tcBorders>
              <w:top w:val="single" w:sz="4" w:space="0" w:color="auto"/>
              <w:left w:val="nil"/>
              <w:bottom w:val="single" w:sz="4" w:space="0" w:color="auto"/>
              <w:right w:val="single" w:sz="4" w:space="0" w:color="auto"/>
            </w:tcBorders>
            <w:shd w:val="clear" w:color="auto" w:fill="auto"/>
            <w:vAlign w:val="bottom"/>
          </w:tcPr>
          <w:p w:rsidR="006729E7" w:rsidRPr="00C43271" w:rsidRDefault="00664740" w:rsidP="005F30D4">
            <w:pPr>
              <w:jc w:val="right"/>
              <w:rPr>
                <w:b/>
                <w:color w:val="000000"/>
                <w:sz w:val="22"/>
                <w:szCs w:val="22"/>
              </w:rPr>
            </w:pPr>
            <w:r>
              <w:rPr>
                <w:b/>
                <w:color w:val="000000"/>
                <w:sz w:val="22"/>
                <w:szCs w:val="22"/>
              </w:rPr>
              <w:t>~1.55</w:t>
            </w:r>
          </w:p>
        </w:tc>
        <w:tc>
          <w:tcPr>
            <w:tcW w:w="1233" w:type="dxa"/>
            <w:tcBorders>
              <w:top w:val="single" w:sz="4" w:space="0" w:color="auto"/>
              <w:left w:val="nil"/>
              <w:bottom w:val="single" w:sz="4" w:space="0" w:color="auto"/>
              <w:right w:val="single" w:sz="4" w:space="0" w:color="auto"/>
            </w:tcBorders>
            <w:shd w:val="clear" w:color="auto" w:fill="auto"/>
            <w:vAlign w:val="bottom"/>
          </w:tcPr>
          <w:p w:rsidR="006729E7" w:rsidRPr="00C43271" w:rsidRDefault="00C43271" w:rsidP="005F30D4">
            <w:pPr>
              <w:jc w:val="right"/>
              <w:rPr>
                <w:b/>
                <w:color w:val="000000"/>
                <w:sz w:val="22"/>
                <w:szCs w:val="22"/>
              </w:rPr>
            </w:pPr>
            <w:r>
              <w:rPr>
                <w:b/>
                <w:color w:val="000000"/>
                <w:sz w:val="22"/>
                <w:szCs w:val="22"/>
              </w:rPr>
              <w:t>54,137</w:t>
            </w:r>
          </w:p>
        </w:tc>
        <w:tc>
          <w:tcPr>
            <w:tcW w:w="1152" w:type="dxa"/>
            <w:tcBorders>
              <w:top w:val="single" w:sz="4" w:space="0" w:color="auto"/>
              <w:left w:val="nil"/>
              <w:bottom w:val="single" w:sz="4" w:space="0" w:color="auto"/>
              <w:right w:val="single" w:sz="4" w:space="0" w:color="auto"/>
            </w:tcBorders>
            <w:shd w:val="clear" w:color="auto" w:fill="auto"/>
            <w:vAlign w:val="bottom"/>
          </w:tcPr>
          <w:p w:rsidR="006729E7" w:rsidRPr="00C43271" w:rsidRDefault="00664740" w:rsidP="005F30D4">
            <w:pPr>
              <w:jc w:val="right"/>
              <w:rPr>
                <w:b/>
                <w:color w:val="000000"/>
                <w:sz w:val="22"/>
                <w:szCs w:val="22"/>
              </w:rPr>
            </w:pPr>
            <w:r>
              <w:rPr>
                <w:b/>
                <w:color w:val="000000"/>
                <w:sz w:val="22"/>
                <w:szCs w:val="22"/>
              </w:rPr>
              <w:t>~0.72</w:t>
            </w:r>
          </w:p>
        </w:tc>
        <w:tc>
          <w:tcPr>
            <w:tcW w:w="894" w:type="dxa"/>
            <w:tcBorders>
              <w:top w:val="single" w:sz="4" w:space="0" w:color="auto"/>
              <w:left w:val="nil"/>
              <w:bottom w:val="single" w:sz="4" w:space="0" w:color="auto"/>
              <w:right w:val="single" w:sz="4" w:space="0" w:color="auto"/>
            </w:tcBorders>
            <w:shd w:val="clear" w:color="auto" w:fill="auto"/>
            <w:vAlign w:val="bottom"/>
          </w:tcPr>
          <w:p w:rsidR="006729E7" w:rsidRPr="00C43271" w:rsidRDefault="00C43271" w:rsidP="005F30D4">
            <w:pPr>
              <w:jc w:val="right"/>
              <w:rPr>
                <w:b/>
                <w:color w:val="000000"/>
                <w:sz w:val="22"/>
                <w:szCs w:val="22"/>
              </w:rPr>
            </w:pPr>
            <w:r w:rsidRPr="00C43271">
              <w:rPr>
                <w:b/>
                <w:color w:val="000000"/>
                <w:sz w:val="22"/>
                <w:szCs w:val="22"/>
              </w:rPr>
              <w:t>15,314</w:t>
            </w:r>
          </w:p>
        </w:tc>
        <w:tc>
          <w:tcPr>
            <w:tcW w:w="936" w:type="dxa"/>
            <w:tcBorders>
              <w:top w:val="single" w:sz="4" w:space="0" w:color="auto"/>
              <w:left w:val="nil"/>
              <w:bottom w:val="single" w:sz="4" w:space="0" w:color="auto"/>
              <w:right w:val="single" w:sz="4" w:space="0" w:color="auto"/>
            </w:tcBorders>
            <w:shd w:val="clear" w:color="auto" w:fill="auto"/>
            <w:vAlign w:val="bottom"/>
          </w:tcPr>
          <w:p w:rsidR="006729E7" w:rsidRPr="00C43271" w:rsidRDefault="00664740" w:rsidP="006404BD">
            <w:pPr>
              <w:jc w:val="right"/>
              <w:rPr>
                <w:b/>
                <w:bCs/>
                <w:color w:val="000000"/>
                <w:sz w:val="22"/>
                <w:szCs w:val="22"/>
              </w:rPr>
            </w:pPr>
            <w:r>
              <w:rPr>
                <w:b/>
                <w:bCs/>
                <w:color w:val="000000"/>
                <w:sz w:val="22"/>
                <w:szCs w:val="22"/>
              </w:rPr>
              <w:t>~</w:t>
            </w:r>
            <w:r w:rsidR="006404BD">
              <w:rPr>
                <w:b/>
                <w:bCs/>
                <w:color w:val="000000"/>
                <w:sz w:val="22"/>
                <w:szCs w:val="22"/>
              </w:rPr>
              <w:t>$39.84</w:t>
            </w:r>
          </w:p>
        </w:tc>
        <w:tc>
          <w:tcPr>
            <w:tcW w:w="1362" w:type="dxa"/>
            <w:tcBorders>
              <w:top w:val="single" w:sz="4" w:space="0" w:color="auto"/>
              <w:left w:val="nil"/>
              <w:bottom w:val="single" w:sz="4" w:space="0" w:color="auto"/>
              <w:right w:val="single" w:sz="4" w:space="0" w:color="auto"/>
            </w:tcBorders>
            <w:shd w:val="clear" w:color="auto" w:fill="auto"/>
            <w:vAlign w:val="bottom"/>
          </w:tcPr>
          <w:p w:rsidR="006729E7" w:rsidRPr="00C43271" w:rsidRDefault="006404BD" w:rsidP="005F30D4">
            <w:pPr>
              <w:jc w:val="right"/>
              <w:rPr>
                <w:b/>
                <w:bCs/>
                <w:color w:val="000000"/>
                <w:sz w:val="22"/>
                <w:szCs w:val="22"/>
              </w:rPr>
            </w:pPr>
            <w:r>
              <w:rPr>
                <w:b/>
                <w:bCs/>
                <w:color w:val="000000"/>
                <w:sz w:val="22"/>
                <w:szCs w:val="22"/>
              </w:rPr>
              <w:t>$2,156,549</w:t>
            </w:r>
          </w:p>
        </w:tc>
      </w:tr>
    </w:tbl>
    <w:p w:rsidR="0050404A" w:rsidRPr="00A80C82" w:rsidRDefault="0050404A" w:rsidP="00841BA6">
      <w:pPr>
        <w:pStyle w:val="NormalWeb"/>
        <w:tabs>
          <w:tab w:val="left" w:pos="360"/>
          <w:tab w:val="left" w:pos="720"/>
          <w:tab w:val="left" w:pos="1080"/>
          <w:tab w:val="left" w:pos="1440"/>
        </w:tabs>
        <w:spacing w:before="120" w:beforeAutospacing="0" w:after="0" w:afterAutospacing="0"/>
        <w:rPr>
          <w:sz w:val="8"/>
          <w:szCs w:val="8"/>
        </w:rPr>
      </w:pPr>
    </w:p>
    <w:tbl>
      <w:tblPr>
        <w:tblStyle w:val="TableGrid"/>
        <w:tblW w:w="9846" w:type="dxa"/>
        <w:tblInd w:w="-185" w:type="dxa"/>
        <w:tblLook w:val="04A0" w:firstRow="1" w:lastRow="0" w:firstColumn="1" w:lastColumn="0" w:noHBand="0" w:noVBand="1"/>
      </w:tblPr>
      <w:tblGrid>
        <w:gridCol w:w="1598"/>
        <w:gridCol w:w="1642"/>
        <w:gridCol w:w="1777"/>
        <w:gridCol w:w="1733"/>
        <w:gridCol w:w="1471"/>
        <w:gridCol w:w="1625"/>
      </w:tblGrid>
      <w:tr w:rsidR="005F30D4" w:rsidTr="00122AD0">
        <w:tc>
          <w:tcPr>
            <w:tcW w:w="9846" w:type="dxa"/>
            <w:gridSpan w:val="6"/>
            <w:vAlign w:val="center"/>
          </w:tcPr>
          <w:p w:rsidR="005F30D4" w:rsidRDefault="00231567" w:rsidP="006404BD">
            <w:pPr>
              <w:pStyle w:val="NormalWeb"/>
              <w:tabs>
                <w:tab w:val="left" w:pos="360"/>
                <w:tab w:val="left" w:pos="720"/>
                <w:tab w:val="left" w:pos="1080"/>
                <w:tab w:val="left" w:pos="1440"/>
              </w:tabs>
              <w:spacing w:before="0" w:beforeAutospacing="0" w:after="0" w:afterAutospacing="0"/>
              <w:jc w:val="center"/>
              <w:rPr>
                <w:sz w:val="22"/>
                <w:szCs w:val="22"/>
              </w:rPr>
            </w:pPr>
            <w:r>
              <w:rPr>
                <w:sz w:val="22"/>
                <w:szCs w:val="22"/>
              </w:rPr>
              <w:t xml:space="preserve">ESTIMATED </w:t>
            </w:r>
            <w:r w:rsidR="005F30D4">
              <w:rPr>
                <w:sz w:val="22"/>
                <w:szCs w:val="22"/>
              </w:rPr>
              <w:t>PUBLIC RECORDKEEPING</w:t>
            </w:r>
            <w:r w:rsidR="006404BD">
              <w:rPr>
                <w:sz w:val="22"/>
                <w:szCs w:val="22"/>
              </w:rPr>
              <w:t xml:space="preserve"> BURDEN</w:t>
            </w:r>
            <w:r w:rsidR="00C43271">
              <w:rPr>
                <w:sz w:val="22"/>
                <w:szCs w:val="22"/>
              </w:rPr>
              <w:t xml:space="preserve">: </w:t>
            </w:r>
          </w:p>
        </w:tc>
      </w:tr>
      <w:tr w:rsidR="005F30D4" w:rsidTr="00122AD0">
        <w:trPr>
          <w:trHeight w:val="521"/>
        </w:trPr>
        <w:tc>
          <w:tcPr>
            <w:tcW w:w="1598" w:type="dxa"/>
            <w:tcBorders>
              <w:top w:val="nil"/>
              <w:left w:val="single" w:sz="4" w:space="0" w:color="auto"/>
              <w:bottom w:val="single" w:sz="4" w:space="0" w:color="auto"/>
              <w:right w:val="single" w:sz="4" w:space="0" w:color="auto"/>
            </w:tcBorders>
            <w:shd w:val="clear" w:color="auto" w:fill="auto"/>
            <w:vAlign w:val="center"/>
          </w:tcPr>
          <w:p w:rsidR="005F30D4" w:rsidRPr="005F30D4" w:rsidRDefault="00122AD0" w:rsidP="00EF60B5">
            <w:pPr>
              <w:jc w:val="center"/>
              <w:rPr>
                <w:color w:val="000000"/>
                <w:sz w:val="22"/>
                <w:szCs w:val="22"/>
              </w:rPr>
            </w:pPr>
            <w:r>
              <w:rPr>
                <w:color w:val="000000"/>
                <w:sz w:val="22"/>
                <w:szCs w:val="22"/>
              </w:rPr>
              <w:t>0704-0441</w:t>
            </w:r>
          </w:p>
        </w:tc>
        <w:tc>
          <w:tcPr>
            <w:tcW w:w="1642" w:type="dxa"/>
            <w:tcBorders>
              <w:top w:val="nil"/>
              <w:left w:val="nil"/>
              <w:bottom w:val="single" w:sz="4" w:space="0" w:color="auto"/>
              <w:right w:val="single" w:sz="4" w:space="0" w:color="auto"/>
            </w:tcBorders>
            <w:shd w:val="clear" w:color="auto" w:fill="auto"/>
            <w:vAlign w:val="center"/>
          </w:tcPr>
          <w:p w:rsidR="005F30D4" w:rsidRPr="005F30D4" w:rsidRDefault="005F30D4" w:rsidP="00EF60B5">
            <w:pPr>
              <w:jc w:val="center"/>
              <w:rPr>
                <w:color w:val="000000"/>
                <w:sz w:val="22"/>
                <w:szCs w:val="22"/>
              </w:rPr>
            </w:pPr>
            <w:r w:rsidRPr="005F30D4">
              <w:rPr>
                <w:color w:val="000000"/>
                <w:sz w:val="22"/>
                <w:szCs w:val="22"/>
              </w:rPr>
              <w:t>Recordkeepers</w:t>
            </w:r>
          </w:p>
        </w:tc>
        <w:tc>
          <w:tcPr>
            <w:tcW w:w="1777" w:type="dxa"/>
            <w:tcBorders>
              <w:top w:val="nil"/>
              <w:left w:val="nil"/>
              <w:bottom w:val="single" w:sz="4" w:space="0" w:color="auto"/>
              <w:right w:val="single" w:sz="4" w:space="0" w:color="auto"/>
            </w:tcBorders>
            <w:shd w:val="clear" w:color="auto" w:fill="auto"/>
            <w:vAlign w:val="center"/>
          </w:tcPr>
          <w:p w:rsidR="005F30D4" w:rsidRPr="005F30D4" w:rsidRDefault="00EF60B5" w:rsidP="00EF60B5">
            <w:pPr>
              <w:jc w:val="center"/>
              <w:rPr>
                <w:color w:val="000000"/>
                <w:sz w:val="22"/>
                <w:szCs w:val="22"/>
              </w:rPr>
            </w:pPr>
            <w:r>
              <w:rPr>
                <w:color w:val="000000"/>
                <w:sz w:val="22"/>
                <w:szCs w:val="22"/>
              </w:rPr>
              <w:t xml:space="preserve">Annual </w:t>
            </w:r>
            <w:r w:rsidR="005F30D4" w:rsidRPr="005F30D4">
              <w:rPr>
                <w:color w:val="000000"/>
                <w:sz w:val="22"/>
                <w:szCs w:val="22"/>
              </w:rPr>
              <w:t>Hours</w:t>
            </w:r>
            <w:r>
              <w:rPr>
                <w:color w:val="000000"/>
                <w:sz w:val="22"/>
                <w:szCs w:val="22"/>
              </w:rPr>
              <w:t>/ Recordkeeper</w:t>
            </w:r>
          </w:p>
        </w:tc>
        <w:tc>
          <w:tcPr>
            <w:tcW w:w="1733" w:type="dxa"/>
            <w:tcBorders>
              <w:top w:val="nil"/>
              <w:left w:val="nil"/>
              <w:bottom w:val="single" w:sz="4" w:space="0" w:color="auto"/>
              <w:right w:val="single" w:sz="4" w:space="0" w:color="auto"/>
            </w:tcBorders>
            <w:shd w:val="clear" w:color="auto" w:fill="auto"/>
            <w:vAlign w:val="center"/>
          </w:tcPr>
          <w:p w:rsidR="005F30D4" w:rsidRPr="005F30D4" w:rsidRDefault="005F30D4" w:rsidP="00EF60B5">
            <w:pPr>
              <w:jc w:val="center"/>
              <w:rPr>
                <w:color w:val="000000"/>
                <w:sz w:val="22"/>
                <w:szCs w:val="22"/>
              </w:rPr>
            </w:pPr>
            <w:r w:rsidRPr="005F30D4">
              <w:rPr>
                <w:color w:val="000000"/>
                <w:sz w:val="22"/>
                <w:szCs w:val="22"/>
              </w:rPr>
              <w:t>Total Annual Hours</w:t>
            </w:r>
          </w:p>
        </w:tc>
        <w:tc>
          <w:tcPr>
            <w:tcW w:w="1471" w:type="dxa"/>
            <w:tcBorders>
              <w:top w:val="nil"/>
              <w:left w:val="nil"/>
              <w:bottom w:val="single" w:sz="4" w:space="0" w:color="auto"/>
              <w:right w:val="single" w:sz="4" w:space="0" w:color="auto"/>
            </w:tcBorders>
            <w:shd w:val="clear" w:color="auto" w:fill="auto"/>
            <w:vAlign w:val="center"/>
          </w:tcPr>
          <w:p w:rsidR="005F30D4" w:rsidRPr="005F30D4" w:rsidRDefault="005F30D4" w:rsidP="00EF60B5">
            <w:pPr>
              <w:jc w:val="center"/>
              <w:rPr>
                <w:color w:val="000000"/>
                <w:sz w:val="22"/>
                <w:szCs w:val="22"/>
              </w:rPr>
            </w:pPr>
            <w:r w:rsidRPr="005F30D4">
              <w:rPr>
                <w:color w:val="000000"/>
                <w:sz w:val="22"/>
                <w:szCs w:val="22"/>
              </w:rPr>
              <w:t>Rate</w:t>
            </w:r>
          </w:p>
        </w:tc>
        <w:tc>
          <w:tcPr>
            <w:tcW w:w="1625" w:type="dxa"/>
            <w:tcBorders>
              <w:top w:val="nil"/>
              <w:left w:val="nil"/>
              <w:bottom w:val="single" w:sz="4" w:space="0" w:color="auto"/>
              <w:right w:val="single" w:sz="4" w:space="0" w:color="auto"/>
            </w:tcBorders>
            <w:shd w:val="clear" w:color="auto" w:fill="auto"/>
            <w:vAlign w:val="center"/>
          </w:tcPr>
          <w:p w:rsidR="005F30D4" w:rsidRPr="005F30D4" w:rsidRDefault="005F30D4" w:rsidP="00EF60B5">
            <w:pPr>
              <w:jc w:val="center"/>
              <w:rPr>
                <w:color w:val="000000"/>
                <w:sz w:val="22"/>
                <w:szCs w:val="22"/>
              </w:rPr>
            </w:pPr>
            <w:r w:rsidRPr="005F30D4">
              <w:rPr>
                <w:color w:val="000000"/>
                <w:sz w:val="22"/>
                <w:szCs w:val="22"/>
              </w:rPr>
              <w:t>Total Annual Cost to Public</w:t>
            </w:r>
          </w:p>
        </w:tc>
      </w:tr>
      <w:tr w:rsidR="00122AD0" w:rsidTr="00122AD0">
        <w:trPr>
          <w:trHeight w:val="521"/>
        </w:trPr>
        <w:tc>
          <w:tcPr>
            <w:tcW w:w="1598" w:type="dxa"/>
            <w:tcBorders>
              <w:top w:val="nil"/>
              <w:left w:val="single" w:sz="4" w:space="0" w:color="auto"/>
              <w:bottom w:val="single" w:sz="4" w:space="0" w:color="auto"/>
              <w:right w:val="single" w:sz="4" w:space="0" w:color="auto"/>
            </w:tcBorders>
            <w:shd w:val="clear" w:color="auto" w:fill="auto"/>
            <w:vAlign w:val="center"/>
          </w:tcPr>
          <w:p w:rsidR="00122AD0" w:rsidRPr="005F30D4" w:rsidRDefault="00122AD0" w:rsidP="00122AD0">
            <w:pPr>
              <w:jc w:val="center"/>
              <w:rPr>
                <w:color w:val="000000"/>
                <w:sz w:val="22"/>
                <w:szCs w:val="22"/>
              </w:rPr>
            </w:pPr>
            <w:r>
              <w:rPr>
                <w:color w:val="000000"/>
                <w:sz w:val="22"/>
                <w:szCs w:val="22"/>
              </w:rPr>
              <w:t>252.246-7008</w:t>
            </w:r>
          </w:p>
        </w:tc>
        <w:tc>
          <w:tcPr>
            <w:tcW w:w="1642" w:type="dxa"/>
            <w:tcBorders>
              <w:top w:val="single" w:sz="4" w:space="0" w:color="auto"/>
              <w:left w:val="nil"/>
              <w:bottom w:val="single" w:sz="4" w:space="0" w:color="auto"/>
              <w:right w:val="single" w:sz="4" w:space="0" w:color="auto"/>
            </w:tcBorders>
            <w:shd w:val="clear" w:color="auto" w:fill="auto"/>
            <w:vAlign w:val="center"/>
          </w:tcPr>
          <w:p w:rsidR="00122AD0" w:rsidRPr="00122AD0" w:rsidRDefault="00122AD0" w:rsidP="00122AD0">
            <w:pPr>
              <w:jc w:val="right"/>
              <w:rPr>
                <w:color w:val="000000"/>
                <w:sz w:val="22"/>
                <w:szCs w:val="22"/>
              </w:rPr>
            </w:pPr>
            <w:r w:rsidRPr="00122AD0">
              <w:rPr>
                <w:color w:val="000000"/>
                <w:sz w:val="22"/>
                <w:szCs w:val="22"/>
              </w:rPr>
              <w:t>67,887</w:t>
            </w:r>
          </w:p>
        </w:tc>
        <w:tc>
          <w:tcPr>
            <w:tcW w:w="1777" w:type="dxa"/>
            <w:tcBorders>
              <w:top w:val="single" w:sz="4" w:space="0" w:color="auto"/>
              <w:left w:val="nil"/>
              <w:bottom w:val="single" w:sz="4" w:space="0" w:color="auto"/>
              <w:right w:val="single" w:sz="4" w:space="0" w:color="auto"/>
            </w:tcBorders>
            <w:shd w:val="clear" w:color="auto" w:fill="auto"/>
            <w:vAlign w:val="center"/>
          </w:tcPr>
          <w:p w:rsidR="00122AD0" w:rsidRPr="00122AD0" w:rsidRDefault="00122AD0" w:rsidP="00122AD0">
            <w:pPr>
              <w:jc w:val="right"/>
              <w:rPr>
                <w:color w:val="000000"/>
                <w:sz w:val="22"/>
                <w:szCs w:val="22"/>
              </w:rPr>
            </w:pPr>
            <w:r w:rsidRPr="00122AD0">
              <w:rPr>
                <w:color w:val="000000"/>
                <w:sz w:val="22"/>
                <w:szCs w:val="22"/>
              </w:rPr>
              <w:t>30</w:t>
            </w:r>
          </w:p>
        </w:tc>
        <w:tc>
          <w:tcPr>
            <w:tcW w:w="1733" w:type="dxa"/>
            <w:tcBorders>
              <w:top w:val="single" w:sz="4" w:space="0" w:color="auto"/>
              <w:left w:val="nil"/>
              <w:bottom w:val="single" w:sz="4" w:space="0" w:color="auto"/>
              <w:right w:val="single" w:sz="4" w:space="0" w:color="auto"/>
            </w:tcBorders>
            <w:shd w:val="clear" w:color="auto" w:fill="auto"/>
            <w:vAlign w:val="center"/>
          </w:tcPr>
          <w:p w:rsidR="00122AD0" w:rsidRPr="00122AD0" w:rsidRDefault="00122AD0" w:rsidP="00122AD0">
            <w:pPr>
              <w:jc w:val="right"/>
              <w:rPr>
                <w:color w:val="000000"/>
                <w:sz w:val="22"/>
                <w:szCs w:val="22"/>
              </w:rPr>
            </w:pPr>
            <w:r w:rsidRPr="00122AD0">
              <w:rPr>
                <w:color w:val="000000"/>
                <w:sz w:val="22"/>
                <w:szCs w:val="22"/>
              </w:rPr>
              <w:t>2,036,610</w:t>
            </w:r>
          </w:p>
        </w:tc>
        <w:tc>
          <w:tcPr>
            <w:tcW w:w="1471" w:type="dxa"/>
            <w:tcBorders>
              <w:top w:val="single" w:sz="4" w:space="0" w:color="auto"/>
              <w:left w:val="nil"/>
              <w:bottom w:val="single" w:sz="4" w:space="0" w:color="auto"/>
              <w:right w:val="single" w:sz="4" w:space="0" w:color="auto"/>
            </w:tcBorders>
            <w:shd w:val="clear" w:color="auto" w:fill="auto"/>
            <w:vAlign w:val="center"/>
          </w:tcPr>
          <w:p w:rsidR="00122AD0" w:rsidRPr="00122AD0" w:rsidRDefault="00122AD0" w:rsidP="00122AD0">
            <w:pPr>
              <w:jc w:val="right"/>
              <w:rPr>
                <w:bCs/>
                <w:color w:val="000000"/>
                <w:sz w:val="22"/>
                <w:szCs w:val="22"/>
              </w:rPr>
            </w:pPr>
            <w:r w:rsidRPr="00122AD0">
              <w:rPr>
                <w:bCs/>
                <w:color w:val="000000"/>
                <w:sz w:val="22"/>
                <w:szCs w:val="22"/>
              </w:rPr>
              <w:t>$38.05</w:t>
            </w:r>
          </w:p>
        </w:tc>
        <w:tc>
          <w:tcPr>
            <w:tcW w:w="1625" w:type="dxa"/>
            <w:tcBorders>
              <w:top w:val="single" w:sz="4" w:space="0" w:color="auto"/>
              <w:left w:val="nil"/>
              <w:bottom w:val="single" w:sz="4" w:space="0" w:color="auto"/>
              <w:right w:val="single" w:sz="4" w:space="0" w:color="auto"/>
            </w:tcBorders>
            <w:shd w:val="clear" w:color="auto" w:fill="auto"/>
            <w:vAlign w:val="center"/>
          </w:tcPr>
          <w:p w:rsidR="00122AD0" w:rsidRPr="00122AD0" w:rsidRDefault="00122AD0" w:rsidP="00122AD0">
            <w:pPr>
              <w:jc w:val="right"/>
              <w:rPr>
                <w:bCs/>
                <w:color w:val="000000"/>
                <w:sz w:val="22"/>
                <w:szCs w:val="22"/>
              </w:rPr>
            </w:pPr>
            <w:r w:rsidRPr="00122AD0">
              <w:rPr>
                <w:bCs/>
                <w:color w:val="000000"/>
                <w:sz w:val="22"/>
                <w:szCs w:val="22"/>
              </w:rPr>
              <w:t>$77,493,011</w:t>
            </w:r>
          </w:p>
        </w:tc>
      </w:tr>
      <w:tr w:rsidR="006404BD" w:rsidRPr="006404BD" w:rsidTr="00122AD0">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6404BD" w:rsidRPr="006404BD" w:rsidRDefault="006404BD" w:rsidP="006404BD">
            <w:pPr>
              <w:rPr>
                <w:b/>
                <w:color w:val="000000"/>
                <w:sz w:val="22"/>
                <w:szCs w:val="22"/>
              </w:rPr>
            </w:pPr>
            <w:r w:rsidRPr="006404BD">
              <w:rPr>
                <w:b/>
                <w:color w:val="000000"/>
                <w:sz w:val="22"/>
                <w:szCs w:val="22"/>
              </w:rPr>
              <w:t>TOTAL</w:t>
            </w:r>
          </w:p>
        </w:tc>
        <w:tc>
          <w:tcPr>
            <w:tcW w:w="1642" w:type="dxa"/>
            <w:tcBorders>
              <w:top w:val="single" w:sz="4" w:space="0" w:color="auto"/>
              <w:left w:val="nil"/>
              <w:bottom w:val="single" w:sz="4" w:space="0" w:color="auto"/>
              <w:right w:val="single" w:sz="4" w:space="0" w:color="auto"/>
            </w:tcBorders>
            <w:shd w:val="clear" w:color="auto" w:fill="auto"/>
            <w:vAlign w:val="center"/>
          </w:tcPr>
          <w:p w:rsidR="006404BD" w:rsidRPr="006404BD" w:rsidRDefault="006404BD" w:rsidP="006404BD">
            <w:pPr>
              <w:jc w:val="right"/>
              <w:rPr>
                <w:b/>
                <w:color w:val="000000"/>
                <w:sz w:val="22"/>
                <w:szCs w:val="22"/>
              </w:rPr>
            </w:pPr>
            <w:r w:rsidRPr="006404BD">
              <w:rPr>
                <w:b/>
                <w:color w:val="000000"/>
                <w:sz w:val="22"/>
                <w:szCs w:val="22"/>
              </w:rPr>
              <w:t>67,887</w:t>
            </w:r>
          </w:p>
        </w:tc>
        <w:tc>
          <w:tcPr>
            <w:tcW w:w="1777" w:type="dxa"/>
            <w:tcBorders>
              <w:top w:val="single" w:sz="4" w:space="0" w:color="auto"/>
              <w:left w:val="nil"/>
              <w:bottom w:val="single" w:sz="4" w:space="0" w:color="auto"/>
              <w:right w:val="single" w:sz="4" w:space="0" w:color="auto"/>
            </w:tcBorders>
            <w:shd w:val="clear" w:color="auto" w:fill="auto"/>
            <w:vAlign w:val="center"/>
          </w:tcPr>
          <w:p w:rsidR="006404BD" w:rsidRPr="006404BD" w:rsidRDefault="006404BD" w:rsidP="006404BD">
            <w:pPr>
              <w:jc w:val="right"/>
              <w:rPr>
                <w:b/>
                <w:color w:val="000000"/>
                <w:sz w:val="22"/>
                <w:szCs w:val="22"/>
              </w:rPr>
            </w:pPr>
            <w:r w:rsidRPr="006404BD">
              <w:rPr>
                <w:b/>
                <w:color w:val="000000"/>
                <w:sz w:val="22"/>
                <w:szCs w:val="22"/>
              </w:rPr>
              <w:t>30</w:t>
            </w:r>
          </w:p>
        </w:tc>
        <w:tc>
          <w:tcPr>
            <w:tcW w:w="1733" w:type="dxa"/>
            <w:tcBorders>
              <w:top w:val="single" w:sz="4" w:space="0" w:color="auto"/>
              <w:left w:val="nil"/>
              <w:bottom w:val="single" w:sz="4" w:space="0" w:color="auto"/>
              <w:right w:val="single" w:sz="4" w:space="0" w:color="auto"/>
            </w:tcBorders>
            <w:shd w:val="clear" w:color="auto" w:fill="auto"/>
            <w:vAlign w:val="center"/>
          </w:tcPr>
          <w:p w:rsidR="006404BD" w:rsidRPr="006404BD" w:rsidRDefault="006404BD" w:rsidP="006404BD">
            <w:pPr>
              <w:jc w:val="right"/>
              <w:rPr>
                <w:b/>
                <w:color w:val="000000"/>
                <w:sz w:val="22"/>
                <w:szCs w:val="22"/>
              </w:rPr>
            </w:pPr>
            <w:r w:rsidRPr="006404BD">
              <w:rPr>
                <w:b/>
                <w:color w:val="000000"/>
                <w:sz w:val="22"/>
                <w:szCs w:val="22"/>
              </w:rPr>
              <w:t>2,036,610</w:t>
            </w:r>
          </w:p>
        </w:tc>
        <w:tc>
          <w:tcPr>
            <w:tcW w:w="1471" w:type="dxa"/>
            <w:tcBorders>
              <w:top w:val="single" w:sz="4" w:space="0" w:color="auto"/>
              <w:left w:val="nil"/>
              <w:bottom w:val="single" w:sz="4" w:space="0" w:color="auto"/>
              <w:right w:val="single" w:sz="4" w:space="0" w:color="auto"/>
            </w:tcBorders>
            <w:shd w:val="clear" w:color="auto" w:fill="auto"/>
            <w:vAlign w:val="center"/>
          </w:tcPr>
          <w:p w:rsidR="006404BD" w:rsidRPr="006404BD" w:rsidRDefault="006404BD" w:rsidP="006404BD">
            <w:pPr>
              <w:jc w:val="right"/>
              <w:rPr>
                <w:b/>
                <w:bCs/>
                <w:color w:val="000000"/>
                <w:sz w:val="22"/>
                <w:szCs w:val="22"/>
              </w:rPr>
            </w:pPr>
            <w:r w:rsidRPr="006404BD">
              <w:rPr>
                <w:b/>
                <w:bCs/>
                <w:color w:val="000000"/>
                <w:sz w:val="22"/>
                <w:szCs w:val="22"/>
              </w:rPr>
              <w:t>$38.05</w:t>
            </w:r>
          </w:p>
        </w:tc>
        <w:tc>
          <w:tcPr>
            <w:tcW w:w="1625" w:type="dxa"/>
            <w:tcBorders>
              <w:top w:val="single" w:sz="4" w:space="0" w:color="auto"/>
              <w:left w:val="nil"/>
              <w:bottom w:val="single" w:sz="4" w:space="0" w:color="auto"/>
              <w:right w:val="single" w:sz="4" w:space="0" w:color="auto"/>
            </w:tcBorders>
            <w:shd w:val="clear" w:color="auto" w:fill="auto"/>
            <w:vAlign w:val="center"/>
          </w:tcPr>
          <w:p w:rsidR="006404BD" w:rsidRPr="006404BD" w:rsidRDefault="006404BD" w:rsidP="006404BD">
            <w:pPr>
              <w:jc w:val="right"/>
              <w:rPr>
                <w:b/>
                <w:bCs/>
                <w:color w:val="000000"/>
                <w:sz w:val="22"/>
                <w:szCs w:val="22"/>
              </w:rPr>
            </w:pPr>
            <w:r w:rsidRPr="006404BD">
              <w:rPr>
                <w:b/>
                <w:bCs/>
                <w:color w:val="000000"/>
                <w:sz w:val="22"/>
                <w:szCs w:val="22"/>
              </w:rPr>
              <w:t>$77,493,011</w:t>
            </w:r>
          </w:p>
        </w:tc>
      </w:tr>
    </w:tbl>
    <w:p w:rsidR="00122AD0" w:rsidRPr="00122AD0" w:rsidRDefault="00122AD0" w:rsidP="00841BA6">
      <w:pPr>
        <w:pStyle w:val="NormalWeb"/>
        <w:tabs>
          <w:tab w:val="left" w:pos="360"/>
          <w:tab w:val="left" w:pos="720"/>
          <w:tab w:val="left" w:pos="1080"/>
          <w:tab w:val="left" w:pos="1440"/>
        </w:tabs>
        <w:spacing w:before="120" w:beforeAutospacing="0" w:after="0" w:afterAutospacing="0"/>
        <w:rPr>
          <w:i/>
          <w:sz w:val="8"/>
          <w:szCs w:val="8"/>
        </w:rPr>
      </w:pPr>
    </w:p>
    <w:tbl>
      <w:tblPr>
        <w:tblStyle w:val="TableGrid"/>
        <w:tblW w:w="7195" w:type="dxa"/>
        <w:jc w:val="center"/>
        <w:tblLayout w:type="fixed"/>
        <w:tblLook w:val="04A0" w:firstRow="1" w:lastRow="0" w:firstColumn="1" w:lastColumn="0" w:noHBand="0" w:noVBand="1"/>
      </w:tblPr>
      <w:tblGrid>
        <w:gridCol w:w="1885"/>
        <w:gridCol w:w="1800"/>
        <w:gridCol w:w="1790"/>
        <w:gridCol w:w="1720"/>
      </w:tblGrid>
      <w:tr w:rsidR="00695FE8" w:rsidTr="00726891">
        <w:trPr>
          <w:jc w:val="center"/>
        </w:trPr>
        <w:tc>
          <w:tcPr>
            <w:tcW w:w="7195" w:type="dxa"/>
            <w:gridSpan w:val="4"/>
            <w:shd w:val="clear" w:color="auto" w:fill="auto"/>
            <w:vAlign w:val="center"/>
          </w:tcPr>
          <w:p w:rsidR="00695FE8" w:rsidRPr="005F30D4" w:rsidRDefault="00231567" w:rsidP="008A568E">
            <w:pPr>
              <w:jc w:val="center"/>
              <w:rPr>
                <w:color w:val="000000"/>
                <w:sz w:val="22"/>
                <w:szCs w:val="22"/>
              </w:rPr>
            </w:pPr>
            <w:r>
              <w:rPr>
                <w:color w:val="000000"/>
                <w:sz w:val="22"/>
                <w:szCs w:val="22"/>
              </w:rPr>
              <w:t xml:space="preserve">ESTIMATED </w:t>
            </w:r>
            <w:r w:rsidR="00695FE8">
              <w:rPr>
                <w:color w:val="000000"/>
                <w:sz w:val="22"/>
                <w:szCs w:val="22"/>
              </w:rPr>
              <w:t xml:space="preserve">TOTAL PUBLIC BURDEN: </w:t>
            </w:r>
          </w:p>
        </w:tc>
      </w:tr>
      <w:tr w:rsidR="00695FE8" w:rsidTr="00726891">
        <w:trPr>
          <w:jc w:val="center"/>
        </w:trPr>
        <w:tc>
          <w:tcPr>
            <w:tcW w:w="1885" w:type="dxa"/>
            <w:shd w:val="clear" w:color="auto" w:fill="auto"/>
            <w:vAlign w:val="center"/>
          </w:tcPr>
          <w:p w:rsidR="00695FE8" w:rsidRPr="005F30D4" w:rsidRDefault="00695FE8" w:rsidP="00695FE8">
            <w:pPr>
              <w:rPr>
                <w:color w:val="000000"/>
                <w:sz w:val="22"/>
                <w:szCs w:val="22"/>
              </w:rPr>
            </w:pPr>
            <w:r>
              <w:rPr>
                <w:color w:val="000000"/>
                <w:sz w:val="22"/>
                <w:szCs w:val="22"/>
              </w:rPr>
              <w:t>0704-0441</w:t>
            </w:r>
          </w:p>
        </w:tc>
        <w:tc>
          <w:tcPr>
            <w:tcW w:w="1800" w:type="dxa"/>
            <w:shd w:val="clear" w:color="auto" w:fill="auto"/>
            <w:vAlign w:val="center"/>
          </w:tcPr>
          <w:p w:rsidR="00695FE8" w:rsidRPr="005F30D4" w:rsidRDefault="00695FE8" w:rsidP="00695FE8">
            <w:pPr>
              <w:jc w:val="center"/>
              <w:rPr>
                <w:color w:val="000000"/>
                <w:sz w:val="22"/>
                <w:szCs w:val="22"/>
              </w:rPr>
            </w:pPr>
            <w:r w:rsidRPr="005F30D4">
              <w:rPr>
                <w:color w:val="000000"/>
                <w:sz w:val="22"/>
                <w:szCs w:val="22"/>
              </w:rPr>
              <w:t>Annual Resp</w:t>
            </w:r>
            <w:r>
              <w:rPr>
                <w:color w:val="000000"/>
                <w:sz w:val="22"/>
                <w:szCs w:val="22"/>
              </w:rPr>
              <w:t>onse</w:t>
            </w:r>
          </w:p>
        </w:tc>
        <w:tc>
          <w:tcPr>
            <w:tcW w:w="1790" w:type="dxa"/>
            <w:shd w:val="clear" w:color="auto" w:fill="auto"/>
            <w:vAlign w:val="center"/>
          </w:tcPr>
          <w:p w:rsidR="00695FE8" w:rsidRPr="005F30D4" w:rsidRDefault="00695FE8" w:rsidP="00695FE8">
            <w:pPr>
              <w:jc w:val="center"/>
              <w:rPr>
                <w:color w:val="000000"/>
                <w:sz w:val="22"/>
                <w:szCs w:val="22"/>
              </w:rPr>
            </w:pPr>
            <w:r>
              <w:rPr>
                <w:color w:val="000000"/>
                <w:sz w:val="22"/>
                <w:szCs w:val="22"/>
              </w:rPr>
              <w:t>Total</w:t>
            </w:r>
            <w:r w:rsidRPr="005F30D4">
              <w:rPr>
                <w:color w:val="000000"/>
                <w:sz w:val="22"/>
                <w:szCs w:val="22"/>
              </w:rPr>
              <w:t xml:space="preserve"> Hours</w:t>
            </w:r>
          </w:p>
        </w:tc>
        <w:tc>
          <w:tcPr>
            <w:tcW w:w="1720" w:type="dxa"/>
            <w:shd w:val="clear" w:color="auto" w:fill="auto"/>
            <w:vAlign w:val="center"/>
          </w:tcPr>
          <w:p w:rsidR="00695FE8" w:rsidRPr="005F30D4" w:rsidRDefault="00695FE8" w:rsidP="00695FE8">
            <w:pPr>
              <w:jc w:val="center"/>
              <w:rPr>
                <w:color w:val="000000"/>
                <w:sz w:val="22"/>
                <w:szCs w:val="22"/>
              </w:rPr>
            </w:pPr>
            <w:r w:rsidRPr="005F30D4">
              <w:rPr>
                <w:color w:val="000000"/>
                <w:sz w:val="22"/>
                <w:szCs w:val="22"/>
              </w:rPr>
              <w:t>Total Annual Cost to Public</w:t>
            </w:r>
          </w:p>
        </w:tc>
      </w:tr>
      <w:tr w:rsidR="00695FE8" w:rsidTr="00726891">
        <w:trPr>
          <w:trHeight w:val="215"/>
          <w:jc w:val="center"/>
        </w:trPr>
        <w:tc>
          <w:tcPr>
            <w:tcW w:w="1885" w:type="dxa"/>
            <w:shd w:val="clear" w:color="auto" w:fill="auto"/>
            <w:vAlign w:val="bottom"/>
          </w:tcPr>
          <w:p w:rsidR="00695FE8" w:rsidRPr="005F30D4" w:rsidRDefault="00695FE8" w:rsidP="00695FE8">
            <w:pPr>
              <w:rPr>
                <w:color w:val="000000"/>
                <w:sz w:val="22"/>
                <w:szCs w:val="22"/>
              </w:rPr>
            </w:pPr>
            <w:r>
              <w:rPr>
                <w:color w:val="000000"/>
                <w:sz w:val="22"/>
                <w:szCs w:val="22"/>
              </w:rPr>
              <w:t>Reporting</w:t>
            </w:r>
          </w:p>
        </w:tc>
        <w:tc>
          <w:tcPr>
            <w:tcW w:w="1800" w:type="dxa"/>
            <w:shd w:val="clear" w:color="auto" w:fill="auto"/>
            <w:vAlign w:val="bottom"/>
          </w:tcPr>
          <w:p w:rsidR="00695FE8" w:rsidRPr="005F30D4" w:rsidRDefault="00695FE8" w:rsidP="00695FE8">
            <w:pPr>
              <w:jc w:val="right"/>
              <w:rPr>
                <w:color w:val="000000"/>
                <w:sz w:val="22"/>
                <w:szCs w:val="22"/>
              </w:rPr>
            </w:pPr>
            <w:r>
              <w:rPr>
                <w:color w:val="000000"/>
                <w:sz w:val="22"/>
                <w:szCs w:val="22"/>
              </w:rPr>
              <w:t>54,137</w:t>
            </w:r>
          </w:p>
        </w:tc>
        <w:tc>
          <w:tcPr>
            <w:tcW w:w="1790" w:type="dxa"/>
            <w:shd w:val="clear" w:color="auto" w:fill="auto"/>
            <w:vAlign w:val="bottom"/>
          </w:tcPr>
          <w:p w:rsidR="00695FE8" w:rsidRPr="005F30D4" w:rsidRDefault="00695FE8" w:rsidP="00695FE8">
            <w:pPr>
              <w:jc w:val="right"/>
              <w:rPr>
                <w:color w:val="000000"/>
                <w:sz w:val="22"/>
                <w:szCs w:val="22"/>
              </w:rPr>
            </w:pPr>
            <w:r>
              <w:rPr>
                <w:color w:val="000000"/>
                <w:sz w:val="22"/>
                <w:szCs w:val="22"/>
              </w:rPr>
              <w:t>15,314</w:t>
            </w:r>
          </w:p>
        </w:tc>
        <w:tc>
          <w:tcPr>
            <w:tcW w:w="1720" w:type="dxa"/>
            <w:shd w:val="clear" w:color="auto" w:fill="auto"/>
            <w:vAlign w:val="bottom"/>
          </w:tcPr>
          <w:p w:rsidR="00695FE8" w:rsidRPr="005F30D4" w:rsidRDefault="00726891" w:rsidP="00695FE8">
            <w:pPr>
              <w:jc w:val="right"/>
              <w:rPr>
                <w:bCs/>
                <w:color w:val="000000"/>
                <w:sz w:val="22"/>
                <w:szCs w:val="22"/>
              </w:rPr>
            </w:pPr>
            <w:r>
              <w:rPr>
                <w:bCs/>
                <w:color w:val="000000"/>
                <w:sz w:val="22"/>
                <w:szCs w:val="22"/>
              </w:rPr>
              <w:t>$2,156,549</w:t>
            </w:r>
          </w:p>
        </w:tc>
      </w:tr>
      <w:tr w:rsidR="00695FE8" w:rsidRPr="00C43271" w:rsidTr="00726891">
        <w:trPr>
          <w:jc w:val="center"/>
        </w:trPr>
        <w:tc>
          <w:tcPr>
            <w:tcW w:w="1885" w:type="dxa"/>
            <w:shd w:val="clear" w:color="auto" w:fill="auto"/>
            <w:vAlign w:val="bottom"/>
          </w:tcPr>
          <w:p w:rsidR="00695FE8" w:rsidRPr="00C43271" w:rsidRDefault="00695FE8" w:rsidP="00695FE8">
            <w:pPr>
              <w:rPr>
                <w:color w:val="000000"/>
                <w:sz w:val="22"/>
                <w:szCs w:val="22"/>
              </w:rPr>
            </w:pPr>
            <w:r>
              <w:rPr>
                <w:color w:val="000000"/>
                <w:sz w:val="22"/>
                <w:szCs w:val="22"/>
              </w:rPr>
              <w:t>Recordkeeping</w:t>
            </w:r>
          </w:p>
        </w:tc>
        <w:tc>
          <w:tcPr>
            <w:tcW w:w="1800" w:type="dxa"/>
            <w:shd w:val="clear" w:color="auto" w:fill="auto"/>
            <w:vAlign w:val="bottom"/>
          </w:tcPr>
          <w:p w:rsidR="00695FE8" w:rsidRPr="00C43271" w:rsidRDefault="00695FE8" w:rsidP="00695FE8">
            <w:pPr>
              <w:jc w:val="right"/>
              <w:rPr>
                <w:color w:val="000000"/>
                <w:sz w:val="22"/>
                <w:szCs w:val="22"/>
              </w:rPr>
            </w:pPr>
            <w:r>
              <w:rPr>
                <w:color w:val="000000"/>
                <w:sz w:val="22"/>
                <w:szCs w:val="22"/>
              </w:rPr>
              <w:t>67,887</w:t>
            </w:r>
          </w:p>
        </w:tc>
        <w:tc>
          <w:tcPr>
            <w:tcW w:w="1790" w:type="dxa"/>
            <w:shd w:val="clear" w:color="auto" w:fill="auto"/>
            <w:vAlign w:val="bottom"/>
          </w:tcPr>
          <w:p w:rsidR="00695FE8" w:rsidRPr="00C43271" w:rsidRDefault="00695FE8" w:rsidP="00695FE8">
            <w:pPr>
              <w:jc w:val="right"/>
              <w:rPr>
                <w:color w:val="000000"/>
                <w:sz w:val="22"/>
                <w:szCs w:val="22"/>
              </w:rPr>
            </w:pPr>
            <w:r>
              <w:rPr>
                <w:color w:val="000000"/>
                <w:sz w:val="22"/>
                <w:szCs w:val="22"/>
              </w:rPr>
              <w:t>2,036,610</w:t>
            </w:r>
          </w:p>
        </w:tc>
        <w:tc>
          <w:tcPr>
            <w:tcW w:w="1720" w:type="dxa"/>
            <w:shd w:val="clear" w:color="auto" w:fill="auto"/>
            <w:vAlign w:val="bottom"/>
          </w:tcPr>
          <w:p w:rsidR="00695FE8" w:rsidRPr="00C43271" w:rsidRDefault="00726891" w:rsidP="00695FE8">
            <w:pPr>
              <w:jc w:val="right"/>
              <w:rPr>
                <w:bCs/>
                <w:color w:val="000000"/>
                <w:sz w:val="22"/>
                <w:szCs w:val="22"/>
              </w:rPr>
            </w:pPr>
            <w:r>
              <w:rPr>
                <w:bCs/>
                <w:color w:val="000000"/>
                <w:sz w:val="22"/>
                <w:szCs w:val="22"/>
              </w:rPr>
              <w:t>$77,493,011</w:t>
            </w:r>
          </w:p>
        </w:tc>
      </w:tr>
      <w:tr w:rsidR="00695FE8" w:rsidTr="00726891">
        <w:trPr>
          <w:jc w:val="center"/>
        </w:trPr>
        <w:tc>
          <w:tcPr>
            <w:tcW w:w="1885" w:type="dxa"/>
            <w:shd w:val="clear" w:color="auto" w:fill="auto"/>
            <w:vAlign w:val="bottom"/>
          </w:tcPr>
          <w:p w:rsidR="00695FE8" w:rsidRPr="00C43271" w:rsidRDefault="00695FE8" w:rsidP="00695FE8">
            <w:pPr>
              <w:rPr>
                <w:b/>
                <w:color w:val="000000"/>
                <w:sz w:val="22"/>
                <w:szCs w:val="22"/>
              </w:rPr>
            </w:pPr>
            <w:r w:rsidRPr="00C43271">
              <w:rPr>
                <w:b/>
                <w:color w:val="000000"/>
                <w:sz w:val="22"/>
                <w:szCs w:val="22"/>
              </w:rPr>
              <w:t>TOTAL</w:t>
            </w:r>
          </w:p>
        </w:tc>
        <w:tc>
          <w:tcPr>
            <w:tcW w:w="1800" w:type="dxa"/>
            <w:shd w:val="clear" w:color="auto" w:fill="auto"/>
            <w:vAlign w:val="bottom"/>
          </w:tcPr>
          <w:p w:rsidR="00695FE8" w:rsidRPr="00C43271" w:rsidRDefault="00695FE8" w:rsidP="00695FE8">
            <w:pPr>
              <w:jc w:val="right"/>
              <w:rPr>
                <w:b/>
                <w:color w:val="000000"/>
                <w:sz w:val="22"/>
                <w:szCs w:val="22"/>
              </w:rPr>
            </w:pPr>
            <w:r>
              <w:rPr>
                <w:b/>
                <w:color w:val="000000"/>
                <w:sz w:val="22"/>
                <w:szCs w:val="22"/>
              </w:rPr>
              <w:t>122,024</w:t>
            </w:r>
          </w:p>
        </w:tc>
        <w:tc>
          <w:tcPr>
            <w:tcW w:w="1790" w:type="dxa"/>
            <w:shd w:val="clear" w:color="auto" w:fill="auto"/>
            <w:vAlign w:val="bottom"/>
          </w:tcPr>
          <w:p w:rsidR="00695FE8" w:rsidRPr="00C43271" w:rsidRDefault="00695FE8" w:rsidP="00695FE8">
            <w:pPr>
              <w:jc w:val="right"/>
              <w:rPr>
                <w:b/>
                <w:color w:val="000000"/>
                <w:sz w:val="22"/>
                <w:szCs w:val="22"/>
              </w:rPr>
            </w:pPr>
            <w:r>
              <w:rPr>
                <w:b/>
                <w:color w:val="000000"/>
                <w:sz w:val="22"/>
                <w:szCs w:val="22"/>
              </w:rPr>
              <w:t>2,075,685</w:t>
            </w:r>
          </w:p>
        </w:tc>
        <w:tc>
          <w:tcPr>
            <w:tcW w:w="1720" w:type="dxa"/>
            <w:shd w:val="clear" w:color="auto" w:fill="auto"/>
            <w:vAlign w:val="bottom"/>
          </w:tcPr>
          <w:p w:rsidR="00695FE8" w:rsidRPr="00C43271" w:rsidRDefault="00726891" w:rsidP="00695FE8">
            <w:pPr>
              <w:jc w:val="right"/>
              <w:rPr>
                <w:b/>
                <w:bCs/>
                <w:color w:val="000000"/>
                <w:sz w:val="22"/>
                <w:szCs w:val="22"/>
              </w:rPr>
            </w:pPr>
            <w:r>
              <w:rPr>
                <w:b/>
                <w:bCs/>
                <w:color w:val="000000"/>
                <w:sz w:val="22"/>
                <w:szCs w:val="22"/>
              </w:rPr>
              <w:t>$79,649,560</w:t>
            </w:r>
          </w:p>
        </w:tc>
      </w:tr>
    </w:tbl>
    <w:p w:rsidR="00841BA6" w:rsidRPr="00B96890" w:rsidRDefault="00841BA6" w:rsidP="00841BA6">
      <w:pPr>
        <w:pStyle w:val="NormalWeb"/>
        <w:tabs>
          <w:tab w:val="left" w:pos="360"/>
          <w:tab w:val="left" w:pos="720"/>
          <w:tab w:val="left" w:pos="1080"/>
          <w:tab w:val="left" w:pos="1440"/>
        </w:tabs>
        <w:spacing w:before="120" w:beforeAutospacing="0" w:after="0" w:afterAutospacing="0"/>
        <w:rPr>
          <w:sz w:val="20"/>
          <w:szCs w:val="20"/>
        </w:rPr>
      </w:pPr>
      <w:r w:rsidRPr="00B96890">
        <w:rPr>
          <w:i/>
          <w:sz w:val="20"/>
          <w:szCs w:val="20"/>
        </w:rPr>
        <w:t>Note</w:t>
      </w:r>
      <w:r w:rsidRPr="00B96890">
        <w:rPr>
          <w:sz w:val="20"/>
          <w:szCs w:val="20"/>
        </w:rPr>
        <w:t>:  The hourly rates were developed by using the 2019 Office of Personnel Management GS-12, step 5, rate for the Rest of the U.S. of $</w:t>
      </w:r>
      <w:r>
        <w:rPr>
          <w:sz w:val="20"/>
          <w:szCs w:val="20"/>
        </w:rPr>
        <w:t>40.51</w:t>
      </w:r>
      <w:r w:rsidRPr="00B96890">
        <w:rPr>
          <w:sz w:val="20"/>
          <w:szCs w:val="20"/>
        </w:rPr>
        <w:t xml:space="preserve"> x 1.3625 O/H rate = $</w:t>
      </w:r>
      <w:r>
        <w:rPr>
          <w:sz w:val="20"/>
          <w:szCs w:val="20"/>
        </w:rPr>
        <w:t>55.19</w:t>
      </w:r>
      <w:r w:rsidRPr="00B96890">
        <w:rPr>
          <w:sz w:val="20"/>
          <w:szCs w:val="20"/>
        </w:rPr>
        <w:t>; and GS 9, step 5 for recordkeepers of $27.</w:t>
      </w:r>
      <w:r>
        <w:rPr>
          <w:sz w:val="20"/>
          <w:szCs w:val="20"/>
        </w:rPr>
        <w:t>93</w:t>
      </w:r>
      <w:r w:rsidRPr="00B96890">
        <w:rPr>
          <w:sz w:val="20"/>
          <w:szCs w:val="20"/>
        </w:rPr>
        <w:t xml:space="preserve"> x 1.3625</w:t>
      </w:r>
      <w:r>
        <w:rPr>
          <w:sz w:val="20"/>
          <w:szCs w:val="20"/>
        </w:rPr>
        <w:t xml:space="preserve"> </w:t>
      </w:r>
      <w:r w:rsidRPr="00B96890">
        <w:rPr>
          <w:sz w:val="20"/>
          <w:szCs w:val="20"/>
        </w:rPr>
        <w:t>O/H rate = $</w:t>
      </w:r>
      <w:r>
        <w:rPr>
          <w:sz w:val="20"/>
          <w:szCs w:val="20"/>
        </w:rPr>
        <w:t>38.05</w:t>
      </w:r>
      <w:r w:rsidRPr="00B96890">
        <w:rPr>
          <w:sz w:val="20"/>
          <w:szCs w:val="20"/>
        </w:rPr>
        <w:t>.</w:t>
      </w:r>
    </w:p>
    <w:p w:rsidR="004230D6" w:rsidRPr="00531ACF" w:rsidRDefault="00963313" w:rsidP="00B96890">
      <w:pPr>
        <w:pStyle w:val="NormalWeb"/>
        <w:tabs>
          <w:tab w:val="left" w:pos="360"/>
          <w:tab w:val="left" w:pos="720"/>
          <w:tab w:val="left" w:pos="1080"/>
          <w:tab w:val="left" w:pos="1440"/>
        </w:tabs>
        <w:spacing w:line="288" w:lineRule="atLeast"/>
      </w:pPr>
      <w:r>
        <w:tab/>
      </w:r>
      <w:r>
        <w:tab/>
        <w:t>The estimated burdens shown in the</w:t>
      </w:r>
      <w:r w:rsidR="00607475">
        <w:t xml:space="preserve"> </w:t>
      </w:r>
      <w:r>
        <w:t>table</w:t>
      </w:r>
      <w:r w:rsidR="00B96890">
        <w:t xml:space="preserve"> above</w:t>
      </w:r>
      <w:r>
        <w:t xml:space="preserve"> include </w:t>
      </w:r>
      <w:r w:rsidR="00DD6DF7">
        <w:t>requirements</w:t>
      </w:r>
      <w:r>
        <w:t xml:space="preserve"> previously incorporated under 0704-0</w:t>
      </w:r>
      <w:r w:rsidR="006E3E8A">
        <w:t>541</w:t>
      </w:r>
      <w:r>
        <w:t xml:space="preserve">for information collected </w:t>
      </w:r>
      <w:r w:rsidR="00B96890">
        <w:t>related to</w:t>
      </w:r>
      <w:r>
        <w:t xml:space="preserve"> </w:t>
      </w:r>
      <w:r w:rsidR="00F30F68">
        <w:t>electronic parts</w:t>
      </w:r>
      <w:r>
        <w:t xml:space="preserve"> under DFARS </w:t>
      </w:r>
      <w:r w:rsidR="00F30F68">
        <w:t>clause</w:t>
      </w:r>
      <w:r>
        <w:t xml:space="preserve"> </w:t>
      </w:r>
      <w:r w:rsidR="006E3E8A">
        <w:t>252.246-7008</w:t>
      </w:r>
      <w:r>
        <w:t>.</w:t>
      </w:r>
      <w:r w:rsidR="00607475">
        <w:t xml:space="preserve"> </w:t>
      </w:r>
      <w:r>
        <w:t xml:space="preserve"> </w:t>
      </w:r>
      <w:r w:rsidR="00F11ABC">
        <w:t>A discussion of t</w:t>
      </w:r>
      <w:r w:rsidR="00607475">
        <w:t xml:space="preserve">he burdens for each clause is </w:t>
      </w:r>
      <w:r w:rsidR="00034F54">
        <w:t>provided</w:t>
      </w:r>
      <w:r w:rsidR="004230D6">
        <w:t xml:space="preserve"> </w:t>
      </w:r>
      <w:r w:rsidR="00F30F68">
        <w:t>as follows:</w:t>
      </w:r>
      <w:bookmarkStart w:id="14" w:name="cp457"/>
      <w:bookmarkEnd w:id="13"/>
    </w:p>
    <w:p w:rsidR="00034F54" w:rsidRDefault="00034F54" w:rsidP="004230D6">
      <w:pPr>
        <w:pStyle w:val="NormalWeb"/>
        <w:tabs>
          <w:tab w:val="left" w:pos="360"/>
          <w:tab w:val="left" w:pos="720"/>
          <w:tab w:val="left" w:pos="1080"/>
          <w:tab w:val="left" w:pos="1440"/>
        </w:tabs>
        <w:spacing w:before="0" w:beforeAutospacing="0" w:after="0" w:afterAutospacing="0"/>
      </w:pPr>
      <w:r>
        <w:rPr>
          <w:sz w:val="20"/>
          <w:szCs w:val="20"/>
        </w:rPr>
        <w:tab/>
      </w:r>
      <w:r>
        <w:rPr>
          <w:sz w:val="20"/>
          <w:szCs w:val="20"/>
        </w:rPr>
        <w:tab/>
      </w:r>
      <w:r w:rsidRPr="00034F54">
        <w:t xml:space="preserve">a.  DFARS 252.246-7003, Notification of Potential Safety Issues.  </w:t>
      </w:r>
      <w:r w:rsidR="00531ACF">
        <w:t>While, there is no centralized database that records the reports that are provided to the individual procuring contracting officer and the administrative contracting officer, t</w:t>
      </w:r>
      <w:r>
        <w:t xml:space="preserve">he DCMA subject matter expert </w:t>
      </w:r>
      <w:r w:rsidR="00531ACF">
        <w:t>estimates that there are approximately 250 reports submitted each year.  O</w:t>
      </w:r>
      <w:r>
        <w:t>ne hour is considered to be a reasonable amount of time for contractor personnel to create a report that includes the following five required items:</w:t>
      </w:r>
    </w:p>
    <w:p w:rsidR="004230D6" w:rsidRDefault="004230D6" w:rsidP="004230D6">
      <w:pPr>
        <w:pStyle w:val="NormalWeb"/>
        <w:tabs>
          <w:tab w:val="left" w:pos="360"/>
          <w:tab w:val="left" w:pos="720"/>
          <w:tab w:val="left" w:pos="1080"/>
          <w:tab w:val="left" w:pos="1440"/>
        </w:tabs>
        <w:spacing w:before="0" w:beforeAutospacing="0" w:after="0" w:afterAutospacing="0"/>
      </w:pPr>
    </w:p>
    <w:p w:rsidR="00034F54" w:rsidRDefault="00034F54" w:rsidP="00034F54">
      <w:pPr>
        <w:pStyle w:val="NormalWeb"/>
        <w:tabs>
          <w:tab w:val="left" w:pos="360"/>
          <w:tab w:val="left" w:pos="720"/>
          <w:tab w:val="left" w:pos="1080"/>
          <w:tab w:val="left" w:pos="1440"/>
        </w:tabs>
        <w:spacing w:before="0" w:beforeAutospacing="0" w:after="0" w:afterAutospacing="0"/>
      </w:pPr>
      <w:r>
        <w:tab/>
      </w:r>
      <w:r>
        <w:tab/>
      </w:r>
      <w:r>
        <w:tab/>
        <w:t>(1)  A summary of the defect or nonconformance.</w:t>
      </w:r>
    </w:p>
    <w:p w:rsidR="00034F54" w:rsidRDefault="00034F54" w:rsidP="00034F54">
      <w:pPr>
        <w:pStyle w:val="NormalWeb"/>
        <w:tabs>
          <w:tab w:val="left" w:pos="360"/>
          <w:tab w:val="left" w:pos="720"/>
          <w:tab w:val="left" w:pos="1080"/>
          <w:tab w:val="left" w:pos="1440"/>
        </w:tabs>
        <w:spacing w:before="0" w:beforeAutospacing="0" w:after="0" w:afterAutospacing="0"/>
      </w:pPr>
      <w:r>
        <w:tab/>
      </w:r>
      <w:r>
        <w:tab/>
      </w:r>
      <w:r>
        <w:tab/>
        <w:t>(2)  A chronology of pertinent events.</w:t>
      </w:r>
    </w:p>
    <w:p w:rsidR="00034F54" w:rsidRDefault="00034F54" w:rsidP="00034F54">
      <w:pPr>
        <w:pStyle w:val="NormalWeb"/>
        <w:tabs>
          <w:tab w:val="left" w:pos="360"/>
          <w:tab w:val="left" w:pos="720"/>
          <w:tab w:val="left" w:pos="1080"/>
          <w:tab w:val="left" w:pos="1440"/>
        </w:tabs>
        <w:spacing w:before="0" w:beforeAutospacing="0" w:after="0" w:afterAutospacing="0"/>
      </w:pPr>
      <w:r>
        <w:tab/>
      </w:r>
      <w:r>
        <w:tab/>
      </w:r>
      <w:r>
        <w:tab/>
        <w:t>(3)  The identification of potentially affected items to the extent known.</w:t>
      </w:r>
    </w:p>
    <w:p w:rsidR="00034F54" w:rsidRDefault="00034F54" w:rsidP="00034F54">
      <w:pPr>
        <w:pStyle w:val="NormalWeb"/>
        <w:tabs>
          <w:tab w:val="left" w:pos="360"/>
          <w:tab w:val="left" w:pos="720"/>
          <w:tab w:val="left" w:pos="1080"/>
          <w:tab w:val="left" w:pos="1440"/>
        </w:tabs>
        <w:spacing w:before="0" w:beforeAutospacing="0" w:after="0" w:afterAutospacing="0"/>
      </w:pPr>
      <w:r>
        <w:tab/>
      </w:r>
      <w:r>
        <w:tab/>
      </w:r>
      <w:r>
        <w:tab/>
        <w:t>(4)  A point of contact to coordinate problem analysis and resolution.</w:t>
      </w:r>
    </w:p>
    <w:p w:rsidR="009B3436" w:rsidRDefault="00034F54" w:rsidP="00034F54">
      <w:pPr>
        <w:pStyle w:val="NormalWeb"/>
        <w:tabs>
          <w:tab w:val="left" w:pos="360"/>
          <w:tab w:val="left" w:pos="720"/>
          <w:tab w:val="left" w:pos="1080"/>
          <w:tab w:val="left" w:pos="1440"/>
        </w:tabs>
        <w:spacing w:before="0" w:beforeAutospacing="0" w:after="0" w:afterAutospacing="0"/>
      </w:pPr>
      <w:r>
        <w:tab/>
      </w:r>
      <w:r>
        <w:tab/>
      </w:r>
      <w:r>
        <w:tab/>
        <w:t xml:space="preserve">(5)  Any other relevant information. </w:t>
      </w:r>
    </w:p>
    <w:p w:rsidR="00531ACF" w:rsidRDefault="00531ACF" w:rsidP="00034F54">
      <w:pPr>
        <w:pStyle w:val="NormalWeb"/>
        <w:tabs>
          <w:tab w:val="left" w:pos="360"/>
          <w:tab w:val="left" w:pos="720"/>
          <w:tab w:val="left" w:pos="1080"/>
          <w:tab w:val="left" w:pos="1440"/>
        </w:tabs>
        <w:spacing w:before="0" w:beforeAutospacing="0" w:after="0" w:afterAutospacing="0"/>
      </w:pPr>
    </w:p>
    <w:p w:rsidR="004230D6" w:rsidRDefault="00531ACF" w:rsidP="00034F54">
      <w:pPr>
        <w:pStyle w:val="NormalWeb"/>
        <w:tabs>
          <w:tab w:val="left" w:pos="360"/>
          <w:tab w:val="left" w:pos="720"/>
          <w:tab w:val="left" w:pos="1080"/>
          <w:tab w:val="left" w:pos="1440"/>
        </w:tabs>
        <w:spacing w:before="0" w:beforeAutospacing="0" w:after="0" w:afterAutospacing="0"/>
      </w:pPr>
      <w:r>
        <w:tab/>
      </w:r>
      <w:r>
        <w:tab/>
        <w:t xml:space="preserve">b.  DFARS 252.246-7005, Notice of Warranty Tracking of Serialized Items.  </w:t>
      </w:r>
      <w:r w:rsidR="00385575">
        <w:t xml:space="preserve">There were 5,021 new contract awards in the Electronic Document Access for </w:t>
      </w:r>
      <w:r w:rsidR="00DD6DF7">
        <w:t xml:space="preserve">fiscal year </w:t>
      </w:r>
      <w:r w:rsidR="00385575">
        <w:t>2018</w:t>
      </w:r>
      <w:r w:rsidR="00DD6DF7">
        <w:t xml:space="preserve"> that included DFARS 252.246-7005 and/or 252.246-700</w:t>
      </w:r>
      <w:r w:rsidR="00D32A06">
        <w:t>6</w:t>
      </w:r>
      <w:r w:rsidR="00385575">
        <w:t xml:space="preserve">.  </w:t>
      </w:r>
      <w:r w:rsidR="000759FE">
        <w:t xml:space="preserve">It is estimated that </w:t>
      </w:r>
      <w:r w:rsidR="00385575">
        <w:t>approximately 5 offers were received for each of the 5,021 awards, resulting in 25</w:t>
      </w:r>
      <w:r w:rsidR="00D32A06">
        <w:t>,</w:t>
      </w:r>
      <w:r w:rsidR="00385575">
        <w:t xml:space="preserve">105 solicitation responses provided in response to this </w:t>
      </w:r>
      <w:r w:rsidR="00DD6DF7">
        <w:t>provision</w:t>
      </w:r>
      <w:r w:rsidR="00385575">
        <w:t>.</w:t>
      </w:r>
      <w:r w:rsidR="00D32A06">
        <w:t xml:space="preserve">  The response time of </w:t>
      </w:r>
      <w:r w:rsidR="008B40A0">
        <w:t>30 minutes</w:t>
      </w:r>
      <w:r w:rsidR="00D32A06">
        <w:t xml:space="preserve"> for each response totals 12,553 public burden hours for reporting.</w:t>
      </w:r>
    </w:p>
    <w:p w:rsidR="00385575" w:rsidRDefault="00385575" w:rsidP="00034F54">
      <w:pPr>
        <w:pStyle w:val="NormalWeb"/>
        <w:tabs>
          <w:tab w:val="left" w:pos="360"/>
          <w:tab w:val="left" w:pos="720"/>
          <w:tab w:val="left" w:pos="1080"/>
          <w:tab w:val="left" w:pos="1440"/>
        </w:tabs>
        <w:spacing w:before="0" w:beforeAutospacing="0" w:after="0" w:afterAutospacing="0"/>
      </w:pPr>
    </w:p>
    <w:p w:rsidR="004230D6" w:rsidRDefault="004230D6" w:rsidP="00034F54">
      <w:pPr>
        <w:pStyle w:val="NormalWeb"/>
        <w:tabs>
          <w:tab w:val="left" w:pos="360"/>
          <w:tab w:val="left" w:pos="720"/>
          <w:tab w:val="left" w:pos="1080"/>
          <w:tab w:val="left" w:pos="1440"/>
        </w:tabs>
        <w:spacing w:before="0" w:beforeAutospacing="0" w:after="0" w:afterAutospacing="0"/>
      </w:pPr>
      <w:r>
        <w:tab/>
      </w:r>
      <w:r>
        <w:tab/>
        <w:t xml:space="preserve">c.  </w:t>
      </w:r>
      <w:r w:rsidR="00D43883">
        <w:t xml:space="preserve">DFARS 252.246-7006, Warranty Tracking of Serialized Items.  </w:t>
      </w:r>
      <w:r w:rsidR="00385575">
        <w:t xml:space="preserve">As noted above, </w:t>
      </w:r>
      <w:r w:rsidR="00F37792">
        <w:t>t</w:t>
      </w:r>
      <w:r w:rsidR="00385575">
        <w:t xml:space="preserve">here were 5,021 new contract awards in the Electronic Document Access for </w:t>
      </w:r>
      <w:r w:rsidR="00D32A06">
        <w:t xml:space="preserve">fiscal year </w:t>
      </w:r>
      <w:r w:rsidR="00385575">
        <w:t>2018</w:t>
      </w:r>
      <w:r w:rsidR="00F37792">
        <w:t xml:space="preserve"> </w:t>
      </w:r>
      <w:r w:rsidR="00603335">
        <w:t>that include</w:t>
      </w:r>
      <w:r w:rsidR="00DD6DF7">
        <w:t>d</w:t>
      </w:r>
      <w:r w:rsidR="00603335">
        <w:t xml:space="preserve"> the clause.  The response time of </w:t>
      </w:r>
      <w:r w:rsidR="008B40A0">
        <w:t>30 minutes</w:t>
      </w:r>
      <w:r w:rsidR="00603335">
        <w:t xml:space="preserve"> for each response totals </w:t>
      </w:r>
      <w:r w:rsidR="00F37792">
        <w:t>2,511</w:t>
      </w:r>
      <w:r w:rsidR="00603335">
        <w:t xml:space="preserve"> total public burden hours for reporting.</w:t>
      </w:r>
    </w:p>
    <w:p w:rsidR="00FA1773" w:rsidRDefault="00FA1773" w:rsidP="00034F54">
      <w:pPr>
        <w:pStyle w:val="NormalWeb"/>
        <w:tabs>
          <w:tab w:val="left" w:pos="360"/>
          <w:tab w:val="left" w:pos="720"/>
          <w:tab w:val="left" w:pos="1080"/>
          <w:tab w:val="left" w:pos="1440"/>
        </w:tabs>
        <w:spacing w:before="0" w:beforeAutospacing="0" w:after="0" w:afterAutospacing="0"/>
      </w:pPr>
    </w:p>
    <w:p w:rsidR="00620253" w:rsidRDefault="006E3E8A" w:rsidP="00034F54">
      <w:pPr>
        <w:pStyle w:val="NormalWeb"/>
        <w:tabs>
          <w:tab w:val="left" w:pos="360"/>
          <w:tab w:val="left" w:pos="720"/>
          <w:tab w:val="left" w:pos="1080"/>
          <w:tab w:val="left" w:pos="1440"/>
        </w:tabs>
        <w:spacing w:before="0" w:beforeAutospacing="0" w:after="0" w:afterAutospacing="0"/>
      </w:pPr>
      <w:r>
        <w:tab/>
      </w:r>
      <w:r>
        <w:tab/>
        <w:t xml:space="preserve">d.  DFARS 252.246-7008, Sources of Electronic Parts.  </w:t>
      </w:r>
      <w:r w:rsidR="008105F7">
        <w:t>The information collection</w:t>
      </w:r>
      <w:r w:rsidR="0064221B">
        <w:t>, in paragraph (b)(3)(ii)</w:t>
      </w:r>
      <w:r w:rsidR="008105F7">
        <w:t xml:space="preserve"> relates to a notification required when using other than a “trusted supplier,” which should be quite rare</w:t>
      </w:r>
      <w:r w:rsidR="00FC3222">
        <w:t xml:space="preserve"> </w:t>
      </w:r>
      <w:r w:rsidR="0028127F">
        <w:t xml:space="preserve">and is estimated at </w:t>
      </w:r>
      <w:r w:rsidR="008B40A0">
        <w:t>10</w:t>
      </w:r>
      <w:r w:rsidR="0098247C">
        <w:t>%</w:t>
      </w:r>
      <w:r w:rsidR="00FC3222">
        <w:t xml:space="preserve"> of prime vendors (4,466) and actions to include subcontractors</w:t>
      </w:r>
      <w:r w:rsidR="0028127F">
        <w:t xml:space="preserve"> </w:t>
      </w:r>
      <w:r w:rsidR="00FC3222">
        <w:t xml:space="preserve">(22,629 prime contracts x </w:t>
      </w:r>
      <w:r w:rsidR="0023430F">
        <w:t xml:space="preserve">2 subcontractors for each prime </w:t>
      </w:r>
      <w:r w:rsidR="00FC3222">
        <w:t>= 67,887 x .10 = 6,789)</w:t>
      </w:r>
      <w:r w:rsidR="0098247C">
        <w:t xml:space="preserve"> </w:t>
      </w:r>
      <w:r w:rsidR="008105F7">
        <w:t xml:space="preserve">since it only occurs when an item is out of production, not currently available in stock, and not available from a contractor-approved supplier.  </w:t>
      </w:r>
      <w:r w:rsidR="0023430F">
        <w:t>As shown, t</w:t>
      </w:r>
      <w:r w:rsidR="008105F7">
        <w:t xml:space="preserve">he estimates include notifications that may be provided by a lower tier subcontractor to the prime contractor.  Respondents must maintain documentation with regard to traceability or inspection, texting, and authentication, and make the documentation available to the Government upon request.  </w:t>
      </w:r>
    </w:p>
    <w:p w:rsidR="0023430F" w:rsidRDefault="0023430F" w:rsidP="00034F54">
      <w:pPr>
        <w:pStyle w:val="NormalWeb"/>
        <w:tabs>
          <w:tab w:val="left" w:pos="360"/>
          <w:tab w:val="left" w:pos="720"/>
          <w:tab w:val="left" w:pos="1080"/>
          <w:tab w:val="left" w:pos="1440"/>
        </w:tabs>
        <w:spacing w:before="0" w:beforeAutospacing="0" w:after="0" w:afterAutospacing="0"/>
      </w:pPr>
    </w:p>
    <w:p w:rsidR="00CF35C0" w:rsidRDefault="0098247C" w:rsidP="00034F54">
      <w:pPr>
        <w:pStyle w:val="NormalWeb"/>
        <w:tabs>
          <w:tab w:val="left" w:pos="360"/>
          <w:tab w:val="left" w:pos="720"/>
          <w:tab w:val="left" w:pos="1080"/>
          <w:tab w:val="left" w:pos="1440"/>
        </w:tabs>
        <w:spacing w:before="0" w:beforeAutospacing="0" w:after="0" w:afterAutospacing="0"/>
      </w:pPr>
      <w:r>
        <w:tab/>
        <w:t xml:space="preserve">Additionally, in accordance with paragraph (c)(3)(ii) of the clause when the contractor is not the original manufacturer or authorized supplier for an electronic part, DoD contractors and subcontractors are required </w:t>
      </w:r>
      <w:r w:rsidR="00620253">
        <w:t>have risk based processes in place</w:t>
      </w:r>
      <w:r>
        <w:t xml:space="preserve"> and make available, upon request, documentation of traceability of the part including inspection, testing and acceptance of an electronic part.  </w:t>
      </w:r>
      <w:r w:rsidR="00095773">
        <w:t xml:space="preserve">For fiscal year 2018, there were 22,629 new contract awards </w:t>
      </w:r>
      <w:r w:rsidR="00D32A06">
        <w:t xml:space="preserve">in the Electronic Document Access </w:t>
      </w:r>
      <w:r w:rsidR="00095773">
        <w:t>made to 4,466 unique vendors that contained DFARS 252.246-700</w:t>
      </w:r>
      <w:r>
        <w:t>8</w:t>
      </w:r>
      <w:r w:rsidR="00095773">
        <w:t xml:space="preserve">.  </w:t>
      </w:r>
      <w:r w:rsidR="008105F7">
        <w:t xml:space="preserve">DoD estimates </w:t>
      </w:r>
      <w:r w:rsidR="0028127F">
        <w:t xml:space="preserve">that </w:t>
      </w:r>
      <w:r w:rsidR="00095773">
        <w:t>an average of</w:t>
      </w:r>
      <w:r w:rsidR="008105F7">
        <w:t xml:space="preserve"> approximately </w:t>
      </w:r>
      <w:r w:rsidR="0028127F">
        <w:t>2</w:t>
      </w:r>
      <w:r w:rsidR="00095773">
        <w:t xml:space="preserve"> subcontracts were awarded for each of the </w:t>
      </w:r>
      <w:r w:rsidR="0028127F">
        <w:t xml:space="preserve">prime </w:t>
      </w:r>
      <w:r w:rsidR="00095773">
        <w:t xml:space="preserve">contracts resulting in </w:t>
      </w:r>
      <w:r w:rsidR="0028127F">
        <w:t>67,887</w:t>
      </w:r>
      <w:r w:rsidR="00095773">
        <w:t xml:space="preserve"> prime contracts and subcontracts, of which approximately </w:t>
      </w:r>
      <w:r w:rsidR="0028127F">
        <w:t>25</w:t>
      </w:r>
      <w:r w:rsidR="00095773">
        <w:t xml:space="preserve"> percent of these actions</w:t>
      </w:r>
      <w:r w:rsidR="00DD6DF7">
        <w:t xml:space="preserve"> (</w:t>
      </w:r>
      <w:r w:rsidR="0028127F">
        <w:t>16,972</w:t>
      </w:r>
      <w:r w:rsidR="00DD6DF7">
        <w:t>)</w:t>
      </w:r>
      <w:r w:rsidR="00095773">
        <w:t xml:space="preserve"> will require documentation of traceability from the original manufacturer</w:t>
      </w:r>
      <w:r w:rsidR="0028127F">
        <w:t xml:space="preserve"> be made available for examination</w:t>
      </w:r>
      <w:r w:rsidR="00095773">
        <w:t xml:space="preserve">. </w:t>
      </w:r>
      <w:r w:rsidR="00DD6DF7">
        <w:t xml:space="preserve"> </w:t>
      </w:r>
      <w:r w:rsidR="0028127F">
        <w:t>Recordkeepers will be required for the 67,887 prime contracts and subcontracts.</w:t>
      </w:r>
    </w:p>
    <w:p w:rsidR="00CF35C0" w:rsidRPr="00034F54" w:rsidRDefault="00CF35C0" w:rsidP="00034F54">
      <w:pPr>
        <w:pStyle w:val="NormalWeb"/>
        <w:tabs>
          <w:tab w:val="left" w:pos="360"/>
          <w:tab w:val="left" w:pos="720"/>
          <w:tab w:val="left" w:pos="1080"/>
          <w:tab w:val="left" w:pos="1440"/>
        </w:tabs>
        <w:spacing w:before="0" w:beforeAutospacing="0" w:after="0" w:afterAutospacing="0"/>
      </w:pPr>
    </w:p>
    <w:p w:rsidR="005E0A0F" w:rsidRDefault="00746F33" w:rsidP="00746F33">
      <w:pPr>
        <w:pStyle w:val="NormalWeb"/>
        <w:tabs>
          <w:tab w:val="left" w:pos="360"/>
          <w:tab w:val="left" w:pos="720"/>
          <w:tab w:val="left" w:pos="1080"/>
          <w:tab w:val="left" w:pos="1440"/>
        </w:tabs>
        <w:spacing w:before="0" w:beforeAutospacing="0" w:after="0" w:afterAutospacing="0"/>
      </w:pPr>
      <w:bookmarkStart w:id="15" w:name="cp462"/>
      <w:bookmarkEnd w:id="14"/>
      <w:r>
        <w:tab/>
      </w:r>
      <w:r w:rsidR="005E0A0F">
        <w:t>13.</w:t>
      </w:r>
      <w:r w:rsidR="009F484F">
        <w:t xml:space="preserve">  </w:t>
      </w:r>
      <w:r w:rsidR="005E0A0F">
        <w:rPr>
          <w:u w:val="single"/>
        </w:rPr>
        <w:t>Respondent Costs Other Than Burden Hour Costs</w:t>
      </w:r>
    </w:p>
    <w:p w:rsidR="00EB0C6C" w:rsidRDefault="00603335" w:rsidP="00FB3212">
      <w:pPr>
        <w:pStyle w:val="NormalWeb"/>
        <w:tabs>
          <w:tab w:val="left" w:pos="360"/>
          <w:tab w:val="left" w:pos="720"/>
          <w:tab w:val="left" w:pos="1080"/>
          <w:tab w:val="left" w:pos="1440"/>
        </w:tabs>
        <w:spacing w:line="288" w:lineRule="atLeast"/>
      </w:pPr>
      <w:bookmarkStart w:id="16" w:name="cp466"/>
      <w:bookmarkEnd w:id="15"/>
      <w:r>
        <w:tab/>
        <w:t>DoD does not estimate any annual cost burden apart from the hourly burden in Item 12 above.</w:t>
      </w:r>
    </w:p>
    <w:p w:rsidR="00D141EB" w:rsidRDefault="006E7819" w:rsidP="00FB3212">
      <w:pPr>
        <w:pStyle w:val="NormalWeb"/>
        <w:tabs>
          <w:tab w:val="left" w:pos="360"/>
          <w:tab w:val="left" w:pos="720"/>
          <w:tab w:val="left" w:pos="1080"/>
          <w:tab w:val="left" w:pos="1440"/>
        </w:tabs>
        <w:spacing w:line="288" w:lineRule="atLeast"/>
        <w:rPr>
          <w:u w:val="single"/>
        </w:rPr>
      </w:pPr>
      <w:r>
        <w:tab/>
      </w:r>
      <w:r w:rsidR="005E0A0F">
        <w:t>14.</w:t>
      </w:r>
      <w:r w:rsidR="00D141EB">
        <w:tab/>
      </w:r>
      <w:r w:rsidR="005E0A0F">
        <w:rPr>
          <w:u w:val="single"/>
        </w:rPr>
        <w:t>Cost to the Federal Government</w:t>
      </w:r>
      <w:bookmarkEnd w:id="16"/>
    </w:p>
    <w:p w:rsidR="00AE0DF2" w:rsidRDefault="00DE1F6F" w:rsidP="00AA45B4">
      <w:pPr>
        <w:pStyle w:val="NormalWeb"/>
        <w:tabs>
          <w:tab w:val="left" w:pos="360"/>
          <w:tab w:val="left" w:pos="720"/>
          <w:tab w:val="left" w:pos="1080"/>
          <w:tab w:val="left" w:pos="1440"/>
        </w:tabs>
        <w:spacing w:line="288" w:lineRule="atLeast"/>
      </w:pPr>
      <w:r>
        <w:tab/>
      </w:r>
      <w:r>
        <w:tab/>
      </w:r>
      <w:r w:rsidRPr="00DE1F6F">
        <w:t>The time required for Government review</w:t>
      </w:r>
      <w:r w:rsidR="00FA1773">
        <w:t xml:space="preserve"> was verified by the DCMA Chair, DFARS Quality Assurance Committee, and</w:t>
      </w:r>
      <w:r w:rsidRPr="00DE1F6F">
        <w:t xml:space="preserve"> is based on receiving, reviewing, and notifying affected parties of the information submitted by the contractor.  Required Government actions are clear cut and require a minimum investment of time to provide notice and obtain points of contact which would consist of telephone </w:t>
      </w:r>
      <w:r>
        <w:t>interaction or notice by email.</w:t>
      </w:r>
    </w:p>
    <w:tbl>
      <w:tblPr>
        <w:tblW w:w="7875" w:type="dxa"/>
        <w:tblInd w:w="760" w:type="dxa"/>
        <w:tblLayout w:type="fixed"/>
        <w:tblLook w:val="04A0" w:firstRow="1" w:lastRow="0" w:firstColumn="1" w:lastColumn="0" w:noHBand="0" w:noVBand="1"/>
      </w:tblPr>
      <w:tblGrid>
        <w:gridCol w:w="1275"/>
        <w:gridCol w:w="1260"/>
        <w:gridCol w:w="1673"/>
        <w:gridCol w:w="1080"/>
        <w:gridCol w:w="1057"/>
        <w:gridCol w:w="1530"/>
      </w:tblGrid>
      <w:tr w:rsidR="00231567" w:rsidRPr="00DE1F6F" w:rsidTr="001A0F8D">
        <w:trPr>
          <w:trHeight w:val="288"/>
        </w:trPr>
        <w:tc>
          <w:tcPr>
            <w:tcW w:w="78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1567" w:rsidRPr="00DA7EE4" w:rsidRDefault="00231567" w:rsidP="001B591F">
            <w:pPr>
              <w:jc w:val="center"/>
              <w:rPr>
                <w:color w:val="000000"/>
              </w:rPr>
            </w:pPr>
            <w:r>
              <w:rPr>
                <w:bCs/>
                <w:color w:val="000000"/>
              </w:rPr>
              <w:t>ESTIMATED GOVERNMENT BURDEN</w:t>
            </w:r>
          </w:p>
        </w:tc>
      </w:tr>
      <w:tr w:rsidR="00AE0DF2" w:rsidRPr="00DE1F6F" w:rsidTr="00666AFE">
        <w:trPr>
          <w:trHeight w:val="962"/>
        </w:trPr>
        <w:tc>
          <w:tcPr>
            <w:tcW w:w="1275" w:type="dxa"/>
            <w:tcBorders>
              <w:top w:val="nil"/>
              <w:left w:val="single" w:sz="4" w:space="0" w:color="auto"/>
              <w:bottom w:val="single" w:sz="4" w:space="0" w:color="auto"/>
              <w:right w:val="single" w:sz="4" w:space="0" w:color="auto"/>
            </w:tcBorders>
            <w:shd w:val="clear" w:color="auto" w:fill="auto"/>
            <w:vAlign w:val="bottom"/>
            <w:hideMark/>
          </w:tcPr>
          <w:p w:rsidR="00AE0DF2" w:rsidRPr="00DE1F6F" w:rsidRDefault="00AE0DF2" w:rsidP="001B591F">
            <w:pPr>
              <w:rPr>
                <w:color w:val="000000"/>
              </w:rPr>
            </w:pPr>
            <w:r w:rsidRPr="00DA7EE4">
              <w:rPr>
                <w:color w:val="000000"/>
                <w:sz w:val="22"/>
                <w:szCs w:val="22"/>
              </w:rPr>
              <w:t>252.246</w:t>
            </w:r>
          </w:p>
        </w:tc>
        <w:tc>
          <w:tcPr>
            <w:tcW w:w="1260" w:type="dxa"/>
            <w:tcBorders>
              <w:top w:val="nil"/>
              <w:left w:val="nil"/>
              <w:bottom w:val="single" w:sz="4" w:space="0" w:color="auto"/>
              <w:right w:val="single" w:sz="4" w:space="0" w:color="auto"/>
            </w:tcBorders>
            <w:shd w:val="clear" w:color="auto" w:fill="auto"/>
            <w:vAlign w:val="bottom"/>
            <w:hideMark/>
          </w:tcPr>
          <w:p w:rsidR="00AE0DF2" w:rsidRPr="00DE1F6F" w:rsidRDefault="00AE0DF2" w:rsidP="001B591F">
            <w:pPr>
              <w:jc w:val="right"/>
              <w:rPr>
                <w:color w:val="000000"/>
              </w:rPr>
            </w:pPr>
            <w:r w:rsidRPr="00DE1F6F">
              <w:rPr>
                <w:color w:val="000000"/>
              </w:rPr>
              <w:t>Total Annual Responses</w:t>
            </w:r>
          </w:p>
        </w:tc>
        <w:tc>
          <w:tcPr>
            <w:tcW w:w="1673" w:type="dxa"/>
            <w:tcBorders>
              <w:top w:val="nil"/>
              <w:left w:val="nil"/>
              <w:bottom w:val="single" w:sz="4" w:space="0" w:color="auto"/>
              <w:right w:val="single" w:sz="4" w:space="0" w:color="auto"/>
            </w:tcBorders>
            <w:shd w:val="clear" w:color="auto" w:fill="auto"/>
            <w:vAlign w:val="bottom"/>
            <w:hideMark/>
          </w:tcPr>
          <w:p w:rsidR="00AE0DF2" w:rsidRPr="00DE1F6F" w:rsidRDefault="00AE0DF2" w:rsidP="001B591F">
            <w:pPr>
              <w:jc w:val="right"/>
              <w:rPr>
                <w:color w:val="000000"/>
              </w:rPr>
            </w:pPr>
            <w:r w:rsidRPr="00DE1F6F">
              <w:rPr>
                <w:color w:val="000000"/>
              </w:rPr>
              <w:t>Hours</w:t>
            </w:r>
            <w:r>
              <w:rPr>
                <w:color w:val="000000"/>
              </w:rPr>
              <w:t xml:space="preserve"> per </w:t>
            </w:r>
            <w:r w:rsidRPr="00DE1F6F">
              <w:rPr>
                <w:color w:val="000000"/>
              </w:rPr>
              <w:t>Response</w:t>
            </w:r>
          </w:p>
        </w:tc>
        <w:tc>
          <w:tcPr>
            <w:tcW w:w="1080" w:type="dxa"/>
            <w:tcBorders>
              <w:top w:val="nil"/>
              <w:left w:val="nil"/>
              <w:bottom w:val="single" w:sz="4" w:space="0" w:color="auto"/>
              <w:right w:val="single" w:sz="4" w:space="0" w:color="auto"/>
            </w:tcBorders>
            <w:shd w:val="clear" w:color="auto" w:fill="auto"/>
            <w:vAlign w:val="bottom"/>
            <w:hideMark/>
          </w:tcPr>
          <w:p w:rsidR="00AE0DF2" w:rsidRPr="00DE1F6F" w:rsidRDefault="00AE0DF2" w:rsidP="001B591F">
            <w:pPr>
              <w:jc w:val="right"/>
              <w:rPr>
                <w:color w:val="000000"/>
              </w:rPr>
            </w:pPr>
            <w:r w:rsidRPr="00DE1F6F">
              <w:rPr>
                <w:color w:val="000000"/>
              </w:rPr>
              <w:t>Total Annual Hours</w:t>
            </w:r>
          </w:p>
        </w:tc>
        <w:tc>
          <w:tcPr>
            <w:tcW w:w="1057" w:type="dxa"/>
            <w:tcBorders>
              <w:top w:val="nil"/>
              <w:left w:val="nil"/>
              <w:bottom w:val="single" w:sz="4" w:space="0" w:color="auto"/>
              <w:right w:val="single" w:sz="4" w:space="0" w:color="auto"/>
            </w:tcBorders>
            <w:shd w:val="clear" w:color="auto" w:fill="auto"/>
            <w:vAlign w:val="bottom"/>
            <w:hideMark/>
          </w:tcPr>
          <w:p w:rsidR="00AE0DF2" w:rsidRPr="00DE1F6F" w:rsidRDefault="00AE0DF2" w:rsidP="001B591F">
            <w:pPr>
              <w:jc w:val="right"/>
              <w:rPr>
                <w:color w:val="000000"/>
              </w:rPr>
            </w:pPr>
            <w:r w:rsidRPr="00DE1F6F">
              <w:rPr>
                <w:color w:val="000000"/>
              </w:rPr>
              <w:t>$/hr</w:t>
            </w:r>
          </w:p>
        </w:tc>
        <w:tc>
          <w:tcPr>
            <w:tcW w:w="1530" w:type="dxa"/>
            <w:tcBorders>
              <w:top w:val="nil"/>
              <w:left w:val="nil"/>
              <w:bottom w:val="single" w:sz="4" w:space="0" w:color="auto"/>
              <w:right w:val="single" w:sz="4" w:space="0" w:color="auto"/>
            </w:tcBorders>
            <w:shd w:val="clear" w:color="auto" w:fill="auto"/>
            <w:vAlign w:val="bottom"/>
            <w:hideMark/>
          </w:tcPr>
          <w:p w:rsidR="00AE0DF2" w:rsidRPr="00DE1F6F" w:rsidRDefault="00AE0DF2" w:rsidP="001B591F">
            <w:pPr>
              <w:jc w:val="right"/>
              <w:rPr>
                <w:color w:val="000000"/>
              </w:rPr>
            </w:pPr>
            <w:r w:rsidRPr="00DE1F6F">
              <w:rPr>
                <w:color w:val="000000"/>
              </w:rPr>
              <w:t>Total Annual Cost to G</w:t>
            </w:r>
            <w:r>
              <w:rPr>
                <w:color w:val="000000"/>
              </w:rPr>
              <w:t>ovt.</w:t>
            </w:r>
          </w:p>
        </w:tc>
      </w:tr>
      <w:tr w:rsidR="00AE0DF2" w:rsidRPr="00DE1F6F" w:rsidTr="00666AFE">
        <w:trPr>
          <w:trHeight w:val="288"/>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AE0DF2" w:rsidRPr="00DE1F6F" w:rsidRDefault="00AE0DF2" w:rsidP="001B591F">
            <w:pPr>
              <w:rPr>
                <w:color w:val="000000"/>
              </w:rPr>
            </w:pPr>
            <w:r>
              <w:rPr>
                <w:color w:val="000000"/>
              </w:rPr>
              <w:t>-</w:t>
            </w:r>
            <w:r w:rsidRPr="00DE1F6F">
              <w:rPr>
                <w:color w:val="000000"/>
              </w:rPr>
              <w:t>7003</w:t>
            </w:r>
          </w:p>
        </w:tc>
        <w:tc>
          <w:tcPr>
            <w:tcW w:w="1260" w:type="dxa"/>
            <w:tcBorders>
              <w:top w:val="nil"/>
              <w:left w:val="nil"/>
              <w:bottom w:val="single" w:sz="4" w:space="0" w:color="auto"/>
              <w:right w:val="single" w:sz="4" w:space="0" w:color="auto"/>
            </w:tcBorders>
            <w:shd w:val="clear" w:color="auto" w:fill="auto"/>
            <w:noWrap/>
            <w:vAlign w:val="bottom"/>
            <w:hideMark/>
          </w:tcPr>
          <w:p w:rsidR="00AE0DF2" w:rsidRPr="00DE1F6F" w:rsidRDefault="00AE0DF2" w:rsidP="001B591F">
            <w:pPr>
              <w:jc w:val="right"/>
              <w:rPr>
                <w:color w:val="000000"/>
              </w:rPr>
            </w:pPr>
            <w:r w:rsidRPr="00DE1F6F">
              <w:rPr>
                <w:color w:val="000000"/>
              </w:rPr>
              <w:t>250</w:t>
            </w:r>
          </w:p>
        </w:tc>
        <w:tc>
          <w:tcPr>
            <w:tcW w:w="1673" w:type="dxa"/>
            <w:tcBorders>
              <w:top w:val="nil"/>
              <w:left w:val="nil"/>
              <w:bottom w:val="single" w:sz="4" w:space="0" w:color="auto"/>
              <w:right w:val="single" w:sz="4" w:space="0" w:color="auto"/>
            </w:tcBorders>
            <w:shd w:val="clear" w:color="auto" w:fill="auto"/>
            <w:noWrap/>
            <w:vAlign w:val="bottom"/>
            <w:hideMark/>
          </w:tcPr>
          <w:p w:rsidR="00AE0DF2" w:rsidRPr="00DE1F6F" w:rsidRDefault="00AE0DF2" w:rsidP="001B591F">
            <w:pPr>
              <w:jc w:val="right"/>
              <w:rPr>
                <w:color w:val="000000"/>
              </w:rPr>
            </w:pPr>
            <w:r w:rsidRPr="00DE1F6F">
              <w:rPr>
                <w:color w:val="000000"/>
              </w:rPr>
              <w:t>1</w:t>
            </w:r>
          </w:p>
        </w:tc>
        <w:tc>
          <w:tcPr>
            <w:tcW w:w="1080" w:type="dxa"/>
            <w:tcBorders>
              <w:top w:val="nil"/>
              <w:left w:val="nil"/>
              <w:bottom w:val="single" w:sz="4" w:space="0" w:color="auto"/>
              <w:right w:val="single" w:sz="4" w:space="0" w:color="auto"/>
            </w:tcBorders>
            <w:shd w:val="clear" w:color="auto" w:fill="auto"/>
            <w:noWrap/>
            <w:vAlign w:val="bottom"/>
            <w:hideMark/>
          </w:tcPr>
          <w:p w:rsidR="00AE0DF2" w:rsidRPr="00DE1F6F" w:rsidRDefault="00AE0DF2" w:rsidP="001B591F">
            <w:pPr>
              <w:jc w:val="right"/>
              <w:rPr>
                <w:color w:val="000000"/>
              </w:rPr>
            </w:pPr>
            <w:r w:rsidRPr="00DE1F6F">
              <w:rPr>
                <w:color w:val="000000"/>
              </w:rPr>
              <w:t xml:space="preserve">      250 </w:t>
            </w:r>
          </w:p>
        </w:tc>
        <w:tc>
          <w:tcPr>
            <w:tcW w:w="1057" w:type="dxa"/>
            <w:tcBorders>
              <w:top w:val="nil"/>
              <w:left w:val="nil"/>
              <w:bottom w:val="single" w:sz="4" w:space="0" w:color="auto"/>
              <w:right w:val="single" w:sz="4" w:space="0" w:color="auto"/>
            </w:tcBorders>
            <w:shd w:val="clear" w:color="auto" w:fill="auto"/>
            <w:noWrap/>
            <w:vAlign w:val="bottom"/>
            <w:hideMark/>
          </w:tcPr>
          <w:p w:rsidR="00AE0DF2" w:rsidRPr="00DA7EE4" w:rsidRDefault="00AE0DF2" w:rsidP="001B591F">
            <w:pPr>
              <w:jc w:val="right"/>
              <w:rPr>
                <w:bCs/>
                <w:color w:val="000000"/>
              </w:rPr>
            </w:pPr>
            <w:r w:rsidRPr="00DA7EE4">
              <w:rPr>
                <w:bCs/>
                <w:color w:val="000000"/>
              </w:rPr>
              <w:t xml:space="preserve"> $ </w:t>
            </w:r>
            <w:r w:rsidR="00666AFE">
              <w:rPr>
                <w:bCs/>
                <w:color w:val="000000"/>
              </w:rPr>
              <w:t>55.19</w:t>
            </w:r>
            <w:r w:rsidRPr="00DA7EE4">
              <w:rPr>
                <w:bCs/>
                <w:color w:val="000000"/>
              </w:rPr>
              <w:t xml:space="preserve"> </w:t>
            </w:r>
          </w:p>
        </w:tc>
        <w:tc>
          <w:tcPr>
            <w:tcW w:w="1530" w:type="dxa"/>
            <w:tcBorders>
              <w:top w:val="nil"/>
              <w:left w:val="nil"/>
              <w:bottom w:val="single" w:sz="4" w:space="0" w:color="auto"/>
              <w:right w:val="single" w:sz="4" w:space="0" w:color="auto"/>
            </w:tcBorders>
            <w:shd w:val="clear" w:color="auto" w:fill="auto"/>
            <w:noWrap/>
            <w:vAlign w:val="bottom"/>
            <w:hideMark/>
          </w:tcPr>
          <w:p w:rsidR="00AE0DF2" w:rsidRPr="00DA7EE4" w:rsidRDefault="00AE0DF2" w:rsidP="006404BD">
            <w:pPr>
              <w:jc w:val="right"/>
              <w:rPr>
                <w:bCs/>
                <w:color w:val="000000"/>
              </w:rPr>
            </w:pPr>
            <w:r w:rsidRPr="00DA7EE4">
              <w:rPr>
                <w:bCs/>
                <w:color w:val="000000"/>
              </w:rPr>
              <w:t xml:space="preserve"> $</w:t>
            </w:r>
            <w:r>
              <w:rPr>
                <w:bCs/>
                <w:color w:val="000000"/>
              </w:rPr>
              <w:t>13,</w:t>
            </w:r>
            <w:r w:rsidR="006404BD">
              <w:rPr>
                <w:bCs/>
                <w:color w:val="000000"/>
              </w:rPr>
              <w:t>798</w:t>
            </w:r>
            <w:r w:rsidRPr="00DA7EE4">
              <w:rPr>
                <w:bCs/>
                <w:color w:val="000000"/>
              </w:rPr>
              <w:t xml:space="preserve"> </w:t>
            </w:r>
          </w:p>
        </w:tc>
      </w:tr>
      <w:tr w:rsidR="00AE0DF2" w:rsidRPr="00DE1F6F" w:rsidTr="00666AFE">
        <w:trPr>
          <w:trHeight w:val="288"/>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AE0DF2" w:rsidRPr="00DE1F6F" w:rsidRDefault="00AE0DF2" w:rsidP="001B591F">
            <w:pPr>
              <w:rPr>
                <w:color w:val="000000"/>
              </w:rPr>
            </w:pPr>
            <w:r w:rsidRPr="00DE1F6F">
              <w:rPr>
                <w:color w:val="000000"/>
              </w:rPr>
              <w:t>-7005</w:t>
            </w:r>
          </w:p>
        </w:tc>
        <w:tc>
          <w:tcPr>
            <w:tcW w:w="1260" w:type="dxa"/>
            <w:tcBorders>
              <w:top w:val="nil"/>
              <w:left w:val="nil"/>
              <w:bottom w:val="single" w:sz="4" w:space="0" w:color="auto"/>
              <w:right w:val="single" w:sz="4" w:space="0" w:color="auto"/>
            </w:tcBorders>
            <w:shd w:val="clear" w:color="auto" w:fill="auto"/>
            <w:noWrap/>
            <w:vAlign w:val="bottom"/>
            <w:hideMark/>
          </w:tcPr>
          <w:p w:rsidR="00AE0DF2" w:rsidRPr="00DE1F6F" w:rsidRDefault="00666AFE" w:rsidP="001B591F">
            <w:pPr>
              <w:jc w:val="right"/>
              <w:rPr>
                <w:color w:val="000000"/>
              </w:rPr>
            </w:pPr>
            <w:r>
              <w:rPr>
                <w:color w:val="000000"/>
              </w:rPr>
              <w:t>25,105</w:t>
            </w:r>
          </w:p>
        </w:tc>
        <w:tc>
          <w:tcPr>
            <w:tcW w:w="1673" w:type="dxa"/>
            <w:tcBorders>
              <w:top w:val="nil"/>
              <w:left w:val="nil"/>
              <w:bottom w:val="single" w:sz="4" w:space="0" w:color="auto"/>
              <w:right w:val="single" w:sz="4" w:space="0" w:color="auto"/>
            </w:tcBorders>
            <w:shd w:val="clear" w:color="auto" w:fill="auto"/>
            <w:noWrap/>
            <w:vAlign w:val="bottom"/>
            <w:hideMark/>
          </w:tcPr>
          <w:p w:rsidR="00AE0DF2" w:rsidRPr="00DE1F6F" w:rsidRDefault="00AE0DF2" w:rsidP="001B591F">
            <w:pPr>
              <w:jc w:val="right"/>
              <w:rPr>
                <w:color w:val="000000"/>
              </w:rPr>
            </w:pPr>
            <w:r w:rsidRPr="00DE1F6F">
              <w:rPr>
                <w:color w:val="000000"/>
              </w:rPr>
              <w:t>0.5</w:t>
            </w:r>
          </w:p>
        </w:tc>
        <w:tc>
          <w:tcPr>
            <w:tcW w:w="1080" w:type="dxa"/>
            <w:tcBorders>
              <w:top w:val="nil"/>
              <w:left w:val="nil"/>
              <w:bottom w:val="single" w:sz="4" w:space="0" w:color="auto"/>
              <w:right w:val="single" w:sz="4" w:space="0" w:color="auto"/>
            </w:tcBorders>
            <w:shd w:val="clear" w:color="auto" w:fill="auto"/>
            <w:noWrap/>
            <w:vAlign w:val="bottom"/>
            <w:hideMark/>
          </w:tcPr>
          <w:p w:rsidR="00AE0DF2" w:rsidRPr="00DE1F6F" w:rsidRDefault="00AE0DF2" w:rsidP="001B591F">
            <w:pPr>
              <w:jc w:val="right"/>
              <w:rPr>
                <w:color w:val="000000"/>
              </w:rPr>
            </w:pPr>
            <w:r>
              <w:rPr>
                <w:color w:val="000000"/>
              </w:rPr>
              <w:t xml:space="preserve"> </w:t>
            </w:r>
            <w:r w:rsidR="002A37E7">
              <w:rPr>
                <w:color w:val="000000"/>
              </w:rPr>
              <w:t>12,553</w:t>
            </w:r>
            <w:r w:rsidRPr="00DE1F6F">
              <w:rPr>
                <w:color w:val="000000"/>
              </w:rPr>
              <w:t xml:space="preserve"> </w:t>
            </w:r>
          </w:p>
        </w:tc>
        <w:tc>
          <w:tcPr>
            <w:tcW w:w="1057" w:type="dxa"/>
            <w:tcBorders>
              <w:top w:val="nil"/>
              <w:left w:val="nil"/>
              <w:bottom w:val="single" w:sz="4" w:space="0" w:color="auto"/>
              <w:right w:val="single" w:sz="4" w:space="0" w:color="auto"/>
            </w:tcBorders>
            <w:shd w:val="clear" w:color="auto" w:fill="auto"/>
            <w:noWrap/>
            <w:vAlign w:val="bottom"/>
            <w:hideMark/>
          </w:tcPr>
          <w:p w:rsidR="00AE0DF2" w:rsidRPr="00DA7EE4" w:rsidRDefault="00666AFE" w:rsidP="001B591F">
            <w:pPr>
              <w:jc w:val="right"/>
              <w:rPr>
                <w:bCs/>
                <w:color w:val="000000"/>
              </w:rPr>
            </w:pPr>
            <w:r w:rsidRPr="00DA7EE4">
              <w:rPr>
                <w:bCs/>
                <w:color w:val="000000"/>
              </w:rPr>
              <w:t xml:space="preserve">$ </w:t>
            </w:r>
            <w:r>
              <w:rPr>
                <w:bCs/>
                <w:color w:val="000000"/>
              </w:rPr>
              <w:t>55.19</w:t>
            </w:r>
          </w:p>
        </w:tc>
        <w:tc>
          <w:tcPr>
            <w:tcW w:w="1530" w:type="dxa"/>
            <w:tcBorders>
              <w:top w:val="nil"/>
              <w:left w:val="nil"/>
              <w:bottom w:val="single" w:sz="4" w:space="0" w:color="auto"/>
              <w:right w:val="single" w:sz="4" w:space="0" w:color="auto"/>
            </w:tcBorders>
            <w:shd w:val="clear" w:color="auto" w:fill="auto"/>
            <w:noWrap/>
            <w:vAlign w:val="bottom"/>
            <w:hideMark/>
          </w:tcPr>
          <w:p w:rsidR="00AE0DF2" w:rsidRPr="00DA7EE4" w:rsidRDefault="00AE0DF2" w:rsidP="001B591F">
            <w:pPr>
              <w:jc w:val="right"/>
              <w:rPr>
                <w:bCs/>
                <w:color w:val="000000"/>
              </w:rPr>
            </w:pPr>
            <w:r w:rsidRPr="00DA7EE4">
              <w:rPr>
                <w:bCs/>
                <w:color w:val="000000"/>
              </w:rPr>
              <w:t xml:space="preserve"> $</w:t>
            </w:r>
            <w:r w:rsidR="006404BD">
              <w:rPr>
                <w:bCs/>
                <w:color w:val="000000"/>
              </w:rPr>
              <w:t>692,772</w:t>
            </w:r>
            <w:r w:rsidRPr="00DA7EE4">
              <w:rPr>
                <w:bCs/>
                <w:color w:val="000000"/>
              </w:rPr>
              <w:t xml:space="preserve"> </w:t>
            </w:r>
          </w:p>
        </w:tc>
      </w:tr>
      <w:tr w:rsidR="00AE0DF2" w:rsidRPr="00DE1F6F" w:rsidTr="00666AFE">
        <w:trPr>
          <w:trHeight w:val="288"/>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AE0DF2" w:rsidRPr="00DE1F6F" w:rsidRDefault="00AE0DF2" w:rsidP="001B591F">
            <w:pPr>
              <w:rPr>
                <w:color w:val="000000"/>
              </w:rPr>
            </w:pPr>
            <w:r w:rsidRPr="00DE1F6F">
              <w:rPr>
                <w:color w:val="000000"/>
              </w:rPr>
              <w:t>-7006</w:t>
            </w:r>
          </w:p>
        </w:tc>
        <w:tc>
          <w:tcPr>
            <w:tcW w:w="1260" w:type="dxa"/>
            <w:tcBorders>
              <w:top w:val="nil"/>
              <w:left w:val="nil"/>
              <w:bottom w:val="single" w:sz="4" w:space="0" w:color="auto"/>
              <w:right w:val="single" w:sz="4" w:space="0" w:color="auto"/>
            </w:tcBorders>
            <w:shd w:val="clear" w:color="auto" w:fill="auto"/>
            <w:noWrap/>
            <w:vAlign w:val="bottom"/>
            <w:hideMark/>
          </w:tcPr>
          <w:p w:rsidR="00AE0DF2" w:rsidRPr="00DE1F6F" w:rsidRDefault="00666AFE" w:rsidP="001B591F">
            <w:pPr>
              <w:jc w:val="right"/>
              <w:rPr>
                <w:color w:val="000000"/>
              </w:rPr>
            </w:pPr>
            <w:r>
              <w:rPr>
                <w:color w:val="000000"/>
              </w:rPr>
              <w:t>5,021</w:t>
            </w:r>
          </w:p>
        </w:tc>
        <w:tc>
          <w:tcPr>
            <w:tcW w:w="1673" w:type="dxa"/>
            <w:tcBorders>
              <w:top w:val="nil"/>
              <w:left w:val="nil"/>
              <w:bottom w:val="single" w:sz="4" w:space="0" w:color="auto"/>
              <w:right w:val="single" w:sz="4" w:space="0" w:color="auto"/>
            </w:tcBorders>
            <w:shd w:val="clear" w:color="auto" w:fill="auto"/>
            <w:noWrap/>
            <w:vAlign w:val="bottom"/>
            <w:hideMark/>
          </w:tcPr>
          <w:p w:rsidR="00AE0DF2" w:rsidRPr="00DE1F6F" w:rsidRDefault="00AE0DF2" w:rsidP="001B591F">
            <w:pPr>
              <w:jc w:val="right"/>
              <w:rPr>
                <w:color w:val="000000"/>
              </w:rPr>
            </w:pPr>
            <w:r w:rsidRPr="00DE1F6F">
              <w:rPr>
                <w:color w:val="000000"/>
              </w:rPr>
              <w:t>0.5</w:t>
            </w:r>
          </w:p>
        </w:tc>
        <w:tc>
          <w:tcPr>
            <w:tcW w:w="1080" w:type="dxa"/>
            <w:tcBorders>
              <w:top w:val="nil"/>
              <w:left w:val="nil"/>
              <w:bottom w:val="single" w:sz="4" w:space="0" w:color="auto"/>
              <w:right w:val="single" w:sz="4" w:space="0" w:color="auto"/>
            </w:tcBorders>
            <w:shd w:val="clear" w:color="auto" w:fill="auto"/>
            <w:noWrap/>
            <w:vAlign w:val="bottom"/>
            <w:hideMark/>
          </w:tcPr>
          <w:p w:rsidR="00AE0DF2" w:rsidRPr="00DE1F6F" w:rsidRDefault="002A37E7" w:rsidP="001B591F">
            <w:pPr>
              <w:jc w:val="right"/>
              <w:rPr>
                <w:color w:val="000000"/>
              </w:rPr>
            </w:pPr>
            <w:r>
              <w:rPr>
                <w:color w:val="000000"/>
              </w:rPr>
              <w:t>2,511</w:t>
            </w:r>
            <w:r w:rsidR="00AE0DF2" w:rsidRPr="00DE1F6F">
              <w:rPr>
                <w:color w:val="000000"/>
              </w:rPr>
              <w:t xml:space="preserve"> </w:t>
            </w:r>
          </w:p>
        </w:tc>
        <w:tc>
          <w:tcPr>
            <w:tcW w:w="1057" w:type="dxa"/>
            <w:tcBorders>
              <w:top w:val="nil"/>
              <w:left w:val="nil"/>
              <w:bottom w:val="single" w:sz="4" w:space="0" w:color="auto"/>
              <w:right w:val="single" w:sz="4" w:space="0" w:color="auto"/>
            </w:tcBorders>
            <w:shd w:val="clear" w:color="auto" w:fill="auto"/>
            <w:noWrap/>
            <w:vAlign w:val="bottom"/>
            <w:hideMark/>
          </w:tcPr>
          <w:p w:rsidR="00AE0DF2" w:rsidRPr="00DA7EE4" w:rsidRDefault="00666AFE" w:rsidP="001B591F">
            <w:pPr>
              <w:jc w:val="right"/>
              <w:rPr>
                <w:bCs/>
                <w:color w:val="000000"/>
              </w:rPr>
            </w:pPr>
            <w:r w:rsidRPr="00DA7EE4">
              <w:rPr>
                <w:bCs/>
                <w:color w:val="000000"/>
              </w:rPr>
              <w:t xml:space="preserve">$ </w:t>
            </w:r>
            <w:r>
              <w:rPr>
                <w:bCs/>
                <w:color w:val="000000"/>
              </w:rPr>
              <w:t>55.19</w:t>
            </w:r>
          </w:p>
        </w:tc>
        <w:tc>
          <w:tcPr>
            <w:tcW w:w="1530" w:type="dxa"/>
            <w:tcBorders>
              <w:top w:val="nil"/>
              <w:left w:val="nil"/>
              <w:bottom w:val="single" w:sz="4" w:space="0" w:color="auto"/>
              <w:right w:val="single" w:sz="4" w:space="0" w:color="auto"/>
            </w:tcBorders>
            <w:shd w:val="clear" w:color="auto" w:fill="auto"/>
            <w:noWrap/>
            <w:vAlign w:val="bottom"/>
            <w:hideMark/>
          </w:tcPr>
          <w:p w:rsidR="00AE0DF2" w:rsidRPr="00DA7EE4" w:rsidRDefault="006404BD" w:rsidP="001B591F">
            <w:pPr>
              <w:jc w:val="right"/>
              <w:rPr>
                <w:bCs/>
                <w:color w:val="000000"/>
              </w:rPr>
            </w:pPr>
            <w:r>
              <w:rPr>
                <w:bCs/>
                <w:color w:val="000000"/>
              </w:rPr>
              <w:t xml:space="preserve"> $138,554</w:t>
            </w:r>
            <w:r w:rsidR="00AE0DF2" w:rsidRPr="00DA7EE4">
              <w:rPr>
                <w:bCs/>
                <w:color w:val="000000"/>
              </w:rPr>
              <w:t xml:space="preserve"> </w:t>
            </w:r>
          </w:p>
        </w:tc>
      </w:tr>
      <w:tr w:rsidR="00AE0DF2" w:rsidRPr="00DE1F6F" w:rsidTr="00666AFE">
        <w:trPr>
          <w:trHeight w:val="314"/>
        </w:trPr>
        <w:tc>
          <w:tcPr>
            <w:tcW w:w="1275" w:type="dxa"/>
            <w:tcBorders>
              <w:top w:val="nil"/>
              <w:left w:val="single" w:sz="4" w:space="0" w:color="auto"/>
              <w:bottom w:val="single" w:sz="4" w:space="0" w:color="auto"/>
              <w:right w:val="single" w:sz="4" w:space="0" w:color="auto"/>
            </w:tcBorders>
            <w:shd w:val="clear" w:color="auto" w:fill="auto"/>
            <w:noWrap/>
            <w:vAlign w:val="bottom"/>
          </w:tcPr>
          <w:p w:rsidR="00AE0DF2" w:rsidRPr="00DA7EE4" w:rsidRDefault="00AE0DF2" w:rsidP="001B591F">
            <w:pPr>
              <w:rPr>
                <w:color w:val="000000"/>
              </w:rPr>
            </w:pPr>
            <w:r>
              <w:rPr>
                <w:color w:val="000000"/>
              </w:rPr>
              <w:t>-7008</w:t>
            </w:r>
          </w:p>
        </w:tc>
        <w:tc>
          <w:tcPr>
            <w:tcW w:w="1260" w:type="dxa"/>
            <w:tcBorders>
              <w:top w:val="nil"/>
              <w:left w:val="nil"/>
              <w:bottom w:val="single" w:sz="4" w:space="0" w:color="auto"/>
              <w:right w:val="single" w:sz="4" w:space="0" w:color="auto"/>
            </w:tcBorders>
            <w:shd w:val="clear" w:color="auto" w:fill="auto"/>
            <w:noWrap/>
            <w:vAlign w:val="bottom"/>
          </w:tcPr>
          <w:p w:rsidR="00AE0DF2" w:rsidRPr="00DA7EE4" w:rsidRDefault="00C36637" w:rsidP="001B591F">
            <w:pPr>
              <w:jc w:val="right"/>
              <w:rPr>
                <w:color w:val="000000"/>
              </w:rPr>
            </w:pPr>
            <w:r>
              <w:rPr>
                <w:color w:val="000000"/>
              </w:rPr>
              <w:t>23,760</w:t>
            </w:r>
          </w:p>
        </w:tc>
        <w:tc>
          <w:tcPr>
            <w:tcW w:w="1673" w:type="dxa"/>
            <w:tcBorders>
              <w:top w:val="nil"/>
              <w:left w:val="nil"/>
              <w:bottom w:val="single" w:sz="4" w:space="0" w:color="auto"/>
              <w:right w:val="single" w:sz="4" w:space="0" w:color="auto"/>
            </w:tcBorders>
            <w:shd w:val="clear" w:color="auto" w:fill="auto"/>
            <w:noWrap/>
            <w:vAlign w:val="bottom"/>
          </w:tcPr>
          <w:p w:rsidR="00AE0DF2" w:rsidRPr="00DA7EE4" w:rsidRDefault="00AE0DF2" w:rsidP="001B591F">
            <w:pPr>
              <w:jc w:val="right"/>
              <w:rPr>
                <w:color w:val="000000"/>
              </w:rPr>
            </w:pPr>
            <w:r>
              <w:rPr>
                <w:color w:val="000000"/>
              </w:rPr>
              <w:t>10</w:t>
            </w:r>
          </w:p>
        </w:tc>
        <w:tc>
          <w:tcPr>
            <w:tcW w:w="1080" w:type="dxa"/>
            <w:tcBorders>
              <w:top w:val="nil"/>
              <w:left w:val="nil"/>
              <w:bottom w:val="single" w:sz="4" w:space="0" w:color="auto"/>
              <w:right w:val="single" w:sz="4" w:space="0" w:color="auto"/>
            </w:tcBorders>
            <w:shd w:val="clear" w:color="auto" w:fill="auto"/>
            <w:noWrap/>
            <w:vAlign w:val="bottom"/>
          </w:tcPr>
          <w:p w:rsidR="00AE0DF2" w:rsidRPr="00DA7EE4" w:rsidRDefault="00C36637" w:rsidP="001B591F">
            <w:pPr>
              <w:jc w:val="right"/>
              <w:rPr>
                <w:color w:val="000000"/>
              </w:rPr>
            </w:pPr>
            <w:r>
              <w:rPr>
                <w:color w:val="000000"/>
              </w:rPr>
              <w:t>237,605</w:t>
            </w:r>
          </w:p>
        </w:tc>
        <w:tc>
          <w:tcPr>
            <w:tcW w:w="1057" w:type="dxa"/>
            <w:tcBorders>
              <w:top w:val="nil"/>
              <w:left w:val="nil"/>
              <w:bottom w:val="single" w:sz="4" w:space="0" w:color="auto"/>
              <w:right w:val="single" w:sz="4" w:space="0" w:color="auto"/>
            </w:tcBorders>
            <w:shd w:val="clear" w:color="auto" w:fill="auto"/>
            <w:noWrap/>
            <w:vAlign w:val="bottom"/>
          </w:tcPr>
          <w:p w:rsidR="00AE0DF2" w:rsidRPr="00DA7EE4" w:rsidRDefault="00666AFE" w:rsidP="001B591F">
            <w:pPr>
              <w:jc w:val="right"/>
              <w:rPr>
                <w:bCs/>
                <w:color w:val="000000"/>
              </w:rPr>
            </w:pPr>
            <w:r w:rsidRPr="00DA7EE4">
              <w:rPr>
                <w:bCs/>
                <w:color w:val="000000"/>
              </w:rPr>
              <w:t xml:space="preserve">$ </w:t>
            </w:r>
            <w:r>
              <w:rPr>
                <w:bCs/>
                <w:color w:val="000000"/>
              </w:rPr>
              <w:t>55.19</w:t>
            </w:r>
          </w:p>
        </w:tc>
        <w:tc>
          <w:tcPr>
            <w:tcW w:w="1530" w:type="dxa"/>
            <w:tcBorders>
              <w:top w:val="nil"/>
              <w:left w:val="nil"/>
              <w:bottom w:val="single" w:sz="4" w:space="0" w:color="auto"/>
              <w:right w:val="single" w:sz="4" w:space="0" w:color="auto"/>
            </w:tcBorders>
            <w:shd w:val="clear" w:color="auto" w:fill="auto"/>
            <w:noWrap/>
            <w:vAlign w:val="bottom"/>
          </w:tcPr>
          <w:p w:rsidR="00AE0DF2" w:rsidRPr="00DA7EE4" w:rsidRDefault="00E93074" w:rsidP="006404BD">
            <w:pPr>
              <w:jc w:val="right"/>
              <w:rPr>
                <w:bCs/>
                <w:color w:val="000000"/>
              </w:rPr>
            </w:pPr>
            <w:r>
              <w:rPr>
                <w:bCs/>
                <w:color w:val="000000"/>
              </w:rPr>
              <w:t>$</w:t>
            </w:r>
            <w:r w:rsidR="006404BD">
              <w:rPr>
                <w:bCs/>
                <w:color w:val="000000"/>
              </w:rPr>
              <w:t>13,113,696</w:t>
            </w:r>
          </w:p>
        </w:tc>
      </w:tr>
      <w:tr w:rsidR="00AE0DF2" w:rsidRPr="00DE1F6F" w:rsidTr="00666AFE">
        <w:trPr>
          <w:trHeight w:val="314"/>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AE0DF2" w:rsidRPr="00DA7EE4" w:rsidRDefault="00AE0DF2" w:rsidP="001B591F">
            <w:pPr>
              <w:rPr>
                <w:color w:val="000000"/>
              </w:rPr>
            </w:pPr>
            <w:r w:rsidRPr="00DA7EE4">
              <w:rPr>
                <w:color w:val="000000"/>
              </w:rPr>
              <w:t>TOTAL</w:t>
            </w:r>
          </w:p>
        </w:tc>
        <w:tc>
          <w:tcPr>
            <w:tcW w:w="1260" w:type="dxa"/>
            <w:tcBorders>
              <w:top w:val="nil"/>
              <w:left w:val="nil"/>
              <w:bottom w:val="single" w:sz="4" w:space="0" w:color="auto"/>
              <w:right w:val="single" w:sz="4" w:space="0" w:color="auto"/>
            </w:tcBorders>
            <w:shd w:val="clear" w:color="auto" w:fill="auto"/>
            <w:noWrap/>
            <w:vAlign w:val="bottom"/>
            <w:hideMark/>
          </w:tcPr>
          <w:p w:rsidR="00AE0DF2" w:rsidRPr="00DA7EE4" w:rsidRDefault="00C36637" w:rsidP="001B591F">
            <w:pPr>
              <w:jc w:val="right"/>
              <w:rPr>
                <w:color w:val="000000"/>
              </w:rPr>
            </w:pPr>
            <w:r>
              <w:rPr>
                <w:color w:val="000000"/>
              </w:rPr>
              <w:t>54,136</w:t>
            </w:r>
          </w:p>
        </w:tc>
        <w:tc>
          <w:tcPr>
            <w:tcW w:w="1673" w:type="dxa"/>
            <w:tcBorders>
              <w:top w:val="nil"/>
              <w:left w:val="nil"/>
              <w:bottom w:val="single" w:sz="4" w:space="0" w:color="auto"/>
              <w:right w:val="single" w:sz="4" w:space="0" w:color="auto"/>
            </w:tcBorders>
            <w:shd w:val="clear" w:color="auto" w:fill="auto"/>
            <w:noWrap/>
            <w:vAlign w:val="bottom"/>
            <w:hideMark/>
          </w:tcPr>
          <w:p w:rsidR="00AE0DF2" w:rsidRPr="00DA7EE4" w:rsidRDefault="00C36637" w:rsidP="001B591F">
            <w:pPr>
              <w:jc w:val="right"/>
              <w:rPr>
                <w:color w:val="000000"/>
              </w:rPr>
            </w:pPr>
            <w:r>
              <w:rPr>
                <w:color w:val="000000"/>
              </w:rPr>
              <w:t>4.67</w:t>
            </w:r>
          </w:p>
        </w:tc>
        <w:tc>
          <w:tcPr>
            <w:tcW w:w="1080" w:type="dxa"/>
            <w:tcBorders>
              <w:top w:val="nil"/>
              <w:left w:val="nil"/>
              <w:bottom w:val="single" w:sz="4" w:space="0" w:color="auto"/>
              <w:right w:val="single" w:sz="4" w:space="0" w:color="auto"/>
            </w:tcBorders>
            <w:shd w:val="clear" w:color="auto" w:fill="auto"/>
            <w:noWrap/>
            <w:vAlign w:val="bottom"/>
            <w:hideMark/>
          </w:tcPr>
          <w:p w:rsidR="00AE0DF2" w:rsidRPr="00DA7EE4" w:rsidRDefault="006404BD" w:rsidP="006404BD">
            <w:pPr>
              <w:jc w:val="right"/>
              <w:rPr>
                <w:color w:val="000000"/>
              </w:rPr>
            </w:pPr>
            <w:r>
              <w:rPr>
                <w:color w:val="000000"/>
              </w:rPr>
              <w:t>252,924</w:t>
            </w:r>
          </w:p>
        </w:tc>
        <w:tc>
          <w:tcPr>
            <w:tcW w:w="1057" w:type="dxa"/>
            <w:tcBorders>
              <w:top w:val="nil"/>
              <w:left w:val="nil"/>
              <w:bottom w:val="single" w:sz="4" w:space="0" w:color="auto"/>
              <w:right w:val="single" w:sz="4" w:space="0" w:color="auto"/>
            </w:tcBorders>
            <w:shd w:val="clear" w:color="auto" w:fill="auto"/>
            <w:noWrap/>
            <w:vAlign w:val="bottom"/>
            <w:hideMark/>
          </w:tcPr>
          <w:p w:rsidR="00AE0DF2" w:rsidRPr="00DA7EE4" w:rsidRDefault="00666AFE" w:rsidP="001B591F">
            <w:pPr>
              <w:jc w:val="right"/>
              <w:rPr>
                <w:bCs/>
                <w:color w:val="000000"/>
              </w:rPr>
            </w:pPr>
            <w:r w:rsidRPr="00DA7EE4">
              <w:rPr>
                <w:bCs/>
                <w:color w:val="000000"/>
              </w:rPr>
              <w:t xml:space="preserve">$ </w:t>
            </w:r>
            <w:r>
              <w:rPr>
                <w:bCs/>
                <w:color w:val="000000"/>
              </w:rPr>
              <w:t>55.19</w:t>
            </w:r>
          </w:p>
        </w:tc>
        <w:tc>
          <w:tcPr>
            <w:tcW w:w="1530" w:type="dxa"/>
            <w:tcBorders>
              <w:top w:val="nil"/>
              <w:left w:val="nil"/>
              <w:bottom w:val="single" w:sz="4" w:space="0" w:color="auto"/>
              <w:right w:val="single" w:sz="4" w:space="0" w:color="auto"/>
            </w:tcBorders>
            <w:shd w:val="clear" w:color="auto" w:fill="auto"/>
            <w:noWrap/>
            <w:vAlign w:val="bottom"/>
            <w:hideMark/>
          </w:tcPr>
          <w:p w:rsidR="00AE0DF2" w:rsidRPr="00DA7EE4" w:rsidRDefault="00AE0DF2" w:rsidP="006404BD">
            <w:pPr>
              <w:jc w:val="right"/>
              <w:rPr>
                <w:bCs/>
                <w:color w:val="000000"/>
              </w:rPr>
            </w:pPr>
            <w:r w:rsidRPr="00DA7EE4">
              <w:rPr>
                <w:bCs/>
                <w:color w:val="000000"/>
              </w:rPr>
              <w:t xml:space="preserve"> $</w:t>
            </w:r>
            <w:r w:rsidR="006404BD">
              <w:rPr>
                <w:bCs/>
                <w:color w:val="000000"/>
              </w:rPr>
              <w:t>13,958,876</w:t>
            </w:r>
          </w:p>
        </w:tc>
      </w:tr>
    </w:tbl>
    <w:p w:rsidR="00AA45B4" w:rsidRDefault="00AA45B4" w:rsidP="00AE0DF2">
      <w:pPr>
        <w:pStyle w:val="NormalWeb"/>
        <w:spacing w:line="288" w:lineRule="atLeast"/>
        <w:rPr>
          <w:sz w:val="20"/>
          <w:szCs w:val="20"/>
        </w:rPr>
      </w:pPr>
      <w:bookmarkStart w:id="17" w:name="cp468"/>
      <w:r w:rsidRPr="00B96890">
        <w:rPr>
          <w:i/>
          <w:sz w:val="20"/>
          <w:szCs w:val="20"/>
        </w:rPr>
        <w:t>Note</w:t>
      </w:r>
      <w:r w:rsidRPr="00B96890">
        <w:rPr>
          <w:sz w:val="20"/>
          <w:szCs w:val="20"/>
        </w:rPr>
        <w:t>:  The hourly rates were developed by using the 2019 Office of Personnel Management GS-12, step 5, rate for the Rest of the U.S. of $</w:t>
      </w:r>
      <w:r>
        <w:rPr>
          <w:sz w:val="20"/>
          <w:szCs w:val="20"/>
        </w:rPr>
        <w:t>40.51</w:t>
      </w:r>
      <w:r w:rsidRPr="00B96890">
        <w:rPr>
          <w:sz w:val="20"/>
          <w:szCs w:val="20"/>
        </w:rPr>
        <w:t xml:space="preserve"> x 1.3625 O/H rate = $</w:t>
      </w:r>
      <w:r>
        <w:rPr>
          <w:sz w:val="20"/>
          <w:szCs w:val="20"/>
        </w:rPr>
        <w:t>55.19</w:t>
      </w:r>
    </w:p>
    <w:p w:rsidR="005E0A0F" w:rsidRDefault="00AA45B4" w:rsidP="00AA45B4">
      <w:pPr>
        <w:pStyle w:val="NormalWeb"/>
        <w:tabs>
          <w:tab w:val="left" w:pos="360"/>
        </w:tabs>
        <w:spacing w:line="240" w:lineRule="atLeast"/>
      </w:pPr>
      <w:r>
        <w:tab/>
      </w:r>
      <w:r w:rsidR="005E0A0F">
        <w:t>15.</w:t>
      </w:r>
      <w:r w:rsidR="009F484F">
        <w:t xml:space="preserve">  </w:t>
      </w:r>
      <w:r w:rsidR="005E0A0F">
        <w:rPr>
          <w:u w:val="single"/>
        </w:rPr>
        <w:t>Reasons for Change in Burden</w:t>
      </w:r>
    </w:p>
    <w:bookmarkEnd w:id="17"/>
    <w:p w:rsidR="000D1E06" w:rsidRDefault="00D141EB" w:rsidP="00936232">
      <w:pPr>
        <w:pStyle w:val="NormalWeb"/>
        <w:tabs>
          <w:tab w:val="left" w:pos="360"/>
          <w:tab w:val="left" w:pos="720"/>
          <w:tab w:val="left" w:pos="1080"/>
          <w:tab w:val="left" w:pos="1440"/>
        </w:tabs>
        <w:spacing w:before="0" w:beforeAutospacing="0" w:after="0" w:afterAutospacing="0"/>
      </w:pPr>
      <w:r>
        <w:tab/>
      </w:r>
      <w:r>
        <w:tab/>
      </w:r>
      <w:r w:rsidR="000D1E06">
        <w:t>The estimates are revised to accommodate the inclusion of the burden previously accounted for under OMB Control Number 0704-0</w:t>
      </w:r>
      <w:r w:rsidR="00BC6F20">
        <w:t>541</w:t>
      </w:r>
      <w:r w:rsidR="000D1E06">
        <w:t xml:space="preserve"> that is being rolled into this OMB Control Number 0704-0441</w:t>
      </w:r>
      <w:r w:rsidR="00E97D50">
        <w:t>,</w:t>
      </w:r>
      <w:r w:rsidR="000D1E06">
        <w:t xml:space="preserve"> effective with this 201</w:t>
      </w:r>
      <w:r w:rsidR="00BC6F20">
        <w:t>9</w:t>
      </w:r>
      <w:r w:rsidR="000D1E06">
        <w:t xml:space="preserve"> renewal cycle.  </w:t>
      </w:r>
      <w:r w:rsidR="00C36637">
        <w:t>The greatest degree of change</w:t>
      </w:r>
      <w:r w:rsidR="00EB7D77">
        <w:t xml:space="preserve"> in burden hours</w:t>
      </w:r>
      <w:r w:rsidR="00E97D50">
        <w:t xml:space="preserve"> for the renewal period</w:t>
      </w:r>
      <w:r w:rsidR="00C36637">
        <w:t xml:space="preserve"> is for recordkeepers and recordkeeping required under DFARS clause 252.246-7008.  For the initial burden cleared for 0704-0541</w:t>
      </w:r>
      <w:r w:rsidR="00E97D50">
        <w:t xml:space="preserve"> in 2016</w:t>
      </w:r>
      <w:r w:rsidR="00C36637">
        <w:t>, the basis for the estimates was the Federal Procurement Data system information.</w:t>
      </w:r>
      <w:r w:rsidR="00E97D50">
        <w:t xml:space="preserve">  The DFARS clause became effective August 2, 2016, and since that time usage data </w:t>
      </w:r>
      <w:r w:rsidR="00EB7D77">
        <w:t>has become available in</w:t>
      </w:r>
      <w:r w:rsidR="00E97D50">
        <w:t xml:space="preserve"> the Electronic Data System</w:t>
      </w:r>
      <w:r w:rsidR="00EB7D77">
        <w:t xml:space="preserve"> and</w:t>
      </w:r>
      <w:r w:rsidR="00E97D50">
        <w:t xml:space="preserve"> can be mined to </w:t>
      </w:r>
      <w:r w:rsidR="00EB7D77">
        <w:t>determine</w:t>
      </w:r>
      <w:r w:rsidR="00E97D50">
        <w:t xml:space="preserve"> the number of new </w:t>
      </w:r>
      <w:r w:rsidR="00EB7D77">
        <w:t xml:space="preserve">contract </w:t>
      </w:r>
      <w:r w:rsidR="00E97D50">
        <w:t xml:space="preserve">awards </w:t>
      </w:r>
      <w:r w:rsidR="00EB7D77">
        <w:t xml:space="preserve">and unique vendors </w:t>
      </w:r>
      <w:r w:rsidR="00E97D50">
        <w:t>for a given period that contain the clause</w:t>
      </w:r>
      <w:r w:rsidR="00EB7D77">
        <w:t xml:space="preserve">.  The following table shows the changes in burden </w:t>
      </w:r>
      <w:r w:rsidR="00A80C82">
        <w:t>for each collection requirement:</w:t>
      </w:r>
    </w:p>
    <w:p w:rsidR="002F75D0" w:rsidRDefault="002F75D0" w:rsidP="002F75D0">
      <w:pPr>
        <w:pStyle w:val="NormalWeb"/>
        <w:tabs>
          <w:tab w:val="left" w:pos="360"/>
          <w:tab w:val="left" w:pos="720"/>
          <w:tab w:val="left" w:pos="1080"/>
          <w:tab w:val="left" w:pos="1440"/>
        </w:tabs>
        <w:spacing w:before="0" w:beforeAutospacing="0" w:after="0" w:afterAutospacing="0" w:line="288" w:lineRule="atLeast"/>
      </w:pPr>
    </w:p>
    <w:tbl>
      <w:tblPr>
        <w:tblStyle w:val="TableGrid"/>
        <w:tblW w:w="9625" w:type="dxa"/>
        <w:tblLook w:val="04A0" w:firstRow="1" w:lastRow="0" w:firstColumn="1" w:lastColumn="0" w:noHBand="0" w:noVBand="1"/>
      </w:tblPr>
      <w:tblGrid>
        <w:gridCol w:w="1784"/>
        <w:gridCol w:w="1357"/>
        <w:gridCol w:w="1534"/>
        <w:gridCol w:w="1620"/>
        <w:gridCol w:w="1813"/>
        <w:gridCol w:w="1517"/>
      </w:tblGrid>
      <w:tr w:rsidR="00F71FCA" w:rsidRPr="00C37CBA" w:rsidTr="001B591F">
        <w:trPr>
          <w:trHeight w:val="260"/>
        </w:trPr>
        <w:tc>
          <w:tcPr>
            <w:tcW w:w="1784" w:type="dxa"/>
            <w:noWrap/>
            <w:hideMark/>
          </w:tcPr>
          <w:p w:rsidR="00F71FCA" w:rsidRPr="000306B1" w:rsidRDefault="00F71FCA" w:rsidP="001B591F">
            <w:pPr>
              <w:rPr>
                <w:b/>
                <w:bCs/>
              </w:rPr>
            </w:pPr>
            <w:r w:rsidRPr="000306B1">
              <w:rPr>
                <w:b/>
                <w:bCs/>
              </w:rPr>
              <w:t>Change in Burden</w:t>
            </w:r>
          </w:p>
        </w:tc>
        <w:tc>
          <w:tcPr>
            <w:tcW w:w="4511" w:type="dxa"/>
            <w:gridSpan w:val="3"/>
            <w:noWrap/>
            <w:hideMark/>
          </w:tcPr>
          <w:p w:rsidR="00F71FCA" w:rsidRPr="000306B1" w:rsidRDefault="00F71FCA" w:rsidP="000306B1">
            <w:pPr>
              <w:rPr>
                <w:b/>
                <w:bCs/>
              </w:rPr>
            </w:pPr>
            <w:r w:rsidRPr="000306B1">
              <w:rPr>
                <w:b/>
                <w:bCs/>
              </w:rPr>
              <w:t>2016 Estimates</w:t>
            </w:r>
            <w:r w:rsidR="000306B1">
              <w:rPr>
                <w:b/>
                <w:bCs/>
              </w:rPr>
              <w:t>:</w:t>
            </w:r>
            <w:r w:rsidRPr="000306B1">
              <w:rPr>
                <w:b/>
                <w:bCs/>
              </w:rPr>
              <w:t xml:space="preserve"> 0704-0441 </w:t>
            </w:r>
            <w:r w:rsidR="000306B1">
              <w:rPr>
                <w:b/>
                <w:bCs/>
              </w:rPr>
              <w:t>&amp;</w:t>
            </w:r>
            <w:r w:rsidRPr="000306B1">
              <w:rPr>
                <w:b/>
                <w:bCs/>
              </w:rPr>
              <w:t xml:space="preserve"> 0704-0541</w:t>
            </w:r>
          </w:p>
        </w:tc>
        <w:tc>
          <w:tcPr>
            <w:tcW w:w="3330" w:type="dxa"/>
            <w:gridSpan w:val="2"/>
            <w:noWrap/>
            <w:hideMark/>
          </w:tcPr>
          <w:p w:rsidR="00F71FCA" w:rsidRPr="000306B1" w:rsidRDefault="00F71FCA" w:rsidP="000306B1">
            <w:pPr>
              <w:jc w:val="center"/>
              <w:rPr>
                <w:b/>
                <w:bCs/>
              </w:rPr>
            </w:pPr>
            <w:r w:rsidRPr="000306B1">
              <w:rPr>
                <w:b/>
                <w:bCs/>
              </w:rPr>
              <w:t xml:space="preserve">2019 </w:t>
            </w:r>
            <w:r w:rsidR="000306B1">
              <w:rPr>
                <w:b/>
                <w:bCs/>
              </w:rPr>
              <w:t>Estimate:</w:t>
            </w:r>
            <w:r w:rsidR="001E71C9" w:rsidRPr="000306B1">
              <w:rPr>
                <w:b/>
                <w:bCs/>
              </w:rPr>
              <w:t xml:space="preserve"> 0704-0441</w:t>
            </w:r>
          </w:p>
        </w:tc>
      </w:tr>
      <w:tr w:rsidR="00F71FCA" w:rsidRPr="00C37CBA" w:rsidTr="00AF04B0">
        <w:trPr>
          <w:trHeight w:val="260"/>
        </w:trPr>
        <w:tc>
          <w:tcPr>
            <w:tcW w:w="1784" w:type="dxa"/>
            <w:noWrap/>
            <w:hideMark/>
          </w:tcPr>
          <w:p w:rsidR="00F71FCA" w:rsidRPr="00C37CBA" w:rsidRDefault="002A0CA9" w:rsidP="002A0CA9">
            <w:pPr>
              <w:rPr>
                <w:bCs/>
              </w:rPr>
            </w:pPr>
            <w:r>
              <w:rPr>
                <w:bCs/>
              </w:rPr>
              <w:t>Control Numbers</w:t>
            </w:r>
          </w:p>
        </w:tc>
        <w:tc>
          <w:tcPr>
            <w:tcW w:w="1357" w:type="dxa"/>
            <w:noWrap/>
            <w:hideMark/>
          </w:tcPr>
          <w:p w:rsidR="00F71FCA" w:rsidRPr="008D69E9" w:rsidRDefault="00F71FCA" w:rsidP="001B591F">
            <w:pPr>
              <w:rPr>
                <w:color w:val="000000"/>
              </w:rPr>
            </w:pPr>
            <w:r w:rsidRPr="008D69E9">
              <w:rPr>
                <w:color w:val="000000"/>
              </w:rPr>
              <w:t>0704-0441</w:t>
            </w:r>
          </w:p>
        </w:tc>
        <w:tc>
          <w:tcPr>
            <w:tcW w:w="1534" w:type="dxa"/>
            <w:noWrap/>
            <w:hideMark/>
          </w:tcPr>
          <w:p w:rsidR="00F71FCA" w:rsidRPr="008D69E9" w:rsidRDefault="00F71FCA" w:rsidP="001B591F">
            <w:pPr>
              <w:rPr>
                <w:color w:val="000000"/>
              </w:rPr>
            </w:pPr>
            <w:r w:rsidRPr="008D69E9">
              <w:rPr>
                <w:color w:val="000000"/>
              </w:rPr>
              <w:t>0704-0541</w:t>
            </w:r>
          </w:p>
        </w:tc>
        <w:tc>
          <w:tcPr>
            <w:tcW w:w="1620" w:type="dxa"/>
            <w:noWrap/>
            <w:hideMark/>
          </w:tcPr>
          <w:p w:rsidR="00F71FCA" w:rsidRPr="008D69E9" w:rsidRDefault="00F71FCA" w:rsidP="001B591F">
            <w:pPr>
              <w:rPr>
                <w:color w:val="000000"/>
              </w:rPr>
            </w:pPr>
            <w:r w:rsidRPr="008D69E9">
              <w:rPr>
                <w:color w:val="000000"/>
              </w:rPr>
              <w:t>2016 Combined</w:t>
            </w:r>
          </w:p>
        </w:tc>
        <w:tc>
          <w:tcPr>
            <w:tcW w:w="1813" w:type="dxa"/>
            <w:noWrap/>
            <w:hideMark/>
          </w:tcPr>
          <w:p w:rsidR="00F71FCA" w:rsidRPr="008D69E9" w:rsidRDefault="00F71FCA" w:rsidP="001B591F">
            <w:pPr>
              <w:rPr>
                <w:color w:val="000000"/>
              </w:rPr>
            </w:pPr>
            <w:r w:rsidRPr="008D69E9">
              <w:rPr>
                <w:color w:val="000000"/>
              </w:rPr>
              <w:t>2019 Estimates</w:t>
            </w:r>
          </w:p>
        </w:tc>
        <w:tc>
          <w:tcPr>
            <w:tcW w:w="1517" w:type="dxa"/>
            <w:noWrap/>
            <w:hideMark/>
          </w:tcPr>
          <w:p w:rsidR="00F71FCA" w:rsidRPr="000306B1" w:rsidRDefault="00F71FCA" w:rsidP="001B591F">
            <w:pPr>
              <w:rPr>
                <w:b/>
                <w:color w:val="000000"/>
              </w:rPr>
            </w:pPr>
            <w:r w:rsidRPr="000306B1">
              <w:rPr>
                <w:b/>
                <w:color w:val="000000"/>
              </w:rPr>
              <w:t>Difference</w:t>
            </w:r>
          </w:p>
        </w:tc>
      </w:tr>
      <w:tr w:rsidR="00F71FCA" w:rsidRPr="00C37CBA" w:rsidTr="00AF04B0">
        <w:trPr>
          <w:trHeight w:val="260"/>
        </w:trPr>
        <w:tc>
          <w:tcPr>
            <w:tcW w:w="1784" w:type="dxa"/>
            <w:noWrap/>
            <w:hideMark/>
          </w:tcPr>
          <w:p w:rsidR="00F71FCA" w:rsidRPr="00C37CBA" w:rsidRDefault="00F71FCA" w:rsidP="001B591F">
            <w:pPr>
              <w:rPr>
                <w:bCs/>
              </w:rPr>
            </w:pPr>
            <w:r w:rsidRPr="00C37CBA">
              <w:rPr>
                <w:bCs/>
              </w:rPr>
              <w:t>Number of Respondents</w:t>
            </w:r>
          </w:p>
        </w:tc>
        <w:tc>
          <w:tcPr>
            <w:tcW w:w="1357" w:type="dxa"/>
            <w:noWrap/>
            <w:hideMark/>
          </w:tcPr>
          <w:p w:rsidR="00F71FCA" w:rsidRDefault="00F71FCA" w:rsidP="001B591F">
            <w:pPr>
              <w:jc w:val="right"/>
              <w:rPr>
                <w:color w:val="000000"/>
              </w:rPr>
            </w:pPr>
          </w:p>
          <w:p w:rsidR="00F71FCA" w:rsidRPr="008D69E9" w:rsidRDefault="00F71FCA" w:rsidP="001B591F">
            <w:pPr>
              <w:jc w:val="right"/>
              <w:rPr>
                <w:color w:val="000000"/>
              </w:rPr>
            </w:pPr>
            <w:r w:rsidRPr="008D69E9">
              <w:rPr>
                <w:color w:val="000000"/>
              </w:rPr>
              <w:t>54,250</w:t>
            </w:r>
          </w:p>
        </w:tc>
        <w:tc>
          <w:tcPr>
            <w:tcW w:w="1534" w:type="dxa"/>
            <w:noWrap/>
            <w:hideMark/>
          </w:tcPr>
          <w:p w:rsidR="00F71FCA" w:rsidRDefault="00F71FCA" w:rsidP="001B591F">
            <w:pPr>
              <w:jc w:val="right"/>
              <w:rPr>
                <w:color w:val="000000"/>
              </w:rPr>
            </w:pPr>
            <w:r w:rsidRPr="008D69E9">
              <w:rPr>
                <w:color w:val="000000"/>
              </w:rPr>
              <w:t xml:space="preserve">           </w:t>
            </w:r>
          </w:p>
          <w:p w:rsidR="00F71FCA" w:rsidRPr="008D69E9" w:rsidRDefault="00F71FCA" w:rsidP="001B591F">
            <w:pPr>
              <w:jc w:val="right"/>
              <w:rPr>
                <w:color w:val="000000"/>
              </w:rPr>
            </w:pPr>
            <w:r w:rsidRPr="008D69E9">
              <w:rPr>
                <w:color w:val="000000"/>
              </w:rPr>
              <w:t xml:space="preserve">6,624 </w:t>
            </w:r>
          </w:p>
        </w:tc>
        <w:tc>
          <w:tcPr>
            <w:tcW w:w="1620" w:type="dxa"/>
            <w:noWrap/>
            <w:hideMark/>
          </w:tcPr>
          <w:p w:rsidR="00F71FCA" w:rsidRDefault="00F71FCA" w:rsidP="001B591F">
            <w:pPr>
              <w:jc w:val="right"/>
              <w:rPr>
                <w:color w:val="000000"/>
              </w:rPr>
            </w:pPr>
          </w:p>
          <w:p w:rsidR="00F71FCA" w:rsidRPr="008D69E9" w:rsidRDefault="00F71FCA" w:rsidP="001B591F">
            <w:pPr>
              <w:jc w:val="right"/>
              <w:rPr>
                <w:color w:val="000000"/>
              </w:rPr>
            </w:pPr>
            <w:r w:rsidRPr="008D69E9">
              <w:rPr>
                <w:color w:val="000000"/>
              </w:rPr>
              <w:t>60,874</w:t>
            </w:r>
          </w:p>
        </w:tc>
        <w:tc>
          <w:tcPr>
            <w:tcW w:w="1813" w:type="dxa"/>
            <w:noWrap/>
            <w:hideMark/>
          </w:tcPr>
          <w:p w:rsidR="00F71FCA" w:rsidRDefault="00F71FCA" w:rsidP="001B591F">
            <w:pPr>
              <w:jc w:val="right"/>
              <w:rPr>
                <w:color w:val="000000"/>
              </w:rPr>
            </w:pPr>
          </w:p>
          <w:p w:rsidR="001E71C9" w:rsidRPr="008D69E9" w:rsidRDefault="001E71C9" w:rsidP="001B591F">
            <w:pPr>
              <w:jc w:val="right"/>
              <w:rPr>
                <w:color w:val="000000"/>
              </w:rPr>
            </w:pPr>
            <w:r>
              <w:rPr>
                <w:color w:val="000000"/>
              </w:rPr>
              <w:t>34,842</w:t>
            </w:r>
          </w:p>
        </w:tc>
        <w:tc>
          <w:tcPr>
            <w:tcW w:w="1517" w:type="dxa"/>
            <w:noWrap/>
            <w:hideMark/>
          </w:tcPr>
          <w:p w:rsidR="00F71FCA" w:rsidRPr="000306B1" w:rsidRDefault="00F71FCA" w:rsidP="001B591F">
            <w:pPr>
              <w:jc w:val="right"/>
              <w:rPr>
                <w:b/>
                <w:color w:val="000000"/>
              </w:rPr>
            </w:pPr>
          </w:p>
          <w:p w:rsidR="001E71C9" w:rsidRPr="000306B1" w:rsidRDefault="001E71C9" w:rsidP="001B591F">
            <w:pPr>
              <w:jc w:val="right"/>
              <w:rPr>
                <w:b/>
                <w:color w:val="000000"/>
              </w:rPr>
            </w:pPr>
            <w:r w:rsidRPr="000306B1">
              <w:rPr>
                <w:b/>
                <w:color w:val="000000"/>
              </w:rPr>
              <w:t>-26,032</w:t>
            </w:r>
          </w:p>
        </w:tc>
      </w:tr>
      <w:tr w:rsidR="00F71FCA" w:rsidRPr="00C37CBA" w:rsidTr="00AF04B0">
        <w:trPr>
          <w:trHeight w:val="260"/>
        </w:trPr>
        <w:tc>
          <w:tcPr>
            <w:tcW w:w="1784" w:type="dxa"/>
            <w:noWrap/>
            <w:hideMark/>
          </w:tcPr>
          <w:p w:rsidR="00F71FCA" w:rsidRPr="00C37CBA" w:rsidRDefault="00F71FCA" w:rsidP="001B591F">
            <w:pPr>
              <w:rPr>
                <w:bCs/>
              </w:rPr>
            </w:pPr>
            <w:r w:rsidRPr="00C37CBA">
              <w:rPr>
                <w:bCs/>
              </w:rPr>
              <w:t>Total Annual Responses</w:t>
            </w:r>
          </w:p>
        </w:tc>
        <w:tc>
          <w:tcPr>
            <w:tcW w:w="1357" w:type="dxa"/>
            <w:noWrap/>
            <w:hideMark/>
          </w:tcPr>
          <w:p w:rsidR="00F71FCA" w:rsidRDefault="00F71FCA" w:rsidP="001B591F">
            <w:pPr>
              <w:jc w:val="right"/>
              <w:rPr>
                <w:color w:val="000000"/>
              </w:rPr>
            </w:pPr>
          </w:p>
          <w:p w:rsidR="00F71FCA" w:rsidRPr="008D69E9" w:rsidRDefault="00F71FCA" w:rsidP="001B591F">
            <w:pPr>
              <w:jc w:val="right"/>
              <w:rPr>
                <w:color w:val="000000"/>
              </w:rPr>
            </w:pPr>
            <w:r w:rsidRPr="008D69E9">
              <w:rPr>
                <w:color w:val="000000"/>
              </w:rPr>
              <w:t>54,250</w:t>
            </w:r>
          </w:p>
        </w:tc>
        <w:tc>
          <w:tcPr>
            <w:tcW w:w="1534" w:type="dxa"/>
            <w:noWrap/>
            <w:hideMark/>
          </w:tcPr>
          <w:p w:rsidR="00F71FCA" w:rsidRDefault="00F71FCA" w:rsidP="001B591F">
            <w:pPr>
              <w:jc w:val="right"/>
              <w:rPr>
                <w:color w:val="000000"/>
              </w:rPr>
            </w:pPr>
            <w:r w:rsidRPr="008D69E9">
              <w:rPr>
                <w:color w:val="000000"/>
              </w:rPr>
              <w:t xml:space="preserve">         </w:t>
            </w:r>
          </w:p>
          <w:p w:rsidR="00F71FCA" w:rsidRPr="008D69E9" w:rsidRDefault="00F71FCA" w:rsidP="001B591F">
            <w:pPr>
              <w:jc w:val="right"/>
              <w:rPr>
                <w:color w:val="000000"/>
              </w:rPr>
            </w:pPr>
            <w:r w:rsidRPr="008D69E9">
              <w:rPr>
                <w:color w:val="000000"/>
              </w:rPr>
              <w:t xml:space="preserve">53,040 </w:t>
            </w:r>
          </w:p>
        </w:tc>
        <w:tc>
          <w:tcPr>
            <w:tcW w:w="1620" w:type="dxa"/>
            <w:noWrap/>
            <w:hideMark/>
          </w:tcPr>
          <w:p w:rsidR="00F71FCA" w:rsidRDefault="00F71FCA" w:rsidP="001B591F">
            <w:pPr>
              <w:jc w:val="right"/>
              <w:rPr>
                <w:color w:val="000000"/>
              </w:rPr>
            </w:pPr>
          </w:p>
          <w:p w:rsidR="00F71FCA" w:rsidRPr="008D69E9" w:rsidRDefault="00F71FCA" w:rsidP="001B591F">
            <w:pPr>
              <w:jc w:val="right"/>
              <w:rPr>
                <w:color w:val="000000"/>
              </w:rPr>
            </w:pPr>
            <w:r w:rsidRPr="008D69E9">
              <w:rPr>
                <w:color w:val="000000"/>
              </w:rPr>
              <w:t>107,290</w:t>
            </w:r>
          </w:p>
        </w:tc>
        <w:tc>
          <w:tcPr>
            <w:tcW w:w="1813" w:type="dxa"/>
            <w:noWrap/>
            <w:hideMark/>
          </w:tcPr>
          <w:p w:rsidR="001E71C9" w:rsidRDefault="001E71C9" w:rsidP="001B591F">
            <w:pPr>
              <w:jc w:val="right"/>
              <w:rPr>
                <w:color w:val="000000"/>
              </w:rPr>
            </w:pPr>
          </w:p>
          <w:p w:rsidR="00F71FCA" w:rsidRPr="008D69E9" w:rsidRDefault="001E71C9" w:rsidP="001B591F">
            <w:pPr>
              <w:jc w:val="right"/>
              <w:rPr>
                <w:color w:val="000000"/>
              </w:rPr>
            </w:pPr>
            <w:r>
              <w:rPr>
                <w:color w:val="000000"/>
              </w:rPr>
              <w:t>12</w:t>
            </w:r>
            <w:r w:rsidR="00F45DD7">
              <w:rPr>
                <w:color w:val="000000"/>
              </w:rPr>
              <w:t>2</w:t>
            </w:r>
            <w:r>
              <w:rPr>
                <w:color w:val="000000"/>
              </w:rPr>
              <w:t>,</w:t>
            </w:r>
            <w:r w:rsidR="00C36637">
              <w:rPr>
                <w:color w:val="000000"/>
              </w:rPr>
              <w:t>023</w:t>
            </w:r>
          </w:p>
        </w:tc>
        <w:tc>
          <w:tcPr>
            <w:tcW w:w="1517" w:type="dxa"/>
            <w:noWrap/>
            <w:hideMark/>
          </w:tcPr>
          <w:p w:rsidR="00F71FCA" w:rsidRPr="000306B1" w:rsidRDefault="00F71FCA" w:rsidP="001B591F">
            <w:pPr>
              <w:jc w:val="right"/>
              <w:rPr>
                <w:b/>
                <w:color w:val="000000"/>
              </w:rPr>
            </w:pPr>
          </w:p>
          <w:p w:rsidR="001E71C9" w:rsidRPr="000306B1" w:rsidRDefault="00C36637" w:rsidP="001B591F">
            <w:pPr>
              <w:jc w:val="right"/>
              <w:rPr>
                <w:b/>
                <w:color w:val="000000"/>
              </w:rPr>
            </w:pPr>
            <w:r w:rsidRPr="000306B1">
              <w:rPr>
                <w:b/>
                <w:color w:val="000000"/>
              </w:rPr>
              <w:t>14,733</w:t>
            </w:r>
          </w:p>
        </w:tc>
      </w:tr>
      <w:tr w:rsidR="00F71FCA" w:rsidRPr="00C37CBA" w:rsidTr="00AF04B0">
        <w:trPr>
          <w:trHeight w:val="260"/>
        </w:trPr>
        <w:tc>
          <w:tcPr>
            <w:tcW w:w="1784" w:type="dxa"/>
            <w:noWrap/>
            <w:hideMark/>
          </w:tcPr>
          <w:p w:rsidR="00F71FCA" w:rsidRPr="00C37CBA" w:rsidRDefault="00F71FCA" w:rsidP="001B591F">
            <w:pPr>
              <w:rPr>
                <w:bCs/>
              </w:rPr>
            </w:pPr>
            <w:r w:rsidRPr="00C37CBA">
              <w:rPr>
                <w:bCs/>
              </w:rPr>
              <w:t>Total Hours</w:t>
            </w:r>
          </w:p>
        </w:tc>
        <w:tc>
          <w:tcPr>
            <w:tcW w:w="1357" w:type="dxa"/>
            <w:noWrap/>
            <w:hideMark/>
          </w:tcPr>
          <w:p w:rsidR="00F71FCA" w:rsidRPr="008D69E9" w:rsidRDefault="00F71FCA" w:rsidP="001B591F">
            <w:pPr>
              <w:jc w:val="right"/>
              <w:rPr>
                <w:color w:val="000000"/>
              </w:rPr>
            </w:pPr>
            <w:r w:rsidRPr="008D69E9">
              <w:rPr>
                <w:color w:val="000000"/>
              </w:rPr>
              <w:t>27,250</w:t>
            </w:r>
          </w:p>
        </w:tc>
        <w:tc>
          <w:tcPr>
            <w:tcW w:w="1534" w:type="dxa"/>
            <w:noWrap/>
            <w:hideMark/>
          </w:tcPr>
          <w:p w:rsidR="00F71FCA" w:rsidRPr="008D69E9" w:rsidRDefault="00F71FCA" w:rsidP="001B591F">
            <w:pPr>
              <w:jc w:val="right"/>
              <w:rPr>
                <w:color w:val="000000"/>
              </w:rPr>
            </w:pPr>
            <w:r w:rsidRPr="008D69E9">
              <w:rPr>
                <w:color w:val="000000"/>
              </w:rPr>
              <w:t>43,860</w:t>
            </w:r>
          </w:p>
        </w:tc>
        <w:tc>
          <w:tcPr>
            <w:tcW w:w="1620" w:type="dxa"/>
            <w:noWrap/>
            <w:hideMark/>
          </w:tcPr>
          <w:p w:rsidR="00F71FCA" w:rsidRPr="008D69E9" w:rsidRDefault="00F71FCA" w:rsidP="001B591F">
            <w:pPr>
              <w:jc w:val="right"/>
              <w:rPr>
                <w:color w:val="000000"/>
              </w:rPr>
            </w:pPr>
            <w:r w:rsidRPr="008D69E9">
              <w:rPr>
                <w:color w:val="000000"/>
              </w:rPr>
              <w:t>71,110</w:t>
            </w:r>
          </w:p>
        </w:tc>
        <w:tc>
          <w:tcPr>
            <w:tcW w:w="1813" w:type="dxa"/>
            <w:noWrap/>
            <w:hideMark/>
          </w:tcPr>
          <w:p w:rsidR="00F71FCA" w:rsidRPr="008D69E9" w:rsidRDefault="00C36637" w:rsidP="001B591F">
            <w:pPr>
              <w:jc w:val="right"/>
              <w:rPr>
                <w:color w:val="000000"/>
              </w:rPr>
            </w:pPr>
            <w:r>
              <w:rPr>
                <w:color w:val="000000"/>
              </w:rPr>
              <w:t>39,074</w:t>
            </w:r>
          </w:p>
        </w:tc>
        <w:tc>
          <w:tcPr>
            <w:tcW w:w="1517" w:type="dxa"/>
            <w:noWrap/>
            <w:hideMark/>
          </w:tcPr>
          <w:p w:rsidR="00F71FCA" w:rsidRPr="000306B1" w:rsidRDefault="001E71C9" w:rsidP="001B591F">
            <w:pPr>
              <w:jc w:val="right"/>
              <w:rPr>
                <w:b/>
                <w:color w:val="000000"/>
              </w:rPr>
            </w:pPr>
            <w:r w:rsidRPr="000306B1">
              <w:rPr>
                <w:b/>
                <w:color w:val="000000"/>
              </w:rPr>
              <w:t>-</w:t>
            </w:r>
            <w:r w:rsidR="00C36637" w:rsidRPr="000306B1">
              <w:rPr>
                <w:b/>
                <w:color w:val="000000"/>
              </w:rPr>
              <w:t>32,036</w:t>
            </w:r>
          </w:p>
        </w:tc>
      </w:tr>
      <w:tr w:rsidR="00F71FCA" w:rsidRPr="00C37CBA" w:rsidTr="00AF04B0">
        <w:trPr>
          <w:trHeight w:val="287"/>
        </w:trPr>
        <w:tc>
          <w:tcPr>
            <w:tcW w:w="1784" w:type="dxa"/>
            <w:noWrap/>
            <w:hideMark/>
          </w:tcPr>
          <w:p w:rsidR="00F71FCA" w:rsidRPr="008D69E9" w:rsidRDefault="00F71FCA" w:rsidP="001B591F">
            <w:pPr>
              <w:rPr>
                <w:bCs/>
              </w:rPr>
            </w:pPr>
            <w:r w:rsidRPr="008D69E9">
              <w:rPr>
                <w:bCs/>
              </w:rPr>
              <w:t>Recordkeepers</w:t>
            </w:r>
          </w:p>
        </w:tc>
        <w:tc>
          <w:tcPr>
            <w:tcW w:w="1357" w:type="dxa"/>
            <w:noWrap/>
            <w:hideMark/>
          </w:tcPr>
          <w:p w:rsidR="00F71FCA" w:rsidRPr="008D69E9" w:rsidRDefault="00F71FCA" w:rsidP="001B591F">
            <w:pPr>
              <w:jc w:val="right"/>
              <w:rPr>
                <w:color w:val="000000"/>
              </w:rPr>
            </w:pPr>
            <w:r w:rsidRPr="008D69E9">
              <w:rPr>
                <w:color w:val="000000"/>
              </w:rPr>
              <w:t>0</w:t>
            </w:r>
          </w:p>
        </w:tc>
        <w:tc>
          <w:tcPr>
            <w:tcW w:w="1534" w:type="dxa"/>
            <w:noWrap/>
            <w:hideMark/>
          </w:tcPr>
          <w:p w:rsidR="00F71FCA" w:rsidRPr="008D69E9" w:rsidRDefault="00F71FCA" w:rsidP="001B591F">
            <w:pPr>
              <w:jc w:val="right"/>
              <w:rPr>
                <w:color w:val="000000"/>
              </w:rPr>
            </w:pPr>
            <w:r w:rsidRPr="008D69E9">
              <w:rPr>
                <w:color w:val="000000"/>
              </w:rPr>
              <w:t>78,773</w:t>
            </w:r>
          </w:p>
        </w:tc>
        <w:tc>
          <w:tcPr>
            <w:tcW w:w="1620" w:type="dxa"/>
            <w:noWrap/>
            <w:hideMark/>
          </w:tcPr>
          <w:p w:rsidR="00F71FCA" w:rsidRPr="008D69E9" w:rsidRDefault="00F71FCA" w:rsidP="001B591F">
            <w:pPr>
              <w:jc w:val="right"/>
              <w:rPr>
                <w:color w:val="000000"/>
              </w:rPr>
            </w:pPr>
            <w:r w:rsidRPr="008D69E9">
              <w:rPr>
                <w:color w:val="000000"/>
              </w:rPr>
              <w:t>78,773</w:t>
            </w:r>
          </w:p>
        </w:tc>
        <w:tc>
          <w:tcPr>
            <w:tcW w:w="1813" w:type="dxa"/>
            <w:noWrap/>
            <w:hideMark/>
          </w:tcPr>
          <w:p w:rsidR="00F71FCA" w:rsidRPr="008D69E9" w:rsidRDefault="00C36637" w:rsidP="001B591F">
            <w:pPr>
              <w:jc w:val="right"/>
              <w:rPr>
                <w:color w:val="000000"/>
              </w:rPr>
            </w:pPr>
            <w:r>
              <w:rPr>
                <w:color w:val="000000"/>
              </w:rPr>
              <w:t>67,887</w:t>
            </w:r>
          </w:p>
        </w:tc>
        <w:tc>
          <w:tcPr>
            <w:tcW w:w="1517" w:type="dxa"/>
            <w:noWrap/>
            <w:hideMark/>
          </w:tcPr>
          <w:p w:rsidR="00F71FCA" w:rsidRPr="000306B1" w:rsidRDefault="001E71C9" w:rsidP="001B591F">
            <w:pPr>
              <w:jc w:val="right"/>
              <w:rPr>
                <w:b/>
                <w:color w:val="000000"/>
              </w:rPr>
            </w:pPr>
            <w:r w:rsidRPr="000306B1">
              <w:rPr>
                <w:b/>
                <w:color w:val="000000"/>
              </w:rPr>
              <w:t>-</w:t>
            </w:r>
            <w:r w:rsidR="00C36637" w:rsidRPr="000306B1">
              <w:rPr>
                <w:b/>
                <w:color w:val="000000"/>
              </w:rPr>
              <w:t>10,886</w:t>
            </w:r>
          </w:p>
        </w:tc>
      </w:tr>
      <w:tr w:rsidR="00F71FCA" w:rsidRPr="00C37CBA" w:rsidTr="00AF04B0">
        <w:trPr>
          <w:trHeight w:val="539"/>
        </w:trPr>
        <w:tc>
          <w:tcPr>
            <w:tcW w:w="1784" w:type="dxa"/>
            <w:noWrap/>
            <w:hideMark/>
          </w:tcPr>
          <w:p w:rsidR="00F71FCA" w:rsidRPr="00C37CBA" w:rsidRDefault="00F71FCA" w:rsidP="001B591F">
            <w:pPr>
              <w:rPr>
                <w:bCs/>
              </w:rPr>
            </w:pPr>
            <w:r w:rsidRPr="00C37CBA">
              <w:rPr>
                <w:bCs/>
              </w:rPr>
              <w:t>Recordkeeping Hours</w:t>
            </w:r>
          </w:p>
        </w:tc>
        <w:tc>
          <w:tcPr>
            <w:tcW w:w="1357" w:type="dxa"/>
            <w:noWrap/>
            <w:hideMark/>
          </w:tcPr>
          <w:p w:rsidR="00F71FCA" w:rsidRDefault="00F71FCA" w:rsidP="001B591F">
            <w:pPr>
              <w:jc w:val="right"/>
              <w:rPr>
                <w:color w:val="000000"/>
              </w:rPr>
            </w:pPr>
          </w:p>
          <w:p w:rsidR="00F71FCA" w:rsidRPr="008D69E9" w:rsidRDefault="00F71FCA" w:rsidP="001B591F">
            <w:pPr>
              <w:jc w:val="right"/>
              <w:rPr>
                <w:color w:val="000000"/>
              </w:rPr>
            </w:pPr>
            <w:r w:rsidRPr="008D69E9">
              <w:rPr>
                <w:color w:val="000000"/>
              </w:rPr>
              <w:t>0</w:t>
            </w:r>
          </w:p>
        </w:tc>
        <w:tc>
          <w:tcPr>
            <w:tcW w:w="1534" w:type="dxa"/>
            <w:noWrap/>
            <w:hideMark/>
          </w:tcPr>
          <w:p w:rsidR="00F71FCA" w:rsidRDefault="00F71FCA" w:rsidP="001B591F">
            <w:pPr>
              <w:jc w:val="right"/>
              <w:rPr>
                <w:color w:val="000000"/>
              </w:rPr>
            </w:pPr>
          </w:p>
          <w:p w:rsidR="00F71FCA" w:rsidRPr="008D69E9" w:rsidRDefault="00F71FCA" w:rsidP="001B591F">
            <w:pPr>
              <w:jc w:val="right"/>
              <w:rPr>
                <w:color w:val="000000"/>
              </w:rPr>
            </w:pPr>
            <w:r w:rsidRPr="008D69E9">
              <w:rPr>
                <w:color w:val="000000"/>
              </w:rPr>
              <w:t>2,363,190</w:t>
            </w:r>
          </w:p>
        </w:tc>
        <w:tc>
          <w:tcPr>
            <w:tcW w:w="1620" w:type="dxa"/>
            <w:noWrap/>
            <w:hideMark/>
          </w:tcPr>
          <w:p w:rsidR="00F71FCA" w:rsidRDefault="00F71FCA" w:rsidP="001B591F">
            <w:pPr>
              <w:jc w:val="right"/>
              <w:rPr>
                <w:color w:val="000000"/>
              </w:rPr>
            </w:pPr>
          </w:p>
          <w:p w:rsidR="00F71FCA" w:rsidRPr="008D69E9" w:rsidRDefault="00F71FCA" w:rsidP="001B591F">
            <w:pPr>
              <w:jc w:val="right"/>
              <w:rPr>
                <w:color w:val="000000"/>
              </w:rPr>
            </w:pPr>
            <w:r w:rsidRPr="008D69E9">
              <w:rPr>
                <w:color w:val="000000"/>
              </w:rPr>
              <w:t>2,363,190</w:t>
            </w:r>
          </w:p>
        </w:tc>
        <w:tc>
          <w:tcPr>
            <w:tcW w:w="1813" w:type="dxa"/>
            <w:noWrap/>
            <w:hideMark/>
          </w:tcPr>
          <w:p w:rsidR="00F71FCA" w:rsidRDefault="00F71FCA" w:rsidP="001B591F">
            <w:pPr>
              <w:jc w:val="right"/>
              <w:rPr>
                <w:color w:val="000000"/>
              </w:rPr>
            </w:pPr>
          </w:p>
          <w:p w:rsidR="001E71C9" w:rsidRPr="008D69E9" w:rsidRDefault="00C36637" w:rsidP="001B591F">
            <w:pPr>
              <w:jc w:val="right"/>
              <w:rPr>
                <w:color w:val="000000"/>
              </w:rPr>
            </w:pPr>
            <w:r>
              <w:rPr>
                <w:color w:val="000000"/>
              </w:rPr>
              <w:t>2,036,610</w:t>
            </w:r>
          </w:p>
        </w:tc>
        <w:tc>
          <w:tcPr>
            <w:tcW w:w="1517" w:type="dxa"/>
            <w:noWrap/>
            <w:hideMark/>
          </w:tcPr>
          <w:p w:rsidR="00F71FCA" w:rsidRPr="000306B1" w:rsidRDefault="00F71FCA" w:rsidP="001B591F">
            <w:pPr>
              <w:jc w:val="right"/>
              <w:rPr>
                <w:b/>
                <w:color w:val="000000"/>
              </w:rPr>
            </w:pPr>
          </w:p>
          <w:p w:rsidR="001E71C9" w:rsidRPr="000306B1" w:rsidRDefault="00C36637" w:rsidP="001B591F">
            <w:pPr>
              <w:jc w:val="right"/>
              <w:rPr>
                <w:b/>
                <w:color w:val="000000"/>
              </w:rPr>
            </w:pPr>
            <w:r w:rsidRPr="000306B1">
              <w:rPr>
                <w:b/>
                <w:color w:val="000000"/>
              </w:rPr>
              <w:t>-326,580</w:t>
            </w:r>
          </w:p>
        </w:tc>
      </w:tr>
      <w:tr w:rsidR="00F71FCA" w:rsidRPr="00C37CBA" w:rsidTr="00AF04B0">
        <w:trPr>
          <w:trHeight w:val="539"/>
        </w:trPr>
        <w:tc>
          <w:tcPr>
            <w:tcW w:w="1784" w:type="dxa"/>
            <w:noWrap/>
            <w:hideMark/>
          </w:tcPr>
          <w:p w:rsidR="00F71FCA" w:rsidRPr="00C37CBA" w:rsidRDefault="00F71FCA" w:rsidP="001B591F">
            <w:pPr>
              <w:rPr>
                <w:bCs/>
              </w:rPr>
            </w:pPr>
            <w:r w:rsidRPr="00C37CBA">
              <w:rPr>
                <w:bCs/>
              </w:rPr>
              <w:t>Total Hours</w:t>
            </w:r>
            <w:r>
              <w:rPr>
                <w:bCs/>
              </w:rPr>
              <w:t xml:space="preserve"> and </w:t>
            </w:r>
            <w:r w:rsidRPr="00C37CBA">
              <w:rPr>
                <w:bCs/>
              </w:rPr>
              <w:t>Recordkeeping</w:t>
            </w:r>
          </w:p>
        </w:tc>
        <w:tc>
          <w:tcPr>
            <w:tcW w:w="1357" w:type="dxa"/>
            <w:noWrap/>
            <w:hideMark/>
          </w:tcPr>
          <w:p w:rsidR="00F71FCA" w:rsidRDefault="00F71FCA" w:rsidP="001B591F">
            <w:pPr>
              <w:jc w:val="right"/>
              <w:rPr>
                <w:color w:val="000000"/>
              </w:rPr>
            </w:pPr>
          </w:p>
          <w:p w:rsidR="00F71FCA" w:rsidRPr="008D69E9" w:rsidRDefault="00F71FCA" w:rsidP="001B591F">
            <w:pPr>
              <w:jc w:val="right"/>
              <w:rPr>
                <w:color w:val="000000"/>
              </w:rPr>
            </w:pPr>
            <w:r w:rsidRPr="008D69E9">
              <w:rPr>
                <w:color w:val="000000"/>
              </w:rPr>
              <w:t>0</w:t>
            </w:r>
          </w:p>
        </w:tc>
        <w:tc>
          <w:tcPr>
            <w:tcW w:w="1534" w:type="dxa"/>
            <w:noWrap/>
            <w:hideMark/>
          </w:tcPr>
          <w:p w:rsidR="00F71FCA" w:rsidRDefault="00F71FCA" w:rsidP="001B591F">
            <w:pPr>
              <w:jc w:val="right"/>
              <w:rPr>
                <w:color w:val="000000"/>
              </w:rPr>
            </w:pPr>
          </w:p>
          <w:p w:rsidR="00F71FCA" w:rsidRPr="008D69E9" w:rsidRDefault="00F71FCA" w:rsidP="001B591F">
            <w:pPr>
              <w:jc w:val="right"/>
              <w:rPr>
                <w:color w:val="000000"/>
              </w:rPr>
            </w:pPr>
            <w:r w:rsidRPr="008D69E9">
              <w:rPr>
                <w:color w:val="000000"/>
              </w:rPr>
              <w:t>2,407,050</w:t>
            </w:r>
          </w:p>
        </w:tc>
        <w:tc>
          <w:tcPr>
            <w:tcW w:w="1620" w:type="dxa"/>
            <w:noWrap/>
            <w:hideMark/>
          </w:tcPr>
          <w:p w:rsidR="00F71FCA" w:rsidRDefault="00F71FCA" w:rsidP="001B591F">
            <w:pPr>
              <w:jc w:val="right"/>
              <w:rPr>
                <w:color w:val="000000"/>
              </w:rPr>
            </w:pPr>
            <w:r w:rsidRPr="008D69E9">
              <w:rPr>
                <w:color w:val="000000"/>
              </w:rPr>
              <w:t xml:space="preserve">       </w:t>
            </w:r>
          </w:p>
          <w:p w:rsidR="00F71FCA" w:rsidRPr="008D69E9" w:rsidRDefault="001E71C9" w:rsidP="001B591F">
            <w:pPr>
              <w:jc w:val="right"/>
              <w:rPr>
                <w:color w:val="000000"/>
              </w:rPr>
            </w:pPr>
            <w:r>
              <w:rPr>
                <w:color w:val="000000"/>
              </w:rPr>
              <w:t xml:space="preserve"> </w:t>
            </w:r>
            <w:r w:rsidR="00F71FCA" w:rsidRPr="008D69E9">
              <w:rPr>
                <w:color w:val="000000"/>
              </w:rPr>
              <w:t xml:space="preserve">2,434,300 </w:t>
            </w:r>
          </w:p>
        </w:tc>
        <w:tc>
          <w:tcPr>
            <w:tcW w:w="1813" w:type="dxa"/>
            <w:noWrap/>
            <w:hideMark/>
          </w:tcPr>
          <w:p w:rsidR="00F71FCA" w:rsidRDefault="00F71FCA" w:rsidP="001B591F">
            <w:pPr>
              <w:jc w:val="right"/>
              <w:rPr>
                <w:color w:val="000000"/>
              </w:rPr>
            </w:pPr>
          </w:p>
          <w:p w:rsidR="001E71C9" w:rsidRPr="008D69E9" w:rsidRDefault="00C36637" w:rsidP="001B591F">
            <w:pPr>
              <w:jc w:val="right"/>
              <w:rPr>
                <w:color w:val="000000"/>
              </w:rPr>
            </w:pPr>
            <w:r>
              <w:rPr>
                <w:color w:val="000000"/>
              </w:rPr>
              <w:t>2,075,684</w:t>
            </w:r>
          </w:p>
        </w:tc>
        <w:tc>
          <w:tcPr>
            <w:tcW w:w="1517" w:type="dxa"/>
            <w:noWrap/>
            <w:hideMark/>
          </w:tcPr>
          <w:p w:rsidR="00F71FCA" w:rsidRPr="000306B1" w:rsidRDefault="00F71FCA" w:rsidP="001B591F">
            <w:pPr>
              <w:jc w:val="right"/>
              <w:rPr>
                <w:b/>
                <w:color w:val="000000"/>
              </w:rPr>
            </w:pPr>
          </w:p>
          <w:p w:rsidR="001E71C9" w:rsidRPr="000306B1" w:rsidRDefault="001E71C9" w:rsidP="001B591F">
            <w:pPr>
              <w:jc w:val="right"/>
              <w:rPr>
                <w:b/>
                <w:color w:val="000000"/>
              </w:rPr>
            </w:pPr>
            <w:r w:rsidRPr="000306B1">
              <w:rPr>
                <w:b/>
                <w:color w:val="000000"/>
              </w:rPr>
              <w:t>-</w:t>
            </w:r>
            <w:r w:rsidR="00C36637" w:rsidRPr="000306B1">
              <w:rPr>
                <w:b/>
                <w:color w:val="000000"/>
              </w:rPr>
              <w:t>358,616</w:t>
            </w:r>
          </w:p>
        </w:tc>
      </w:tr>
      <w:tr w:rsidR="00F71FCA" w:rsidRPr="00C37CBA" w:rsidTr="00AF04B0">
        <w:trPr>
          <w:trHeight w:val="260"/>
        </w:trPr>
        <w:tc>
          <w:tcPr>
            <w:tcW w:w="1784" w:type="dxa"/>
            <w:noWrap/>
            <w:hideMark/>
          </w:tcPr>
          <w:p w:rsidR="00F71FCA" w:rsidRPr="00C37CBA" w:rsidRDefault="00F71FCA" w:rsidP="001B591F">
            <w:pPr>
              <w:rPr>
                <w:bCs/>
              </w:rPr>
            </w:pPr>
            <w:r w:rsidRPr="00C37CBA">
              <w:rPr>
                <w:bCs/>
              </w:rPr>
              <w:t>Total Annual Cost to Public</w:t>
            </w:r>
          </w:p>
        </w:tc>
        <w:tc>
          <w:tcPr>
            <w:tcW w:w="1357" w:type="dxa"/>
            <w:noWrap/>
            <w:hideMark/>
          </w:tcPr>
          <w:p w:rsidR="00F71FCA" w:rsidRDefault="00F71FCA" w:rsidP="001B591F">
            <w:pPr>
              <w:jc w:val="right"/>
              <w:rPr>
                <w:color w:val="000000"/>
              </w:rPr>
            </w:pPr>
          </w:p>
          <w:p w:rsidR="00F71FCA" w:rsidRPr="008D69E9" w:rsidRDefault="00F71FCA" w:rsidP="001B591F">
            <w:pPr>
              <w:jc w:val="right"/>
              <w:rPr>
                <w:color w:val="000000"/>
              </w:rPr>
            </w:pPr>
            <w:r w:rsidRPr="008D69E9">
              <w:rPr>
                <w:color w:val="000000"/>
              </w:rPr>
              <w:t>$1,471,500</w:t>
            </w:r>
          </w:p>
        </w:tc>
        <w:tc>
          <w:tcPr>
            <w:tcW w:w="1534" w:type="dxa"/>
            <w:noWrap/>
            <w:hideMark/>
          </w:tcPr>
          <w:p w:rsidR="00F71FCA" w:rsidRDefault="00F71FCA" w:rsidP="001B591F">
            <w:pPr>
              <w:jc w:val="right"/>
              <w:rPr>
                <w:color w:val="000000"/>
              </w:rPr>
            </w:pPr>
          </w:p>
          <w:p w:rsidR="00F71FCA" w:rsidRPr="008D69E9" w:rsidRDefault="00F71FCA" w:rsidP="001B591F">
            <w:pPr>
              <w:jc w:val="right"/>
              <w:rPr>
                <w:color w:val="000000"/>
              </w:rPr>
            </w:pPr>
            <w:r w:rsidRPr="008D69E9">
              <w:rPr>
                <w:color w:val="000000"/>
              </w:rPr>
              <w:t xml:space="preserve">$77,639,640 </w:t>
            </w:r>
          </w:p>
        </w:tc>
        <w:tc>
          <w:tcPr>
            <w:tcW w:w="1620" w:type="dxa"/>
            <w:noWrap/>
            <w:hideMark/>
          </w:tcPr>
          <w:p w:rsidR="00F71FCA" w:rsidRDefault="00F71FCA" w:rsidP="001B591F">
            <w:pPr>
              <w:jc w:val="right"/>
              <w:rPr>
                <w:color w:val="000000"/>
              </w:rPr>
            </w:pPr>
          </w:p>
          <w:p w:rsidR="00F71FCA" w:rsidRPr="008D69E9" w:rsidRDefault="00F71FCA" w:rsidP="001B591F">
            <w:pPr>
              <w:jc w:val="right"/>
              <w:rPr>
                <w:color w:val="000000"/>
              </w:rPr>
            </w:pPr>
            <w:r w:rsidRPr="008D69E9">
              <w:rPr>
                <w:color w:val="000000"/>
              </w:rPr>
              <w:t xml:space="preserve">$91,277,970 </w:t>
            </w:r>
          </w:p>
        </w:tc>
        <w:tc>
          <w:tcPr>
            <w:tcW w:w="1813" w:type="dxa"/>
            <w:noWrap/>
            <w:hideMark/>
          </w:tcPr>
          <w:p w:rsidR="001E71C9" w:rsidRDefault="001E71C9" w:rsidP="001B591F">
            <w:pPr>
              <w:jc w:val="right"/>
              <w:rPr>
                <w:color w:val="000000"/>
              </w:rPr>
            </w:pPr>
          </w:p>
          <w:p w:rsidR="00F71FCA" w:rsidRPr="008D69E9" w:rsidRDefault="002A0CA9" w:rsidP="001B591F">
            <w:pPr>
              <w:jc w:val="right"/>
              <w:rPr>
                <w:color w:val="000000"/>
              </w:rPr>
            </w:pPr>
            <w:r>
              <w:rPr>
                <w:color w:val="000000"/>
              </w:rPr>
              <w:t>$79,649,560</w:t>
            </w:r>
          </w:p>
        </w:tc>
        <w:tc>
          <w:tcPr>
            <w:tcW w:w="1517" w:type="dxa"/>
            <w:noWrap/>
            <w:hideMark/>
          </w:tcPr>
          <w:p w:rsidR="00F71FCA" w:rsidRPr="000306B1" w:rsidRDefault="00F71FCA" w:rsidP="001B591F">
            <w:pPr>
              <w:jc w:val="right"/>
              <w:rPr>
                <w:b/>
                <w:color w:val="000000"/>
              </w:rPr>
            </w:pPr>
          </w:p>
          <w:p w:rsidR="001E71C9" w:rsidRPr="000306B1" w:rsidRDefault="001E71C9" w:rsidP="001B591F">
            <w:pPr>
              <w:jc w:val="right"/>
              <w:rPr>
                <w:b/>
                <w:color w:val="000000"/>
              </w:rPr>
            </w:pPr>
            <w:r w:rsidRPr="000306B1">
              <w:rPr>
                <w:b/>
                <w:color w:val="000000"/>
              </w:rPr>
              <w:t>-$</w:t>
            </w:r>
            <w:r w:rsidR="002A0CA9" w:rsidRPr="000306B1">
              <w:rPr>
                <w:b/>
                <w:color w:val="000000"/>
              </w:rPr>
              <w:t>11,628,410</w:t>
            </w:r>
          </w:p>
          <w:p w:rsidR="00F45DD7" w:rsidRPr="000306B1" w:rsidRDefault="00F45DD7" w:rsidP="001B591F">
            <w:pPr>
              <w:jc w:val="right"/>
              <w:rPr>
                <w:b/>
                <w:color w:val="000000"/>
              </w:rPr>
            </w:pPr>
          </w:p>
        </w:tc>
      </w:tr>
    </w:tbl>
    <w:p w:rsidR="005E0A0F" w:rsidRPr="00D141EB" w:rsidRDefault="00F71FCA" w:rsidP="00AC5BD4">
      <w:pPr>
        <w:pStyle w:val="NormalWeb"/>
        <w:tabs>
          <w:tab w:val="left" w:pos="360"/>
          <w:tab w:val="left" w:pos="720"/>
          <w:tab w:val="left" w:pos="1080"/>
          <w:tab w:val="left" w:pos="1440"/>
        </w:tabs>
        <w:spacing w:line="288" w:lineRule="atLeast"/>
        <w:rPr>
          <w:u w:val="single"/>
        </w:rPr>
      </w:pPr>
      <w:r>
        <w:tab/>
      </w:r>
      <w:r w:rsidR="009F484F">
        <w:t xml:space="preserve">16. </w:t>
      </w:r>
      <w:r w:rsidR="005E0A0F">
        <w:t xml:space="preserve"> </w:t>
      </w:r>
      <w:r w:rsidR="005E0A0F">
        <w:rPr>
          <w:u w:val="single"/>
        </w:rPr>
        <w:t>Publication of Results</w:t>
      </w:r>
    </w:p>
    <w:p w:rsidR="00936232" w:rsidRPr="00936232" w:rsidRDefault="00D141EB" w:rsidP="00936232">
      <w:pPr>
        <w:pStyle w:val="NormalWeb"/>
        <w:tabs>
          <w:tab w:val="left" w:pos="360"/>
          <w:tab w:val="left" w:pos="720"/>
          <w:tab w:val="left" w:pos="1080"/>
          <w:tab w:val="left" w:pos="1440"/>
        </w:tabs>
        <w:spacing w:line="288" w:lineRule="atLeast"/>
      </w:pPr>
      <w:bookmarkStart w:id="18" w:name="cp471"/>
      <w:r>
        <w:tab/>
      </w:r>
      <w:r>
        <w:tab/>
      </w:r>
      <w:r w:rsidR="00936232" w:rsidRPr="00936232">
        <w:t>Results of this collection will not be published.</w:t>
      </w:r>
    </w:p>
    <w:p w:rsidR="005E0A0F" w:rsidRDefault="00D141EB" w:rsidP="00AC5BD4">
      <w:pPr>
        <w:pStyle w:val="NormalWeb"/>
        <w:tabs>
          <w:tab w:val="left" w:pos="360"/>
          <w:tab w:val="left" w:pos="720"/>
          <w:tab w:val="left" w:pos="1080"/>
          <w:tab w:val="left" w:pos="1440"/>
        </w:tabs>
        <w:spacing w:line="288" w:lineRule="atLeast"/>
      </w:pPr>
      <w:r>
        <w:tab/>
      </w:r>
      <w:r w:rsidR="009F484F">
        <w:t xml:space="preserve">17. </w:t>
      </w:r>
      <w:r w:rsidR="005E0A0F">
        <w:t xml:space="preserve"> </w:t>
      </w:r>
      <w:r w:rsidR="005E0A0F">
        <w:rPr>
          <w:u w:val="single"/>
        </w:rPr>
        <w:t>Non-Display of OMB Expiration Date</w:t>
      </w:r>
    </w:p>
    <w:p w:rsidR="00936232" w:rsidRPr="00936232" w:rsidRDefault="00D141EB" w:rsidP="00936232">
      <w:pPr>
        <w:pStyle w:val="NormalWeb"/>
        <w:tabs>
          <w:tab w:val="left" w:pos="360"/>
          <w:tab w:val="left" w:pos="720"/>
          <w:tab w:val="left" w:pos="1080"/>
          <w:tab w:val="left" w:pos="1440"/>
        </w:tabs>
        <w:spacing w:line="288" w:lineRule="atLeast"/>
      </w:pPr>
      <w:bookmarkStart w:id="19" w:name="cp473"/>
      <w:bookmarkEnd w:id="18"/>
      <w:r>
        <w:tab/>
      </w:r>
      <w:r>
        <w:tab/>
      </w:r>
      <w:r w:rsidR="00936232">
        <w:t>DoD does not</w:t>
      </w:r>
      <w:r w:rsidR="00936232" w:rsidRPr="00936232">
        <w:t xml:space="preserve"> seek approval to not display the expiration dates for OMB approval of the information collection.</w:t>
      </w:r>
    </w:p>
    <w:p w:rsidR="005E0A0F" w:rsidRDefault="00D141EB" w:rsidP="00AC5BD4">
      <w:pPr>
        <w:pStyle w:val="NormalWeb"/>
        <w:tabs>
          <w:tab w:val="left" w:pos="360"/>
          <w:tab w:val="left" w:pos="720"/>
          <w:tab w:val="left" w:pos="1080"/>
          <w:tab w:val="left" w:pos="1440"/>
        </w:tabs>
        <w:spacing w:line="288" w:lineRule="atLeast"/>
      </w:pPr>
      <w:r>
        <w:tab/>
      </w:r>
      <w:r w:rsidR="009F484F">
        <w:t xml:space="preserve">18. </w:t>
      </w:r>
      <w:r w:rsidR="005E0A0F">
        <w:t xml:space="preserve"> </w:t>
      </w:r>
      <w:r w:rsidR="005E0A0F">
        <w:rPr>
          <w:u w:val="single"/>
        </w:rPr>
        <w:t>Exceptions to "Certification for Paperwork Reduction Submissions"</w:t>
      </w:r>
    </w:p>
    <w:p w:rsidR="00936232" w:rsidRPr="00936232" w:rsidRDefault="00D141EB" w:rsidP="00936232">
      <w:pPr>
        <w:pStyle w:val="NormalWeb"/>
        <w:tabs>
          <w:tab w:val="left" w:pos="360"/>
          <w:tab w:val="left" w:pos="720"/>
          <w:tab w:val="left" w:pos="1080"/>
          <w:tab w:val="left" w:pos="1440"/>
        </w:tabs>
        <w:spacing w:line="288" w:lineRule="atLeast"/>
      </w:pPr>
      <w:bookmarkStart w:id="20" w:name="cp474"/>
      <w:bookmarkEnd w:id="19"/>
      <w:r>
        <w:tab/>
      </w:r>
      <w:r>
        <w:tab/>
      </w:r>
      <w:bookmarkEnd w:id="20"/>
      <w:r w:rsidR="00936232" w:rsidRPr="00936232">
        <w:t>There are no exceptions to the certification accompanying this Paperwork Reduction Act submission.</w:t>
      </w:r>
    </w:p>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A7063B">
      <w:footerReference w:type="default" r:id="rId11"/>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41" w:rsidRDefault="00C46F41" w:rsidP="00D74D55">
      <w:r>
        <w:separator/>
      </w:r>
    </w:p>
  </w:endnote>
  <w:endnote w:type="continuationSeparator" w:id="0">
    <w:p w:rsidR="00C46F41" w:rsidRDefault="00C46F41"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2B7D33">
      <w:rPr>
        <w:noProof/>
      </w:rPr>
      <w:t>1</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41" w:rsidRDefault="00C46F41" w:rsidP="00D74D55">
      <w:r>
        <w:separator/>
      </w:r>
    </w:p>
  </w:footnote>
  <w:footnote w:type="continuationSeparator" w:id="0">
    <w:p w:rsidR="00C46F41" w:rsidRDefault="00C46F41"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563A9"/>
    <w:multiLevelType w:val="hybridMultilevel"/>
    <w:tmpl w:val="7B8E8BC6"/>
    <w:lvl w:ilvl="0" w:tplc="C5D05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054EE6"/>
    <w:multiLevelType w:val="hybridMultilevel"/>
    <w:tmpl w:val="89C4A890"/>
    <w:lvl w:ilvl="0" w:tplc="F8906D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5536FD3"/>
    <w:multiLevelType w:val="hybridMultilevel"/>
    <w:tmpl w:val="2E446A60"/>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9ED7DBB"/>
    <w:multiLevelType w:val="hybridMultilevel"/>
    <w:tmpl w:val="55669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4BE619F"/>
    <w:multiLevelType w:val="hybridMultilevel"/>
    <w:tmpl w:val="60480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A40BE0"/>
    <w:multiLevelType w:val="hybridMultilevel"/>
    <w:tmpl w:val="FE6284E2"/>
    <w:lvl w:ilvl="0" w:tplc="424CB0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133D0"/>
    <w:rsid w:val="000306B1"/>
    <w:rsid w:val="00034F54"/>
    <w:rsid w:val="00045364"/>
    <w:rsid w:val="0005162C"/>
    <w:rsid w:val="0005249A"/>
    <w:rsid w:val="000611B8"/>
    <w:rsid w:val="000759FE"/>
    <w:rsid w:val="00095773"/>
    <w:rsid w:val="000A2459"/>
    <w:rsid w:val="000A2A03"/>
    <w:rsid w:val="000B110E"/>
    <w:rsid w:val="000D1E06"/>
    <w:rsid w:val="0010427F"/>
    <w:rsid w:val="00122AD0"/>
    <w:rsid w:val="00124DB2"/>
    <w:rsid w:val="00127C69"/>
    <w:rsid w:val="00161E28"/>
    <w:rsid w:val="00163725"/>
    <w:rsid w:val="00191C5D"/>
    <w:rsid w:val="001E71C9"/>
    <w:rsid w:val="001F0C62"/>
    <w:rsid w:val="00211B34"/>
    <w:rsid w:val="002230B5"/>
    <w:rsid w:val="00231567"/>
    <w:rsid w:val="0023430F"/>
    <w:rsid w:val="00241DFF"/>
    <w:rsid w:val="002429FD"/>
    <w:rsid w:val="0028127F"/>
    <w:rsid w:val="002A0CA9"/>
    <w:rsid w:val="002A37E7"/>
    <w:rsid w:val="002A3929"/>
    <w:rsid w:val="002B7D33"/>
    <w:rsid w:val="002D5386"/>
    <w:rsid w:val="002F75D0"/>
    <w:rsid w:val="0030008B"/>
    <w:rsid w:val="003002A0"/>
    <w:rsid w:val="00305997"/>
    <w:rsid w:val="00307B14"/>
    <w:rsid w:val="0032295F"/>
    <w:rsid w:val="0033479A"/>
    <w:rsid w:val="00355395"/>
    <w:rsid w:val="00385575"/>
    <w:rsid w:val="003C06D7"/>
    <w:rsid w:val="003C26F7"/>
    <w:rsid w:val="003E6C6D"/>
    <w:rsid w:val="0040365A"/>
    <w:rsid w:val="00403AC9"/>
    <w:rsid w:val="00410FE8"/>
    <w:rsid w:val="004230D6"/>
    <w:rsid w:val="004461BE"/>
    <w:rsid w:val="00456396"/>
    <w:rsid w:val="004710AD"/>
    <w:rsid w:val="004720BE"/>
    <w:rsid w:val="004818C0"/>
    <w:rsid w:val="004B27AF"/>
    <w:rsid w:val="004B6441"/>
    <w:rsid w:val="004C11A4"/>
    <w:rsid w:val="004C7516"/>
    <w:rsid w:val="0050404A"/>
    <w:rsid w:val="00531ACF"/>
    <w:rsid w:val="00533827"/>
    <w:rsid w:val="005A7A15"/>
    <w:rsid w:val="005B1D0C"/>
    <w:rsid w:val="005C4463"/>
    <w:rsid w:val="005D222D"/>
    <w:rsid w:val="005E0A0F"/>
    <w:rsid w:val="005F30D4"/>
    <w:rsid w:val="00603335"/>
    <w:rsid w:val="0060388A"/>
    <w:rsid w:val="00607475"/>
    <w:rsid w:val="00614A91"/>
    <w:rsid w:val="00620253"/>
    <w:rsid w:val="00633FEE"/>
    <w:rsid w:val="00635430"/>
    <w:rsid w:val="006404BD"/>
    <w:rsid w:val="0064221B"/>
    <w:rsid w:val="00664740"/>
    <w:rsid w:val="00666AFE"/>
    <w:rsid w:val="006729E7"/>
    <w:rsid w:val="00687B44"/>
    <w:rsid w:val="00695FE8"/>
    <w:rsid w:val="006B2B17"/>
    <w:rsid w:val="006D6031"/>
    <w:rsid w:val="006E3E8A"/>
    <w:rsid w:val="006E7819"/>
    <w:rsid w:val="00720074"/>
    <w:rsid w:val="00726891"/>
    <w:rsid w:val="007425C7"/>
    <w:rsid w:val="00746F33"/>
    <w:rsid w:val="007713D8"/>
    <w:rsid w:val="00792345"/>
    <w:rsid w:val="007E450E"/>
    <w:rsid w:val="00801B74"/>
    <w:rsid w:val="008105F7"/>
    <w:rsid w:val="00841BA6"/>
    <w:rsid w:val="00887560"/>
    <w:rsid w:val="008972BD"/>
    <w:rsid w:val="008A30CE"/>
    <w:rsid w:val="008B396B"/>
    <w:rsid w:val="008B40A0"/>
    <w:rsid w:val="008E19D3"/>
    <w:rsid w:val="008F6DB7"/>
    <w:rsid w:val="00917D8E"/>
    <w:rsid w:val="00935E10"/>
    <w:rsid w:val="00936232"/>
    <w:rsid w:val="00963313"/>
    <w:rsid w:val="0097366B"/>
    <w:rsid w:val="0098247C"/>
    <w:rsid w:val="009B0AE0"/>
    <w:rsid w:val="009B3224"/>
    <w:rsid w:val="009B3436"/>
    <w:rsid w:val="009B6F1D"/>
    <w:rsid w:val="009F484F"/>
    <w:rsid w:val="00A2063B"/>
    <w:rsid w:val="00A34217"/>
    <w:rsid w:val="00A45D59"/>
    <w:rsid w:val="00A5318F"/>
    <w:rsid w:val="00A6761C"/>
    <w:rsid w:val="00A7063B"/>
    <w:rsid w:val="00A80C82"/>
    <w:rsid w:val="00A93CBF"/>
    <w:rsid w:val="00AA45B4"/>
    <w:rsid w:val="00AB53AE"/>
    <w:rsid w:val="00AC3144"/>
    <w:rsid w:val="00AC4386"/>
    <w:rsid w:val="00AC5BD4"/>
    <w:rsid w:val="00AE01A6"/>
    <w:rsid w:val="00AE0DF2"/>
    <w:rsid w:val="00AE6FF8"/>
    <w:rsid w:val="00AF04B0"/>
    <w:rsid w:val="00AF5061"/>
    <w:rsid w:val="00AF66E0"/>
    <w:rsid w:val="00B04066"/>
    <w:rsid w:val="00B37DA8"/>
    <w:rsid w:val="00B5481B"/>
    <w:rsid w:val="00B75E8A"/>
    <w:rsid w:val="00B83E95"/>
    <w:rsid w:val="00B96890"/>
    <w:rsid w:val="00B96A61"/>
    <w:rsid w:val="00BC6F20"/>
    <w:rsid w:val="00BF59C4"/>
    <w:rsid w:val="00BF5E1B"/>
    <w:rsid w:val="00BF6680"/>
    <w:rsid w:val="00C00C1A"/>
    <w:rsid w:val="00C34D08"/>
    <w:rsid w:val="00C36637"/>
    <w:rsid w:val="00C43271"/>
    <w:rsid w:val="00C46F41"/>
    <w:rsid w:val="00C66D8C"/>
    <w:rsid w:val="00C716DB"/>
    <w:rsid w:val="00C735EB"/>
    <w:rsid w:val="00CB5C8D"/>
    <w:rsid w:val="00CD69C3"/>
    <w:rsid w:val="00CE42D2"/>
    <w:rsid w:val="00CF35C0"/>
    <w:rsid w:val="00D141EB"/>
    <w:rsid w:val="00D23A4D"/>
    <w:rsid w:val="00D32A06"/>
    <w:rsid w:val="00D37A50"/>
    <w:rsid w:val="00D43883"/>
    <w:rsid w:val="00D46148"/>
    <w:rsid w:val="00D74D55"/>
    <w:rsid w:val="00DA7EE4"/>
    <w:rsid w:val="00DD6DF7"/>
    <w:rsid w:val="00DE1F6F"/>
    <w:rsid w:val="00DF78EC"/>
    <w:rsid w:val="00E53C2C"/>
    <w:rsid w:val="00E90B41"/>
    <w:rsid w:val="00E93074"/>
    <w:rsid w:val="00E97D50"/>
    <w:rsid w:val="00EB07CF"/>
    <w:rsid w:val="00EB0C6C"/>
    <w:rsid w:val="00EB7D77"/>
    <w:rsid w:val="00EC2953"/>
    <w:rsid w:val="00EF0922"/>
    <w:rsid w:val="00EF0CA3"/>
    <w:rsid w:val="00EF429A"/>
    <w:rsid w:val="00EF60B5"/>
    <w:rsid w:val="00F11ABC"/>
    <w:rsid w:val="00F1447C"/>
    <w:rsid w:val="00F30F68"/>
    <w:rsid w:val="00F32885"/>
    <w:rsid w:val="00F357EB"/>
    <w:rsid w:val="00F363AA"/>
    <w:rsid w:val="00F37792"/>
    <w:rsid w:val="00F45DD7"/>
    <w:rsid w:val="00F508E6"/>
    <w:rsid w:val="00F71FCA"/>
    <w:rsid w:val="00F92085"/>
    <w:rsid w:val="00F92ACC"/>
    <w:rsid w:val="00FA1773"/>
    <w:rsid w:val="00FB3212"/>
    <w:rsid w:val="00FB7651"/>
    <w:rsid w:val="00FC322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3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styleId="ListParagraph">
    <w:name w:val="List Paragraph"/>
    <w:basedOn w:val="Normal"/>
    <w:uiPriority w:val="34"/>
    <w:qFormat/>
    <w:rsid w:val="00A45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table" w:styleId="TableGrid">
    <w:name w:val="Table Grid"/>
    <w:basedOn w:val="TableNormal"/>
    <w:uiPriority w:val="39"/>
    <w:rsid w:val="008E1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A4D"/>
    <w:rPr>
      <w:color w:val="0000FF" w:themeColor="hyperlink"/>
      <w:u w:val="single"/>
    </w:rPr>
  </w:style>
  <w:style w:type="paragraph" w:styleId="ListParagraph">
    <w:name w:val="List Paragraph"/>
    <w:basedOn w:val="Normal"/>
    <w:uiPriority w:val="34"/>
    <w:qFormat/>
    <w:rsid w:val="00A45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283">
      <w:bodyDiv w:val="1"/>
      <w:marLeft w:val="0"/>
      <w:marRight w:val="0"/>
      <w:marTop w:val="0"/>
      <w:marBottom w:val="0"/>
      <w:divBdr>
        <w:top w:val="none" w:sz="0" w:space="0" w:color="auto"/>
        <w:left w:val="none" w:sz="0" w:space="0" w:color="auto"/>
        <w:bottom w:val="none" w:sz="0" w:space="0" w:color="auto"/>
        <w:right w:val="none" w:sz="0" w:space="0" w:color="auto"/>
      </w:divBdr>
    </w:div>
    <w:div w:id="109325857">
      <w:bodyDiv w:val="1"/>
      <w:marLeft w:val="0"/>
      <w:marRight w:val="0"/>
      <w:marTop w:val="0"/>
      <w:marBottom w:val="0"/>
      <w:divBdr>
        <w:top w:val="none" w:sz="0" w:space="0" w:color="auto"/>
        <w:left w:val="none" w:sz="0" w:space="0" w:color="auto"/>
        <w:bottom w:val="none" w:sz="0" w:space="0" w:color="auto"/>
        <w:right w:val="none" w:sz="0" w:space="0" w:color="auto"/>
      </w:divBdr>
    </w:div>
    <w:div w:id="149299361">
      <w:bodyDiv w:val="1"/>
      <w:marLeft w:val="0"/>
      <w:marRight w:val="0"/>
      <w:marTop w:val="0"/>
      <w:marBottom w:val="0"/>
      <w:divBdr>
        <w:top w:val="none" w:sz="0" w:space="0" w:color="auto"/>
        <w:left w:val="none" w:sz="0" w:space="0" w:color="auto"/>
        <w:bottom w:val="none" w:sz="0" w:space="0" w:color="auto"/>
        <w:right w:val="none" w:sz="0" w:space="0" w:color="auto"/>
      </w:divBdr>
    </w:div>
    <w:div w:id="675301325">
      <w:bodyDiv w:val="1"/>
      <w:marLeft w:val="0"/>
      <w:marRight w:val="0"/>
      <w:marTop w:val="0"/>
      <w:marBottom w:val="0"/>
      <w:divBdr>
        <w:top w:val="none" w:sz="0" w:space="0" w:color="auto"/>
        <w:left w:val="none" w:sz="0" w:space="0" w:color="auto"/>
        <w:bottom w:val="none" w:sz="0" w:space="0" w:color="auto"/>
        <w:right w:val="none" w:sz="0" w:space="0" w:color="auto"/>
      </w:divBdr>
    </w:div>
    <w:div w:id="1016612830">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ederalregister.gov/documents/2019/09/25/2019-20845/information-collection-requirement-defense-federal-acquisition-regulation-supplement-dfars-quality" TargetMode="External"/><Relationship Id="rId4" Type="http://schemas.microsoft.com/office/2007/relationships/stylesWithEffects" Target="stylesWithEffects.xml"/><Relationship Id="rId9" Type="http://schemas.openxmlformats.org/officeDocument/2006/relationships/hyperlink" Target="https://www.federalregister.gov/documents/2019/07/15/2019-14942/information-collection-requirement-defense-federal-acquisition-regulation-supplement-dfars-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D7CE7-A91E-40FA-8D94-3673A13E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2019-09-20T13:23:00Z</cp:lastPrinted>
  <dcterms:created xsi:type="dcterms:W3CDTF">2019-09-25T14:49:00Z</dcterms:created>
  <dcterms:modified xsi:type="dcterms:W3CDTF">2019-09-25T14:49:00Z</dcterms:modified>
</cp:coreProperties>
</file>