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200EC8">
        <w:rPr>
          <w:sz w:val="28"/>
        </w:rPr>
        <w:t>0704-0553)</w:t>
      </w:r>
    </w:p>
    <w:p w:rsidRPr="009239AA" w:rsidR="00E50293" w:rsidP="00434E33" w:rsidRDefault="00610F21">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729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200EC8">
        <w:t>MEPS Customer Satisfaction Survey</w:t>
      </w:r>
    </w:p>
    <w:p w:rsidR="005E714A" w:rsidRDefault="005E714A"/>
    <w:p w:rsidR="00200EC8" w:rsidRDefault="00200EC8"/>
    <w:p w:rsidR="001B0AAA" w:rsidRDefault="00F15956">
      <w:r>
        <w:rPr>
          <w:b/>
        </w:rPr>
        <w:t>PURPOSE</w:t>
      </w:r>
      <w:r w:rsidRPr="009239AA">
        <w:rPr>
          <w:b/>
        </w:rPr>
        <w:t>:</w:t>
      </w:r>
      <w:r w:rsidRPr="009239AA" w:rsidR="00C14CC4">
        <w:rPr>
          <w:b/>
        </w:rPr>
        <w:t xml:space="preserve">  </w:t>
      </w:r>
    </w:p>
    <w:p w:rsidRPr="00200EC8" w:rsidR="00200EC8" w:rsidP="00200EC8" w:rsidRDefault="00200EC8">
      <w:pPr>
        <w:autoSpaceDE w:val="0"/>
        <w:autoSpaceDN w:val="0"/>
        <w:adjustRightInd w:val="0"/>
      </w:pPr>
      <w:r w:rsidRPr="00200EC8">
        <w:t>USMEPCOM, with headquarters in North Chicago, IL, is a jointly staffed command with Department of the Army civilians and military from all five branches of service. The Command, through its network of 65 Military Entrance Processing Stations (MEPS), determines whether applicants for military service are qualified for enlistment based on standards set by each of the Services. The MEPS are in the service business and applicants are USMEP</w:t>
      </w:r>
      <w:r>
        <w:t xml:space="preserve">COM’s most important customers. </w:t>
      </w:r>
      <w:r w:rsidRPr="00200EC8">
        <w:t>This information collection requirement for MEPS CSS is necessary to aid the MEPS and USMEPCOM in evaluating the effectiveness of current policies and core processes, identifying unmet customer needs, and allocating resources more efficiently.  It also provides the applicant with immediate feedback, if desired.  USMEPCOM as a joint DoD component providing red carpet service (including this survey) in support of advertising and marketing the enlistment process to applicants of the Armed Forces.</w:t>
      </w:r>
    </w:p>
    <w:p w:rsidR="00200EC8" w:rsidP="00434E33" w:rsidRDefault="00200EC8">
      <w:pPr>
        <w:pStyle w:val="Header"/>
        <w:tabs>
          <w:tab w:val="clear" w:pos="4320"/>
          <w:tab w:val="clear" w:pos="8640"/>
        </w:tabs>
        <w:rPr>
          <w:b/>
        </w:rPr>
      </w:pPr>
    </w:p>
    <w:p w:rsidR="00C8488C" w:rsidP="00434E33" w:rsidRDefault="00C8488C">
      <w:pPr>
        <w:pStyle w:val="Header"/>
        <w:tabs>
          <w:tab w:val="clear" w:pos="4320"/>
          <w:tab w:val="clear" w:pos="8640"/>
        </w:tabs>
        <w:rPr>
          <w:b/>
        </w:rPr>
      </w:pPr>
    </w:p>
    <w:p w:rsidRPr="00CE66ED" w:rsidR="00F15956" w:rsidP="00CE66ED" w:rsidRDefault="00434E33">
      <w:pPr>
        <w:pStyle w:val="Header"/>
        <w:tabs>
          <w:tab w:val="clear" w:pos="4320"/>
          <w:tab w:val="clear" w:pos="8640"/>
        </w:tabs>
        <w:rPr>
          <w:i/>
          <w:snapToGrid/>
        </w:rPr>
      </w:pPr>
      <w:r w:rsidRPr="00434E33">
        <w:rPr>
          <w:b/>
        </w:rPr>
        <w:t>DESCRIPTION OF RESPONDENTS</w:t>
      </w:r>
      <w:r>
        <w:t xml:space="preserve">: </w:t>
      </w:r>
    </w:p>
    <w:p w:rsidRPr="00CE66ED" w:rsidR="00CE66ED" w:rsidP="00CE66ED" w:rsidRDefault="00CE66ED">
      <w:pPr>
        <w:autoSpaceDE w:val="0"/>
        <w:autoSpaceDN w:val="0"/>
        <w:adjustRightInd w:val="0"/>
      </w:pPr>
      <w:r w:rsidRPr="00CE66ED">
        <w:t>USMEPCOM Regulation 601-23, Enlistment Processing, directs the information collection requirement for all 65 Military Entrance Processing Stations to obtain timely feedback from military applicants on MEPS core processes.</w:t>
      </w:r>
    </w:p>
    <w:p w:rsidR="00C8488C" w:rsidRDefault="00C8488C"/>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200EC8">
        <w:rPr>
          <w:bCs/>
          <w:sz w:val="24"/>
        </w:rPr>
        <w:t xml:space="preserve">x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200EC8">
      <w:r>
        <w:t>Name: Brandon Kim</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lastRenderedPageBreak/>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200EC8">
        <w:t xml:space="preserve">[ </w:t>
      </w:r>
      <w:r w:rsidR="009239AA">
        <w:t xml:space="preserve"> ] Yes  [ </w:t>
      </w:r>
      <w:r w:rsidR="00200EC8">
        <w:t xml:space="preserve">x </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3B51B8">
        <w:t xml:space="preserve"> x</w:t>
      </w:r>
      <w:r w:rsidR="009239AA">
        <w:t xml:space="preserve">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3B51B8">
        <w:t>x</w:t>
      </w:r>
      <w:r>
        <w:t xml:space="preserve">  ] No</w:t>
      </w:r>
    </w:p>
    <w:p w:rsidR="00CF6542" w:rsidP="00C86E91" w:rsidRDefault="00CF6542">
      <w:pPr>
        <w:pStyle w:val="ListParagraph"/>
        <w:ind w:left="0"/>
        <w:rPr>
          <w:b/>
        </w:rPr>
      </w:pPr>
    </w:p>
    <w:p w:rsidR="0029523F" w:rsidP="00C86E91" w:rsidRDefault="0029523F">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CE66ED">
        <w:t>x</w:t>
      </w:r>
      <w:r>
        <w:t xml:space="preserve"> ] No  </w:t>
      </w:r>
    </w:p>
    <w:p w:rsidR="004D6E14" w:rsidRDefault="004D6E14">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3B51B8">
            <w:r>
              <w:t>Individuals/Households</w:t>
            </w:r>
          </w:p>
        </w:tc>
        <w:tc>
          <w:tcPr>
            <w:tcW w:w="1530" w:type="dxa"/>
          </w:tcPr>
          <w:p w:rsidR="006832D9" w:rsidP="00843796" w:rsidRDefault="0029523F">
            <w:r>
              <w:t>75,000</w:t>
            </w:r>
          </w:p>
        </w:tc>
        <w:tc>
          <w:tcPr>
            <w:tcW w:w="1710" w:type="dxa"/>
          </w:tcPr>
          <w:p w:rsidR="006832D9" w:rsidP="00843796" w:rsidRDefault="0029523F">
            <w:r>
              <w:t>10 min</w:t>
            </w:r>
          </w:p>
        </w:tc>
        <w:tc>
          <w:tcPr>
            <w:tcW w:w="1003" w:type="dxa"/>
          </w:tcPr>
          <w:p w:rsidR="006832D9" w:rsidP="00843796" w:rsidRDefault="0029523F">
            <w:r>
              <w:t>12,500 hours</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29523F">
            <w:pPr>
              <w:rPr>
                <w:b/>
              </w:rPr>
            </w:pPr>
            <w:r>
              <w:rPr>
                <w:b/>
              </w:rPr>
              <w:t>75,000</w:t>
            </w:r>
          </w:p>
        </w:tc>
        <w:tc>
          <w:tcPr>
            <w:tcW w:w="1710" w:type="dxa"/>
          </w:tcPr>
          <w:p w:rsidR="006832D9" w:rsidP="00843796" w:rsidRDefault="0029523F">
            <w:r>
              <w:t>10 min</w:t>
            </w:r>
          </w:p>
        </w:tc>
        <w:tc>
          <w:tcPr>
            <w:tcW w:w="1003" w:type="dxa"/>
          </w:tcPr>
          <w:p w:rsidRPr="0001027E" w:rsidR="006832D9" w:rsidP="00843796" w:rsidRDefault="0029523F">
            <w:pPr>
              <w:rPr>
                <w:b/>
              </w:rPr>
            </w:pPr>
            <w:r>
              <w:rPr>
                <w:b/>
              </w:rPr>
              <w:t>12,500 hours</w:t>
            </w:r>
          </w:p>
        </w:tc>
      </w:tr>
    </w:tbl>
    <w:p w:rsidR="00F3170F" w:rsidP="00F3170F" w:rsidRDefault="00F3170F"/>
    <w:p w:rsidR="00ED6492" w:rsidRDefault="00EB0F75">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29523F">
        <w:t xml:space="preserve"> is </w:t>
      </w:r>
      <w:r w:rsidR="003B51B8">
        <w:t>$90,750</w:t>
      </w:r>
    </w:p>
    <w:p w:rsidR="003B51B8" w:rsidRDefault="003B51B8">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B51B8">
        <w:t xml:space="preserve"> x</w:t>
      </w:r>
      <w:r>
        <w:t xml:space="preserve">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1498E" w:rsidP="00A1498E" w:rsidRDefault="00A1498E">
      <w:pPr>
        <w:autoSpaceDE w:val="0"/>
        <w:autoSpaceDN w:val="0"/>
        <w:adjustRightInd w:val="0"/>
        <w:rPr>
          <w:rFonts w:ascii="Calibri Light" w:hAnsi="Calibri Light" w:cs="Calibri Light"/>
        </w:rPr>
      </w:pPr>
      <w:r>
        <w:t xml:space="preserve">The targeted respondents are applicants for military service. They must be on site to complete the survey at one of </w:t>
      </w:r>
      <w:r w:rsidRPr="00A1498E">
        <w:t>the 65 Military Ent</w:t>
      </w:r>
      <w:r>
        <w:t xml:space="preserve">rance Processing Stations (MEPS). </w:t>
      </w:r>
      <w:r w:rsidRPr="00A1498E">
        <w:t>All MEPS possess two dedicated computer terminals to administer the survey, and the automated collection technique minimizes administration time of personnel.</w:t>
      </w:r>
      <w:r>
        <w:rPr>
          <w:rFonts w:ascii="Calibri Light" w:hAnsi="Calibri Light" w:cs="Calibri Light"/>
        </w:rPr>
        <w:t xml:space="preserve"> </w:t>
      </w:r>
    </w:p>
    <w:p w:rsidR="00A1498E" w:rsidP="00A1498E" w:rsidRDefault="00A1498E">
      <w:pPr>
        <w:autoSpaceDE w:val="0"/>
        <w:autoSpaceDN w:val="0"/>
        <w:adjustRightInd w:val="0"/>
        <w:rPr>
          <w:rFonts w:ascii="Calibri Light" w:hAnsi="Calibri Light" w:cs="Calibri Light"/>
        </w:rPr>
      </w:pPr>
      <w:r>
        <w:t xml:space="preserve"> </w:t>
      </w:r>
    </w:p>
    <w:p w:rsidR="00A403BB" w:rsidP="00A403BB" w:rsidRDefault="00A403BB"/>
    <w:p w:rsidR="00A1498E" w:rsidP="00A403BB" w:rsidRDefault="00A1498E"/>
    <w:p w:rsidR="00A1498E" w:rsidP="00A403BB" w:rsidRDefault="00A1498E"/>
    <w:p w:rsidR="00A1498E" w:rsidP="00A403BB" w:rsidRDefault="00A1498E"/>
    <w:p w:rsidR="00A1498E" w:rsidP="00A403BB" w:rsidRDefault="00A1498E"/>
    <w:p w:rsidR="004D6E14" w:rsidP="00A403BB" w:rsidRDefault="004D6E14">
      <w:pPr>
        <w:rPr>
          <w:b/>
        </w:rPr>
      </w:pPr>
    </w:p>
    <w:p w:rsidR="00A403BB" w:rsidP="00A403BB" w:rsidRDefault="00A403BB">
      <w:pPr>
        <w:rPr>
          <w:b/>
        </w:rPr>
      </w:pPr>
      <w:r>
        <w:rPr>
          <w:b/>
        </w:rPr>
        <w:lastRenderedPageBreak/>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3B51B8">
        <w:t>x</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3B51B8" w:rsidP="001B0AAA" w:rsidRDefault="003B51B8">
      <w:pPr>
        <w:ind w:left="720"/>
      </w:pPr>
    </w:p>
    <w:p w:rsidR="00F24CFC" w:rsidP="00F24CFC" w:rsidRDefault="00F24CFC">
      <w:pPr>
        <w:pStyle w:val="ListParagraph"/>
        <w:numPr>
          <w:ilvl w:val="0"/>
          <w:numId w:val="17"/>
        </w:numPr>
      </w:pPr>
      <w:r>
        <w:t xml:space="preserve">Will interviewers or facilitators be used?  [  ] Yes [  </w:t>
      </w:r>
      <w:r w:rsidR="003B51B8">
        <w:t>x</w:t>
      </w:r>
      <w:r>
        <w:t>] No</w:t>
      </w:r>
    </w:p>
    <w:p w:rsidRPr="00A450B9" w:rsidR="005E714A" w:rsidP="00A1498E" w:rsidRDefault="00F24CFC">
      <w:pPr>
        <w:pStyle w:val="ListParagraph"/>
        <w:ind w:left="360"/>
        <w:rPr>
          <w:b/>
        </w:rPr>
      </w:pPr>
      <w:r>
        <w:t xml:space="preserve"> </w:t>
      </w:r>
    </w:p>
    <w:sectPr w:rsidRPr="00A450B9"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57" w:rsidRDefault="00DB4457">
      <w:r>
        <w:separator/>
      </w:r>
    </w:p>
  </w:endnote>
  <w:endnote w:type="continuationSeparator" w:id="0">
    <w:p w:rsidR="00DB4457" w:rsidRDefault="00DB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10F2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57" w:rsidRDefault="00DB4457">
      <w:r>
        <w:separator/>
      </w:r>
    </w:p>
  </w:footnote>
  <w:footnote w:type="continuationSeparator" w:id="0">
    <w:p w:rsidR="00DB4457" w:rsidRDefault="00DB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55F9"/>
    <w:rsid w:val="000F68BE"/>
    <w:rsid w:val="0010002C"/>
    <w:rsid w:val="001927A4"/>
    <w:rsid w:val="00194AC6"/>
    <w:rsid w:val="001A23B0"/>
    <w:rsid w:val="001A25CC"/>
    <w:rsid w:val="001B0AAA"/>
    <w:rsid w:val="001B508F"/>
    <w:rsid w:val="001C39F7"/>
    <w:rsid w:val="001D5536"/>
    <w:rsid w:val="00200EC8"/>
    <w:rsid w:val="00237B48"/>
    <w:rsid w:val="0024521E"/>
    <w:rsid w:val="00263C3D"/>
    <w:rsid w:val="00274D0B"/>
    <w:rsid w:val="0029523F"/>
    <w:rsid w:val="002B052D"/>
    <w:rsid w:val="002B34CD"/>
    <w:rsid w:val="002B3C95"/>
    <w:rsid w:val="002D0B92"/>
    <w:rsid w:val="003B51B8"/>
    <w:rsid w:val="003D5BBE"/>
    <w:rsid w:val="003E3C61"/>
    <w:rsid w:val="003F1C5B"/>
    <w:rsid w:val="00434E33"/>
    <w:rsid w:val="00441434"/>
    <w:rsid w:val="004443D4"/>
    <w:rsid w:val="0045264C"/>
    <w:rsid w:val="004876EC"/>
    <w:rsid w:val="004D6E14"/>
    <w:rsid w:val="005009B0"/>
    <w:rsid w:val="005020ED"/>
    <w:rsid w:val="005554DA"/>
    <w:rsid w:val="005A1006"/>
    <w:rsid w:val="005E714A"/>
    <w:rsid w:val="005F693D"/>
    <w:rsid w:val="00610F21"/>
    <w:rsid w:val="006140A0"/>
    <w:rsid w:val="00636621"/>
    <w:rsid w:val="00642B49"/>
    <w:rsid w:val="006832D9"/>
    <w:rsid w:val="0069403B"/>
    <w:rsid w:val="006F3DDE"/>
    <w:rsid w:val="00704678"/>
    <w:rsid w:val="007425E7"/>
    <w:rsid w:val="007F7080"/>
    <w:rsid w:val="00802607"/>
    <w:rsid w:val="008101A5"/>
    <w:rsid w:val="00822664"/>
    <w:rsid w:val="00843796"/>
    <w:rsid w:val="00862BE5"/>
    <w:rsid w:val="00895229"/>
    <w:rsid w:val="008B2EB3"/>
    <w:rsid w:val="008B7A57"/>
    <w:rsid w:val="008F0203"/>
    <w:rsid w:val="008F50D4"/>
    <w:rsid w:val="009239AA"/>
    <w:rsid w:val="00935ADA"/>
    <w:rsid w:val="00946B6C"/>
    <w:rsid w:val="00955A71"/>
    <w:rsid w:val="0096108F"/>
    <w:rsid w:val="009C13B9"/>
    <w:rsid w:val="009D01A2"/>
    <w:rsid w:val="009F5923"/>
    <w:rsid w:val="00A1498E"/>
    <w:rsid w:val="00A17803"/>
    <w:rsid w:val="00A403BB"/>
    <w:rsid w:val="00A450B9"/>
    <w:rsid w:val="00A674DF"/>
    <w:rsid w:val="00A83AA6"/>
    <w:rsid w:val="00A934D6"/>
    <w:rsid w:val="00AE1809"/>
    <w:rsid w:val="00B632B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66ED"/>
    <w:rsid w:val="00CF6542"/>
    <w:rsid w:val="00D24698"/>
    <w:rsid w:val="00D6383F"/>
    <w:rsid w:val="00DB4457"/>
    <w:rsid w:val="00DB59D0"/>
    <w:rsid w:val="00DC33D3"/>
    <w:rsid w:val="00E26329"/>
    <w:rsid w:val="00E40B50"/>
    <w:rsid w:val="00E50293"/>
    <w:rsid w:val="00E65FFC"/>
    <w:rsid w:val="00E744EA"/>
    <w:rsid w:val="00E80951"/>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584FE3-4EE1-4FD3-AA62-2B151C1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Kim, Brandon H CTR WHS ESD</cp:lastModifiedBy>
  <cp:revision>2</cp:revision>
  <cp:lastPrinted>2010-10-04T15:59:00Z</cp:lastPrinted>
  <dcterms:created xsi:type="dcterms:W3CDTF">2020-08-12T17:27:00Z</dcterms:created>
  <dcterms:modified xsi:type="dcterms:W3CDTF">2020-08-12T17:27:00Z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