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rPr>
      </w:pPr>
      <w:bookmarkStart w:id="0" w:name="_GoBack"/>
      <w:bookmarkEnd w:id="0"/>
      <w:r w:rsidRPr="00F24DEA">
        <w:rPr>
          <w:b/>
        </w:rPr>
        <w:t xml:space="preserve">Supporting Statement for Paperwork Reduction Act Generic Information Collection Submissions for </w:t>
      </w:r>
    </w:p>
    <w:p w:rsidR="00F24DEA" w:rsidRPr="00F24DEA" w:rsidRDefault="00F24DEA">
      <w:pPr>
        <w:spacing w:after="0" w:line="240" w:lineRule="auto"/>
        <w:jc w:val="center"/>
        <w:rPr>
          <w:b/>
        </w:rPr>
      </w:pPr>
    </w:p>
    <w:p w:rsidR="00982095" w:rsidRDefault="000C0A7E">
      <w:pPr>
        <w:spacing w:after="0" w:line="240" w:lineRule="auto"/>
        <w:jc w:val="center"/>
        <w:outlineLvl w:val="0"/>
        <w:rPr>
          <w:b/>
        </w:rPr>
      </w:pPr>
      <w:r w:rsidRPr="00F24DEA">
        <w:rPr>
          <w:b/>
        </w:rPr>
        <w:t>“</w:t>
      </w:r>
      <w:r w:rsidR="00F24DEA" w:rsidRPr="00F24DEA">
        <w:rPr>
          <w:b/>
        </w:rPr>
        <w:t xml:space="preserve">Fast Track </w:t>
      </w:r>
      <w:r w:rsidRPr="00F24DEA">
        <w:rPr>
          <w:b/>
        </w:rPr>
        <w:t xml:space="preserve">Generic Clearance for the Collection of Qualitative Feedback on Agency </w:t>
      </w:r>
      <w:r w:rsidR="000A410F" w:rsidRPr="00F24DEA">
        <w:rPr>
          <w:b/>
        </w:rPr>
        <w:t>Service Delivery</w:t>
      </w:r>
      <w:r w:rsidRPr="00F24DEA">
        <w:rPr>
          <w:b/>
        </w:rPr>
        <w:t>”</w:t>
      </w:r>
    </w:p>
    <w:p w:rsidR="002C110B" w:rsidRPr="000B4E75" w:rsidRDefault="002C110B" w:rsidP="002C110B">
      <w:pPr>
        <w:spacing w:after="0" w:line="240" w:lineRule="auto"/>
        <w:jc w:val="center"/>
        <w:outlineLvl w:val="0"/>
        <w:rPr>
          <w:b/>
        </w:rPr>
      </w:pPr>
      <w:r>
        <w:rPr>
          <w:b/>
        </w:rPr>
        <w:t>Department of Defense (DoD)</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465235">
        <w:t xml:space="preserve">, the Department of </w:t>
      </w:r>
      <w:r w:rsidR="008F17F5">
        <w:t>Defense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B00318">
      <w:pPr>
        <w:spacing w:after="0" w:line="240" w:lineRule="auto"/>
      </w:pPr>
      <w:r w:rsidRPr="00B00318">
        <w:t>The information obtained through this collection is unique and is not already available for use or adaptation from another cleared source.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B00318">
      <w:pPr>
        <w:spacing w:after="0" w:line="240" w:lineRule="auto"/>
      </w:pPr>
      <w:r w:rsidRPr="00B00318">
        <w:t>This information collection does not impose a significant economic impact on a substantial number of small businesses or entities.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B00318">
      <w:pPr>
        <w:pStyle w:val="ListParagraph"/>
        <w:numPr>
          <w:ilvl w:val="0"/>
          <w:numId w:val="2"/>
        </w:numPr>
        <w:spacing w:after="0" w:line="240" w:lineRule="auto"/>
        <w:ind w:left="0"/>
        <w:rPr>
          <w:b/>
        </w:rPr>
      </w:pPr>
      <w:r>
        <w:rPr>
          <w:b/>
        </w:rPr>
        <w:t xml:space="preserve">PRA Guidelines </w:t>
      </w:r>
    </w:p>
    <w:p w:rsidR="00982095" w:rsidRDefault="00982095">
      <w:pPr>
        <w:pStyle w:val="ListParagraph"/>
        <w:spacing w:after="0" w:line="240" w:lineRule="auto"/>
        <w:ind w:left="0"/>
        <w:rPr>
          <w:b/>
        </w:rPr>
      </w:pPr>
    </w:p>
    <w:p w:rsidR="00982095" w:rsidRDefault="00B00318">
      <w:pPr>
        <w:spacing w:after="0" w:line="240" w:lineRule="auto"/>
      </w:pPr>
      <w:r w:rsidRPr="00B00318">
        <w:t>This collection of information does not require collection to be conducted in a manner inconsistent with the guidelines delineated in 5 CFR 1320.5(d)(2).</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EB67AE" w:rsidRDefault="00EB67AE" w:rsidP="00EB67AE">
      <w:pPr>
        <w:shd w:val="clear" w:color="auto" w:fill="FFFFFF" w:themeFill="background1"/>
        <w:spacing w:after="0" w:line="240" w:lineRule="auto"/>
      </w:pPr>
    </w:p>
    <w:p w:rsidR="00982095" w:rsidRDefault="00EB67AE" w:rsidP="00EB67AE">
      <w:pPr>
        <w:shd w:val="clear" w:color="auto" w:fill="FFFFFF" w:themeFill="background1"/>
        <w:spacing w:after="0" w:line="240" w:lineRule="auto"/>
      </w:pPr>
      <w:r w:rsidRPr="00EB67AE">
        <w:t>A 60-Day Federal Register Notice (FRN) for the collecti</w:t>
      </w:r>
      <w:r>
        <w:t>on published on Wednesday, November 28, 2018</w:t>
      </w:r>
      <w:r w:rsidRPr="00EB67AE">
        <w:t>.  The 60-Day</w:t>
      </w:r>
      <w:r>
        <w:t xml:space="preserve"> FRN citation is 80 FRN 81813</w:t>
      </w:r>
      <w:r w:rsidRPr="00EB67AE">
        <w:t>.</w:t>
      </w:r>
    </w:p>
    <w:p w:rsidR="00EB67AE" w:rsidRDefault="00EB67AE" w:rsidP="00EB67AE">
      <w:pPr>
        <w:shd w:val="clear" w:color="auto" w:fill="FFFFFF" w:themeFill="background1"/>
        <w:spacing w:after="0" w:line="240" w:lineRule="auto"/>
      </w:pPr>
    </w:p>
    <w:p w:rsidR="00EB67AE" w:rsidRPr="00EB67AE" w:rsidRDefault="00EB67AE" w:rsidP="00EB67AE">
      <w:pPr>
        <w:shd w:val="clear" w:color="auto" w:fill="FFFFFF" w:themeFill="background1"/>
        <w:spacing w:after="0" w:line="240" w:lineRule="auto"/>
      </w:pPr>
      <w:r w:rsidRPr="00EB67AE">
        <w:t>No comments were received during the 60-Day Comment Period.</w:t>
      </w:r>
    </w:p>
    <w:p w:rsidR="00982095" w:rsidRDefault="00982095">
      <w:pPr>
        <w:spacing w:after="0" w:line="240" w:lineRule="auto"/>
      </w:pPr>
    </w:p>
    <w:p w:rsidR="00EB67AE" w:rsidRDefault="00EB67AE">
      <w:pPr>
        <w:spacing w:after="0" w:line="240" w:lineRule="auto"/>
      </w:pPr>
      <w:r w:rsidRPr="00EB67AE">
        <w:t>A 30-Day Federal Register Notice for the collecti</w:t>
      </w:r>
      <w:r>
        <w:t>on published on Friday, February 15, 2019</w:t>
      </w:r>
      <w:r w:rsidRPr="00EB67AE">
        <w:t>.  The 30-Day</w:t>
      </w:r>
      <w:r>
        <w:t xml:space="preserve"> FRN citation is 84 FRN 4451</w:t>
      </w:r>
      <w:r w:rsidRPr="00EB67AE">
        <w:t>.</w:t>
      </w:r>
    </w:p>
    <w:p w:rsidR="00EB67AE" w:rsidRPr="000B3C20" w:rsidRDefault="00EB67AE">
      <w:pPr>
        <w:spacing w:after="0" w:line="240" w:lineRule="auto"/>
      </w:pPr>
    </w:p>
    <w:p w:rsidR="00982095" w:rsidRPr="000B3C20" w:rsidRDefault="000C0A7E">
      <w:pPr>
        <w:pStyle w:val="ListParagraph"/>
        <w:numPr>
          <w:ilvl w:val="0"/>
          <w:numId w:val="2"/>
        </w:numPr>
        <w:spacing w:after="0" w:line="240" w:lineRule="auto"/>
        <w:ind w:left="0"/>
        <w:rPr>
          <w:b/>
        </w:rPr>
      </w:pPr>
      <w:r w:rsidRPr="000B3C20">
        <w:rPr>
          <w:b/>
        </w:rPr>
        <w:t>Payment or Gift</w:t>
      </w:r>
    </w:p>
    <w:p w:rsidR="001E7A97" w:rsidRDefault="001E7A97">
      <w:pPr>
        <w:spacing w:after="0" w:line="240" w:lineRule="auto"/>
      </w:pPr>
    </w:p>
    <w:p w:rsidR="00742318" w:rsidRDefault="00AC2497" w:rsidP="00742318">
      <w:pPr>
        <w:spacing w:after="0" w:line="240" w:lineRule="auto"/>
      </w:pPr>
      <w:r w:rsidRPr="00AC2497">
        <w:t xml:space="preserve">The Agency </w:t>
      </w:r>
      <w:r w:rsidR="000C0A7E">
        <w:t>will not provide payment or other forms of remuneration to respondents of its various forms of collecting feedback.</w:t>
      </w:r>
      <w:r w:rsidR="00742318">
        <w:t xml:space="preserve"> Focus groups and cognitive laboratory studies are the exceptions.</w:t>
      </w:r>
    </w:p>
    <w:p w:rsidR="00742318" w:rsidRDefault="00742318" w:rsidP="00742318">
      <w:pPr>
        <w:spacing w:after="0" w:line="240" w:lineRule="auto"/>
      </w:pPr>
      <w:r>
        <w:t xml:space="preserve"> </w:t>
      </w:r>
    </w:p>
    <w:p w:rsidR="00742318" w:rsidRDefault="00742318" w:rsidP="00742318">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Default="00982095" w:rsidP="00E43507">
      <w:pPr>
        <w:spacing w:after="0" w:line="240" w:lineRule="auto"/>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E43507" w:rsidRDefault="00E43507">
      <w:pPr>
        <w:spacing w:after="0" w:line="240" w:lineRule="auto"/>
      </w:pPr>
    </w:p>
    <w:p w:rsidR="00E43507" w:rsidRDefault="00E43507">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B00318">
      <w:pPr>
        <w:spacing w:after="0" w:line="240" w:lineRule="auto"/>
      </w:pPr>
      <w:r w:rsidRPr="00B00318">
        <w:t>No questions considered sensitive are being asked in this collection.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742318" w:rsidRDefault="00742318" w:rsidP="0074231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w:t>
      </w:r>
      <w:r w:rsidR="00CF62A9">
        <w:t>nnual burden hours requested (50,000</w:t>
      </w:r>
      <w:r w:rsidR="00CB4039">
        <w:t xml:space="preserve">) are based on the number </w:t>
      </w:r>
      <w:r>
        <w:t xml:space="preserve">of collections we expect to conduct </w:t>
      </w:r>
      <w:r w:rsidR="00CB4039">
        <w:t xml:space="preserve">across the Department of Defense and </w:t>
      </w:r>
      <w:r>
        <w:t xml:space="preserve">over the requested period for this clearance.  </w:t>
      </w:r>
    </w:p>
    <w:p w:rsidR="00742318" w:rsidRDefault="00742318">
      <w:pPr>
        <w:tabs>
          <w:tab w:val="left" w:pos="-1080"/>
          <w:tab w:val="left" w:pos="-720"/>
          <w:tab w:val="left" w:pos="0"/>
          <w:tab w:val="left" w:pos="450"/>
          <w:tab w:val="left" w:pos="720"/>
          <w:tab w:val="left" w:pos="2160"/>
        </w:tabs>
        <w:spacing w:after="0" w:line="240" w:lineRule="auto"/>
      </w:pPr>
    </w:p>
    <w:p w:rsidR="00A82E6C" w:rsidRPr="00A82E6C" w:rsidRDefault="00A82E6C" w:rsidP="00A82E6C">
      <w:pPr>
        <w:tabs>
          <w:tab w:val="left" w:pos="-1080"/>
          <w:tab w:val="left" w:pos="-720"/>
          <w:tab w:val="left" w:pos="0"/>
          <w:tab w:val="left" w:pos="450"/>
          <w:tab w:val="left" w:pos="720"/>
          <w:tab w:val="left" w:pos="2160"/>
        </w:tabs>
        <w:spacing w:after="0" w:line="240" w:lineRule="auto"/>
        <w:rPr>
          <w:b/>
          <w:bCs/>
        </w:rPr>
      </w:pPr>
      <w:r w:rsidRPr="00A82E6C">
        <w:rPr>
          <w:b/>
          <w:bCs/>
        </w:rPr>
        <w:t xml:space="preserve">Table </w:t>
      </w:r>
      <w:r w:rsidRPr="00A82E6C">
        <w:rPr>
          <w:b/>
          <w:bCs/>
        </w:rPr>
        <w:fldChar w:fldCharType="begin"/>
      </w:r>
      <w:r w:rsidRPr="00A82E6C">
        <w:rPr>
          <w:b/>
          <w:bCs/>
        </w:rPr>
        <w:instrText xml:space="preserve"> SEQ Table \* ARABIC </w:instrText>
      </w:r>
      <w:r w:rsidRPr="00A82E6C">
        <w:rPr>
          <w:b/>
          <w:bCs/>
        </w:rPr>
        <w:fldChar w:fldCharType="separate"/>
      </w:r>
      <w:r w:rsidR="0008232C">
        <w:rPr>
          <w:b/>
          <w:bCs/>
          <w:noProof/>
        </w:rPr>
        <w:t>1</w:t>
      </w:r>
      <w:r w:rsidRPr="00A82E6C">
        <w:fldChar w:fldCharType="end"/>
      </w:r>
      <w:r w:rsidR="00B96C90">
        <w:t xml:space="preserve"> </w:t>
      </w:r>
      <w:r w:rsidRPr="00A82E6C">
        <w:rPr>
          <w:b/>
          <w:bCs/>
        </w:rPr>
        <w:t>- Estimation of Respondent Burden</w:t>
      </w:r>
    </w:p>
    <w:p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278"/>
        <w:gridCol w:w="1350"/>
        <w:gridCol w:w="2070"/>
        <w:gridCol w:w="1620"/>
        <w:gridCol w:w="1800"/>
        <w:gridCol w:w="1260"/>
      </w:tblGrid>
      <w:tr w:rsidR="00CB4039" w:rsidRPr="00A82E6C" w:rsidTr="00CB4039">
        <w:tc>
          <w:tcPr>
            <w:tcW w:w="1278"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p>
        </w:tc>
        <w:tc>
          <w:tcPr>
            <w:tcW w:w="1350" w:type="dxa"/>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 xml:space="preserve">Number of </w:t>
            </w:r>
            <w:r>
              <w:rPr>
                <w:b/>
              </w:rPr>
              <w:t xml:space="preserve">Surveys </w:t>
            </w:r>
            <w:r w:rsidRPr="00A82E6C">
              <w:rPr>
                <w:b/>
              </w:rPr>
              <w:t>(Annual)</w:t>
            </w:r>
          </w:p>
        </w:tc>
        <w:tc>
          <w:tcPr>
            <w:tcW w:w="207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Number of Responses per Survey (Average)</w:t>
            </w:r>
          </w:p>
        </w:tc>
        <w:tc>
          <w:tcPr>
            <w:tcW w:w="162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Pr>
                <w:b/>
              </w:rPr>
              <w:t>Proposed Responses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c>
          <w:tcPr>
            <w:tcW w:w="180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Estimated Completion</w:t>
            </w:r>
          </w:p>
          <w:p w:rsidR="00CB4039" w:rsidRPr="00A82E6C" w:rsidRDefault="00CB4039" w:rsidP="00CB4039">
            <w:pPr>
              <w:tabs>
                <w:tab w:val="left" w:pos="-1080"/>
                <w:tab w:val="left" w:pos="-720"/>
                <w:tab w:val="left" w:pos="0"/>
                <w:tab w:val="left" w:pos="450"/>
                <w:tab w:val="left" w:pos="720"/>
                <w:tab w:val="left" w:pos="2160"/>
              </w:tabs>
              <w:spacing w:after="0" w:line="240" w:lineRule="auto"/>
              <w:jc w:val="center"/>
              <w:rPr>
                <w:b/>
              </w:rPr>
            </w:pPr>
            <w:r w:rsidRPr="00A82E6C">
              <w:rPr>
                <w:b/>
              </w:rPr>
              <w:t>Time</w:t>
            </w:r>
            <w:r>
              <w:rPr>
                <w:b/>
              </w:rPr>
              <w:t xml:space="preserve"> </w:t>
            </w:r>
            <w:r w:rsidRPr="00A82E6C">
              <w:rPr>
                <w:b/>
              </w:rPr>
              <w:t>(Average)</w:t>
            </w:r>
          </w:p>
        </w:tc>
        <w:tc>
          <w:tcPr>
            <w:tcW w:w="126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Burden Hours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r>
      <w:tr w:rsidR="00CB4039" w:rsidRPr="00A82E6C" w:rsidTr="00CB4039">
        <w:tc>
          <w:tcPr>
            <w:tcW w:w="1278"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Total</w:t>
            </w:r>
          </w:p>
        </w:tc>
        <w:tc>
          <w:tcPr>
            <w:tcW w:w="1350" w:type="dxa"/>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4</w:t>
            </w:r>
            <w:r w:rsidR="00CB4039">
              <w:t>00</w:t>
            </w:r>
          </w:p>
        </w:tc>
        <w:tc>
          <w:tcPr>
            <w:tcW w:w="2070" w:type="dxa"/>
          </w:tcPr>
          <w:p w:rsidR="00CB4039" w:rsidRPr="00A82E6C" w:rsidRDefault="001A26DD" w:rsidP="00A82E6C">
            <w:pPr>
              <w:tabs>
                <w:tab w:val="left" w:pos="-1080"/>
                <w:tab w:val="left" w:pos="-720"/>
                <w:tab w:val="left" w:pos="0"/>
                <w:tab w:val="left" w:pos="450"/>
                <w:tab w:val="left" w:pos="720"/>
                <w:tab w:val="left" w:pos="2160"/>
              </w:tabs>
              <w:spacing w:after="0" w:line="240" w:lineRule="auto"/>
              <w:jc w:val="center"/>
            </w:pPr>
            <w:r>
              <w:t>3</w:t>
            </w:r>
            <w:r w:rsidR="00CB4039">
              <w:t>,000</w:t>
            </w:r>
          </w:p>
        </w:tc>
        <w:tc>
          <w:tcPr>
            <w:tcW w:w="1620" w:type="dxa"/>
            <w:shd w:val="clear" w:color="auto" w:fill="auto"/>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1,2</w:t>
            </w:r>
            <w:r w:rsidR="00CB4039">
              <w:t>0</w:t>
            </w:r>
            <w:r w:rsidR="00CB4039" w:rsidRPr="00A82E6C">
              <w:t>0</w:t>
            </w:r>
            <w:r w:rsidR="00CB4039">
              <w:t>,</w:t>
            </w:r>
            <w:r w:rsidR="00CB4039" w:rsidRPr="00A82E6C">
              <w:t>00</w:t>
            </w:r>
            <w:r w:rsidR="00CB4039">
              <w:t>0</w:t>
            </w:r>
          </w:p>
        </w:tc>
        <w:tc>
          <w:tcPr>
            <w:tcW w:w="1800" w:type="dxa"/>
            <w:shd w:val="clear" w:color="auto" w:fill="auto"/>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15</w:t>
            </w:r>
            <w:r w:rsidR="00CB4039" w:rsidRPr="00A82E6C">
              <w:t xml:space="preserve"> min</w:t>
            </w:r>
          </w:p>
        </w:tc>
        <w:tc>
          <w:tcPr>
            <w:tcW w:w="1260" w:type="dxa"/>
            <w:shd w:val="clear" w:color="auto" w:fill="auto"/>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300</w:t>
            </w:r>
            <w:r w:rsidR="001A26DD">
              <w:t>,000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771CE0">
      <w:pPr>
        <w:tabs>
          <w:tab w:val="left" w:pos="-1080"/>
          <w:tab w:val="left" w:pos="-720"/>
          <w:tab w:val="left" w:pos="0"/>
          <w:tab w:val="left" w:pos="450"/>
          <w:tab w:val="left" w:pos="720"/>
          <w:tab w:val="left" w:pos="2160"/>
        </w:tabs>
        <w:spacing w:after="0" w:line="240" w:lineRule="auto"/>
      </w:pPr>
      <w:r>
        <w:t>With the estimated</w:t>
      </w:r>
      <w:r w:rsidR="00CF62A9">
        <w:t xml:space="preserve"> annual burden of 50,000</w:t>
      </w:r>
      <w:r w:rsidR="00CB4039">
        <w:t xml:space="preserve"> </w:t>
      </w:r>
      <w:r w:rsidR="00B96C90" w:rsidRPr="00B96C90">
        <w:t xml:space="preserve">hours, the overall annual </w:t>
      </w:r>
      <w:r>
        <w:t xml:space="preserve">labor cost for </w:t>
      </w:r>
      <w:r w:rsidR="00B96C90" w:rsidRPr="00B96C90">
        <w:t>respondent</w:t>
      </w:r>
      <w:r>
        <w:t>s</w:t>
      </w:r>
      <w:r w:rsidR="00B96C90" w:rsidRPr="00B96C90">
        <w:t xml:space="preserve"> is estimated to be approximately </w:t>
      </w:r>
      <w:r w:rsidR="00CF62A9">
        <w:t>$1,378,000. An hourly wage of $27.56</w:t>
      </w:r>
      <w:r w:rsidR="00B96C90" w:rsidRPr="00B96C90">
        <w:t xml:space="preserve"> is </w:t>
      </w:r>
      <w:r>
        <w:t xml:space="preserve">used </w:t>
      </w:r>
      <w:r w:rsidR="00B96C90" w:rsidRPr="00B96C90">
        <w:t xml:space="preserve">for all </w:t>
      </w:r>
      <w:r>
        <w:t>fast track respondents using th</w:t>
      </w:r>
      <w:r w:rsidR="00CF62A9">
        <w:t>e Department of Labor’s January 2019</w:t>
      </w:r>
      <w:r>
        <w:t xml:space="preserve"> Occupational Employment Statistics data for “All Occupations.” (</w:t>
      </w:r>
      <w:r w:rsidRPr="00771CE0">
        <w:t>http://www.bls.gov/oes/current/oes_nat.htm#00-0000</w:t>
      </w:r>
      <w:r>
        <w:t xml:space="preserve">) </w:t>
      </w:r>
    </w:p>
    <w:p w:rsidR="00B96C90" w:rsidRDefault="00B96C90">
      <w:pPr>
        <w:tabs>
          <w:tab w:val="left" w:pos="-1080"/>
          <w:tab w:val="left" w:pos="-720"/>
          <w:tab w:val="left" w:pos="0"/>
          <w:tab w:val="left" w:pos="450"/>
          <w:tab w:val="left" w:pos="720"/>
          <w:tab w:val="left" w:pos="2160"/>
        </w:tabs>
        <w:spacing w:after="0" w:line="240" w:lineRule="auto"/>
      </w:pPr>
    </w:p>
    <w:p w:rsidR="00B96C90" w:rsidRPr="00B96C90" w:rsidRDefault="00B96C90" w:rsidP="00B96C90">
      <w:pPr>
        <w:tabs>
          <w:tab w:val="left" w:pos="-1080"/>
          <w:tab w:val="left" w:pos="-720"/>
          <w:tab w:val="left" w:pos="0"/>
          <w:tab w:val="left" w:pos="450"/>
          <w:tab w:val="left" w:pos="720"/>
          <w:tab w:val="left" w:pos="2160"/>
        </w:tabs>
        <w:spacing w:after="0" w:line="240" w:lineRule="auto"/>
        <w:rPr>
          <w:b/>
          <w:bCs/>
        </w:rPr>
      </w:pPr>
      <w:r w:rsidRPr="00B96C90">
        <w:rPr>
          <w:b/>
          <w:bCs/>
        </w:rPr>
        <w:t xml:space="preserve">Table </w:t>
      </w:r>
      <w:r w:rsidRPr="00B96C90">
        <w:rPr>
          <w:b/>
          <w:bCs/>
        </w:rPr>
        <w:fldChar w:fldCharType="begin"/>
      </w:r>
      <w:r w:rsidRPr="00B96C90">
        <w:rPr>
          <w:b/>
          <w:bCs/>
        </w:rPr>
        <w:instrText xml:space="preserve"> SEQ Table \* ARABIC </w:instrText>
      </w:r>
      <w:r w:rsidRPr="00B96C90">
        <w:rPr>
          <w:b/>
          <w:bCs/>
        </w:rPr>
        <w:fldChar w:fldCharType="separate"/>
      </w:r>
      <w:r w:rsidR="0008232C">
        <w:rPr>
          <w:b/>
          <w:bCs/>
          <w:noProof/>
        </w:rPr>
        <w:t>2</w:t>
      </w:r>
      <w:r w:rsidRPr="00B96C90">
        <w:fldChar w:fldCharType="end"/>
      </w:r>
      <w:r w:rsidRPr="00B96C90">
        <w:rPr>
          <w:b/>
          <w:bCs/>
        </w:rPr>
        <w:t xml:space="preserve"> - Labor Cost of Respondent Burden</w:t>
      </w:r>
    </w:p>
    <w:p w:rsidR="00B96C90" w:rsidRDefault="00B96C90">
      <w:pPr>
        <w:tabs>
          <w:tab w:val="left" w:pos="-1080"/>
          <w:tab w:val="left" w:pos="-720"/>
          <w:tab w:val="left" w:pos="0"/>
          <w:tab w:val="left" w:pos="450"/>
          <w:tab w:val="left" w:pos="720"/>
          <w:tab w:val="left" w:pos="216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160"/>
        <w:gridCol w:w="2070"/>
      </w:tblGrid>
      <w:tr w:rsidR="00CB4039" w:rsidRPr="00B96C90" w:rsidTr="00CB4039">
        <w:tc>
          <w:tcPr>
            <w:tcW w:w="1998"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Type of</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w:t>
            </w:r>
          </w:p>
        </w:tc>
        <w:tc>
          <w:tcPr>
            <w:tcW w:w="234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 Burden Hours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c>
          <w:tcPr>
            <w:tcW w:w="216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Average Hourly Wage</w:t>
            </w:r>
            <w:r w:rsidR="00E13A8C">
              <w:rPr>
                <w:b/>
              </w:rPr>
              <w:t xml:space="preserve"> – DOL 2019</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(“All Occupations”</w:t>
            </w:r>
            <w:r>
              <w:rPr>
                <w:b/>
              </w:rPr>
              <w:t>)</w:t>
            </w:r>
          </w:p>
        </w:tc>
        <w:tc>
          <w:tcPr>
            <w:tcW w:w="207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 Costs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r>
      <w:tr w:rsidR="00CB4039" w:rsidRPr="00B96C90" w:rsidTr="00CB4039">
        <w:tc>
          <w:tcPr>
            <w:tcW w:w="1998"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rsidRPr="00B96C90">
              <w:t>Target Population</w:t>
            </w:r>
          </w:p>
        </w:tc>
        <w:tc>
          <w:tcPr>
            <w:tcW w:w="2340" w:type="dxa"/>
            <w:shd w:val="clear" w:color="auto" w:fill="auto"/>
            <w:vAlign w:val="center"/>
          </w:tcPr>
          <w:p w:rsidR="00CB4039" w:rsidRPr="00B96C90" w:rsidRDefault="005C6D12" w:rsidP="00B96C90">
            <w:pPr>
              <w:tabs>
                <w:tab w:val="left" w:pos="-1080"/>
                <w:tab w:val="left" w:pos="-720"/>
                <w:tab w:val="left" w:pos="0"/>
                <w:tab w:val="left" w:pos="450"/>
                <w:tab w:val="left" w:pos="720"/>
                <w:tab w:val="left" w:pos="2160"/>
              </w:tabs>
              <w:spacing w:after="0" w:line="240" w:lineRule="auto"/>
              <w:jc w:val="center"/>
            </w:pPr>
            <w:r>
              <w:t>300,000</w:t>
            </w:r>
          </w:p>
        </w:tc>
        <w:tc>
          <w:tcPr>
            <w:tcW w:w="2160" w:type="dxa"/>
            <w:shd w:val="clear" w:color="auto" w:fill="auto"/>
            <w:vAlign w:val="center"/>
          </w:tcPr>
          <w:p w:rsidR="00CB4039" w:rsidRPr="00B96C90" w:rsidRDefault="00E13A8C" w:rsidP="00B96C90">
            <w:pPr>
              <w:tabs>
                <w:tab w:val="left" w:pos="-1080"/>
                <w:tab w:val="left" w:pos="-720"/>
                <w:tab w:val="left" w:pos="0"/>
                <w:tab w:val="left" w:pos="450"/>
                <w:tab w:val="left" w:pos="720"/>
                <w:tab w:val="left" w:pos="2160"/>
              </w:tabs>
              <w:spacing w:after="0" w:line="240" w:lineRule="auto"/>
              <w:jc w:val="center"/>
            </w:pPr>
            <w:r>
              <w:t>$27.56</w:t>
            </w:r>
          </w:p>
        </w:tc>
        <w:tc>
          <w:tcPr>
            <w:tcW w:w="2070" w:type="dxa"/>
            <w:shd w:val="clear" w:color="auto" w:fill="auto"/>
            <w:vAlign w:val="center"/>
          </w:tcPr>
          <w:p w:rsidR="00CB4039" w:rsidRPr="00B96C90" w:rsidRDefault="000C1411" w:rsidP="005C6D12">
            <w:pPr>
              <w:tabs>
                <w:tab w:val="left" w:pos="-1080"/>
                <w:tab w:val="left" w:pos="-720"/>
                <w:tab w:val="left" w:pos="0"/>
                <w:tab w:val="left" w:pos="450"/>
                <w:tab w:val="left" w:pos="720"/>
                <w:tab w:val="left" w:pos="2160"/>
              </w:tabs>
              <w:spacing w:after="0" w:line="240" w:lineRule="auto"/>
              <w:jc w:val="center"/>
            </w:pPr>
            <w:r>
              <w:t>$</w:t>
            </w:r>
            <w:r w:rsidR="005C6D12">
              <w:t>8,268,000</w:t>
            </w:r>
          </w:p>
        </w:tc>
      </w:tr>
    </w:tbl>
    <w:p w:rsidR="00B96C90" w:rsidRDefault="00B96C90">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B00318">
      <w:pPr>
        <w:spacing w:after="0" w:line="240" w:lineRule="auto"/>
      </w:pPr>
      <w:r w:rsidRPr="00B00318">
        <w:t>There are no annualized costs to respondents other than the labor burden costs addressed in Section 12 of this document to complete this collection.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A51AC7" w:rsidRDefault="00DF70CC">
      <w:pPr>
        <w:spacing w:after="0" w:line="240" w:lineRule="auto"/>
      </w:pPr>
      <w:r>
        <w:t>While on-site federal contract</w:t>
      </w:r>
      <w:r w:rsidR="000B70E6">
        <w:t>or</w:t>
      </w:r>
      <w:r>
        <w:t xml:space="preserve"> staff may be assigned to work on some of the individual fast track information collections</w:t>
      </w:r>
      <w:r w:rsidR="000B70E6">
        <w:t xml:space="preserve"> (IC)</w:t>
      </w:r>
      <w:r w:rsidR="005F2B0A">
        <w:t>, the 2019</w:t>
      </w:r>
      <w:r>
        <w:t xml:space="preserve"> </w:t>
      </w:r>
      <w:r w:rsidR="000B70E6">
        <w:t xml:space="preserve">OPM </w:t>
      </w:r>
      <w:r>
        <w:t xml:space="preserve">General Schedule hourly labor rates for the Washington DC area were used to estimate all labor costs.  </w:t>
      </w:r>
      <w:r w:rsidR="00D1749E">
        <w:t xml:space="preserve">Only minimal Operation and Maintenance </w:t>
      </w:r>
      <w:r>
        <w:t xml:space="preserve">(O&amp;M) </w:t>
      </w:r>
      <w:r w:rsidR="000B70E6">
        <w:t xml:space="preserve">costs per IC </w:t>
      </w:r>
      <w:r w:rsidR="00D1749E">
        <w:t xml:space="preserve">are anticipated given that the majority of the generic information collections will be electronic or web-based with </w:t>
      </w:r>
      <w:r>
        <w:t xml:space="preserve">little or </w:t>
      </w:r>
      <w:r w:rsidR="00D1749E">
        <w:t xml:space="preserve">no printing or mailing costs.  </w:t>
      </w:r>
      <w:r>
        <w:t xml:space="preserve">Any O&amp;M costs per </w:t>
      </w:r>
      <w:r w:rsidR="000B70E6">
        <w:t>IC</w:t>
      </w:r>
      <w:r>
        <w:t xml:space="preserve"> that are related to storage or system maintenance would be prorated across </w:t>
      </w:r>
      <w:r w:rsidR="000B70E6">
        <w:t xml:space="preserve">all </w:t>
      </w:r>
      <w:r>
        <w:t>projects being house or maintained on the system. It is estimated that the average cost per fast tract information collection will be approximately $1,854. With 100 fast track information collections projected</w:t>
      </w:r>
      <w:r w:rsidR="000B70E6">
        <w:t xml:space="preserve"> annually</w:t>
      </w:r>
      <w:r>
        <w:t>, the total annual cost to the federal government would be approximately $185,368.</w:t>
      </w:r>
    </w:p>
    <w:p w:rsidR="00DF70CC" w:rsidRDefault="00DF70CC">
      <w:pPr>
        <w:spacing w:after="0" w:line="240" w:lineRule="auto"/>
      </w:pPr>
    </w:p>
    <w:p w:rsidR="00A51AC7" w:rsidRPr="001A67B1" w:rsidRDefault="00A51AC7" w:rsidP="00A51AC7">
      <w:pPr>
        <w:spacing w:after="0" w:line="240" w:lineRule="auto"/>
        <w:rPr>
          <w:rFonts w:cs="Arial"/>
          <w:b/>
          <w:bCs/>
        </w:rPr>
      </w:pPr>
      <w:r w:rsidRPr="001A67B1">
        <w:rPr>
          <w:rFonts w:cs="Arial"/>
          <w:b/>
          <w:bCs/>
          <w:shd w:val="clear" w:color="auto" w:fill="FFFFFF" w:themeFill="background1"/>
        </w:rPr>
        <w:t xml:space="preserve">Table </w:t>
      </w:r>
      <w:r w:rsidRPr="001A67B1">
        <w:rPr>
          <w:rFonts w:cs="Arial"/>
          <w:b/>
          <w:bCs/>
          <w:shd w:val="clear" w:color="auto" w:fill="FFFFFF" w:themeFill="background1"/>
        </w:rPr>
        <w:fldChar w:fldCharType="begin"/>
      </w:r>
      <w:r w:rsidRPr="001A67B1">
        <w:rPr>
          <w:rFonts w:cs="Arial"/>
          <w:b/>
          <w:bCs/>
          <w:shd w:val="clear" w:color="auto" w:fill="FFFFFF" w:themeFill="background1"/>
        </w:rPr>
        <w:instrText xml:space="preserve"> SEQ Table \* ARABIC </w:instrText>
      </w:r>
      <w:r w:rsidRPr="001A67B1">
        <w:rPr>
          <w:rFonts w:cs="Arial"/>
          <w:b/>
          <w:bCs/>
          <w:shd w:val="clear" w:color="auto" w:fill="FFFFFF" w:themeFill="background1"/>
        </w:rPr>
        <w:fldChar w:fldCharType="separate"/>
      </w:r>
      <w:r w:rsidR="0008232C">
        <w:rPr>
          <w:rFonts w:cs="Arial"/>
          <w:b/>
          <w:bCs/>
          <w:noProof/>
          <w:shd w:val="clear" w:color="auto" w:fill="FFFFFF" w:themeFill="background1"/>
        </w:rPr>
        <w:t>3</w:t>
      </w:r>
      <w:r w:rsidRPr="001A67B1">
        <w:rPr>
          <w:rFonts w:cs="Arial"/>
          <w:shd w:val="clear" w:color="auto" w:fill="FFFFFF" w:themeFill="background1"/>
        </w:rPr>
        <w:fldChar w:fldCharType="end"/>
      </w:r>
      <w:r w:rsidRPr="001A67B1">
        <w:rPr>
          <w:rFonts w:cs="Arial"/>
          <w:b/>
          <w:bCs/>
        </w:rPr>
        <w:t xml:space="preserve"> - Cost Estimates</w:t>
      </w:r>
      <w:r w:rsidR="00DF70CC">
        <w:rPr>
          <w:rFonts w:cs="Arial"/>
          <w:b/>
          <w:bCs/>
        </w:rPr>
        <w:t xml:space="preserve"> Per Fast Track Information Collection</w:t>
      </w:r>
    </w:p>
    <w:p w:rsidR="00A51AC7" w:rsidRPr="001A67B1" w:rsidRDefault="00A51AC7">
      <w:pPr>
        <w:spacing w:after="0" w:line="240" w:lineRule="auto"/>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gridCol w:w="1890"/>
        <w:gridCol w:w="1728"/>
      </w:tblGrid>
      <w:tr w:rsidR="000B70E6" w:rsidRPr="001A67B1" w:rsidTr="00D1749E">
        <w:trPr>
          <w:jc w:val="center"/>
        </w:trPr>
        <w:tc>
          <w:tcPr>
            <w:tcW w:w="253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Type of Cost</w:t>
            </w:r>
          </w:p>
        </w:tc>
        <w:tc>
          <w:tcPr>
            <w:tcW w:w="180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Hours</w:t>
            </w:r>
          </w:p>
          <w:p w:rsidR="008D5E1A" w:rsidRPr="001A67B1" w:rsidRDefault="000B70E6" w:rsidP="00A51AC7">
            <w:pPr>
              <w:spacing w:after="0" w:line="240" w:lineRule="auto"/>
              <w:jc w:val="center"/>
              <w:rPr>
                <w:rFonts w:cs="Arial"/>
                <w:b/>
              </w:rPr>
            </w:pPr>
            <w:r>
              <w:rPr>
                <w:rFonts w:cs="Arial"/>
                <w:b/>
              </w:rPr>
              <w:t>per IC</w:t>
            </w:r>
          </w:p>
        </w:tc>
        <w:tc>
          <w:tcPr>
            <w:tcW w:w="162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Hourly Rate</w:t>
            </w:r>
          </w:p>
        </w:tc>
        <w:tc>
          <w:tcPr>
            <w:tcW w:w="1890" w:type="dxa"/>
            <w:vAlign w:val="center"/>
          </w:tcPr>
          <w:p w:rsidR="008D5E1A" w:rsidRPr="001A67B1" w:rsidRDefault="008D5E1A" w:rsidP="00A51AC7">
            <w:pPr>
              <w:spacing w:after="0" w:line="240" w:lineRule="auto"/>
              <w:jc w:val="center"/>
              <w:rPr>
                <w:rFonts w:cs="Arial"/>
                <w:b/>
              </w:rPr>
            </w:pPr>
            <w:r>
              <w:rPr>
                <w:rFonts w:cs="Arial"/>
                <w:b/>
              </w:rPr>
              <w:t xml:space="preserve">Average </w:t>
            </w:r>
            <w:r w:rsidR="000B70E6">
              <w:rPr>
                <w:rFonts w:cs="Arial"/>
                <w:b/>
              </w:rPr>
              <w:t>O &amp;M Costs per IC</w:t>
            </w:r>
          </w:p>
        </w:tc>
        <w:tc>
          <w:tcPr>
            <w:tcW w:w="172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Cost</w:t>
            </w:r>
          </w:p>
          <w:p w:rsidR="008D5E1A" w:rsidRPr="001A67B1" w:rsidRDefault="000B70E6" w:rsidP="00A51AC7">
            <w:pPr>
              <w:spacing w:after="0" w:line="240" w:lineRule="auto"/>
              <w:jc w:val="center"/>
              <w:rPr>
                <w:rFonts w:cs="Arial"/>
                <w:b/>
              </w:rPr>
            </w:pPr>
            <w:r>
              <w:rPr>
                <w:rFonts w:cs="Arial"/>
                <w:b/>
              </w:rPr>
              <w:t>per IC</w:t>
            </w:r>
          </w:p>
        </w:tc>
      </w:tr>
      <w:tr w:rsidR="000B70E6" w:rsidRPr="001A67B1" w:rsidTr="00D1749E">
        <w:trPr>
          <w:jc w:val="center"/>
        </w:trPr>
        <w:tc>
          <w:tcPr>
            <w:tcW w:w="2538" w:type="dxa"/>
            <w:shd w:val="clear" w:color="auto" w:fill="auto"/>
            <w:vAlign w:val="center"/>
          </w:tcPr>
          <w:p w:rsidR="008D5E1A" w:rsidRPr="001A67B1" w:rsidRDefault="008D5E1A" w:rsidP="000B70E6">
            <w:pPr>
              <w:spacing w:after="0" w:line="240" w:lineRule="auto"/>
              <w:jc w:val="center"/>
              <w:rPr>
                <w:rFonts w:cs="Arial"/>
              </w:rPr>
            </w:pPr>
            <w:r>
              <w:rPr>
                <w:rFonts w:cs="Arial"/>
              </w:rPr>
              <w:t>Instrument devel</w:t>
            </w:r>
            <w:r w:rsidR="000B70E6">
              <w:rPr>
                <w:rFonts w:cs="Arial"/>
              </w:rPr>
              <w:t>opment, programming, and administration</w:t>
            </w:r>
            <w:r>
              <w:rPr>
                <w:rFonts w:cs="Arial"/>
              </w:rPr>
              <w:t xml:space="preserve"> preparation</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16</w:t>
            </w:r>
            <w:r w:rsidRPr="001A67B1">
              <w:rPr>
                <w:rFonts w:cs="Arial"/>
              </w:rPr>
              <w:t xml:space="preserve"> hrs. per survey</w:t>
            </w:r>
          </w:p>
        </w:tc>
        <w:tc>
          <w:tcPr>
            <w:tcW w:w="1620" w:type="dxa"/>
            <w:shd w:val="clear" w:color="auto" w:fill="auto"/>
            <w:vAlign w:val="center"/>
          </w:tcPr>
          <w:p w:rsidR="008D5E1A" w:rsidRDefault="008D5E1A" w:rsidP="00EA71DE">
            <w:pPr>
              <w:spacing w:after="0" w:line="240" w:lineRule="auto"/>
              <w:jc w:val="center"/>
              <w:rPr>
                <w:rFonts w:cs="Arial"/>
              </w:rPr>
            </w:pPr>
            <w:r>
              <w:rPr>
                <w:rFonts w:cs="Arial"/>
              </w:rPr>
              <w:t>$37.13</w:t>
            </w:r>
          </w:p>
          <w:p w:rsidR="008D5E1A" w:rsidRPr="001A67B1" w:rsidRDefault="008D5E1A" w:rsidP="00EA71DE">
            <w:pPr>
              <w:spacing w:after="0" w:line="240" w:lineRule="auto"/>
              <w:jc w:val="center"/>
              <w:rPr>
                <w:rFonts w:cs="Arial"/>
              </w:rPr>
            </w:pPr>
            <w:r>
              <w:rPr>
                <w:rFonts w:cs="Arial"/>
              </w:rPr>
              <w:t>(GS-12</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$594.08</w:t>
            </w:r>
          </w:p>
        </w:tc>
      </w:tr>
      <w:tr w:rsidR="000B70E6" w:rsidRPr="001A67B1" w:rsidTr="00D1749E">
        <w:trPr>
          <w:jc w:val="center"/>
        </w:trPr>
        <w:tc>
          <w:tcPr>
            <w:tcW w:w="2538" w:type="dxa"/>
            <w:shd w:val="clear" w:color="auto" w:fill="auto"/>
            <w:vAlign w:val="center"/>
          </w:tcPr>
          <w:p w:rsidR="008D5E1A" w:rsidRPr="001A67B1" w:rsidRDefault="008D5E1A" w:rsidP="008D5E1A">
            <w:pPr>
              <w:spacing w:after="0" w:line="240" w:lineRule="auto"/>
              <w:jc w:val="center"/>
              <w:rPr>
                <w:rFonts w:cs="Arial"/>
              </w:rPr>
            </w:pPr>
            <w:r>
              <w:rPr>
                <w:rFonts w:cs="Arial"/>
              </w:rPr>
              <w:t xml:space="preserve">Data cleaning, analysis, </w:t>
            </w:r>
            <w:r w:rsidR="000B70E6">
              <w:rPr>
                <w:rFonts w:cs="Arial"/>
              </w:rPr>
              <w:t xml:space="preserve">and </w:t>
            </w:r>
            <w:r>
              <w:rPr>
                <w:rFonts w:cs="Arial"/>
              </w:rPr>
              <w:t xml:space="preserve">report writing </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24</w:t>
            </w:r>
            <w:r w:rsidRPr="001A67B1">
              <w:rPr>
                <w:rFonts w:cs="Arial"/>
              </w:rPr>
              <w:t xml:space="preserve"> hrs. per survey</w:t>
            </w:r>
          </w:p>
        </w:tc>
        <w:tc>
          <w:tcPr>
            <w:tcW w:w="1620" w:type="dxa"/>
            <w:shd w:val="clear" w:color="auto" w:fill="auto"/>
            <w:vAlign w:val="center"/>
          </w:tcPr>
          <w:p w:rsidR="008D5E1A" w:rsidRDefault="008D5E1A" w:rsidP="001A67B1">
            <w:pPr>
              <w:spacing w:after="0" w:line="240" w:lineRule="auto"/>
              <w:jc w:val="center"/>
              <w:rPr>
                <w:rFonts w:cs="Arial"/>
              </w:rPr>
            </w:pPr>
            <w:r>
              <w:rPr>
                <w:rFonts w:cs="Arial"/>
              </w:rPr>
              <w:t>$44.15</w:t>
            </w:r>
          </w:p>
          <w:p w:rsidR="008D5E1A" w:rsidRPr="001A67B1" w:rsidRDefault="008D5E1A" w:rsidP="001A67B1">
            <w:pPr>
              <w:spacing w:after="0" w:line="240" w:lineRule="auto"/>
              <w:jc w:val="center"/>
              <w:rPr>
                <w:rFonts w:cs="Arial"/>
              </w:rPr>
            </w:pPr>
            <w:r>
              <w:rPr>
                <w:rFonts w:cs="Arial"/>
              </w:rPr>
              <w:t>(GS-13</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$1,059.60</w:t>
            </w:r>
          </w:p>
        </w:tc>
      </w:tr>
      <w:tr w:rsidR="000B70E6" w:rsidRPr="001A67B1" w:rsidTr="00D1749E">
        <w:trPr>
          <w:jc w:val="center"/>
        </w:trPr>
        <w:tc>
          <w:tcPr>
            <w:tcW w:w="2538" w:type="dxa"/>
            <w:shd w:val="clear" w:color="auto" w:fill="auto"/>
            <w:vAlign w:val="center"/>
          </w:tcPr>
          <w:p w:rsidR="008D5E1A" w:rsidRDefault="008D5E1A" w:rsidP="008D5E1A">
            <w:pPr>
              <w:spacing w:after="0" w:line="240" w:lineRule="auto"/>
              <w:jc w:val="center"/>
              <w:rPr>
                <w:rFonts w:cs="Arial"/>
              </w:rPr>
            </w:pPr>
            <w:r w:rsidRPr="008D5E1A">
              <w:rPr>
                <w:rFonts w:cs="Arial"/>
              </w:rPr>
              <w:t>Operational and Maintenance Costs</w:t>
            </w:r>
          </w:p>
        </w:tc>
        <w:tc>
          <w:tcPr>
            <w:tcW w:w="180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62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890" w:type="dxa"/>
            <w:vAlign w:val="center"/>
          </w:tcPr>
          <w:p w:rsidR="008D5E1A" w:rsidRDefault="008D5E1A" w:rsidP="001A67B1">
            <w:pPr>
              <w:spacing w:after="0" w:line="240" w:lineRule="auto"/>
              <w:jc w:val="center"/>
              <w:rPr>
                <w:rFonts w:cs="Arial"/>
              </w:rPr>
            </w:pPr>
            <w:r>
              <w:rPr>
                <w:rFonts w:cs="Arial"/>
              </w:rPr>
              <w:t>$200</w:t>
            </w:r>
            <w:r w:rsidR="00DF70CC">
              <w:rPr>
                <w:rFonts w:cs="Arial"/>
              </w:rPr>
              <w:t>.00</w:t>
            </w:r>
          </w:p>
        </w:tc>
        <w:tc>
          <w:tcPr>
            <w:tcW w:w="1728" w:type="dxa"/>
            <w:shd w:val="clear" w:color="auto" w:fill="auto"/>
            <w:vAlign w:val="center"/>
          </w:tcPr>
          <w:p w:rsidR="008D5E1A" w:rsidRDefault="00D1749E" w:rsidP="001A67B1">
            <w:pPr>
              <w:spacing w:after="0" w:line="240" w:lineRule="auto"/>
              <w:jc w:val="center"/>
              <w:rPr>
                <w:rFonts w:cs="Arial"/>
              </w:rPr>
            </w:pPr>
            <w:r>
              <w:rPr>
                <w:rFonts w:cs="Arial"/>
              </w:rPr>
              <w:t>$200</w:t>
            </w:r>
            <w:r w:rsidR="00DF70CC">
              <w:rPr>
                <w:rFonts w:cs="Arial"/>
              </w:rPr>
              <w:t>.00</w:t>
            </w:r>
          </w:p>
        </w:tc>
      </w:tr>
      <w:tr w:rsidR="000B70E6" w:rsidRPr="001A67B1" w:rsidTr="00D1749E">
        <w:trPr>
          <w:jc w:val="center"/>
        </w:trPr>
        <w:tc>
          <w:tcPr>
            <w:tcW w:w="2538" w:type="dxa"/>
            <w:shd w:val="clear" w:color="auto" w:fill="auto"/>
            <w:vAlign w:val="center"/>
          </w:tcPr>
          <w:p w:rsidR="008D5E1A" w:rsidRPr="001A67B1" w:rsidRDefault="008D5E1A" w:rsidP="001A67B1">
            <w:pPr>
              <w:spacing w:after="0" w:line="240" w:lineRule="auto"/>
              <w:jc w:val="center"/>
              <w:rPr>
                <w:rFonts w:cs="Arial"/>
                <w:b/>
              </w:rPr>
            </w:pPr>
            <w:r w:rsidRPr="001A67B1">
              <w:rPr>
                <w:rFonts w:cs="Arial"/>
                <w:b/>
              </w:rPr>
              <w:t>Total</w:t>
            </w:r>
          </w:p>
        </w:tc>
        <w:tc>
          <w:tcPr>
            <w:tcW w:w="1800" w:type="dxa"/>
            <w:shd w:val="clear" w:color="auto" w:fill="auto"/>
            <w:vAlign w:val="center"/>
          </w:tcPr>
          <w:p w:rsidR="008D5E1A" w:rsidRPr="001A67B1" w:rsidRDefault="008D5E1A" w:rsidP="001A67B1">
            <w:pPr>
              <w:spacing w:after="0" w:line="240" w:lineRule="auto"/>
              <w:jc w:val="center"/>
              <w:rPr>
                <w:rFonts w:cs="Arial"/>
                <w:b/>
              </w:rPr>
            </w:pPr>
            <w:r>
              <w:rPr>
                <w:rFonts w:cs="Arial"/>
                <w:b/>
              </w:rPr>
              <w:t>40</w:t>
            </w:r>
            <w:r w:rsidRPr="001A67B1">
              <w:rPr>
                <w:rFonts w:cs="Arial"/>
                <w:b/>
              </w:rPr>
              <w:t xml:space="preserve"> hrs. per survey</w:t>
            </w:r>
          </w:p>
        </w:tc>
        <w:tc>
          <w:tcPr>
            <w:tcW w:w="1620" w:type="dxa"/>
            <w:shd w:val="clear" w:color="auto" w:fill="D9D9D9" w:themeFill="background1" w:themeFillShade="D9"/>
            <w:vAlign w:val="center"/>
          </w:tcPr>
          <w:p w:rsidR="008D5E1A" w:rsidRPr="001A67B1" w:rsidRDefault="008D5E1A" w:rsidP="001A67B1">
            <w:pPr>
              <w:spacing w:after="0" w:line="240" w:lineRule="auto"/>
              <w:jc w:val="center"/>
              <w:rPr>
                <w:rFonts w:cs="Arial"/>
                <w:b/>
              </w:rPr>
            </w:pP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b/>
              </w:rPr>
            </w:pPr>
          </w:p>
        </w:tc>
        <w:tc>
          <w:tcPr>
            <w:tcW w:w="1728" w:type="dxa"/>
            <w:shd w:val="clear" w:color="auto" w:fill="auto"/>
            <w:vAlign w:val="center"/>
          </w:tcPr>
          <w:p w:rsidR="008D5E1A" w:rsidRPr="001A67B1" w:rsidRDefault="008D5E1A" w:rsidP="001A67B1">
            <w:pPr>
              <w:spacing w:after="0" w:line="240" w:lineRule="auto"/>
              <w:jc w:val="center"/>
              <w:rPr>
                <w:rFonts w:cs="Arial"/>
                <w:b/>
              </w:rPr>
            </w:pPr>
            <w:r>
              <w:rPr>
                <w:rFonts w:cs="Arial"/>
                <w:b/>
              </w:rPr>
              <w:t>$1,</w:t>
            </w:r>
            <w:r w:rsidR="00D1749E">
              <w:rPr>
                <w:rFonts w:cs="Arial"/>
                <w:b/>
              </w:rPr>
              <w:t>8</w:t>
            </w:r>
            <w:r>
              <w:rPr>
                <w:rFonts w:cs="Arial"/>
                <w:b/>
              </w:rPr>
              <w:t>53.68</w:t>
            </w:r>
          </w:p>
        </w:tc>
      </w:tr>
    </w:tbl>
    <w:p w:rsidR="00982095" w:rsidRDefault="00982095">
      <w:pPr>
        <w:spacing w:after="0" w:line="240" w:lineRule="auto"/>
      </w:pPr>
    </w:p>
    <w:p w:rsidR="00A51AC7" w:rsidRDefault="00A51AC7" w:rsidP="00A51AC7">
      <w:pPr>
        <w:spacing w:after="0" w:line="240" w:lineRule="auto"/>
        <w:rPr>
          <w:b/>
          <w:bCs/>
        </w:rPr>
      </w:pPr>
    </w:p>
    <w:p w:rsidR="00A51AC7" w:rsidRPr="001A67B1" w:rsidRDefault="00A51AC7" w:rsidP="00A51AC7">
      <w:pPr>
        <w:spacing w:after="0" w:line="240" w:lineRule="auto"/>
        <w:rPr>
          <w:b/>
          <w:bCs/>
        </w:rPr>
      </w:pPr>
      <w:r w:rsidRPr="001A67B1">
        <w:rPr>
          <w:b/>
          <w:bCs/>
          <w:shd w:val="clear" w:color="auto" w:fill="FFFFFF" w:themeFill="background1"/>
        </w:rPr>
        <w:t xml:space="preserve">Table </w:t>
      </w:r>
      <w:r w:rsidRPr="001A67B1">
        <w:rPr>
          <w:b/>
          <w:bCs/>
          <w:shd w:val="clear" w:color="auto" w:fill="FFFFFF" w:themeFill="background1"/>
        </w:rPr>
        <w:fldChar w:fldCharType="begin"/>
      </w:r>
      <w:r w:rsidRPr="001A67B1">
        <w:rPr>
          <w:b/>
          <w:bCs/>
          <w:shd w:val="clear" w:color="auto" w:fill="FFFFFF" w:themeFill="background1"/>
        </w:rPr>
        <w:instrText xml:space="preserve"> SEQ Table \* ARABIC </w:instrText>
      </w:r>
      <w:r w:rsidRPr="001A67B1">
        <w:rPr>
          <w:b/>
          <w:bCs/>
          <w:shd w:val="clear" w:color="auto" w:fill="FFFFFF" w:themeFill="background1"/>
        </w:rPr>
        <w:fldChar w:fldCharType="separate"/>
      </w:r>
      <w:r w:rsidR="0008232C">
        <w:rPr>
          <w:b/>
          <w:bCs/>
          <w:noProof/>
          <w:shd w:val="clear" w:color="auto" w:fill="FFFFFF" w:themeFill="background1"/>
        </w:rPr>
        <w:t>4</w:t>
      </w:r>
      <w:r w:rsidRPr="001A67B1">
        <w:rPr>
          <w:shd w:val="clear" w:color="auto" w:fill="FFFFFF" w:themeFill="background1"/>
        </w:rPr>
        <w:fldChar w:fldCharType="end"/>
      </w:r>
      <w:r w:rsidRPr="001A67B1">
        <w:rPr>
          <w:b/>
          <w:bCs/>
          <w:shd w:val="clear" w:color="auto" w:fill="FFFFFF" w:themeFill="background1"/>
        </w:rPr>
        <w:t xml:space="preserve"> </w:t>
      </w:r>
      <w:r w:rsidR="00EA71DE">
        <w:rPr>
          <w:b/>
          <w:bCs/>
          <w:shd w:val="clear" w:color="auto" w:fill="FFFFFF" w:themeFill="background1"/>
        </w:rPr>
        <w:t>–</w:t>
      </w:r>
      <w:r w:rsidRPr="001A67B1">
        <w:rPr>
          <w:b/>
          <w:bCs/>
        </w:rPr>
        <w:t xml:space="preserve"> </w:t>
      </w:r>
      <w:r w:rsidR="00EA71DE">
        <w:rPr>
          <w:b/>
          <w:bCs/>
        </w:rPr>
        <w:t>Total Estimate</w:t>
      </w:r>
      <w:r w:rsidRPr="001A67B1">
        <w:rPr>
          <w:b/>
          <w:bCs/>
        </w:rPr>
        <w:t xml:space="preserve"> of Costs to the Federal Government</w:t>
      </w:r>
    </w:p>
    <w:p w:rsidR="00A51AC7" w:rsidRPr="001A67B1" w:rsidRDefault="00A51A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tblGrid>
      <w:tr w:rsidR="00EA71DE" w:rsidRPr="00A51AC7" w:rsidTr="00D1749E">
        <w:tc>
          <w:tcPr>
            <w:tcW w:w="2538" w:type="dxa"/>
            <w:shd w:val="clear" w:color="auto" w:fill="auto"/>
            <w:vAlign w:val="center"/>
          </w:tcPr>
          <w:p w:rsidR="00EA71DE" w:rsidRPr="00A51AC7" w:rsidRDefault="00EA71DE" w:rsidP="00EA71DE">
            <w:pPr>
              <w:spacing w:after="0" w:line="240" w:lineRule="auto"/>
              <w:jc w:val="center"/>
              <w:rPr>
                <w:rFonts w:eastAsia="Times New Roman" w:cs="Arial"/>
                <w:b/>
              </w:rPr>
            </w:pPr>
            <w:r>
              <w:rPr>
                <w:rFonts w:eastAsia="Times New Roman" w:cs="Arial"/>
                <w:b/>
              </w:rPr>
              <w:t xml:space="preserve">Annual # of Surveys </w:t>
            </w:r>
          </w:p>
        </w:tc>
        <w:tc>
          <w:tcPr>
            <w:tcW w:w="180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Average Cost per Survey</w:t>
            </w:r>
          </w:p>
        </w:tc>
        <w:tc>
          <w:tcPr>
            <w:tcW w:w="162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Annual Cost</w:t>
            </w:r>
          </w:p>
        </w:tc>
      </w:tr>
      <w:tr w:rsidR="00EA71DE" w:rsidRPr="00A51AC7" w:rsidTr="00D1749E">
        <w:tc>
          <w:tcPr>
            <w:tcW w:w="2538" w:type="dxa"/>
            <w:shd w:val="clear" w:color="auto" w:fill="auto"/>
            <w:vAlign w:val="center"/>
          </w:tcPr>
          <w:p w:rsidR="00EA71DE" w:rsidRPr="00A51AC7" w:rsidRDefault="00EA71DE" w:rsidP="00A51AC7">
            <w:pPr>
              <w:spacing w:after="0" w:line="240" w:lineRule="auto"/>
              <w:jc w:val="center"/>
              <w:rPr>
                <w:rFonts w:eastAsia="Times New Roman" w:cs="Arial"/>
              </w:rPr>
            </w:pPr>
            <w:r>
              <w:rPr>
                <w:rFonts w:eastAsia="Times New Roman" w:cs="Arial"/>
              </w:rPr>
              <w:t>100</w:t>
            </w:r>
          </w:p>
        </w:tc>
        <w:tc>
          <w:tcPr>
            <w:tcW w:w="180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$1,</w:t>
            </w:r>
            <w:r w:rsidR="00D1749E">
              <w:rPr>
                <w:rFonts w:eastAsia="Times New Roman" w:cs="Arial"/>
              </w:rPr>
              <w:t>8</w:t>
            </w:r>
            <w:r>
              <w:rPr>
                <w:rFonts w:eastAsia="Times New Roman" w:cs="Arial"/>
              </w:rPr>
              <w:t>53.68</w:t>
            </w:r>
          </w:p>
        </w:tc>
        <w:tc>
          <w:tcPr>
            <w:tcW w:w="162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w:t>
            </w:r>
            <w:r w:rsidR="00D1749E">
              <w:rPr>
                <w:rFonts w:eastAsia="Times New Roman" w:cs="Arial"/>
              </w:rPr>
              <w:t>18</w:t>
            </w:r>
            <w:r w:rsidR="00DF70CC">
              <w:rPr>
                <w:rFonts w:eastAsia="Times New Roman" w:cs="Arial"/>
              </w:rPr>
              <w:t>5,36</w:t>
            </w:r>
            <w:r>
              <w:rPr>
                <w:rFonts w:eastAsia="Times New Roman" w:cs="Arial"/>
              </w:rPr>
              <w:t>8</w:t>
            </w:r>
          </w:p>
        </w:tc>
      </w:tr>
    </w:tbl>
    <w:p w:rsidR="00A51AC7" w:rsidRDefault="00A51AC7">
      <w:pPr>
        <w:spacing w:after="0" w:line="240" w:lineRule="auto"/>
      </w:pPr>
    </w:p>
    <w:p w:rsidR="00A51AC7" w:rsidRDefault="00A51AC7">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B00318">
      <w:pPr>
        <w:spacing w:after="0" w:line="240" w:lineRule="auto"/>
        <w:rPr>
          <w:b/>
        </w:rPr>
      </w:pPr>
      <w:r w:rsidRPr="00B00318">
        <w:t>There has been no change in burden since the last approval.</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B00318">
      <w:pPr>
        <w:spacing w:after="0" w:line="240" w:lineRule="auto"/>
      </w:pPr>
      <w:r w:rsidRPr="00B00318">
        <w:t>We are not seeking approval to omit the display of the expiration date of the OMB approval on the collection instrument.</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B00318" w:rsidP="00737F44">
      <w:pPr>
        <w:spacing w:after="0" w:line="240" w:lineRule="auto"/>
        <w:ind w:hanging="360"/>
      </w:pPr>
      <w:r w:rsidRPr="00B00318">
        <w:t>We are not requesting any exemptions to the provisions stated in 5 CFR 1320.9.</w:t>
      </w:r>
    </w:p>
    <w:sectPr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44" w:rsidRDefault="008D5844">
      <w:pPr>
        <w:spacing w:after="0" w:line="240" w:lineRule="auto"/>
      </w:pPr>
      <w:r>
        <w:separator/>
      </w:r>
    </w:p>
  </w:endnote>
  <w:endnote w:type="continuationSeparator" w:id="0">
    <w:p w:rsidR="008D5844" w:rsidRDefault="008D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3384"/>
      <w:docPartObj>
        <w:docPartGallery w:val="Page Numbers (Bottom of Page)"/>
        <w:docPartUnique/>
      </w:docPartObj>
    </w:sdtPr>
    <w:sdtEndPr>
      <w:rPr>
        <w:noProof/>
      </w:rPr>
    </w:sdtEndPr>
    <w:sdtContent>
      <w:p w:rsidR="00465235" w:rsidRDefault="00465235">
        <w:pPr>
          <w:pStyle w:val="Footer"/>
          <w:jc w:val="center"/>
        </w:pPr>
        <w:r>
          <w:fldChar w:fldCharType="begin"/>
        </w:r>
        <w:r>
          <w:instrText xml:space="preserve"> PAGE   \* MERGEFORMAT </w:instrText>
        </w:r>
        <w:r>
          <w:fldChar w:fldCharType="separate"/>
        </w:r>
        <w:r w:rsidR="00E112B7">
          <w:rPr>
            <w:noProof/>
          </w:rPr>
          <w:t>1</w:t>
        </w:r>
        <w:r>
          <w:rPr>
            <w:noProof/>
          </w:rPr>
          <w:fldChar w:fldCharType="end"/>
        </w:r>
      </w:p>
    </w:sdtContent>
  </w:sdt>
  <w:p w:rsidR="00465235" w:rsidRDefault="0046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44" w:rsidRDefault="008D5844">
      <w:pPr>
        <w:spacing w:after="0" w:line="240" w:lineRule="auto"/>
      </w:pPr>
      <w:r>
        <w:separator/>
      </w:r>
    </w:p>
  </w:footnote>
  <w:footnote w:type="continuationSeparator" w:id="0">
    <w:p w:rsidR="008D5844" w:rsidRDefault="008D5844">
      <w:pPr>
        <w:spacing w:after="0" w:line="240" w:lineRule="auto"/>
      </w:pPr>
      <w:r>
        <w:continuationSeparator/>
      </w:r>
    </w:p>
  </w:footnote>
  <w:footnote w:id="1">
    <w:p w:rsidR="00E43507"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232C"/>
    <w:rsid w:val="000A410F"/>
    <w:rsid w:val="000B3C20"/>
    <w:rsid w:val="000B4026"/>
    <w:rsid w:val="000B70E6"/>
    <w:rsid w:val="000C0A7E"/>
    <w:rsid w:val="000C1411"/>
    <w:rsid w:val="00120A60"/>
    <w:rsid w:val="00153E20"/>
    <w:rsid w:val="001628A1"/>
    <w:rsid w:val="00172EEC"/>
    <w:rsid w:val="001A1E1C"/>
    <w:rsid w:val="001A26DD"/>
    <w:rsid w:val="001A67B1"/>
    <w:rsid w:val="001B43EE"/>
    <w:rsid w:val="001B5644"/>
    <w:rsid w:val="001E44AB"/>
    <w:rsid w:val="001E7A97"/>
    <w:rsid w:val="001F7BC9"/>
    <w:rsid w:val="00204BD7"/>
    <w:rsid w:val="00256D0E"/>
    <w:rsid w:val="0028156C"/>
    <w:rsid w:val="0029408A"/>
    <w:rsid w:val="002A35E6"/>
    <w:rsid w:val="002B0B32"/>
    <w:rsid w:val="002C110B"/>
    <w:rsid w:val="00324AF8"/>
    <w:rsid w:val="00336169"/>
    <w:rsid w:val="00377B51"/>
    <w:rsid w:val="00385443"/>
    <w:rsid w:val="003A2F20"/>
    <w:rsid w:val="003A7A16"/>
    <w:rsid w:val="003E339C"/>
    <w:rsid w:val="003F065D"/>
    <w:rsid w:val="003F5F2D"/>
    <w:rsid w:val="00404071"/>
    <w:rsid w:val="0044553C"/>
    <w:rsid w:val="00460EB1"/>
    <w:rsid w:val="00465235"/>
    <w:rsid w:val="00474C83"/>
    <w:rsid w:val="004970C8"/>
    <w:rsid w:val="004A1CF9"/>
    <w:rsid w:val="00507B5C"/>
    <w:rsid w:val="00513A34"/>
    <w:rsid w:val="005362FC"/>
    <w:rsid w:val="00562B18"/>
    <w:rsid w:val="00571BDB"/>
    <w:rsid w:val="00572831"/>
    <w:rsid w:val="005A10E3"/>
    <w:rsid w:val="005C6D12"/>
    <w:rsid w:val="005E5A3B"/>
    <w:rsid w:val="005F2B0A"/>
    <w:rsid w:val="00607287"/>
    <w:rsid w:val="006656C5"/>
    <w:rsid w:val="0067270D"/>
    <w:rsid w:val="006B2FF7"/>
    <w:rsid w:val="006C068A"/>
    <w:rsid w:val="006D4D23"/>
    <w:rsid w:val="00701CF7"/>
    <w:rsid w:val="007266F2"/>
    <w:rsid w:val="00731D48"/>
    <w:rsid w:val="00737F44"/>
    <w:rsid w:val="00742318"/>
    <w:rsid w:val="0074733F"/>
    <w:rsid w:val="007540C2"/>
    <w:rsid w:val="00771CE0"/>
    <w:rsid w:val="00783842"/>
    <w:rsid w:val="007903D0"/>
    <w:rsid w:val="007A268D"/>
    <w:rsid w:val="007B52F4"/>
    <w:rsid w:val="007E102D"/>
    <w:rsid w:val="008525D5"/>
    <w:rsid w:val="00894356"/>
    <w:rsid w:val="008A6FC5"/>
    <w:rsid w:val="008D5844"/>
    <w:rsid w:val="008D5E1A"/>
    <w:rsid w:val="008F17F5"/>
    <w:rsid w:val="008F21DF"/>
    <w:rsid w:val="00914716"/>
    <w:rsid w:val="00915BDA"/>
    <w:rsid w:val="00982095"/>
    <w:rsid w:val="009E75C8"/>
    <w:rsid w:val="00A12AC9"/>
    <w:rsid w:val="00A51AC7"/>
    <w:rsid w:val="00A52F7E"/>
    <w:rsid w:val="00A666FD"/>
    <w:rsid w:val="00A82E6C"/>
    <w:rsid w:val="00A96367"/>
    <w:rsid w:val="00AA3F96"/>
    <w:rsid w:val="00AC207F"/>
    <w:rsid w:val="00AC2497"/>
    <w:rsid w:val="00AF55E9"/>
    <w:rsid w:val="00B00318"/>
    <w:rsid w:val="00B322E2"/>
    <w:rsid w:val="00B96C90"/>
    <w:rsid w:val="00BA1806"/>
    <w:rsid w:val="00BC63CD"/>
    <w:rsid w:val="00BD13BB"/>
    <w:rsid w:val="00BE0599"/>
    <w:rsid w:val="00BF2E89"/>
    <w:rsid w:val="00BF7558"/>
    <w:rsid w:val="00C200D1"/>
    <w:rsid w:val="00C470BA"/>
    <w:rsid w:val="00C61970"/>
    <w:rsid w:val="00C62FA2"/>
    <w:rsid w:val="00CB4039"/>
    <w:rsid w:val="00CC2FDD"/>
    <w:rsid w:val="00CF62A9"/>
    <w:rsid w:val="00D1749E"/>
    <w:rsid w:val="00D30F06"/>
    <w:rsid w:val="00D53D34"/>
    <w:rsid w:val="00D64405"/>
    <w:rsid w:val="00D64AAF"/>
    <w:rsid w:val="00D92835"/>
    <w:rsid w:val="00D93FE0"/>
    <w:rsid w:val="00DA3AFF"/>
    <w:rsid w:val="00DE07E7"/>
    <w:rsid w:val="00DF70CC"/>
    <w:rsid w:val="00E112B7"/>
    <w:rsid w:val="00E13A8C"/>
    <w:rsid w:val="00E43507"/>
    <w:rsid w:val="00EA71DE"/>
    <w:rsid w:val="00EB2D61"/>
    <w:rsid w:val="00EB67AE"/>
    <w:rsid w:val="00ED0645"/>
    <w:rsid w:val="00F15BAA"/>
    <w:rsid w:val="00F24DEA"/>
    <w:rsid w:val="00F31E34"/>
    <w:rsid w:val="00F7072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0934937">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5FBB-EE08-412F-9855-69AE04E5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Reginald T CTR (USA)</dc:creator>
  <cp:lastModifiedBy>SYSTEM</cp:lastModifiedBy>
  <cp:revision>2</cp:revision>
  <cp:lastPrinted>2015-12-28T19:33:00Z</cp:lastPrinted>
  <dcterms:created xsi:type="dcterms:W3CDTF">2019-10-01T10:52:00Z</dcterms:created>
  <dcterms:modified xsi:type="dcterms:W3CDTF">2019-10-01T10:52:00Z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