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A6C04" w:rsidR="008D1294" w:rsidP="00EA6C04" w:rsidRDefault="00EA6C04" w14:paraId="06CDAE49" w14:textId="1D30B0BE">
      <w:pPr>
        <w:jc w:val="center"/>
        <w:rPr>
          <w:rFonts w:asciiTheme="majorHAnsi" w:hAnsiTheme="majorHAnsi"/>
          <w:sz w:val="28"/>
          <w:u w:val="single"/>
        </w:rPr>
      </w:pPr>
      <w:r w:rsidRPr="00EA6C04">
        <w:rPr>
          <w:rFonts w:asciiTheme="majorHAnsi" w:hAnsiTheme="majorHAnsi"/>
          <w:sz w:val="28"/>
          <w:u w:val="single"/>
        </w:rPr>
        <w:t>SUPPORTING STATEMENT - PART A</w:t>
      </w:r>
    </w:p>
    <w:p w:rsidR="00EA6C04" w:rsidP="00EA6C04" w:rsidRDefault="004111E4" w14:paraId="1BA3EB88" w14:textId="1E86FAE1">
      <w:pPr>
        <w:jc w:val="center"/>
        <w:rPr>
          <w:rFonts w:asciiTheme="majorHAnsi" w:hAnsiTheme="majorHAnsi"/>
          <w:sz w:val="24"/>
        </w:rPr>
      </w:pPr>
      <w:r w:rsidRPr="004111E4">
        <w:rPr>
          <w:rFonts w:asciiTheme="majorHAnsi" w:hAnsiTheme="majorHAnsi"/>
          <w:sz w:val="24"/>
        </w:rPr>
        <w:t xml:space="preserve">Assessment of </w:t>
      </w:r>
      <w:r w:rsidR="00AC3495">
        <w:rPr>
          <w:rFonts w:asciiTheme="majorHAnsi" w:hAnsiTheme="majorHAnsi"/>
          <w:sz w:val="24"/>
        </w:rPr>
        <w:t>Real Warriors</w:t>
      </w:r>
      <w:r w:rsidRPr="004111E4" w:rsidR="00AC3495">
        <w:rPr>
          <w:rFonts w:asciiTheme="majorHAnsi" w:hAnsiTheme="majorHAnsi"/>
          <w:sz w:val="24"/>
        </w:rPr>
        <w:t xml:space="preserve"> Campaign</w:t>
      </w:r>
      <w:r w:rsidR="00AC3495">
        <w:rPr>
          <w:rFonts w:asciiTheme="majorHAnsi" w:hAnsiTheme="majorHAnsi"/>
          <w:sz w:val="24"/>
        </w:rPr>
        <w:t>’s</w:t>
      </w:r>
      <w:r w:rsidRPr="004111E4" w:rsidR="00AC3495">
        <w:rPr>
          <w:rFonts w:asciiTheme="majorHAnsi" w:hAnsiTheme="majorHAnsi"/>
          <w:sz w:val="24"/>
        </w:rPr>
        <w:t xml:space="preserve"> </w:t>
      </w:r>
      <w:r w:rsidRPr="004111E4">
        <w:rPr>
          <w:rFonts w:asciiTheme="majorHAnsi" w:hAnsiTheme="majorHAnsi"/>
          <w:sz w:val="24"/>
        </w:rPr>
        <w:t xml:space="preserve">Impact on Negative Perceptions About Mental Health Conditions and Treatment and Awareness of </w:t>
      </w:r>
      <w:r w:rsidRPr="002D18E4">
        <w:rPr>
          <w:rFonts w:asciiTheme="majorHAnsi" w:hAnsiTheme="majorHAnsi"/>
          <w:sz w:val="24"/>
        </w:rPr>
        <w:t xml:space="preserve">Resources </w:t>
      </w:r>
      <w:r w:rsidRPr="002D18E4" w:rsidR="00EA6C04">
        <w:rPr>
          <w:rFonts w:asciiTheme="majorHAnsi" w:hAnsiTheme="majorHAnsi"/>
          <w:sz w:val="24"/>
        </w:rPr>
        <w:t>–</w:t>
      </w:r>
      <w:r w:rsidR="00F3308E">
        <w:rPr>
          <w:rFonts w:asciiTheme="majorHAnsi" w:hAnsiTheme="majorHAnsi"/>
          <w:sz w:val="24"/>
        </w:rPr>
        <w:t xml:space="preserve"> </w:t>
      </w:r>
      <w:r w:rsidRPr="009256EF" w:rsidR="009256EF">
        <w:rPr>
          <w:rFonts w:asciiTheme="majorHAnsi" w:hAnsiTheme="majorHAnsi"/>
          <w:sz w:val="24"/>
        </w:rPr>
        <w:t>0720-</w:t>
      </w:r>
      <w:r w:rsidR="00F3308E">
        <w:rPr>
          <w:rFonts w:asciiTheme="majorHAnsi" w:hAnsiTheme="majorHAnsi"/>
          <w:sz w:val="24"/>
        </w:rPr>
        <w:t>XXXX</w:t>
      </w:r>
    </w:p>
    <w:p w:rsidR="00EA6C04" w:rsidP="00EA6C04" w:rsidRDefault="00EA6C04" w14:paraId="7A8F7F0B" w14:textId="77777777">
      <w:pPr>
        <w:jc w:val="center"/>
        <w:rPr>
          <w:rFonts w:asciiTheme="majorHAnsi" w:hAnsiTheme="majorHAnsi"/>
          <w:sz w:val="24"/>
        </w:rPr>
      </w:pPr>
    </w:p>
    <w:p w:rsidRPr="005C7428" w:rsidR="005C7428" w:rsidP="006E563D" w:rsidRDefault="0027743E" w14:paraId="6E09C380"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p>
    <w:p w:rsidRPr="009256EF" w:rsidR="009256EF" w:rsidP="009256EF" w:rsidRDefault="009256EF" w14:paraId="21F2490B" w14:textId="1EA97623">
      <w:pPr>
        <w:spacing w:after="0" w:line="240" w:lineRule="auto"/>
        <w:rPr>
          <w:rFonts w:asciiTheme="majorHAnsi" w:hAnsiTheme="majorHAnsi"/>
          <w:sz w:val="24"/>
        </w:rPr>
      </w:pPr>
      <w:r w:rsidRPr="009256EF">
        <w:rPr>
          <w:rFonts w:asciiTheme="majorHAnsi" w:hAnsiTheme="majorHAnsi"/>
          <w:sz w:val="24"/>
        </w:rPr>
        <w:t xml:space="preserve">The Psychological Health Center of Excellence (formerly known as the Defense Centers of Excellence for Psychological Health and Traumatic Brain Injury) </w:t>
      </w:r>
      <w:r w:rsidR="00F3308E">
        <w:rPr>
          <w:rFonts w:asciiTheme="majorHAnsi" w:hAnsiTheme="majorHAnsi"/>
          <w:sz w:val="24"/>
        </w:rPr>
        <w:t>will</w:t>
      </w:r>
      <w:r w:rsidRPr="009256EF">
        <w:rPr>
          <w:rFonts w:asciiTheme="majorHAnsi" w:hAnsiTheme="majorHAnsi"/>
          <w:sz w:val="24"/>
        </w:rPr>
        <w:t xml:space="preserve"> </w:t>
      </w:r>
      <w:r w:rsidRPr="009256EF" w:rsidR="00F3308E">
        <w:rPr>
          <w:rFonts w:asciiTheme="majorHAnsi" w:hAnsiTheme="majorHAnsi"/>
          <w:sz w:val="24"/>
        </w:rPr>
        <w:t>evaluat</w:t>
      </w:r>
      <w:r w:rsidR="00F3308E">
        <w:rPr>
          <w:rFonts w:asciiTheme="majorHAnsi" w:hAnsiTheme="majorHAnsi"/>
          <w:sz w:val="24"/>
        </w:rPr>
        <w:t>e</w:t>
      </w:r>
      <w:r w:rsidRPr="009256EF" w:rsidR="00F3308E">
        <w:rPr>
          <w:rFonts w:asciiTheme="majorHAnsi" w:hAnsiTheme="majorHAnsi"/>
          <w:sz w:val="24"/>
        </w:rPr>
        <w:t xml:space="preserve"> </w:t>
      </w:r>
      <w:r w:rsidR="00AC3495">
        <w:rPr>
          <w:rFonts w:asciiTheme="majorHAnsi" w:hAnsiTheme="majorHAnsi"/>
          <w:sz w:val="24"/>
        </w:rPr>
        <w:t>the Real Warriors Campaign—their</w:t>
      </w:r>
      <w:r w:rsidRPr="009256EF">
        <w:rPr>
          <w:rFonts w:asciiTheme="majorHAnsi" w:hAnsiTheme="majorHAnsi"/>
          <w:sz w:val="24"/>
        </w:rPr>
        <w:t xml:space="preserve"> public awareness campaign aimed at overcoming negative perceptions of mental health conditions and treatment and promoting awareness of available resources. This work is being conducted to determine progress toward a Cross-Agency Priority Goal (CAP-G), designated in 2015 by former President Barack Obama</w:t>
      </w:r>
      <w:r w:rsidR="00465D7E">
        <w:rPr>
          <w:rFonts w:asciiTheme="majorHAnsi" w:hAnsiTheme="majorHAnsi"/>
          <w:sz w:val="24"/>
        </w:rPr>
        <w:t xml:space="preserve">. </w:t>
      </w:r>
      <w:r w:rsidRPr="001E1B38" w:rsidR="00465D7E">
        <w:rPr>
          <w:rFonts w:asciiTheme="majorHAnsi" w:hAnsiTheme="majorHAnsi"/>
          <w:sz w:val="24"/>
        </w:rPr>
        <w:t xml:space="preserve">To address </w:t>
      </w:r>
      <w:r w:rsidR="00465D7E">
        <w:rPr>
          <w:rFonts w:asciiTheme="majorHAnsi" w:hAnsiTheme="majorHAnsi"/>
          <w:sz w:val="24"/>
        </w:rPr>
        <w:t>“</w:t>
      </w:r>
      <w:r w:rsidRPr="00465D7E" w:rsidR="00465D7E">
        <w:rPr>
          <w:rFonts w:asciiTheme="majorHAnsi" w:hAnsiTheme="majorHAnsi"/>
          <w:sz w:val="24"/>
        </w:rPr>
        <w:t>Executive Order -- Improving Access to Mental Health Services for Veterans, Service Members, and Military Families</w:t>
      </w:r>
      <w:r w:rsidR="00465D7E">
        <w:rPr>
          <w:rFonts w:asciiTheme="majorHAnsi" w:hAnsiTheme="majorHAnsi"/>
          <w:sz w:val="24"/>
        </w:rPr>
        <w:t xml:space="preserve">” and </w:t>
      </w:r>
      <w:r w:rsidRPr="001E1B38" w:rsidR="00465D7E">
        <w:rPr>
          <w:rFonts w:asciiTheme="majorHAnsi" w:hAnsiTheme="majorHAnsi"/>
          <w:sz w:val="24"/>
        </w:rPr>
        <w:t xml:space="preserve">the </w:t>
      </w:r>
      <w:r w:rsidR="00F647E4">
        <w:rPr>
          <w:rFonts w:asciiTheme="majorHAnsi" w:hAnsiTheme="majorHAnsi"/>
          <w:sz w:val="24"/>
        </w:rPr>
        <w:t xml:space="preserve">subsequent </w:t>
      </w:r>
      <w:r w:rsidRPr="001E1B38" w:rsidR="00465D7E">
        <w:rPr>
          <w:rFonts w:asciiTheme="majorHAnsi" w:hAnsiTheme="majorHAnsi"/>
          <w:sz w:val="24"/>
        </w:rPr>
        <w:t>CAP-G, several workgroups</w:t>
      </w:r>
      <w:r w:rsidR="00964F4D">
        <w:rPr>
          <w:rFonts w:asciiTheme="majorHAnsi" w:hAnsiTheme="majorHAnsi"/>
          <w:sz w:val="24"/>
        </w:rPr>
        <w:t>,</w:t>
      </w:r>
      <w:r w:rsidRPr="001E1B38" w:rsidR="00465D7E">
        <w:rPr>
          <w:rFonts w:asciiTheme="majorHAnsi" w:hAnsiTheme="majorHAnsi"/>
          <w:sz w:val="24"/>
        </w:rPr>
        <w:t xml:space="preserve"> including the Barriers to Care workgroup</w:t>
      </w:r>
      <w:r w:rsidR="00964F4D">
        <w:rPr>
          <w:rFonts w:asciiTheme="majorHAnsi" w:hAnsiTheme="majorHAnsi"/>
          <w:sz w:val="24"/>
        </w:rPr>
        <w:t>,</w:t>
      </w:r>
      <w:r w:rsidRPr="001E1B38" w:rsidR="00465D7E">
        <w:rPr>
          <w:rFonts w:asciiTheme="majorHAnsi" w:hAnsiTheme="majorHAnsi"/>
          <w:sz w:val="24"/>
        </w:rPr>
        <w:t xml:space="preserve"> were formed. </w:t>
      </w:r>
      <w:r w:rsidRPr="009256EF">
        <w:rPr>
          <w:rFonts w:asciiTheme="majorHAnsi" w:hAnsiTheme="majorHAnsi"/>
          <w:sz w:val="24"/>
        </w:rPr>
        <w:t xml:space="preserve">DoD, VA, and HHS all operate mental health public awareness campaigns that pre-date the CAP-G, and the RAND National Defense Research Institute (RAND NDRI) was asked to conduct a comprehensive empirical cross-agency evaluation of several of these campaigns. The proposed information collection is one component of </w:t>
      </w:r>
      <w:r w:rsidR="00AC3495">
        <w:rPr>
          <w:rFonts w:asciiTheme="majorHAnsi" w:hAnsiTheme="majorHAnsi"/>
          <w:sz w:val="24"/>
        </w:rPr>
        <w:t>a</w:t>
      </w:r>
      <w:r w:rsidRPr="009256EF">
        <w:rPr>
          <w:rFonts w:asciiTheme="majorHAnsi" w:hAnsiTheme="majorHAnsi"/>
          <w:sz w:val="24"/>
        </w:rPr>
        <w:t xml:space="preserve"> broader comprehensive cross-agency evaluation. </w:t>
      </w:r>
    </w:p>
    <w:p w:rsidRPr="009256EF" w:rsidR="009256EF" w:rsidP="009256EF" w:rsidRDefault="009256EF" w14:paraId="66E8FEC4" w14:textId="77777777">
      <w:pPr>
        <w:spacing w:after="0" w:line="240" w:lineRule="auto"/>
        <w:rPr>
          <w:rFonts w:asciiTheme="majorHAnsi" w:hAnsiTheme="majorHAnsi"/>
          <w:sz w:val="24"/>
        </w:rPr>
      </w:pPr>
    </w:p>
    <w:p w:rsidR="009E09BF" w:rsidP="006E563D" w:rsidRDefault="009256EF" w14:paraId="33819718" w14:textId="51D1781E">
      <w:pPr>
        <w:spacing w:after="0" w:line="240" w:lineRule="auto"/>
        <w:rPr>
          <w:rFonts w:asciiTheme="majorHAnsi" w:hAnsiTheme="majorHAnsi"/>
          <w:sz w:val="24"/>
        </w:rPr>
      </w:pPr>
      <w:r w:rsidRPr="009256EF">
        <w:rPr>
          <w:rFonts w:asciiTheme="majorHAnsi" w:hAnsiTheme="majorHAnsi"/>
          <w:sz w:val="24"/>
        </w:rPr>
        <w:t xml:space="preserve">This study will present campaign materials to members of an online study panel (specifically recruiting panel members who are U.S. military service members and veterans, as well as panel members who have close family or friends who are service members or veterans). Participants will view the campaign materials and complete survey items both before and after viewing campaign materials to allow for assessment of change in attitudes, perceptions, beliefs, and intentions. </w:t>
      </w:r>
    </w:p>
    <w:p w:rsidR="00AF6251" w:rsidP="006E563D" w:rsidRDefault="00AF6251" w14:paraId="5AE0749C" w14:textId="77777777">
      <w:pPr>
        <w:spacing w:after="0" w:line="240" w:lineRule="auto"/>
        <w:rPr>
          <w:rFonts w:asciiTheme="majorHAnsi" w:hAnsiTheme="majorHAnsi"/>
          <w:sz w:val="24"/>
        </w:rPr>
      </w:pPr>
    </w:p>
    <w:p w:rsidR="00510F0C" w:rsidP="006E563D" w:rsidRDefault="00510F0C" w14:paraId="1CAE2B8D" w14:textId="77777777">
      <w:pPr>
        <w:spacing w:after="0" w:line="240" w:lineRule="auto"/>
        <w:rPr>
          <w:rFonts w:asciiTheme="majorHAnsi" w:hAnsiTheme="majorHAnsi"/>
          <w:sz w:val="24"/>
        </w:rPr>
      </w:pPr>
    </w:p>
    <w:p w:rsidR="00AF6251" w:rsidP="006E563D" w:rsidRDefault="00510F0C" w14:paraId="19938E29" w14:textId="11C67E5F">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Use of the Information</w:t>
      </w:r>
    </w:p>
    <w:p w:rsidRPr="0043314A" w:rsidR="005B578D" w:rsidP="0043314A" w:rsidRDefault="005B578D" w14:paraId="0A18F615" w14:textId="50C36D12">
      <w:pPr>
        <w:spacing w:after="0" w:line="240" w:lineRule="auto"/>
        <w:rPr>
          <w:rFonts w:asciiTheme="majorHAnsi" w:hAnsiTheme="majorHAnsi"/>
          <w:sz w:val="24"/>
        </w:rPr>
      </w:pPr>
    </w:p>
    <w:p w:rsidR="00AF6251" w:rsidP="003802E2" w:rsidRDefault="004111E4" w14:paraId="76E0D56F" w14:textId="25898973">
      <w:pPr>
        <w:pStyle w:val="NormalWeb"/>
        <w:spacing w:before="0" w:beforeAutospacing="0" w:after="0" w:afterAutospacing="0"/>
        <w:rPr>
          <w:rFonts w:asciiTheme="majorHAnsi" w:hAnsiTheme="majorHAnsi"/>
        </w:rPr>
      </w:pPr>
      <w:r w:rsidRPr="004111E4">
        <w:rPr>
          <w:rFonts w:asciiTheme="majorHAnsi" w:hAnsiTheme="majorHAnsi"/>
        </w:rPr>
        <w:t xml:space="preserve">The information obtained in this collection directly informs the evaluation requested by the </w:t>
      </w:r>
      <w:r w:rsidR="00AC3495">
        <w:rPr>
          <w:rFonts w:asciiTheme="majorHAnsi" w:hAnsiTheme="majorHAnsi"/>
        </w:rPr>
        <w:t xml:space="preserve">Psychological Health Center of Excellence to respond, in part, to </w:t>
      </w:r>
      <w:r w:rsidRPr="004111E4">
        <w:rPr>
          <w:rFonts w:asciiTheme="majorHAnsi" w:hAnsiTheme="majorHAnsi"/>
        </w:rPr>
        <w:t xml:space="preserve">monitor progress towards the CAP-G. </w:t>
      </w:r>
      <w:r w:rsidRPr="004111E4" w:rsidR="003C02B2">
        <w:rPr>
          <w:rFonts w:asciiTheme="majorHAnsi" w:hAnsiTheme="majorHAnsi"/>
        </w:rPr>
        <w:t xml:space="preserve">Information collected </w:t>
      </w:r>
      <w:r w:rsidR="003C02B2">
        <w:rPr>
          <w:rFonts w:asciiTheme="majorHAnsi" w:hAnsiTheme="majorHAnsi"/>
        </w:rPr>
        <w:t xml:space="preserve">is intended to </w:t>
      </w:r>
      <w:r w:rsidRPr="004111E4" w:rsidR="003C02B2">
        <w:rPr>
          <w:rFonts w:asciiTheme="majorHAnsi" w:hAnsiTheme="majorHAnsi"/>
        </w:rPr>
        <w:t xml:space="preserve">inform </w:t>
      </w:r>
      <w:r w:rsidR="003C02B2">
        <w:rPr>
          <w:rFonts w:asciiTheme="majorHAnsi" w:hAnsiTheme="majorHAnsi"/>
        </w:rPr>
        <w:t xml:space="preserve">our </w:t>
      </w:r>
      <w:r w:rsidRPr="004111E4" w:rsidR="003C02B2">
        <w:rPr>
          <w:rFonts w:asciiTheme="majorHAnsi" w:hAnsiTheme="majorHAnsi"/>
        </w:rPr>
        <w:t>understanding of how effective campaign materials can be in positively shifting attitudes, perceptions, beliefs, and intentions related to mental health and mental health treatme</w:t>
      </w:r>
      <w:r w:rsidR="003C02B2">
        <w:rPr>
          <w:rFonts w:asciiTheme="majorHAnsi" w:hAnsiTheme="majorHAnsi"/>
        </w:rPr>
        <w:t xml:space="preserve">nt and reducing barriers to mental health care. Providing this information to the campaign will allow proximally for campaign improvement and distally for improved mental health for service members and veterans. </w:t>
      </w:r>
      <w:r w:rsidRPr="004111E4">
        <w:rPr>
          <w:rFonts w:asciiTheme="majorHAnsi" w:hAnsiTheme="majorHAnsi"/>
        </w:rPr>
        <w:t xml:space="preserve">The information collected in this study will inform a report for </w:t>
      </w:r>
      <w:r w:rsidR="00CC4A1A">
        <w:rPr>
          <w:rFonts w:asciiTheme="majorHAnsi" w:hAnsiTheme="majorHAnsi"/>
        </w:rPr>
        <w:t>the Real Warriors staff and supervisors within DoD. The report will only be shared with the Real Warriors staff and supervisors for the purposes of improving their efforts</w:t>
      </w:r>
      <w:r w:rsidRPr="004111E4">
        <w:rPr>
          <w:rFonts w:asciiTheme="majorHAnsi" w:hAnsiTheme="majorHAnsi"/>
        </w:rPr>
        <w:t>.</w:t>
      </w:r>
      <w:r w:rsidR="00125043">
        <w:rPr>
          <w:rFonts w:asciiTheme="majorHAnsi" w:hAnsiTheme="majorHAnsi"/>
        </w:rPr>
        <w:t xml:space="preserve"> Due to limitations associated with online panel surveys like </w:t>
      </w:r>
      <w:proofErr w:type="spellStart"/>
      <w:r w:rsidR="00125043">
        <w:rPr>
          <w:rFonts w:asciiTheme="majorHAnsi" w:hAnsiTheme="majorHAnsi"/>
        </w:rPr>
        <w:t>KnowledgeNetworks</w:t>
      </w:r>
      <w:proofErr w:type="spellEnd"/>
      <w:r w:rsidR="00125043">
        <w:rPr>
          <w:rFonts w:asciiTheme="majorHAnsi" w:hAnsiTheme="majorHAnsi"/>
        </w:rPr>
        <w:t>, the results will not be released to the public or used to indicate program effectiveness to any parties outside of DoD.</w:t>
      </w:r>
    </w:p>
    <w:p w:rsidR="00AF6251" w:rsidP="003802E2" w:rsidRDefault="00AF6251" w14:paraId="6B4CC775" w14:textId="6CE0B2E1">
      <w:pPr>
        <w:pStyle w:val="NormalWeb"/>
        <w:spacing w:before="0" w:beforeAutospacing="0" w:after="0" w:afterAutospacing="0"/>
        <w:rPr>
          <w:rFonts w:asciiTheme="majorHAnsi" w:hAnsiTheme="majorHAnsi"/>
        </w:rPr>
      </w:pPr>
    </w:p>
    <w:p w:rsidRPr="003802E2" w:rsidR="00AF6251" w:rsidP="003802E2" w:rsidRDefault="00AF6251" w14:paraId="033B44A6" w14:textId="77777777">
      <w:pPr>
        <w:pStyle w:val="NormalWeb"/>
        <w:spacing w:before="0" w:beforeAutospacing="0" w:after="0" w:afterAutospacing="0"/>
        <w:rPr>
          <w:rFonts w:asciiTheme="majorHAnsi" w:hAnsiTheme="majorHAnsi"/>
        </w:rPr>
      </w:pPr>
    </w:p>
    <w:p w:rsidR="005C7428" w:rsidP="006E563D" w:rsidRDefault="005C7428" w14:paraId="1307A5DA"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Pr="004111E4" w:rsidR="004111E4" w:rsidP="006E563D" w:rsidRDefault="007525D4" w14:paraId="6EAB75B0" w14:textId="6CB5C740">
      <w:pPr>
        <w:spacing w:after="0" w:line="240" w:lineRule="auto"/>
        <w:rPr>
          <w:rFonts w:asciiTheme="majorHAnsi" w:hAnsiTheme="majorHAnsi"/>
          <w:sz w:val="24"/>
        </w:rPr>
      </w:pPr>
      <w:r>
        <w:rPr>
          <w:rFonts w:asciiTheme="majorHAnsi" w:hAnsiTheme="majorHAnsi"/>
          <w:sz w:val="24"/>
        </w:rPr>
        <w:t>100% of responses will be collected electronically because our d</w:t>
      </w:r>
      <w:r w:rsidRPr="004111E4" w:rsidR="004111E4">
        <w:rPr>
          <w:rFonts w:asciiTheme="majorHAnsi" w:hAnsiTheme="majorHAnsi"/>
          <w:sz w:val="24"/>
        </w:rPr>
        <w:t xml:space="preserve">ata collection </w:t>
      </w:r>
      <w:r>
        <w:rPr>
          <w:rFonts w:asciiTheme="majorHAnsi" w:hAnsiTheme="majorHAnsi"/>
          <w:sz w:val="24"/>
        </w:rPr>
        <w:t xml:space="preserve">is conducted </w:t>
      </w:r>
      <w:r w:rsidRPr="004111E4" w:rsidR="004111E4">
        <w:rPr>
          <w:rFonts w:asciiTheme="majorHAnsi" w:hAnsiTheme="majorHAnsi"/>
          <w:sz w:val="24"/>
        </w:rPr>
        <w:t>through an existing nationwide survey panel (</w:t>
      </w:r>
      <w:r>
        <w:rPr>
          <w:rFonts w:asciiTheme="majorHAnsi" w:hAnsiTheme="majorHAnsi"/>
          <w:sz w:val="24"/>
        </w:rPr>
        <w:t xml:space="preserve">the GfK </w:t>
      </w:r>
      <w:proofErr w:type="spellStart"/>
      <w:r w:rsidRPr="004111E4" w:rsidR="004111E4">
        <w:rPr>
          <w:rFonts w:asciiTheme="majorHAnsi" w:hAnsiTheme="majorHAnsi"/>
          <w:sz w:val="24"/>
        </w:rPr>
        <w:t>KnowledgePanel</w:t>
      </w:r>
      <w:proofErr w:type="spellEnd"/>
      <w:r w:rsidRPr="002D18E4" w:rsidR="004111E4">
        <w:rPr>
          <w:rFonts w:asciiTheme="majorHAnsi" w:hAnsiTheme="majorHAnsi"/>
          <w:sz w:val="28"/>
          <w:vertAlign w:val="superscript"/>
        </w:rPr>
        <w:t>®</w:t>
      </w:r>
      <w:r w:rsidRPr="004111E4" w:rsidR="004111E4">
        <w:rPr>
          <w:rFonts w:asciiTheme="majorHAnsi" w:hAnsiTheme="majorHAnsi"/>
          <w:sz w:val="24"/>
        </w:rPr>
        <w:t>)</w:t>
      </w:r>
      <w:r>
        <w:rPr>
          <w:rFonts w:asciiTheme="majorHAnsi" w:hAnsiTheme="majorHAnsi"/>
          <w:sz w:val="24"/>
        </w:rPr>
        <w:t xml:space="preserve">, </w:t>
      </w:r>
      <w:r w:rsidR="00AF261D">
        <w:rPr>
          <w:rFonts w:asciiTheme="majorHAnsi" w:hAnsiTheme="majorHAnsi"/>
          <w:sz w:val="24"/>
        </w:rPr>
        <w:t>and all aspects of data collection (e.g., recruitment, consent, completing the study) occur online.</w:t>
      </w:r>
    </w:p>
    <w:p w:rsidR="004111E4" w:rsidP="006E563D" w:rsidRDefault="004111E4" w14:paraId="42CEE470" w14:textId="13C53ECB">
      <w:pPr>
        <w:spacing w:after="0" w:line="240" w:lineRule="auto"/>
        <w:rPr>
          <w:rFonts w:asciiTheme="majorHAnsi" w:hAnsiTheme="majorHAnsi"/>
          <w:i/>
          <w:sz w:val="24"/>
        </w:rPr>
      </w:pPr>
    </w:p>
    <w:p w:rsidR="00AF6251" w:rsidP="006E563D" w:rsidRDefault="00AF6251" w14:paraId="1106A4DA" w14:textId="77777777">
      <w:pPr>
        <w:spacing w:after="0" w:line="240" w:lineRule="auto"/>
        <w:rPr>
          <w:rFonts w:asciiTheme="majorHAnsi" w:hAnsiTheme="majorHAnsi"/>
          <w:i/>
          <w:sz w:val="24"/>
        </w:rPr>
      </w:pPr>
    </w:p>
    <w:p w:rsidR="008635C4" w:rsidP="006E563D" w:rsidRDefault="008635C4" w14:paraId="161E6E23"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CA15B1" w:rsidP="006E563D" w:rsidRDefault="0041116B" w14:paraId="609F8E76" w14:textId="77777777">
      <w:pPr>
        <w:spacing w:after="0" w:line="240" w:lineRule="auto"/>
        <w:rPr>
          <w:rFonts w:asciiTheme="majorHAnsi" w:hAnsiTheme="majorHAnsi"/>
          <w:sz w:val="24"/>
        </w:rPr>
      </w:pPr>
      <w:r w:rsidRPr="0041116B">
        <w:rPr>
          <w:rFonts w:asciiTheme="majorHAnsi" w:hAnsiTheme="majorHAnsi"/>
          <w:sz w:val="24"/>
        </w:rPr>
        <w:t>The information obtained through this collection is unique and is not already available for use or adaptation from another cleared source.</w:t>
      </w:r>
    </w:p>
    <w:p w:rsidR="0041116B" w:rsidP="006E563D" w:rsidRDefault="0041116B" w14:paraId="64293A21" w14:textId="46EF0507">
      <w:pPr>
        <w:spacing w:after="0" w:line="240" w:lineRule="auto"/>
        <w:rPr>
          <w:rFonts w:asciiTheme="majorHAnsi" w:hAnsiTheme="majorHAnsi"/>
          <w:sz w:val="24"/>
        </w:rPr>
      </w:pPr>
    </w:p>
    <w:p w:rsidRPr="0041116B" w:rsidR="00AF6251" w:rsidP="006E563D" w:rsidRDefault="00AF6251" w14:paraId="5AA0C278" w14:textId="77777777">
      <w:pPr>
        <w:spacing w:after="0" w:line="240" w:lineRule="auto"/>
        <w:rPr>
          <w:rFonts w:asciiTheme="majorHAnsi" w:hAnsiTheme="majorHAnsi"/>
          <w:sz w:val="24"/>
        </w:rPr>
      </w:pPr>
    </w:p>
    <w:p w:rsidR="00CA15B1" w:rsidP="006E563D" w:rsidRDefault="00CA15B1" w14:paraId="1CA7E818"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2567F9" w:rsidP="006E563D" w:rsidRDefault="0041116B" w14:paraId="2039B626" w14:textId="77777777">
      <w:pPr>
        <w:spacing w:after="0" w:line="240" w:lineRule="auto"/>
        <w:rPr>
          <w:rFonts w:asciiTheme="majorHAnsi" w:hAnsiTheme="majorHAnsi"/>
          <w:sz w:val="24"/>
        </w:rPr>
      </w:pPr>
      <w:r w:rsidRPr="0041116B">
        <w:rPr>
          <w:rFonts w:asciiTheme="majorHAnsi" w:hAnsiTheme="majorHAnsi"/>
          <w:sz w:val="24"/>
        </w:rPr>
        <w:t>This information collection does not impose a significant economic impact on a substantial number of small businesses or entities.</w:t>
      </w:r>
    </w:p>
    <w:p w:rsidR="0041116B" w:rsidP="006E563D" w:rsidRDefault="0041116B" w14:paraId="610D841A" w14:textId="64516922">
      <w:pPr>
        <w:spacing w:after="0" w:line="240" w:lineRule="auto"/>
        <w:rPr>
          <w:rFonts w:asciiTheme="majorHAnsi" w:hAnsiTheme="majorHAnsi"/>
          <w:sz w:val="24"/>
        </w:rPr>
      </w:pPr>
    </w:p>
    <w:p w:rsidRPr="0041116B" w:rsidR="00AF6251" w:rsidP="006E563D" w:rsidRDefault="00AF6251" w14:paraId="223B1AA4" w14:textId="77777777">
      <w:pPr>
        <w:spacing w:after="0" w:line="240" w:lineRule="auto"/>
        <w:rPr>
          <w:rFonts w:asciiTheme="majorHAnsi" w:hAnsiTheme="majorHAnsi"/>
          <w:sz w:val="24"/>
        </w:rPr>
      </w:pPr>
    </w:p>
    <w:p w:rsidR="002567F9" w:rsidP="006E563D" w:rsidRDefault="002567F9" w14:paraId="5E91D167"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41116B" w:rsidP="006E563D" w:rsidRDefault="0041116B" w14:paraId="429C3EA2" w14:textId="4013470F">
      <w:pPr>
        <w:spacing w:after="0" w:line="240" w:lineRule="auto"/>
        <w:rPr>
          <w:rFonts w:asciiTheme="majorHAnsi" w:hAnsiTheme="majorHAnsi"/>
          <w:sz w:val="24"/>
        </w:rPr>
      </w:pPr>
      <w:r w:rsidRPr="0041116B">
        <w:rPr>
          <w:rFonts w:asciiTheme="majorHAnsi" w:hAnsiTheme="majorHAnsi"/>
          <w:sz w:val="24"/>
        </w:rPr>
        <w:t>This request is for a one-time data collection.</w:t>
      </w:r>
      <w:r w:rsidR="00F3308E">
        <w:rPr>
          <w:rFonts w:asciiTheme="majorHAnsi" w:hAnsiTheme="majorHAnsi"/>
          <w:sz w:val="24"/>
        </w:rPr>
        <w:t xml:space="preserve"> </w:t>
      </w:r>
      <w:r w:rsidRPr="00802129" w:rsidR="00802129">
        <w:rPr>
          <w:rFonts w:asciiTheme="majorHAnsi" w:hAnsiTheme="majorHAnsi"/>
          <w:sz w:val="24"/>
        </w:rPr>
        <w:t>If the data does not get collected, we will not have the needed number of responses to give us the power to do the proposed analyses.</w:t>
      </w:r>
    </w:p>
    <w:p w:rsidRPr="0041116B" w:rsidR="00AF6251" w:rsidP="006E563D" w:rsidRDefault="00AF6251" w14:paraId="55354F37" w14:textId="77777777">
      <w:pPr>
        <w:spacing w:after="0" w:line="240" w:lineRule="auto"/>
        <w:rPr>
          <w:rFonts w:asciiTheme="majorHAnsi" w:hAnsiTheme="majorHAnsi"/>
          <w:sz w:val="24"/>
        </w:rPr>
      </w:pPr>
    </w:p>
    <w:p w:rsidR="00AF6251" w:rsidP="003802E2" w:rsidRDefault="00F86C35" w14:paraId="25415944" w14:textId="2D70D1E6">
      <w:pPr>
        <w:spacing w:after="0" w:line="240" w:lineRule="auto"/>
        <w:rPr>
          <w:rFonts w:asciiTheme="majorHAnsi" w:hAnsiTheme="majorHAnsi"/>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41116B" w:rsidP="003802E2" w:rsidRDefault="0041116B" w14:paraId="52573A7D" w14:textId="7B3ABF85">
      <w:pPr>
        <w:spacing w:after="0" w:line="240" w:lineRule="auto"/>
        <w:rPr>
          <w:rFonts w:ascii="Cambria" w:hAnsi="Cambria"/>
        </w:rPr>
      </w:pPr>
      <w:r w:rsidRPr="003802E2">
        <w:rPr>
          <w:rFonts w:ascii="Cambria" w:hAnsi="Cambria"/>
          <w:sz w:val="24"/>
        </w:rPr>
        <w:t xml:space="preserve">This collection of information does not require collection to be conducted in a manner inconsistent with the guidelines delineated in 5 CFR 1320.5(d)(2). </w:t>
      </w:r>
    </w:p>
    <w:p w:rsidR="00AF6251" w:rsidP="003802E2" w:rsidRDefault="00AF6251" w14:paraId="17D23ABE" w14:textId="77245460">
      <w:pPr>
        <w:spacing w:after="0" w:line="240" w:lineRule="auto"/>
        <w:rPr>
          <w:rFonts w:ascii="Cambria" w:hAnsi="Cambria"/>
        </w:rPr>
      </w:pPr>
    </w:p>
    <w:p w:rsidRPr="003802E2" w:rsidR="00AF6251" w:rsidP="003802E2" w:rsidRDefault="00AF6251" w14:paraId="47C5E069" w14:textId="77777777">
      <w:pPr>
        <w:spacing w:after="0" w:line="240" w:lineRule="auto"/>
        <w:rPr>
          <w:rFonts w:ascii="Cambria" w:hAnsi="Cambria"/>
          <w:i/>
        </w:rPr>
      </w:pPr>
    </w:p>
    <w:p w:rsidR="00200261" w:rsidP="003802E2" w:rsidRDefault="00200261" w14:paraId="776BBA81" w14:textId="0D3EE79A">
      <w:pPr>
        <w:pStyle w:val="NormalWeb"/>
        <w:spacing w:before="0" w:beforeAutospacing="0" w:after="0" w:afterAutospacing="0"/>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AF6251" w:rsidP="003802E2" w:rsidRDefault="00AF6251" w14:paraId="4147AF0D" w14:textId="77777777">
      <w:pPr>
        <w:pStyle w:val="NormalWeb"/>
        <w:spacing w:before="0" w:beforeAutospacing="0" w:after="0" w:afterAutospacing="0"/>
        <w:rPr>
          <w:rFonts w:asciiTheme="majorHAnsi" w:hAnsiTheme="majorHAnsi" w:eastAsiaTheme="minorHAnsi" w:cstheme="minorBidi"/>
          <w:szCs w:val="22"/>
          <w:u w:val="single"/>
        </w:rPr>
      </w:pPr>
    </w:p>
    <w:p w:rsidR="00200261" w:rsidP="003802E2" w:rsidRDefault="00200261" w14:paraId="7ADED2AF" w14:textId="77777777">
      <w:pPr>
        <w:pStyle w:val="NormalWeb"/>
        <w:spacing w:before="0" w:beforeAutospacing="0" w:after="0" w:afterAutospacing="0"/>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AF6251" w:rsidP="003802E2" w:rsidRDefault="00AF6251" w14:paraId="5E0CC297" w14:textId="696C14B6">
      <w:pPr>
        <w:pStyle w:val="NormalWeb"/>
        <w:spacing w:before="0" w:beforeAutospacing="0" w:after="0" w:afterAutospacing="0"/>
        <w:rPr>
          <w:rFonts w:asciiTheme="majorHAnsi" w:hAnsiTheme="majorHAnsi" w:eastAsiaTheme="minorHAnsi" w:cstheme="minorBidi"/>
          <w:szCs w:val="22"/>
        </w:rPr>
      </w:pPr>
    </w:p>
    <w:p w:rsidR="00F3308E" w:rsidP="00F3308E" w:rsidRDefault="00F3308E" w14:paraId="67C8742F"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(FRN) for the collection published on </w:t>
      </w:r>
      <w:r w:rsidRPr="00200261">
        <w:rPr>
          <w:rFonts w:asciiTheme="majorHAnsi" w:hAnsiTheme="majorHAnsi" w:eastAsiaTheme="minorHAnsi" w:cstheme="minorBidi"/>
          <w:szCs w:val="22"/>
          <w:highlight w:val="yellow"/>
        </w:rPr>
        <w:t>(Day of the Week, Month Day, Year)</w:t>
      </w:r>
      <w:r>
        <w:rPr>
          <w:rFonts w:asciiTheme="majorHAnsi" w:hAnsiTheme="majorHAnsi" w:eastAsiaTheme="minorHAnsi" w:cstheme="minorBidi"/>
          <w:szCs w:val="22"/>
        </w:rPr>
        <w:t xml:space="preserve">.  The 60-Day FRN citation is </w:t>
      </w:r>
      <w:r w:rsidRPr="00200261">
        <w:rPr>
          <w:rFonts w:asciiTheme="majorHAnsi" w:hAnsiTheme="majorHAnsi" w:eastAsiaTheme="minorHAnsi" w:cstheme="minorBidi"/>
          <w:szCs w:val="22"/>
          <w:highlight w:val="yellow"/>
        </w:rPr>
        <w:t>(volume number)</w:t>
      </w:r>
      <w:r>
        <w:rPr>
          <w:rFonts w:asciiTheme="majorHAnsi" w:hAnsiTheme="majorHAnsi" w:eastAsiaTheme="minorHAnsi" w:cstheme="minorBidi"/>
          <w:szCs w:val="22"/>
        </w:rPr>
        <w:t xml:space="preserve"> FRN </w:t>
      </w:r>
      <w:r w:rsidRPr="00200261">
        <w:rPr>
          <w:rFonts w:asciiTheme="majorHAnsi" w:hAnsiTheme="majorHAnsi" w:eastAsiaTheme="minorHAnsi" w:cstheme="minorBidi"/>
          <w:szCs w:val="22"/>
          <w:highlight w:val="yellow"/>
        </w:rPr>
        <w:t>(Page number)</w:t>
      </w:r>
      <w:r>
        <w:rPr>
          <w:rFonts w:asciiTheme="majorHAnsi" w:hAnsiTheme="majorHAnsi" w:eastAsiaTheme="minorHAnsi" w:cstheme="minorBidi"/>
          <w:szCs w:val="22"/>
        </w:rPr>
        <w:t xml:space="preserve">. </w:t>
      </w:r>
    </w:p>
    <w:p w:rsidR="00F3308E" w:rsidP="00F3308E" w:rsidRDefault="00F3308E" w14:paraId="101E108F" w14:textId="77777777">
      <w:pPr>
        <w:pStyle w:val="NormalWeb"/>
        <w:spacing w:line="288" w:lineRule="atLeast"/>
        <w:rPr>
          <w:rFonts w:asciiTheme="majorHAnsi" w:hAnsiTheme="majorHAnsi" w:eastAsiaTheme="minorHAnsi" w:cstheme="minorBidi"/>
          <w:szCs w:val="22"/>
        </w:rPr>
      </w:pPr>
      <w:r w:rsidRPr="00200261">
        <w:rPr>
          <w:rFonts w:asciiTheme="majorHAnsi" w:hAnsiTheme="majorHAnsi" w:eastAsiaTheme="minorHAnsi" w:cstheme="minorBidi"/>
          <w:i/>
          <w:szCs w:val="22"/>
        </w:rPr>
        <w:t>(P): If you did not receive any comments on your 60-Day FRN, please state (ST):</w:t>
      </w:r>
      <w:r>
        <w:rPr>
          <w:rFonts w:asciiTheme="majorHAnsi" w:hAnsiTheme="majorHAnsi" w:eastAsiaTheme="minorHAnsi" w:cstheme="minorBidi"/>
          <w:szCs w:val="22"/>
        </w:rPr>
        <w:t xml:space="preserve"> </w:t>
      </w:r>
      <w:r w:rsidRPr="00200261">
        <w:rPr>
          <w:rFonts w:asciiTheme="majorHAnsi" w:hAnsiTheme="majorHAnsi" w:eastAsiaTheme="minorHAnsi" w:cstheme="minorBidi"/>
          <w:szCs w:val="22"/>
          <w:highlight w:val="cyan"/>
        </w:rPr>
        <w:t>No comments were received during the 60-Day Comment Period.</w:t>
      </w:r>
      <w:r>
        <w:rPr>
          <w:rFonts w:asciiTheme="majorHAnsi" w:hAnsiTheme="majorHAnsi" w:eastAsiaTheme="minorHAnsi" w:cstheme="minorBidi"/>
          <w:szCs w:val="22"/>
        </w:rPr>
        <w:t xml:space="preserve"> </w:t>
      </w:r>
    </w:p>
    <w:p w:rsidR="00F3308E" w:rsidP="00F3308E" w:rsidRDefault="00F3308E" w14:paraId="6C6DFD7C" w14:textId="77777777">
      <w:pPr>
        <w:pStyle w:val="NormalWeb"/>
        <w:spacing w:line="288" w:lineRule="atLeast"/>
        <w:rPr>
          <w:rFonts w:asciiTheme="majorHAnsi" w:hAnsiTheme="majorHAnsi" w:eastAsiaTheme="minorHAnsi" w:cstheme="minorBidi"/>
          <w:szCs w:val="22"/>
        </w:rPr>
      </w:pPr>
      <w:r w:rsidRPr="00571698">
        <w:rPr>
          <w:rFonts w:asciiTheme="majorHAnsi" w:hAnsiTheme="majorHAnsi" w:eastAsiaTheme="minorHAnsi" w:cstheme="minorBidi"/>
          <w:i/>
          <w:szCs w:val="22"/>
        </w:rPr>
        <w:t>(P): If you did receive comments on your 60-Day FRN, please state (ST):</w:t>
      </w:r>
      <w:r>
        <w:rPr>
          <w:rFonts w:asciiTheme="majorHAnsi" w:hAnsiTheme="majorHAnsi" w:eastAsiaTheme="minorHAnsi" w:cstheme="minorBidi"/>
          <w:szCs w:val="22"/>
        </w:rPr>
        <w:t xml:space="preserve"> </w:t>
      </w:r>
      <w:r w:rsidRPr="00200261">
        <w:rPr>
          <w:rFonts w:asciiTheme="majorHAnsi" w:hAnsiTheme="majorHAnsi" w:eastAsiaTheme="minorHAnsi" w:cstheme="minorBidi"/>
          <w:szCs w:val="22"/>
          <w:highlight w:val="yellow"/>
        </w:rPr>
        <w:t>(# of comments received)</w:t>
      </w:r>
      <w:r>
        <w:rPr>
          <w:rFonts w:asciiTheme="majorHAnsi" w:hAnsiTheme="majorHAnsi" w:eastAsiaTheme="minorHAnsi" w:cstheme="minorBidi"/>
          <w:szCs w:val="22"/>
        </w:rPr>
        <w:t xml:space="preserve"> </w:t>
      </w:r>
      <w:r w:rsidRPr="00200261">
        <w:rPr>
          <w:rFonts w:asciiTheme="majorHAnsi" w:hAnsiTheme="majorHAnsi" w:eastAsiaTheme="minorHAnsi" w:cstheme="minorBidi"/>
          <w:szCs w:val="22"/>
          <w:highlight w:val="cyan"/>
        </w:rPr>
        <w:t>comments were received during the 60-Day Comment Period. They are included below in the order they were received, as well as our Agency’s response to the comment.</w:t>
      </w:r>
      <w:r>
        <w:rPr>
          <w:rFonts w:asciiTheme="majorHAnsi" w:hAnsiTheme="majorHAnsi" w:eastAsiaTheme="minorHAnsi" w:cstheme="minorBidi"/>
          <w:szCs w:val="22"/>
        </w:rPr>
        <w:t xml:space="preserve"> </w:t>
      </w:r>
    </w:p>
    <w:p w:rsidR="00F3308E" w:rsidP="00F3308E" w:rsidRDefault="00F3308E" w14:paraId="52A27F72"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Pr="00200261">
        <w:rPr>
          <w:rFonts w:asciiTheme="majorHAnsi" w:hAnsiTheme="majorHAnsi" w:eastAsiaTheme="minorHAnsi" w:cstheme="minorBidi"/>
          <w:szCs w:val="22"/>
          <w:highlight w:val="yellow"/>
        </w:rPr>
        <w:t>(Day of the Week, Month Day, Year)</w:t>
      </w:r>
      <w:r>
        <w:rPr>
          <w:rFonts w:asciiTheme="majorHAnsi" w:hAnsiTheme="majorHAnsi" w:eastAsiaTheme="minorHAnsi" w:cstheme="minorBidi"/>
          <w:szCs w:val="22"/>
        </w:rPr>
        <w:t xml:space="preserve">.  The 30-Day FRN citation is </w:t>
      </w:r>
      <w:r w:rsidRPr="00200261">
        <w:rPr>
          <w:rFonts w:asciiTheme="majorHAnsi" w:hAnsiTheme="majorHAnsi" w:eastAsiaTheme="minorHAnsi" w:cstheme="minorBidi"/>
          <w:szCs w:val="22"/>
          <w:highlight w:val="yellow"/>
        </w:rPr>
        <w:t>(volume number)</w:t>
      </w:r>
      <w:r>
        <w:rPr>
          <w:rFonts w:asciiTheme="majorHAnsi" w:hAnsiTheme="majorHAnsi" w:eastAsiaTheme="minorHAnsi" w:cstheme="minorBidi"/>
          <w:szCs w:val="22"/>
        </w:rPr>
        <w:t xml:space="preserve"> FRN </w:t>
      </w:r>
      <w:r w:rsidRPr="00200261">
        <w:rPr>
          <w:rFonts w:asciiTheme="majorHAnsi" w:hAnsiTheme="majorHAnsi" w:eastAsiaTheme="minorHAnsi" w:cstheme="minorBidi"/>
          <w:szCs w:val="22"/>
          <w:highlight w:val="yellow"/>
        </w:rPr>
        <w:t>(Page number)</w:t>
      </w:r>
      <w:r>
        <w:rPr>
          <w:rFonts w:asciiTheme="majorHAnsi" w:hAnsiTheme="majorHAnsi" w:eastAsiaTheme="minorHAnsi" w:cstheme="minorBidi"/>
          <w:szCs w:val="22"/>
        </w:rPr>
        <w:t>.</w:t>
      </w:r>
    </w:p>
    <w:p w:rsidR="00F3308E" w:rsidP="003802E2" w:rsidRDefault="00F3308E" w14:paraId="72637E54" w14:textId="77777777">
      <w:pPr>
        <w:pStyle w:val="NormalWeb"/>
        <w:spacing w:before="0" w:beforeAutospacing="0" w:after="0" w:afterAutospacing="0"/>
        <w:rPr>
          <w:rFonts w:asciiTheme="majorHAnsi" w:hAnsiTheme="majorHAnsi" w:eastAsiaTheme="minorHAnsi" w:cstheme="minorBidi"/>
          <w:szCs w:val="22"/>
        </w:rPr>
      </w:pPr>
    </w:p>
    <w:p w:rsidR="00AF6251" w:rsidP="003802E2" w:rsidRDefault="00AF6251" w14:paraId="6C416DD7" w14:textId="77777777">
      <w:pPr>
        <w:pStyle w:val="NormalWeb"/>
        <w:spacing w:before="0" w:beforeAutospacing="0" w:after="0" w:afterAutospacing="0"/>
        <w:rPr>
          <w:rFonts w:asciiTheme="majorHAnsi" w:hAnsiTheme="majorHAnsi" w:eastAsiaTheme="minorHAnsi" w:cstheme="minorBidi"/>
          <w:szCs w:val="22"/>
        </w:rPr>
      </w:pPr>
    </w:p>
    <w:p w:rsidR="00200261" w:rsidP="003802E2" w:rsidRDefault="00200261" w14:paraId="4B422C81" w14:textId="6B31B032">
      <w:pPr>
        <w:pStyle w:val="NormalWeb"/>
        <w:spacing w:before="0" w:beforeAutospacing="0" w:after="0" w:afterAutospacing="0"/>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AF6251" w:rsidP="003802E2" w:rsidRDefault="00AF6251" w14:paraId="4DE4B585" w14:textId="77777777">
      <w:pPr>
        <w:pStyle w:val="NormalWeb"/>
        <w:spacing w:before="0" w:beforeAutospacing="0" w:after="0" w:afterAutospacing="0"/>
        <w:rPr>
          <w:rFonts w:asciiTheme="majorHAnsi" w:hAnsiTheme="majorHAnsi" w:eastAsiaTheme="minorHAnsi" w:cstheme="minorBidi"/>
          <w:szCs w:val="22"/>
        </w:rPr>
      </w:pPr>
    </w:p>
    <w:p w:rsidR="008E375F" w:rsidP="003802E2" w:rsidRDefault="008E375F" w14:paraId="0AC8B6A8" w14:textId="11ACCD78">
      <w:pPr>
        <w:pStyle w:val="NormalWeb"/>
        <w:spacing w:before="0" w:beforeAutospacing="0" w:after="0" w:afterAutospacing="0"/>
        <w:rPr>
          <w:rFonts w:asciiTheme="majorHAnsi" w:hAnsiTheme="majorHAnsi" w:eastAsiaTheme="minorHAnsi" w:cstheme="minorBidi"/>
          <w:szCs w:val="22"/>
        </w:rPr>
      </w:pPr>
      <w:r>
        <w:rPr>
          <w:rFonts w:asciiTheme="majorHAnsi" w:hAnsiTheme="majorHAnsi" w:eastAsiaTheme="minorHAnsi" w:cstheme="minorBidi"/>
          <w:szCs w:val="22"/>
        </w:rPr>
        <w:t xml:space="preserve">In addition to consulting with the sponsoring Agency, we sought input from several additional sources. We </w:t>
      </w:r>
      <w:r w:rsidR="00911A01">
        <w:rPr>
          <w:rFonts w:asciiTheme="majorHAnsi" w:hAnsiTheme="majorHAnsi" w:eastAsiaTheme="minorHAnsi" w:cstheme="minorBidi"/>
          <w:szCs w:val="22"/>
        </w:rPr>
        <w:t>orchestrated</w:t>
      </w:r>
      <w:r>
        <w:rPr>
          <w:rFonts w:asciiTheme="majorHAnsi" w:hAnsiTheme="majorHAnsi" w:eastAsiaTheme="minorHAnsi" w:cstheme="minorBidi"/>
          <w:szCs w:val="22"/>
        </w:rPr>
        <w:t xml:space="preserve"> a video teleconference with ten experts from</w:t>
      </w:r>
      <w:r w:rsidR="00911A01">
        <w:rPr>
          <w:rFonts w:asciiTheme="majorHAnsi" w:hAnsiTheme="majorHAnsi" w:eastAsiaTheme="minorHAnsi" w:cstheme="minorBidi"/>
          <w:szCs w:val="22"/>
        </w:rPr>
        <w:t xml:space="preserve"> within RAND</w:t>
      </w:r>
      <w:r>
        <w:rPr>
          <w:rFonts w:asciiTheme="majorHAnsi" w:hAnsiTheme="majorHAnsi" w:eastAsiaTheme="minorHAnsi" w:cstheme="minorBidi"/>
          <w:szCs w:val="22"/>
        </w:rPr>
        <w:t>. W</w:t>
      </w:r>
      <w:r w:rsidRPr="008E375F">
        <w:rPr>
          <w:rFonts w:asciiTheme="majorHAnsi" w:hAnsiTheme="majorHAnsi" w:eastAsiaTheme="minorHAnsi" w:cstheme="minorBidi"/>
          <w:szCs w:val="22"/>
        </w:rPr>
        <w:t>e conducted 30-60 minute, semi-structured telephone interviews with eight</w:t>
      </w:r>
      <w:r>
        <w:rPr>
          <w:rFonts w:asciiTheme="majorHAnsi" w:hAnsiTheme="majorHAnsi" w:eastAsiaTheme="minorHAnsi" w:cstheme="minorBidi"/>
          <w:szCs w:val="22"/>
        </w:rPr>
        <w:t xml:space="preserve"> nationally and internationally known</w:t>
      </w:r>
      <w:r w:rsidRPr="008E375F">
        <w:rPr>
          <w:rFonts w:asciiTheme="majorHAnsi" w:hAnsiTheme="majorHAnsi" w:eastAsiaTheme="minorHAnsi" w:cstheme="minorBidi"/>
          <w:szCs w:val="22"/>
        </w:rPr>
        <w:t xml:space="preserve"> experts external to RAND</w:t>
      </w:r>
      <w:r>
        <w:rPr>
          <w:rFonts w:asciiTheme="majorHAnsi" w:hAnsiTheme="majorHAnsi" w:eastAsiaTheme="minorHAnsi" w:cstheme="minorBidi"/>
          <w:szCs w:val="22"/>
        </w:rPr>
        <w:t xml:space="preserve">. We consulted the </w:t>
      </w:r>
      <w:r w:rsidRPr="008E375F">
        <w:rPr>
          <w:rFonts w:asciiTheme="majorHAnsi" w:hAnsiTheme="majorHAnsi" w:eastAsiaTheme="minorHAnsi" w:cstheme="minorBidi"/>
          <w:szCs w:val="22"/>
        </w:rPr>
        <w:t>CAP-G Barriers to Care workgroup</w:t>
      </w:r>
      <w:r>
        <w:rPr>
          <w:rFonts w:asciiTheme="majorHAnsi" w:hAnsiTheme="majorHAnsi" w:eastAsiaTheme="minorHAnsi" w:cstheme="minorBidi"/>
          <w:szCs w:val="22"/>
        </w:rPr>
        <w:t xml:space="preserve">, as well as staff from </w:t>
      </w:r>
      <w:r w:rsidR="00AC3495">
        <w:rPr>
          <w:rFonts w:asciiTheme="majorHAnsi" w:hAnsiTheme="majorHAnsi" w:eastAsiaTheme="minorHAnsi" w:cstheme="minorBidi"/>
          <w:szCs w:val="22"/>
        </w:rPr>
        <w:t>the Real Warriors</w:t>
      </w:r>
      <w:r>
        <w:rPr>
          <w:rFonts w:asciiTheme="majorHAnsi" w:hAnsiTheme="majorHAnsi" w:eastAsiaTheme="minorHAnsi" w:cstheme="minorBidi"/>
          <w:szCs w:val="22"/>
        </w:rPr>
        <w:t xml:space="preserve"> campaign. </w:t>
      </w:r>
    </w:p>
    <w:p w:rsidR="00AF6251" w:rsidP="003802E2" w:rsidRDefault="00AF6251" w14:paraId="5FC7C1BF" w14:textId="77777777">
      <w:pPr>
        <w:pStyle w:val="NormalWeb"/>
        <w:spacing w:before="0" w:beforeAutospacing="0" w:after="0" w:afterAutospacing="0"/>
        <w:rPr>
          <w:rFonts w:asciiTheme="majorHAnsi" w:hAnsiTheme="majorHAnsi"/>
        </w:rPr>
      </w:pPr>
    </w:p>
    <w:p w:rsidR="00AF6251" w:rsidP="003802E2" w:rsidRDefault="00AF6251" w14:paraId="4FC8C5B6" w14:textId="77777777">
      <w:pPr>
        <w:pStyle w:val="NormalWeb"/>
        <w:spacing w:before="0" w:beforeAutospacing="0" w:after="0" w:afterAutospacing="0"/>
        <w:rPr>
          <w:rFonts w:asciiTheme="majorHAnsi" w:hAnsiTheme="majorHAnsi"/>
        </w:rPr>
      </w:pPr>
    </w:p>
    <w:p w:rsidR="00571698" w:rsidP="003802E2" w:rsidRDefault="006A13FA" w14:paraId="3C50EBB9" w14:textId="0D60A5E4">
      <w:pPr>
        <w:pStyle w:val="NormalWeb"/>
        <w:spacing w:before="0" w:beforeAutospacing="0" w:after="0" w:afterAutospacing="0"/>
        <w:rPr>
          <w:rFonts w:asciiTheme="majorHAnsi" w:hAnsiTheme="majorHAnsi"/>
          <w:u w:val="single"/>
        </w:rPr>
      </w:pPr>
      <w:r w:rsidRPr="006A13FA">
        <w:rPr>
          <w:rFonts w:asciiTheme="majorHAnsi" w:hAnsiTheme="majorHAnsi"/>
        </w:rPr>
        <w:t xml:space="preserve">9. </w:t>
      </w:r>
      <w:r w:rsidRPr="006A13FA">
        <w:rPr>
          <w:rFonts w:asciiTheme="majorHAnsi" w:hAnsiTheme="majorHAnsi"/>
        </w:rPr>
        <w:tab/>
      </w:r>
      <w:r w:rsidRPr="006A13FA">
        <w:rPr>
          <w:rFonts w:asciiTheme="majorHAnsi" w:hAnsiTheme="majorHAnsi"/>
          <w:u w:val="single"/>
        </w:rPr>
        <w:t>Gifts or Payment</w:t>
      </w:r>
    </w:p>
    <w:p w:rsidR="0041116B" w:rsidP="003802E2" w:rsidRDefault="0041116B" w14:paraId="4F4CF228" w14:textId="2DB0E4CB">
      <w:pPr>
        <w:spacing w:after="0" w:line="240" w:lineRule="auto"/>
        <w:rPr>
          <w:rFonts w:asciiTheme="majorHAnsi" w:hAnsiTheme="majorHAnsi"/>
          <w:sz w:val="24"/>
          <w:szCs w:val="24"/>
        </w:rPr>
      </w:pPr>
      <w:r w:rsidRPr="0041116B">
        <w:rPr>
          <w:rFonts w:asciiTheme="majorHAnsi" w:hAnsiTheme="majorHAnsi"/>
          <w:sz w:val="24"/>
          <w:szCs w:val="24"/>
        </w:rPr>
        <w:t xml:space="preserve">Incentives for </w:t>
      </w:r>
      <w:r w:rsidR="00EC0306">
        <w:rPr>
          <w:rFonts w:asciiTheme="majorHAnsi" w:hAnsiTheme="majorHAnsi"/>
          <w:sz w:val="24"/>
          <w:szCs w:val="24"/>
        </w:rPr>
        <w:t xml:space="preserve">some </w:t>
      </w:r>
      <w:r w:rsidRPr="0041116B">
        <w:rPr>
          <w:rFonts w:asciiTheme="majorHAnsi" w:hAnsiTheme="majorHAnsi"/>
          <w:sz w:val="24"/>
          <w:szCs w:val="24"/>
        </w:rPr>
        <w:t>web surveys have been found to reduce refusals, increase the odds ratio of starting, and completion.</w:t>
      </w:r>
      <w:r w:rsidRPr="0041116B">
        <w:rPr>
          <w:rStyle w:val="FootnoteReference"/>
          <w:rFonts w:asciiTheme="majorHAnsi" w:hAnsiTheme="majorHAnsi"/>
          <w:sz w:val="24"/>
          <w:szCs w:val="24"/>
        </w:rPr>
        <w:footnoteReference w:id="1"/>
      </w:r>
      <w:r w:rsidRPr="0041116B">
        <w:rPr>
          <w:rFonts w:asciiTheme="majorHAnsi" w:hAnsiTheme="majorHAnsi"/>
          <w:sz w:val="24"/>
          <w:szCs w:val="24"/>
        </w:rPr>
        <w:t xml:space="preserve"> The survey vendor, GfK, offers an incentive program for </w:t>
      </w:r>
      <w:proofErr w:type="spellStart"/>
      <w:r w:rsidRPr="0041116B">
        <w:rPr>
          <w:rFonts w:asciiTheme="majorHAnsi" w:hAnsiTheme="majorHAnsi"/>
          <w:sz w:val="24"/>
          <w:szCs w:val="24"/>
        </w:rPr>
        <w:t>KnowledgePanel</w:t>
      </w:r>
      <w:bookmarkStart w:name="_Hlk518982545" w:id="0"/>
      <w:proofErr w:type="spellEnd"/>
      <w:r w:rsidRPr="005D1F83" w:rsidR="00F11B76">
        <w:rPr>
          <w:rFonts w:asciiTheme="majorHAnsi" w:hAnsiTheme="majorHAnsi"/>
          <w:sz w:val="28"/>
          <w:vertAlign w:val="superscript"/>
        </w:rPr>
        <w:t>®</w:t>
      </w:r>
      <w:bookmarkEnd w:id="0"/>
      <w:r w:rsidRPr="0041116B">
        <w:rPr>
          <w:rFonts w:asciiTheme="majorHAnsi" w:hAnsiTheme="majorHAnsi"/>
          <w:sz w:val="24"/>
          <w:szCs w:val="24"/>
        </w:rPr>
        <w:t xml:space="preserve"> participants. Respondents to the GfK’s surveys receive points for each survey they complete. Points can be redeemed for cash, merchandise, gift cards, or game entries. Additionally, members may also enter special sweepstakes (with both cash rewards and other prizes) that operate using a point system. Through taking the survey, participants will be offered points that they can accumulate or redeem for cash, merchandise, gift cards, or sweepstakes opportunities. For a 15-20 minute survey, participants are typically credited with 5,000 to 10,000 points, which roughly equates to $5 to $10 depending on the type of award selected by respondents when redeeming. </w:t>
      </w:r>
    </w:p>
    <w:p w:rsidR="00AF6251" w:rsidP="003802E2" w:rsidRDefault="00AF6251" w14:paraId="70049317" w14:textId="2C9F78E7">
      <w:pPr>
        <w:spacing w:after="0" w:line="240" w:lineRule="auto"/>
        <w:rPr>
          <w:rFonts w:asciiTheme="majorHAnsi" w:hAnsiTheme="majorHAnsi"/>
          <w:sz w:val="24"/>
          <w:szCs w:val="24"/>
        </w:rPr>
      </w:pPr>
    </w:p>
    <w:p w:rsidRPr="0041116B" w:rsidR="00AF6251" w:rsidP="003802E2" w:rsidRDefault="00AF6251" w14:paraId="7CEE0976" w14:textId="77777777">
      <w:pPr>
        <w:spacing w:after="0" w:line="240" w:lineRule="auto"/>
        <w:rPr>
          <w:rFonts w:asciiTheme="majorHAnsi" w:hAnsiTheme="majorHAnsi"/>
          <w:sz w:val="24"/>
          <w:szCs w:val="24"/>
        </w:rPr>
      </w:pPr>
    </w:p>
    <w:p w:rsidR="00F97482" w:rsidP="00A25815" w:rsidRDefault="00F97482" w14:paraId="07B21EC0"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41116B" w:rsidP="002D18E4" w:rsidRDefault="0041116B" w14:paraId="7DB1F8DD" w14:textId="77777777">
      <w:pPr>
        <w:spacing w:after="0" w:line="240" w:lineRule="auto"/>
        <w:rPr>
          <w:rFonts w:asciiTheme="majorHAnsi" w:hAnsiTheme="majorHAnsi"/>
          <w:sz w:val="24"/>
        </w:rPr>
      </w:pPr>
      <w:r w:rsidRPr="0041116B">
        <w:rPr>
          <w:rFonts w:asciiTheme="majorHAnsi" w:hAnsiTheme="majorHAnsi"/>
          <w:sz w:val="24"/>
        </w:rPr>
        <w:t>A Privacy Act Statement is not required for this collection because we are not requesting individuals to furnish personal information for a system of records.</w:t>
      </w:r>
    </w:p>
    <w:p w:rsidR="00E95FFB" w:rsidP="00E95FFB" w:rsidRDefault="00E95FFB" w14:paraId="2FA52A6D" w14:textId="77777777">
      <w:pPr>
        <w:spacing w:after="0" w:line="240" w:lineRule="auto"/>
        <w:rPr>
          <w:rFonts w:asciiTheme="majorHAnsi" w:hAnsiTheme="majorHAnsi"/>
          <w:sz w:val="24"/>
        </w:rPr>
      </w:pPr>
    </w:p>
    <w:p w:rsidR="0041116B" w:rsidP="002D18E4" w:rsidRDefault="0041116B" w14:paraId="3A83927D" w14:textId="77777777">
      <w:pPr>
        <w:spacing w:after="0" w:line="240" w:lineRule="auto"/>
        <w:rPr>
          <w:rFonts w:asciiTheme="majorHAnsi" w:hAnsiTheme="majorHAnsi"/>
          <w:sz w:val="24"/>
        </w:rPr>
      </w:pPr>
      <w:r w:rsidRPr="0041116B">
        <w:rPr>
          <w:rFonts w:asciiTheme="majorHAnsi" w:hAnsiTheme="majorHAnsi"/>
          <w:sz w:val="24"/>
        </w:rPr>
        <w:t>A System of Record Notice (SORN) is not required for this collection because records are not retrievable by PII.</w:t>
      </w:r>
    </w:p>
    <w:p w:rsidR="005D5C81" w:rsidP="00490797" w:rsidRDefault="005D5C81" w14:paraId="649787DF" w14:textId="77777777">
      <w:pPr>
        <w:spacing w:after="0" w:line="240" w:lineRule="auto"/>
        <w:rPr>
          <w:rFonts w:asciiTheme="majorHAnsi" w:hAnsiTheme="majorHAnsi"/>
          <w:sz w:val="24"/>
        </w:rPr>
      </w:pPr>
    </w:p>
    <w:p w:rsidR="0041116B" w:rsidP="002D18E4" w:rsidRDefault="0041116B" w14:paraId="2D3799D7" w14:textId="6CDA2D11">
      <w:pPr>
        <w:spacing w:after="0" w:line="240" w:lineRule="auto"/>
        <w:rPr>
          <w:rFonts w:asciiTheme="majorHAnsi" w:hAnsiTheme="majorHAnsi"/>
          <w:sz w:val="24"/>
        </w:rPr>
      </w:pPr>
      <w:r w:rsidRPr="0041116B">
        <w:rPr>
          <w:rFonts w:asciiTheme="majorHAnsi" w:hAnsiTheme="majorHAnsi"/>
          <w:sz w:val="24"/>
        </w:rPr>
        <w:t>A Privacy Impact Assessment (PIA) is not required for this collection because PII is not being collected electronically.</w:t>
      </w:r>
    </w:p>
    <w:p w:rsidR="009E09BF" w:rsidP="002D18E4" w:rsidRDefault="009E09BF" w14:paraId="08FFE47C" w14:textId="5BED0D89">
      <w:pPr>
        <w:spacing w:after="0" w:line="240" w:lineRule="auto"/>
        <w:rPr>
          <w:rFonts w:asciiTheme="majorHAnsi" w:hAnsiTheme="majorHAnsi"/>
          <w:sz w:val="24"/>
        </w:rPr>
      </w:pPr>
    </w:p>
    <w:p w:rsidRPr="00846719" w:rsidR="00964F4D" w:rsidP="00964F4D" w:rsidRDefault="00964F4D" w14:paraId="48CA4C12" w14:textId="77777777">
      <w:pPr>
        <w:pStyle w:val="PlainText"/>
        <w:rPr>
          <w:rFonts w:ascii="Cambria" w:hAnsi="Cambria"/>
          <w:sz w:val="24"/>
        </w:rPr>
      </w:pPr>
      <w:r w:rsidRPr="00846719">
        <w:rPr>
          <w:rFonts w:ascii="Cambria" w:hAnsi="Cambria"/>
          <w:sz w:val="24"/>
        </w:rPr>
        <w:t>Records Retention and Disposition:</w:t>
      </w:r>
    </w:p>
    <w:p w:rsidRPr="00846719" w:rsidR="00964F4D" w:rsidP="00964F4D" w:rsidRDefault="00964F4D" w14:paraId="13D53D83" w14:textId="77777777">
      <w:pPr>
        <w:pStyle w:val="PlainText"/>
        <w:ind w:firstLine="720"/>
        <w:rPr>
          <w:rFonts w:ascii="Cambria" w:hAnsi="Cambria"/>
          <w:sz w:val="24"/>
        </w:rPr>
      </w:pPr>
    </w:p>
    <w:p w:rsidRPr="00846719" w:rsidR="00964F4D" w:rsidP="00964F4D" w:rsidRDefault="00964F4D" w14:paraId="76A57E70" w14:textId="77777777">
      <w:pPr>
        <w:pStyle w:val="PlainText"/>
        <w:rPr>
          <w:rFonts w:ascii="Cambria" w:hAnsi="Cambria"/>
          <w:sz w:val="24"/>
        </w:rPr>
      </w:pPr>
      <w:r w:rsidRPr="00846719">
        <w:rPr>
          <w:rFonts w:ascii="Cambria" w:hAnsi="Cambria"/>
          <w:sz w:val="24"/>
        </w:rPr>
        <w:t>"Records will be maintained in accordance with the following approved schedule:</w:t>
      </w:r>
    </w:p>
    <w:p w:rsidRPr="00846719" w:rsidR="00964F4D" w:rsidP="00964F4D" w:rsidRDefault="00964F4D" w14:paraId="45F08333" w14:textId="77777777">
      <w:pPr>
        <w:pStyle w:val="PlainText"/>
        <w:rPr>
          <w:rFonts w:ascii="Cambria" w:hAnsi="Cambria"/>
          <w:sz w:val="24"/>
        </w:rPr>
      </w:pPr>
      <w:r w:rsidRPr="00846719">
        <w:rPr>
          <w:rFonts w:ascii="Cambria" w:hAnsi="Cambria"/>
          <w:sz w:val="24"/>
        </w:rPr>
        <w:t>•</w:t>
      </w:r>
      <w:r w:rsidRPr="00846719">
        <w:rPr>
          <w:rFonts w:ascii="Cambria" w:hAnsi="Cambria"/>
          <w:sz w:val="24"/>
        </w:rPr>
        <w:tab/>
        <w:t>Subject:  Quality Assurance Studies and Analyses of Healthcare Quality.</w:t>
      </w:r>
    </w:p>
    <w:p w:rsidRPr="00846719" w:rsidR="00964F4D" w:rsidP="00964F4D" w:rsidRDefault="00964F4D" w14:paraId="36E626C0" w14:textId="77777777">
      <w:pPr>
        <w:pStyle w:val="PlainText"/>
        <w:rPr>
          <w:rFonts w:ascii="Cambria" w:hAnsi="Cambria"/>
          <w:sz w:val="24"/>
        </w:rPr>
      </w:pPr>
      <w:r w:rsidRPr="00846719">
        <w:rPr>
          <w:rFonts w:ascii="Cambria" w:hAnsi="Cambria"/>
          <w:sz w:val="24"/>
        </w:rPr>
        <w:t>•</w:t>
      </w:r>
      <w:r w:rsidRPr="00846719">
        <w:rPr>
          <w:rFonts w:ascii="Cambria" w:hAnsi="Cambria"/>
          <w:sz w:val="24"/>
        </w:rPr>
        <w:tab/>
        <w:t>Description:  Studies and evaluations on a "when required" basis, not resulting in issuance of new standards.</w:t>
      </w:r>
    </w:p>
    <w:p w:rsidRPr="00846719" w:rsidR="00964F4D" w:rsidP="00964F4D" w:rsidRDefault="00964F4D" w14:paraId="36696AD1" w14:textId="77777777">
      <w:pPr>
        <w:pStyle w:val="PlainText"/>
        <w:rPr>
          <w:rFonts w:ascii="Cambria" w:hAnsi="Cambria"/>
          <w:sz w:val="24"/>
        </w:rPr>
      </w:pPr>
      <w:r w:rsidRPr="00846719">
        <w:rPr>
          <w:rFonts w:ascii="Cambria" w:hAnsi="Cambria"/>
          <w:sz w:val="24"/>
        </w:rPr>
        <w:t>•</w:t>
      </w:r>
      <w:r w:rsidRPr="00846719">
        <w:rPr>
          <w:rFonts w:ascii="Cambria" w:hAnsi="Cambria"/>
          <w:sz w:val="24"/>
        </w:rPr>
        <w:tab/>
        <w:t>Disposition: Destroy when 5 years old.</w:t>
      </w:r>
    </w:p>
    <w:p w:rsidRPr="00846719" w:rsidR="00964F4D" w:rsidP="00964F4D" w:rsidRDefault="00964F4D" w14:paraId="0533B051" w14:textId="77777777">
      <w:pPr>
        <w:pStyle w:val="PlainText"/>
        <w:rPr>
          <w:rFonts w:ascii="Cambria" w:hAnsi="Cambria"/>
          <w:sz w:val="24"/>
        </w:rPr>
      </w:pPr>
      <w:r w:rsidRPr="00846719">
        <w:rPr>
          <w:rFonts w:ascii="Cambria" w:hAnsi="Cambria"/>
          <w:sz w:val="24"/>
        </w:rPr>
        <w:t>•</w:t>
      </w:r>
      <w:r w:rsidRPr="00846719">
        <w:rPr>
          <w:rFonts w:ascii="Cambria" w:hAnsi="Cambria"/>
          <w:sz w:val="24"/>
        </w:rPr>
        <w:tab/>
        <w:t xml:space="preserve">OSD RCS Series #:  905-02.2  </w:t>
      </w:r>
    </w:p>
    <w:p w:rsidRPr="00846719" w:rsidR="00964F4D" w:rsidP="00964F4D" w:rsidRDefault="00964F4D" w14:paraId="2AFFC57B" w14:textId="77777777">
      <w:pPr>
        <w:pStyle w:val="PlainText"/>
        <w:rPr>
          <w:rFonts w:ascii="Cambria" w:hAnsi="Cambria"/>
          <w:sz w:val="24"/>
        </w:rPr>
      </w:pPr>
      <w:r w:rsidRPr="00846719">
        <w:rPr>
          <w:rFonts w:ascii="Cambria" w:hAnsi="Cambria"/>
          <w:sz w:val="24"/>
        </w:rPr>
        <w:t>•</w:t>
      </w:r>
      <w:r w:rsidRPr="00846719">
        <w:rPr>
          <w:rFonts w:ascii="Cambria" w:hAnsi="Cambria"/>
          <w:sz w:val="24"/>
        </w:rPr>
        <w:tab/>
        <w:t>NARA Authority: NC1-330-77-5”</w:t>
      </w:r>
    </w:p>
    <w:p w:rsidR="00964F4D" w:rsidP="00A31998" w:rsidRDefault="00964F4D" w14:paraId="289F6753" w14:textId="77777777">
      <w:pPr>
        <w:spacing w:after="0" w:line="240" w:lineRule="auto"/>
        <w:rPr>
          <w:rFonts w:asciiTheme="majorHAnsi" w:hAnsiTheme="majorHAnsi"/>
          <w:sz w:val="24"/>
          <w:szCs w:val="24"/>
        </w:rPr>
      </w:pPr>
    </w:p>
    <w:p w:rsidR="00A31998" w:rsidP="00A31998" w:rsidRDefault="009E09BF" w14:paraId="7BBE94E7" w14:textId="3147C00C">
      <w:pPr>
        <w:spacing w:after="0" w:line="240" w:lineRule="auto"/>
        <w:rPr>
          <w:rFonts w:asciiTheme="majorHAnsi" w:hAnsiTheme="majorHAnsi"/>
          <w:sz w:val="24"/>
          <w:szCs w:val="24"/>
        </w:rPr>
      </w:pPr>
      <w:r w:rsidRPr="0041116B">
        <w:rPr>
          <w:rFonts w:asciiTheme="majorHAnsi" w:hAnsiTheme="majorHAnsi"/>
          <w:sz w:val="24"/>
          <w:szCs w:val="24"/>
        </w:rPr>
        <w:lastRenderedPageBreak/>
        <w:t xml:space="preserve">All </w:t>
      </w:r>
      <w:proofErr w:type="spellStart"/>
      <w:r w:rsidRPr="0041116B">
        <w:rPr>
          <w:rFonts w:asciiTheme="majorHAnsi" w:hAnsiTheme="majorHAnsi"/>
          <w:sz w:val="24"/>
          <w:szCs w:val="24"/>
        </w:rPr>
        <w:t>KnowledgePanel</w:t>
      </w:r>
      <w:proofErr w:type="spellEnd"/>
      <w:r w:rsidRPr="005D1F83">
        <w:rPr>
          <w:rFonts w:asciiTheme="majorHAnsi" w:hAnsiTheme="majorHAnsi"/>
          <w:sz w:val="28"/>
          <w:vertAlign w:val="superscript"/>
        </w:rPr>
        <w:t>®</w:t>
      </w:r>
      <w:r w:rsidRPr="0041116B">
        <w:rPr>
          <w:rFonts w:asciiTheme="majorHAnsi" w:hAnsiTheme="majorHAnsi"/>
          <w:sz w:val="24"/>
          <w:szCs w:val="24"/>
        </w:rPr>
        <w:t xml:space="preserve"> panelists are given a link to access the privacy terms electronically at all times via the Panel Member website and also are able to review it at any time on the Members Page and in links contained in survey invitations. The Privacy and Terms of Use Policy is posted at </w:t>
      </w:r>
      <w:hyperlink w:history="1" r:id="rId12">
        <w:r w:rsidRPr="005A287D" w:rsidR="00A31998">
          <w:rPr>
            <w:rStyle w:val="Hyperlink"/>
            <w:rFonts w:asciiTheme="majorHAnsi" w:hAnsiTheme="majorHAnsi"/>
            <w:sz w:val="24"/>
            <w:szCs w:val="24"/>
          </w:rPr>
          <w:t>http://www.knpanel.com/participate/privacy2.html</w:t>
        </w:r>
      </w:hyperlink>
      <w:r w:rsidR="00A31998">
        <w:rPr>
          <w:rFonts w:asciiTheme="majorHAnsi" w:hAnsiTheme="majorHAnsi"/>
          <w:sz w:val="24"/>
          <w:szCs w:val="24"/>
        </w:rPr>
        <w:t>; a section of which is copied below for quick reference. Though GfK reserves the right to amend and update their privacy policy at any time, as of their May 15</w:t>
      </w:r>
      <w:r w:rsidRPr="00A31998" w:rsidR="00A31998">
        <w:rPr>
          <w:rFonts w:asciiTheme="majorHAnsi" w:hAnsiTheme="majorHAnsi"/>
          <w:sz w:val="24"/>
          <w:szCs w:val="24"/>
          <w:vertAlign w:val="superscript"/>
        </w:rPr>
        <w:t>th</w:t>
      </w:r>
      <w:r w:rsidR="00A31998">
        <w:rPr>
          <w:rFonts w:asciiTheme="majorHAnsi" w:hAnsiTheme="majorHAnsi"/>
          <w:sz w:val="24"/>
          <w:szCs w:val="24"/>
        </w:rPr>
        <w:t xml:space="preserve"> 2018 version, GfK’s use of personal data statement reads:</w:t>
      </w:r>
    </w:p>
    <w:p w:rsidR="009E09BF" w:rsidP="00A31998" w:rsidRDefault="00A31998" w14:paraId="302D2C38" w14:textId="59635BFA">
      <w:pPr>
        <w:spacing w:after="0" w:line="240" w:lineRule="auto"/>
        <w:ind w:left="720"/>
        <w:rPr>
          <w:rFonts w:asciiTheme="majorHAnsi" w:hAnsiTheme="majorHAnsi"/>
          <w:sz w:val="24"/>
        </w:rPr>
      </w:pPr>
      <w:r>
        <w:rPr>
          <w:rFonts w:asciiTheme="majorHAnsi" w:hAnsiTheme="majorHAnsi"/>
          <w:sz w:val="24"/>
          <w:szCs w:val="24"/>
        </w:rPr>
        <w:t>“</w:t>
      </w:r>
      <w:r w:rsidRPr="00A31998">
        <w:rPr>
          <w:rFonts w:asciiTheme="majorHAnsi" w:hAnsiTheme="majorHAnsi"/>
          <w:sz w:val="24"/>
          <w:szCs w:val="24"/>
        </w:rPr>
        <w:t>We do not collect and process</w:t>
      </w:r>
      <w:r>
        <w:rPr>
          <w:rFonts w:asciiTheme="majorHAnsi" w:hAnsiTheme="majorHAnsi"/>
          <w:sz w:val="24"/>
          <w:szCs w:val="24"/>
        </w:rPr>
        <w:t xml:space="preserve"> </w:t>
      </w:r>
      <w:r w:rsidRPr="00A31998">
        <w:rPr>
          <w:rFonts w:asciiTheme="majorHAnsi" w:hAnsiTheme="majorHAnsi"/>
          <w:sz w:val="24"/>
          <w:szCs w:val="24"/>
        </w:rPr>
        <w:t>more or other types of personal data than are necessary to fulfill the respective purposes. We will</w:t>
      </w:r>
      <w:r>
        <w:rPr>
          <w:rFonts w:asciiTheme="majorHAnsi" w:hAnsiTheme="majorHAnsi"/>
          <w:sz w:val="24"/>
          <w:szCs w:val="24"/>
        </w:rPr>
        <w:t xml:space="preserve"> </w:t>
      </w:r>
      <w:r w:rsidRPr="00A31998">
        <w:rPr>
          <w:rFonts w:asciiTheme="majorHAnsi" w:hAnsiTheme="majorHAnsi"/>
          <w:sz w:val="24"/>
          <w:szCs w:val="24"/>
        </w:rPr>
        <w:t>only use personal data as set forth in this privacy policy, unless you have specifically provided your</w:t>
      </w:r>
      <w:r>
        <w:rPr>
          <w:rFonts w:asciiTheme="majorHAnsi" w:hAnsiTheme="majorHAnsi"/>
          <w:sz w:val="24"/>
          <w:szCs w:val="24"/>
        </w:rPr>
        <w:t xml:space="preserve"> </w:t>
      </w:r>
      <w:r w:rsidRPr="00A31998">
        <w:rPr>
          <w:rFonts w:asciiTheme="majorHAnsi" w:hAnsiTheme="majorHAnsi"/>
          <w:sz w:val="24"/>
          <w:szCs w:val="24"/>
        </w:rPr>
        <w:t>consent to another use of your personal data. If we intend to use your personal data that we process</w:t>
      </w:r>
      <w:r>
        <w:rPr>
          <w:rFonts w:asciiTheme="majorHAnsi" w:hAnsiTheme="majorHAnsi"/>
          <w:sz w:val="24"/>
          <w:szCs w:val="24"/>
        </w:rPr>
        <w:t xml:space="preserve"> </w:t>
      </w:r>
      <w:r w:rsidRPr="00A31998">
        <w:rPr>
          <w:rFonts w:asciiTheme="majorHAnsi" w:hAnsiTheme="majorHAnsi"/>
          <w:sz w:val="24"/>
          <w:szCs w:val="24"/>
        </w:rPr>
        <w:t>with your consent for purposes other than communicated in such consent, we will inform you in</w:t>
      </w:r>
      <w:r>
        <w:rPr>
          <w:rFonts w:asciiTheme="majorHAnsi" w:hAnsiTheme="majorHAnsi"/>
          <w:sz w:val="24"/>
          <w:szCs w:val="24"/>
        </w:rPr>
        <w:t xml:space="preserve"> </w:t>
      </w:r>
      <w:r w:rsidRPr="00A31998">
        <w:rPr>
          <w:rFonts w:asciiTheme="majorHAnsi" w:hAnsiTheme="majorHAnsi"/>
          <w:sz w:val="24"/>
          <w:szCs w:val="24"/>
        </w:rPr>
        <w:t>advance and, in cases where the processing is based on your consent, use your personal data for a</w:t>
      </w:r>
      <w:r>
        <w:rPr>
          <w:rFonts w:asciiTheme="majorHAnsi" w:hAnsiTheme="majorHAnsi"/>
          <w:sz w:val="24"/>
          <w:szCs w:val="24"/>
        </w:rPr>
        <w:t xml:space="preserve"> </w:t>
      </w:r>
      <w:r w:rsidRPr="00A31998">
        <w:rPr>
          <w:rFonts w:asciiTheme="majorHAnsi" w:hAnsiTheme="majorHAnsi"/>
          <w:sz w:val="24"/>
          <w:szCs w:val="24"/>
        </w:rPr>
        <w:t>different purpose only with your permission.</w:t>
      </w:r>
      <w:r>
        <w:rPr>
          <w:rFonts w:asciiTheme="majorHAnsi" w:hAnsiTheme="majorHAnsi"/>
          <w:sz w:val="24"/>
          <w:szCs w:val="24"/>
        </w:rPr>
        <w:t>”</w:t>
      </w:r>
    </w:p>
    <w:p w:rsidRPr="00996894" w:rsidR="00996894" w:rsidP="00996894" w:rsidRDefault="00996894" w14:paraId="49158EF8" w14:textId="77777777">
      <w:pPr>
        <w:spacing w:after="0" w:line="240" w:lineRule="auto"/>
        <w:rPr>
          <w:rFonts w:asciiTheme="majorHAnsi" w:hAnsiTheme="majorHAnsi"/>
          <w:i/>
          <w:sz w:val="24"/>
        </w:rPr>
      </w:pPr>
    </w:p>
    <w:p w:rsidRPr="008309EB" w:rsidR="008309EB" w:rsidP="008309EB" w:rsidRDefault="008309EB" w14:paraId="2AF8A086" w14:textId="3FED8B01">
      <w:pPr>
        <w:spacing w:after="0" w:line="240" w:lineRule="auto"/>
        <w:rPr>
          <w:rFonts w:asciiTheme="majorHAnsi" w:hAnsiTheme="majorHAnsi"/>
          <w:sz w:val="24"/>
        </w:rPr>
      </w:pPr>
      <w:r w:rsidRPr="008309EB">
        <w:rPr>
          <w:rFonts w:asciiTheme="majorHAnsi" w:hAnsiTheme="majorHAnsi"/>
          <w:sz w:val="24"/>
        </w:rPr>
        <w:t>Within GfK, all records containing personally-identifiable information (PII), such as names, addresses, and emails, are kept on physically secure password-protected encrypted data storage systems within actively monitored network firewalls. All data transfers from web-enabled devices (</w:t>
      </w:r>
      <w:r w:rsidR="00F8486D">
        <w:rPr>
          <w:rFonts w:asciiTheme="majorHAnsi" w:hAnsiTheme="majorHAnsi"/>
          <w:sz w:val="24"/>
        </w:rPr>
        <w:t>personal computers</w:t>
      </w:r>
      <w:r w:rsidRPr="008309EB">
        <w:rPr>
          <w:rFonts w:asciiTheme="majorHAnsi" w:hAnsiTheme="majorHAnsi"/>
          <w:sz w:val="24"/>
        </w:rPr>
        <w:t xml:space="preserve"> and laptops used for survey administration) to the main servers are protected by data encryption and a network firewall. Any subcontractors or service providers that we may retain who handle PII and/or survey response data are subject to confidentiality and non-disclosure agreements</w:t>
      </w:r>
      <w:r w:rsidR="007D36BF">
        <w:rPr>
          <w:rFonts w:asciiTheme="majorHAnsi" w:hAnsiTheme="majorHAnsi"/>
          <w:sz w:val="24"/>
        </w:rPr>
        <w:t>.</w:t>
      </w:r>
    </w:p>
    <w:p w:rsidRPr="008309EB" w:rsidR="008309EB" w:rsidP="008309EB" w:rsidRDefault="008309EB" w14:paraId="1F330E39" w14:textId="77777777">
      <w:pPr>
        <w:spacing w:after="0" w:line="240" w:lineRule="auto"/>
        <w:rPr>
          <w:rFonts w:asciiTheme="majorHAnsi" w:hAnsiTheme="majorHAnsi"/>
          <w:sz w:val="24"/>
        </w:rPr>
      </w:pPr>
    </w:p>
    <w:p w:rsidRPr="008309EB" w:rsidR="008309EB" w:rsidP="008309EB" w:rsidRDefault="008309EB" w14:paraId="04B55682" w14:textId="77777777">
      <w:pPr>
        <w:spacing w:after="0" w:line="240" w:lineRule="auto"/>
        <w:rPr>
          <w:rFonts w:asciiTheme="majorHAnsi" w:hAnsiTheme="majorHAnsi"/>
          <w:sz w:val="24"/>
        </w:rPr>
      </w:pPr>
      <w:r w:rsidRPr="008309EB">
        <w:rPr>
          <w:rFonts w:asciiTheme="majorHAnsi" w:hAnsiTheme="majorHAnsi"/>
          <w:sz w:val="24"/>
        </w:rPr>
        <w:t>GfK uses organizational controls including pseudonymous identifiers to segregate data and restrict access on a need-to-know basis. A master file linking research participants’ names and addresses with their corresponding internally-generated ID numbers is kept secure with access limited to Panel Management staff members and IT administrators who must have access to maintain the computer systems. Thus, researchers, data processing, or coding staff who have a business need to analyze participant-level survey data are able to do so without seeing participants’ PII. GfK’s database contains field-specific permissions that restrict access to data by type of user, as described above, thus preventing unauthorized access.</w:t>
      </w:r>
    </w:p>
    <w:p w:rsidRPr="008309EB" w:rsidR="008309EB" w:rsidP="008309EB" w:rsidRDefault="008309EB" w14:paraId="3BC47CBD" w14:textId="77777777">
      <w:pPr>
        <w:spacing w:after="0" w:line="240" w:lineRule="auto"/>
        <w:rPr>
          <w:rFonts w:asciiTheme="majorHAnsi" w:hAnsiTheme="majorHAnsi"/>
          <w:sz w:val="24"/>
        </w:rPr>
      </w:pPr>
    </w:p>
    <w:p w:rsidRPr="008309EB" w:rsidR="009E09BF" w:rsidP="008309EB" w:rsidRDefault="008309EB" w14:paraId="1888FE4E" w14:textId="72017FC5">
      <w:pPr>
        <w:spacing w:after="0" w:line="240" w:lineRule="auto"/>
        <w:rPr>
          <w:rFonts w:asciiTheme="majorHAnsi" w:hAnsiTheme="majorHAnsi"/>
          <w:sz w:val="24"/>
        </w:rPr>
      </w:pPr>
      <w:r w:rsidRPr="008309EB">
        <w:rPr>
          <w:rFonts w:asciiTheme="majorHAnsi" w:hAnsiTheme="majorHAnsi"/>
          <w:sz w:val="24"/>
        </w:rPr>
        <w:t xml:space="preserve">Concerning records retention and disposition, de-identified data delivered to RAND by GfK will be stored on the </w:t>
      </w:r>
      <w:r w:rsidR="00F8486D">
        <w:rPr>
          <w:rFonts w:asciiTheme="majorHAnsi" w:hAnsiTheme="majorHAnsi"/>
          <w:sz w:val="24"/>
        </w:rPr>
        <w:t>p</w:t>
      </w:r>
      <w:r w:rsidRPr="008309EB">
        <w:rPr>
          <w:rFonts w:asciiTheme="majorHAnsi" w:hAnsiTheme="majorHAnsi"/>
          <w:sz w:val="24"/>
        </w:rPr>
        <w:t xml:space="preserve">roject </w:t>
      </w:r>
      <w:proofErr w:type="spellStart"/>
      <w:r w:rsidRPr="008309EB">
        <w:rPr>
          <w:rFonts w:asciiTheme="majorHAnsi" w:hAnsiTheme="majorHAnsi"/>
          <w:sz w:val="24"/>
        </w:rPr>
        <w:t>Teamspace</w:t>
      </w:r>
      <w:proofErr w:type="spellEnd"/>
      <w:r w:rsidRPr="008309EB">
        <w:rPr>
          <w:rFonts w:asciiTheme="majorHAnsi" w:hAnsiTheme="majorHAnsi"/>
          <w:sz w:val="24"/>
        </w:rPr>
        <w:t xml:space="preserve"> site, accessible only to authorized project staff.</w:t>
      </w:r>
    </w:p>
    <w:p w:rsidRPr="008309EB" w:rsidR="008309EB" w:rsidP="008309EB" w:rsidRDefault="008309EB" w14:paraId="14774ECF" w14:textId="77777777">
      <w:pPr>
        <w:spacing w:after="0" w:line="240" w:lineRule="auto"/>
        <w:rPr>
          <w:rFonts w:asciiTheme="majorHAnsi" w:hAnsiTheme="majorHAnsi"/>
          <w:sz w:val="24"/>
        </w:rPr>
      </w:pPr>
    </w:p>
    <w:p w:rsidRPr="008309EB" w:rsidR="00996894" w:rsidP="008309EB" w:rsidRDefault="008309EB" w14:paraId="00184D72" w14:textId="03558CEA">
      <w:pPr>
        <w:spacing w:after="0" w:line="240" w:lineRule="auto"/>
        <w:rPr>
          <w:rFonts w:asciiTheme="majorHAnsi" w:hAnsiTheme="majorHAnsi"/>
          <w:sz w:val="24"/>
        </w:rPr>
      </w:pPr>
      <w:r w:rsidRPr="008309EB">
        <w:rPr>
          <w:rFonts w:asciiTheme="majorHAnsi" w:hAnsiTheme="majorHAnsi"/>
          <w:sz w:val="24"/>
        </w:rPr>
        <w:t xml:space="preserve">Following analysis, </w:t>
      </w:r>
      <w:r w:rsidR="00CC4A1A">
        <w:rPr>
          <w:rFonts w:asciiTheme="majorHAnsi" w:hAnsiTheme="majorHAnsi"/>
          <w:sz w:val="24"/>
        </w:rPr>
        <w:t xml:space="preserve">the </w:t>
      </w:r>
      <w:r w:rsidRPr="008309EB">
        <w:rPr>
          <w:rFonts w:asciiTheme="majorHAnsi" w:hAnsiTheme="majorHAnsi"/>
          <w:sz w:val="24"/>
        </w:rPr>
        <w:t>report</w:t>
      </w:r>
      <w:r w:rsidR="00CC4A1A">
        <w:rPr>
          <w:rFonts w:asciiTheme="majorHAnsi" w:hAnsiTheme="majorHAnsi"/>
          <w:sz w:val="24"/>
        </w:rPr>
        <w:t xml:space="preserve"> for Real Warriors staff and supervisors</w:t>
      </w:r>
      <w:r w:rsidRPr="008309EB">
        <w:rPr>
          <w:rFonts w:asciiTheme="majorHAnsi" w:hAnsiTheme="majorHAnsi"/>
          <w:sz w:val="24"/>
        </w:rPr>
        <w:t xml:space="preserve"> will be prepared. Th</w:t>
      </w:r>
      <w:r w:rsidR="00CC4A1A">
        <w:rPr>
          <w:rFonts w:asciiTheme="majorHAnsi" w:hAnsiTheme="majorHAnsi"/>
          <w:sz w:val="24"/>
        </w:rPr>
        <w:t>i</w:t>
      </w:r>
      <w:r w:rsidRPr="008309EB">
        <w:rPr>
          <w:rFonts w:asciiTheme="majorHAnsi" w:hAnsiTheme="majorHAnsi"/>
          <w:sz w:val="24"/>
        </w:rPr>
        <w:t>s reports will only contain aggregated data – no statistics will be presented for cell sizes of fewer than 10 respondents.</w:t>
      </w:r>
    </w:p>
    <w:p w:rsidR="00996894" w:rsidP="00996894" w:rsidRDefault="00996894" w14:paraId="57A998FC" w14:textId="0B046788">
      <w:pPr>
        <w:spacing w:after="0" w:line="240" w:lineRule="auto"/>
        <w:rPr>
          <w:rFonts w:asciiTheme="majorHAnsi" w:hAnsiTheme="majorHAnsi"/>
          <w:i/>
          <w:sz w:val="24"/>
        </w:rPr>
      </w:pPr>
    </w:p>
    <w:p w:rsidR="00AF6251" w:rsidP="00996894" w:rsidRDefault="00AF6251" w14:paraId="43048919" w14:textId="77777777">
      <w:pPr>
        <w:spacing w:after="0" w:line="240" w:lineRule="auto"/>
        <w:rPr>
          <w:rFonts w:asciiTheme="majorHAnsi" w:hAnsiTheme="majorHAnsi"/>
          <w:i/>
          <w:sz w:val="24"/>
        </w:rPr>
      </w:pPr>
    </w:p>
    <w:p w:rsidR="00996894" w:rsidP="00996894" w:rsidRDefault="00337EF1" w14:paraId="205ED217"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D21AA6" w:rsidP="00337EF1" w:rsidRDefault="001028F1" w14:paraId="7F3FDC1E" w14:textId="092156C7">
      <w:pPr>
        <w:spacing w:after="0" w:line="240" w:lineRule="auto"/>
        <w:rPr>
          <w:rFonts w:asciiTheme="majorHAnsi" w:hAnsiTheme="majorHAnsi"/>
          <w:sz w:val="24"/>
        </w:rPr>
      </w:pPr>
      <w:r>
        <w:rPr>
          <w:rFonts w:asciiTheme="majorHAnsi" w:hAnsiTheme="majorHAnsi"/>
          <w:sz w:val="24"/>
        </w:rPr>
        <w:t>The RAND survey includes s</w:t>
      </w:r>
      <w:r w:rsidR="00D752C7">
        <w:rPr>
          <w:rFonts w:asciiTheme="majorHAnsi" w:hAnsiTheme="majorHAnsi"/>
          <w:sz w:val="24"/>
        </w:rPr>
        <w:t xml:space="preserve">everal sensitive questions, including those about mental health, legal and illegal substance use, and physical health. These questions are asked because they are critical to understanding how </w:t>
      </w:r>
      <w:r w:rsidRPr="00D752C7" w:rsidR="00D752C7">
        <w:rPr>
          <w:rFonts w:asciiTheme="majorHAnsi" w:hAnsiTheme="majorHAnsi"/>
          <w:sz w:val="24"/>
        </w:rPr>
        <w:t xml:space="preserve">effective </w:t>
      </w:r>
      <w:r w:rsidR="00D752C7">
        <w:rPr>
          <w:rFonts w:asciiTheme="majorHAnsi" w:hAnsiTheme="majorHAnsi"/>
          <w:sz w:val="24"/>
        </w:rPr>
        <w:t xml:space="preserve">mental health public awareness </w:t>
      </w:r>
      <w:r w:rsidRPr="00D752C7" w:rsidR="00D752C7">
        <w:rPr>
          <w:rFonts w:asciiTheme="majorHAnsi" w:hAnsiTheme="majorHAnsi"/>
          <w:sz w:val="24"/>
        </w:rPr>
        <w:t xml:space="preserve">campaigns can </w:t>
      </w:r>
      <w:r w:rsidRPr="00D752C7" w:rsidR="00D752C7">
        <w:rPr>
          <w:rFonts w:asciiTheme="majorHAnsi" w:hAnsiTheme="majorHAnsi"/>
          <w:sz w:val="24"/>
        </w:rPr>
        <w:lastRenderedPageBreak/>
        <w:t>be at changing negative attitudes and perceptions related to mental health and treatment and increasing intentions to seek mental health care if needed.</w:t>
      </w:r>
      <w:r w:rsidR="00D752C7">
        <w:rPr>
          <w:rFonts w:asciiTheme="majorHAnsi" w:hAnsiTheme="majorHAnsi"/>
          <w:sz w:val="24"/>
        </w:rPr>
        <w:t xml:space="preserve"> Responses to sensitive questions will be incorporated into analyses to determine whether the campaigns are differentially effective for those with and without mental health or substance use disorders</w:t>
      </w:r>
      <w:r w:rsidR="008762E7">
        <w:rPr>
          <w:rFonts w:asciiTheme="majorHAnsi" w:hAnsiTheme="majorHAnsi"/>
          <w:sz w:val="24"/>
        </w:rPr>
        <w:t>. Questions about physical health will serve as control variables in analyses.</w:t>
      </w:r>
    </w:p>
    <w:p w:rsidR="00AF6251" w:rsidP="00337EF1" w:rsidRDefault="00AF6251" w14:paraId="3E1CD3F4" w14:textId="77777777">
      <w:pPr>
        <w:spacing w:after="0" w:line="240" w:lineRule="auto"/>
        <w:rPr>
          <w:rFonts w:asciiTheme="majorHAnsi" w:hAnsiTheme="majorHAnsi"/>
          <w:sz w:val="24"/>
        </w:rPr>
      </w:pPr>
    </w:p>
    <w:p w:rsidR="005E4BAF" w:rsidP="00337EF1" w:rsidRDefault="005E4BAF" w14:paraId="4FEC6E9F" w14:textId="77777777">
      <w:pPr>
        <w:spacing w:after="0" w:line="240" w:lineRule="auto"/>
        <w:rPr>
          <w:rFonts w:asciiTheme="majorHAnsi" w:hAnsiTheme="majorHAnsi"/>
          <w:sz w:val="24"/>
        </w:rPr>
      </w:pPr>
    </w:p>
    <w:p w:rsidR="00D21AA6" w:rsidP="00337EF1" w:rsidRDefault="00D21AA6" w14:paraId="3C5CB030"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520B36" w:rsidP="00337EF1" w:rsidRDefault="00520B36" w14:paraId="1DCF5FAD" w14:textId="77777777">
      <w:pPr>
        <w:spacing w:after="0" w:line="240" w:lineRule="auto"/>
        <w:rPr>
          <w:rFonts w:asciiTheme="majorHAnsi" w:hAnsiTheme="majorHAnsi"/>
          <w:sz w:val="24"/>
          <w:u w:val="single"/>
        </w:rPr>
      </w:pPr>
    </w:p>
    <w:p w:rsidRPr="00A77157" w:rsidR="00A76F7E" w:rsidP="00337EF1" w:rsidRDefault="00A77157" w14:paraId="37962B6B" w14:textId="77777777">
      <w:pPr>
        <w:spacing w:after="0" w:line="240" w:lineRule="auto"/>
        <w:rPr>
          <w:rFonts w:asciiTheme="majorHAnsi" w:hAnsiTheme="majorHAnsi"/>
          <w:sz w:val="24"/>
          <w:u w:val="single"/>
        </w:rPr>
      </w:pPr>
      <w:r>
        <w:rPr>
          <w:rFonts w:asciiTheme="majorHAnsi" w:hAnsiTheme="majorHAnsi"/>
          <w:sz w:val="24"/>
          <w:u w:val="single"/>
        </w:rPr>
        <w:t>a. Estimation</w:t>
      </w:r>
      <w:r w:rsidRPr="00A77157" w:rsidR="00A76F7E">
        <w:rPr>
          <w:rFonts w:asciiTheme="majorHAnsi" w:hAnsiTheme="majorHAnsi"/>
          <w:sz w:val="24"/>
          <w:u w:val="single"/>
        </w:rPr>
        <w:t xml:space="preserve"> of Respondent Burden</w:t>
      </w:r>
    </w:p>
    <w:p w:rsidR="00A76F7E" w:rsidP="00337EF1" w:rsidRDefault="00A76F7E" w14:paraId="170C6ADC" w14:textId="77777777">
      <w:pPr>
        <w:spacing w:after="0" w:line="240" w:lineRule="auto"/>
        <w:rPr>
          <w:rFonts w:asciiTheme="majorHAnsi" w:hAnsiTheme="majorHAnsi"/>
          <w:sz w:val="24"/>
        </w:rPr>
      </w:pPr>
    </w:p>
    <w:p w:rsidR="00A76F7E" w:rsidP="002D18E4" w:rsidRDefault="00A76F7E" w14:paraId="526C3C3C" w14:textId="4AD8CD25">
      <w:pPr>
        <w:spacing w:after="0" w:line="240" w:lineRule="auto"/>
        <w:ind w:left="720" w:hanging="720"/>
        <w:rPr>
          <w:rFonts w:asciiTheme="majorHAnsi" w:hAnsiTheme="majorHAnsi"/>
          <w:sz w:val="24"/>
        </w:rPr>
      </w:pPr>
      <w:r>
        <w:rPr>
          <w:rFonts w:asciiTheme="majorHAnsi" w:hAnsiTheme="majorHAnsi"/>
          <w:sz w:val="24"/>
        </w:rPr>
        <w:tab/>
        <w:t>1</w:t>
      </w:r>
      <w:r w:rsidR="00802129">
        <w:rPr>
          <w:rFonts w:asciiTheme="majorHAnsi" w:hAnsiTheme="majorHAnsi"/>
          <w:sz w:val="24"/>
        </w:rPr>
        <w:t>a</w:t>
      </w:r>
      <w:r>
        <w:rPr>
          <w:rFonts w:asciiTheme="majorHAnsi" w:hAnsiTheme="majorHAnsi"/>
          <w:sz w:val="24"/>
        </w:rPr>
        <w:t xml:space="preserve">. </w:t>
      </w:r>
      <w:r w:rsidR="000F3BD3">
        <w:rPr>
          <w:rFonts w:asciiTheme="majorHAnsi" w:hAnsiTheme="majorHAnsi"/>
          <w:b/>
          <w:sz w:val="24"/>
        </w:rPr>
        <w:t>Study Participation via GfK Knowledge Panel</w:t>
      </w:r>
      <w:r w:rsidR="00645934">
        <w:rPr>
          <w:rFonts w:asciiTheme="majorHAnsi" w:hAnsiTheme="majorHAnsi"/>
          <w:b/>
          <w:sz w:val="24"/>
        </w:rPr>
        <w:t xml:space="preserve"> </w:t>
      </w:r>
      <w:r w:rsidR="000F3BD3">
        <w:rPr>
          <w:rFonts w:asciiTheme="majorHAnsi" w:hAnsiTheme="majorHAnsi"/>
          <w:b/>
          <w:sz w:val="24"/>
        </w:rPr>
        <w:t>Pre Survey</w:t>
      </w:r>
    </w:p>
    <w:p w:rsidR="00A76F7E" w:rsidP="002D18E4" w:rsidRDefault="00A76F7E" w14:paraId="1D4F9A1F" w14:textId="644D68DF">
      <w:pPr>
        <w:spacing w:after="0" w:line="240" w:lineRule="auto"/>
        <w:ind w:left="720" w:hanging="720"/>
        <w:rPr>
          <w:rFonts w:asciiTheme="majorHAnsi" w:hAnsiTheme="majorHAnsi"/>
          <w:sz w:val="24"/>
        </w:rPr>
      </w:pPr>
      <w:r>
        <w:rPr>
          <w:rFonts w:asciiTheme="majorHAnsi" w:hAnsiTheme="majorHAnsi"/>
          <w:sz w:val="24"/>
        </w:rPr>
        <w:tab/>
        <w:t xml:space="preserve">a. </w:t>
      </w:r>
      <w:r w:rsidR="00520B36">
        <w:rPr>
          <w:rFonts w:asciiTheme="majorHAnsi" w:hAnsiTheme="majorHAnsi"/>
          <w:sz w:val="24"/>
        </w:rPr>
        <w:t xml:space="preserve">Number of Respondents: </w:t>
      </w:r>
      <w:r w:rsidR="00AC3495">
        <w:rPr>
          <w:rFonts w:asciiTheme="majorHAnsi" w:hAnsiTheme="majorHAnsi"/>
          <w:sz w:val="24"/>
        </w:rPr>
        <w:t>2,772</w:t>
      </w:r>
    </w:p>
    <w:p w:rsidR="00A76F7E" w:rsidP="002D18E4" w:rsidRDefault="00A76F7E" w14:paraId="11D86650" w14:textId="77777777">
      <w:pPr>
        <w:spacing w:after="0" w:line="240" w:lineRule="auto"/>
        <w:ind w:left="720" w:hanging="720"/>
        <w:rPr>
          <w:rFonts w:asciiTheme="majorHAnsi" w:hAnsiTheme="majorHAnsi"/>
          <w:sz w:val="24"/>
        </w:rPr>
      </w:pPr>
      <w:r>
        <w:rPr>
          <w:rFonts w:asciiTheme="majorHAnsi" w:hAnsiTheme="majorHAnsi"/>
          <w:sz w:val="24"/>
        </w:rPr>
        <w:tab/>
        <w:t>b. Number of Responses Per</w:t>
      </w:r>
      <w:r w:rsidR="00520B36">
        <w:rPr>
          <w:rFonts w:asciiTheme="majorHAnsi" w:hAnsiTheme="majorHAnsi"/>
          <w:sz w:val="24"/>
        </w:rPr>
        <w:t xml:space="preserve"> Respondent: </w:t>
      </w:r>
      <w:r w:rsidR="005E4BAF">
        <w:rPr>
          <w:rFonts w:asciiTheme="majorHAnsi" w:hAnsiTheme="majorHAnsi"/>
          <w:sz w:val="24"/>
        </w:rPr>
        <w:t>1</w:t>
      </w:r>
    </w:p>
    <w:p w:rsidR="00A76F7E" w:rsidP="002D18E4" w:rsidRDefault="00A76F7E" w14:paraId="35D9D6BE" w14:textId="22BAE9D1">
      <w:pPr>
        <w:spacing w:after="0" w:line="240" w:lineRule="auto"/>
        <w:ind w:left="720" w:hanging="720"/>
        <w:rPr>
          <w:rFonts w:asciiTheme="majorHAnsi" w:hAnsiTheme="majorHAnsi"/>
          <w:sz w:val="24"/>
        </w:rPr>
      </w:pPr>
      <w:r>
        <w:rPr>
          <w:rFonts w:asciiTheme="majorHAnsi" w:hAnsiTheme="majorHAnsi"/>
          <w:sz w:val="24"/>
        </w:rPr>
        <w:tab/>
        <w:t>c. Num</w:t>
      </w:r>
      <w:r w:rsidR="00520B36">
        <w:rPr>
          <w:rFonts w:asciiTheme="majorHAnsi" w:hAnsiTheme="majorHAnsi"/>
          <w:sz w:val="24"/>
        </w:rPr>
        <w:t xml:space="preserve">ber of Total Annual Responses: </w:t>
      </w:r>
      <w:r w:rsidR="00AC3495">
        <w:rPr>
          <w:rFonts w:asciiTheme="majorHAnsi" w:hAnsiTheme="majorHAnsi"/>
          <w:sz w:val="24"/>
        </w:rPr>
        <w:t>2,772</w:t>
      </w:r>
    </w:p>
    <w:p w:rsidR="00A76F7E" w:rsidP="002D18E4" w:rsidRDefault="00A76F7E" w14:paraId="010FFC09" w14:textId="0FC79E67">
      <w:pPr>
        <w:spacing w:after="0" w:line="240" w:lineRule="auto"/>
        <w:ind w:left="1440" w:hanging="720"/>
        <w:rPr>
          <w:rFonts w:asciiTheme="majorHAnsi" w:hAnsiTheme="majorHAnsi"/>
          <w:sz w:val="24"/>
        </w:rPr>
      </w:pPr>
      <w:r>
        <w:rPr>
          <w:rFonts w:asciiTheme="majorHAnsi" w:hAnsiTheme="majorHAnsi"/>
          <w:sz w:val="24"/>
        </w:rPr>
        <w:t>d. Response Time</w:t>
      </w:r>
      <w:r w:rsidR="00520B36">
        <w:rPr>
          <w:rFonts w:asciiTheme="majorHAnsi" w:hAnsiTheme="majorHAnsi"/>
          <w:sz w:val="24"/>
        </w:rPr>
        <w:t xml:space="preserve">: </w:t>
      </w:r>
      <w:r w:rsidR="001B3EC6">
        <w:rPr>
          <w:rFonts w:asciiTheme="majorHAnsi" w:hAnsiTheme="majorHAnsi"/>
          <w:sz w:val="24"/>
        </w:rPr>
        <w:t>2</w:t>
      </w:r>
      <w:r w:rsidR="009B0591">
        <w:rPr>
          <w:rFonts w:asciiTheme="majorHAnsi" w:hAnsiTheme="majorHAnsi"/>
          <w:sz w:val="24"/>
        </w:rPr>
        <w:t xml:space="preserve"> </w:t>
      </w:r>
      <w:r w:rsidRPr="005E4BAF" w:rsidR="005E4BAF">
        <w:rPr>
          <w:rFonts w:asciiTheme="majorHAnsi" w:hAnsiTheme="majorHAnsi"/>
          <w:sz w:val="24"/>
        </w:rPr>
        <w:t>minute</w:t>
      </w:r>
      <w:r w:rsidR="001B3EC6">
        <w:rPr>
          <w:rFonts w:asciiTheme="majorHAnsi" w:hAnsiTheme="majorHAnsi"/>
          <w:sz w:val="24"/>
        </w:rPr>
        <w:t>s</w:t>
      </w:r>
    </w:p>
    <w:p w:rsidR="00A76F7E" w:rsidP="002D18E4" w:rsidRDefault="00A76F7E" w14:paraId="5D44A3E8" w14:textId="2D8D1BF3">
      <w:pPr>
        <w:spacing w:after="0" w:line="240" w:lineRule="auto"/>
        <w:ind w:left="720" w:hanging="720"/>
        <w:rPr>
          <w:rFonts w:asciiTheme="majorHAnsi" w:hAnsiTheme="majorHAnsi"/>
          <w:sz w:val="24"/>
        </w:rPr>
      </w:pPr>
      <w:r>
        <w:rPr>
          <w:rFonts w:asciiTheme="majorHAnsi" w:hAnsiTheme="majorHAnsi"/>
          <w:sz w:val="24"/>
        </w:rPr>
        <w:tab/>
        <w:t>e. Respondent Burden Hours</w:t>
      </w:r>
      <w:r w:rsidR="00520B36">
        <w:rPr>
          <w:rFonts w:asciiTheme="majorHAnsi" w:hAnsiTheme="majorHAnsi"/>
          <w:sz w:val="24"/>
        </w:rPr>
        <w:t xml:space="preserve">: </w:t>
      </w:r>
      <w:r w:rsidR="00AC3495">
        <w:rPr>
          <w:rFonts w:asciiTheme="majorHAnsi" w:hAnsiTheme="majorHAnsi"/>
          <w:sz w:val="24"/>
        </w:rPr>
        <w:t>92.4</w:t>
      </w:r>
      <w:r w:rsidR="00A77157">
        <w:rPr>
          <w:rFonts w:asciiTheme="majorHAnsi" w:hAnsiTheme="majorHAnsi"/>
          <w:sz w:val="24"/>
        </w:rPr>
        <w:t xml:space="preserve"> hours </w:t>
      </w:r>
    </w:p>
    <w:p w:rsidR="00802129" w:rsidP="002D18E4" w:rsidRDefault="00802129" w14:paraId="41BEA62A" w14:textId="49F97438">
      <w:pPr>
        <w:spacing w:after="0" w:line="240" w:lineRule="auto"/>
        <w:ind w:left="720" w:hanging="720"/>
        <w:rPr>
          <w:rFonts w:asciiTheme="majorHAnsi" w:hAnsiTheme="majorHAnsi"/>
          <w:sz w:val="24"/>
        </w:rPr>
      </w:pPr>
    </w:p>
    <w:p w:rsidR="00802129" w:rsidP="005D3D09" w:rsidRDefault="00802129" w14:paraId="677094DC" w14:textId="28F454F9">
      <w:pPr>
        <w:spacing w:after="0" w:line="240" w:lineRule="auto"/>
        <w:ind w:left="1440" w:hanging="720"/>
        <w:rPr>
          <w:rFonts w:asciiTheme="majorHAnsi" w:hAnsiTheme="majorHAnsi"/>
          <w:sz w:val="24"/>
        </w:rPr>
      </w:pPr>
      <w:r>
        <w:rPr>
          <w:rFonts w:asciiTheme="majorHAnsi" w:hAnsiTheme="majorHAnsi"/>
          <w:sz w:val="24"/>
        </w:rPr>
        <w:t xml:space="preserve">1b. </w:t>
      </w:r>
      <w:r>
        <w:rPr>
          <w:rFonts w:asciiTheme="majorHAnsi" w:hAnsiTheme="majorHAnsi"/>
          <w:b/>
          <w:sz w:val="24"/>
        </w:rPr>
        <w:t>Study Participation via GfK Knowledge Panel Survey</w:t>
      </w:r>
    </w:p>
    <w:p w:rsidR="00802129" w:rsidP="001B3EC6" w:rsidRDefault="00802129" w14:paraId="650BB621" w14:textId="21E1E1D8">
      <w:pPr>
        <w:spacing w:after="0" w:line="240" w:lineRule="auto"/>
        <w:ind w:left="720" w:hanging="720"/>
        <w:rPr>
          <w:rFonts w:asciiTheme="majorHAnsi" w:hAnsiTheme="majorHAnsi"/>
          <w:sz w:val="24"/>
        </w:rPr>
      </w:pPr>
      <w:r>
        <w:rPr>
          <w:rFonts w:asciiTheme="majorHAnsi" w:hAnsiTheme="majorHAnsi"/>
          <w:sz w:val="24"/>
        </w:rPr>
        <w:tab/>
        <w:t xml:space="preserve">a. Number of Respondents: </w:t>
      </w:r>
      <w:r w:rsidR="00AC3495">
        <w:rPr>
          <w:rFonts w:asciiTheme="majorHAnsi" w:hAnsiTheme="majorHAnsi"/>
          <w:sz w:val="24"/>
        </w:rPr>
        <w:t>2,772</w:t>
      </w:r>
    </w:p>
    <w:p w:rsidR="00802129" w:rsidP="001E1B38" w:rsidRDefault="00802129" w14:paraId="0D570AA6" w14:textId="77777777">
      <w:pPr>
        <w:spacing w:after="0" w:line="240" w:lineRule="auto"/>
        <w:ind w:left="720" w:hanging="720"/>
        <w:rPr>
          <w:rFonts w:asciiTheme="majorHAnsi" w:hAnsiTheme="majorHAnsi"/>
          <w:sz w:val="24"/>
        </w:rPr>
      </w:pPr>
      <w:r>
        <w:rPr>
          <w:rFonts w:asciiTheme="majorHAnsi" w:hAnsiTheme="majorHAnsi"/>
          <w:sz w:val="24"/>
        </w:rPr>
        <w:tab/>
        <w:t>b. Number of Responses Per Respondent: 1</w:t>
      </w:r>
    </w:p>
    <w:p w:rsidR="00802129" w:rsidP="00465D7E" w:rsidRDefault="00802129" w14:paraId="5F40430B" w14:textId="682B0FF9">
      <w:pPr>
        <w:spacing w:after="0" w:line="240" w:lineRule="auto"/>
        <w:ind w:left="720" w:hanging="720"/>
        <w:rPr>
          <w:rFonts w:asciiTheme="majorHAnsi" w:hAnsiTheme="majorHAnsi"/>
          <w:sz w:val="24"/>
        </w:rPr>
      </w:pPr>
      <w:r>
        <w:rPr>
          <w:rFonts w:asciiTheme="majorHAnsi" w:hAnsiTheme="majorHAnsi"/>
          <w:sz w:val="24"/>
        </w:rPr>
        <w:tab/>
        <w:t xml:space="preserve">c. Number of Total Annual Responses: </w:t>
      </w:r>
      <w:r w:rsidR="00AC3495">
        <w:rPr>
          <w:rFonts w:asciiTheme="majorHAnsi" w:hAnsiTheme="majorHAnsi"/>
          <w:sz w:val="24"/>
        </w:rPr>
        <w:t>2,772</w:t>
      </w:r>
    </w:p>
    <w:p w:rsidR="00802129" w:rsidP="00964F4D" w:rsidRDefault="00802129" w14:paraId="3F58D470" w14:textId="414ED996">
      <w:pPr>
        <w:spacing w:after="0" w:line="240" w:lineRule="auto"/>
        <w:ind w:left="1440" w:hanging="720"/>
        <w:rPr>
          <w:rFonts w:asciiTheme="majorHAnsi" w:hAnsiTheme="majorHAnsi"/>
          <w:sz w:val="24"/>
        </w:rPr>
      </w:pPr>
      <w:r>
        <w:rPr>
          <w:rFonts w:asciiTheme="majorHAnsi" w:hAnsiTheme="majorHAnsi"/>
          <w:sz w:val="24"/>
        </w:rPr>
        <w:t xml:space="preserve">d. Response Time: </w:t>
      </w:r>
      <w:r w:rsidR="001B3EC6">
        <w:rPr>
          <w:rFonts w:asciiTheme="majorHAnsi" w:hAnsiTheme="majorHAnsi"/>
          <w:sz w:val="24"/>
        </w:rPr>
        <w:t xml:space="preserve">17 </w:t>
      </w:r>
      <w:r w:rsidRPr="005E4BAF">
        <w:rPr>
          <w:rFonts w:asciiTheme="majorHAnsi" w:hAnsiTheme="majorHAnsi"/>
          <w:sz w:val="24"/>
        </w:rPr>
        <w:t>minutes</w:t>
      </w:r>
    </w:p>
    <w:p w:rsidR="00802129" w:rsidRDefault="00802129" w14:paraId="4DDAA58D" w14:textId="31A4A881">
      <w:pPr>
        <w:spacing w:after="0" w:line="240" w:lineRule="auto"/>
        <w:ind w:left="720" w:hanging="720"/>
        <w:rPr>
          <w:rFonts w:asciiTheme="majorHAnsi" w:hAnsiTheme="majorHAnsi"/>
          <w:sz w:val="24"/>
        </w:rPr>
      </w:pPr>
      <w:r>
        <w:rPr>
          <w:rFonts w:asciiTheme="majorHAnsi" w:hAnsiTheme="majorHAnsi"/>
          <w:sz w:val="24"/>
        </w:rPr>
        <w:tab/>
        <w:t xml:space="preserve">e. Respondent Burden Hours: </w:t>
      </w:r>
      <w:r w:rsidR="00AC3495">
        <w:rPr>
          <w:rFonts w:asciiTheme="majorHAnsi" w:hAnsiTheme="majorHAnsi"/>
          <w:sz w:val="24"/>
        </w:rPr>
        <w:t>785.4</w:t>
      </w:r>
      <w:r>
        <w:rPr>
          <w:rFonts w:asciiTheme="majorHAnsi" w:hAnsiTheme="majorHAnsi"/>
          <w:sz w:val="24"/>
        </w:rPr>
        <w:t xml:space="preserve"> hours </w:t>
      </w:r>
    </w:p>
    <w:p w:rsidR="00802129" w:rsidP="005D3D09" w:rsidRDefault="00802129" w14:paraId="01EC75D1" w14:textId="580DFC65">
      <w:pPr>
        <w:spacing w:after="0" w:line="240" w:lineRule="auto"/>
        <w:ind w:left="1440" w:hanging="720"/>
        <w:rPr>
          <w:rFonts w:asciiTheme="majorHAnsi" w:hAnsiTheme="majorHAnsi"/>
          <w:sz w:val="24"/>
        </w:rPr>
      </w:pPr>
    </w:p>
    <w:p w:rsidR="00802129" w:rsidP="005D3D09" w:rsidRDefault="00802129" w14:paraId="17F0E19B" w14:textId="106E377E">
      <w:pPr>
        <w:spacing w:after="0" w:line="240" w:lineRule="auto"/>
        <w:ind w:left="1440" w:hanging="720"/>
        <w:rPr>
          <w:rFonts w:asciiTheme="majorHAnsi" w:hAnsiTheme="majorHAnsi"/>
          <w:sz w:val="24"/>
        </w:rPr>
      </w:pPr>
      <w:r>
        <w:rPr>
          <w:rFonts w:asciiTheme="majorHAnsi" w:hAnsiTheme="majorHAnsi"/>
          <w:sz w:val="24"/>
        </w:rPr>
        <w:t xml:space="preserve">1c. </w:t>
      </w:r>
      <w:r>
        <w:rPr>
          <w:rFonts w:asciiTheme="majorHAnsi" w:hAnsiTheme="majorHAnsi"/>
          <w:b/>
          <w:sz w:val="24"/>
        </w:rPr>
        <w:t>Study Participation via GfK Knowledge Panel Post Survey</w:t>
      </w:r>
    </w:p>
    <w:p w:rsidR="00802129" w:rsidP="001B3EC6" w:rsidRDefault="00802129" w14:paraId="0F0BA41E" w14:textId="396A4C57">
      <w:pPr>
        <w:spacing w:after="0" w:line="240" w:lineRule="auto"/>
        <w:ind w:left="720" w:hanging="720"/>
        <w:rPr>
          <w:rFonts w:asciiTheme="majorHAnsi" w:hAnsiTheme="majorHAnsi"/>
          <w:sz w:val="24"/>
        </w:rPr>
      </w:pPr>
      <w:r>
        <w:rPr>
          <w:rFonts w:asciiTheme="majorHAnsi" w:hAnsiTheme="majorHAnsi"/>
          <w:sz w:val="24"/>
        </w:rPr>
        <w:tab/>
        <w:t xml:space="preserve">a. Number of Respondents: </w:t>
      </w:r>
      <w:r w:rsidR="00AC3495">
        <w:rPr>
          <w:rFonts w:asciiTheme="majorHAnsi" w:hAnsiTheme="majorHAnsi"/>
          <w:sz w:val="24"/>
        </w:rPr>
        <w:t>2,772</w:t>
      </w:r>
    </w:p>
    <w:p w:rsidR="00802129" w:rsidP="001E1B38" w:rsidRDefault="00802129" w14:paraId="4CA3DE33" w14:textId="77777777">
      <w:pPr>
        <w:spacing w:after="0" w:line="240" w:lineRule="auto"/>
        <w:ind w:left="720" w:hanging="720"/>
        <w:rPr>
          <w:rFonts w:asciiTheme="majorHAnsi" w:hAnsiTheme="majorHAnsi"/>
          <w:sz w:val="24"/>
        </w:rPr>
      </w:pPr>
      <w:r>
        <w:rPr>
          <w:rFonts w:asciiTheme="majorHAnsi" w:hAnsiTheme="majorHAnsi"/>
          <w:sz w:val="24"/>
        </w:rPr>
        <w:tab/>
        <w:t>b. Number of Responses Per Respondent: 1</w:t>
      </w:r>
    </w:p>
    <w:p w:rsidR="00802129" w:rsidP="00465D7E" w:rsidRDefault="00802129" w14:paraId="4590396C" w14:textId="0C3C5BF0">
      <w:pPr>
        <w:spacing w:after="0" w:line="240" w:lineRule="auto"/>
        <w:ind w:left="720" w:hanging="720"/>
        <w:rPr>
          <w:rFonts w:asciiTheme="majorHAnsi" w:hAnsiTheme="majorHAnsi"/>
          <w:sz w:val="24"/>
        </w:rPr>
      </w:pPr>
      <w:r>
        <w:rPr>
          <w:rFonts w:asciiTheme="majorHAnsi" w:hAnsiTheme="majorHAnsi"/>
          <w:sz w:val="24"/>
        </w:rPr>
        <w:tab/>
        <w:t xml:space="preserve">c. Number of Total Annual Responses: </w:t>
      </w:r>
      <w:r w:rsidR="00AC3495">
        <w:rPr>
          <w:rFonts w:asciiTheme="majorHAnsi" w:hAnsiTheme="majorHAnsi"/>
          <w:sz w:val="24"/>
        </w:rPr>
        <w:t>2,772</w:t>
      </w:r>
    </w:p>
    <w:p w:rsidR="00802129" w:rsidP="00964F4D" w:rsidRDefault="00802129" w14:paraId="48F7B77B" w14:textId="074761C2">
      <w:pPr>
        <w:spacing w:after="0" w:line="240" w:lineRule="auto"/>
        <w:ind w:left="1440" w:hanging="720"/>
        <w:rPr>
          <w:rFonts w:asciiTheme="majorHAnsi" w:hAnsiTheme="majorHAnsi"/>
          <w:sz w:val="24"/>
        </w:rPr>
      </w:pPr>
      <w:r>
        <w:rPr>
          <w:rFonts w:asciiTheme="majorHAnsi" w:hAnsiTheme="majorHAnsi"/>
          <w:sz w:val="24"/>
        </w:rPr>
        <w:t xml:space="preserve">d. Response Time: 1 </w:t>
      </w:r>
      <w:r w:rsidRPr="005E4BAF">
        <w:rPr>
          <w:rFonts w:asciiTheme="majorHAnsi" w:hAnsiTheme="majorHAnsi"/>
          <w:sz w:val="24"/>
        </w:rPr>
        <w:t>minute</w:t>
      </w:r>
    </w:p>
    <w:p w:rsidR="00802129" w:rsidRDefault="00802129" w14:paraId="6246BBF4" w14:textId="09CFFD5D">
      <w:pPr>
        <w:spacing w:after="0" w:line="240" w:lineRule="auto"/>
        <w:ind w:left="720" w:hanging="720"/>
        <w:rPr>
          <w:rFonts w:asciiTheme="majorHAnsi" w:hAnsiTheme="majorHAnsi"/>
          <w:sz w:val="24"/>
        </w:rPr>
      </w:pPr>
      <w:r>
        <w:rPr>
          <w:rFonts w:asciiTheme="majorHAnsi" w:hAnsiTheme="majorHAnsi"/>
          <w:sz w:val="24"/>
        </w:rPr>
        <w:tab/>
        <w:t xml:space="preserve">e. Respondent Burden Hours: </w:t>
      </w:r>
      <w:r w:rsidR="00AC3495">
        <w:rPr>
          <w:rFonts w:asciiTheme="majorHAnsi" w:hAnsiTheme="majorHAnsi"/>
          <w:sz w:val="24"/>
        </w:rPr>
        <w:t>46.2</w:t>
      </w:r>
      <w:r>
        <w:rPr>
          <w:rFonts w:asciiTheme="majorHAnsi" w:hAnsiTheme="majorHAnsi"/>
          <w:sz w:val="24"/>
        </w:rPr>
        <w:t xml:space="preserve"> hours </w:t>
      </w:r>
    </w:p>
    <w:p w:rsidR="00A77157" w:rsidP="005D3D09" w:rsidRDefault="00A77157" w14:paraId="2D50F5CB" w14:textId="77777777">
      <w:pPr>
        <w:spacing w:after="0" w:line="240" w:lineRule="auto"/>
        <w:rPr>
          <w:rFonts w:asciiTheme="majorHAnsi" w:hAnsiTheme="majorHAnsi"/>
          <w:sz w:val="24"/>
        </w:rPr>
      </w:pPr>
    </w:p>
    <w:p w:rsidRPr="005E4BAF" w:rsidR="00A77157" w:rsidP="002D18E4" w:rsidRDefault="00A77157" w14:paraId="15F22B04" w14:textId="63B7915E">
      <w:pPr>
        <w:spacing w:after="0" w:line="240" w:lineRule="auto"/>
        <w:ind w:left="720" w:hanging="720"/>
        <w:rPr>
          <w:rFonts w:asciiTheme="majorHAnsi" w:hAnsiTheme="majorHAnsi"/>
          <w:sz w:val="24"/>
        </w:rPr>
      </w:pPr>
      <w:r>
        <w:rPr>
          <w:rFonts w:asciiTheme="majorHAnsi" w:hAnsiTheme="majorHAnsi"/>
          <w:sz w:val="24"/>
        </w:rPr>
        <w:tab/>
        <w:t xml:space="preserve">2. </w:t>
      </w:r>
      <w:r w:rsidR="00105F45">
        <w:rPr>
          <w:rFonts w:asciiTheme="majorHAnsi" w:hAnsiTheme="majorHAnsi"/>
          <w:b/>
          <w:sz w:val="24"/>
        </w:rPr>
        <w:t>Total Submission Burden</w:t>
      </w:r>
    </w:p>
    <w:p w:rsidRPr="005E4BAF" w:rsidR="00A77157" w:rsidP="002D18E4" w:rsidRDefault="00A77157" w14:paraId="0668E9C3" w14:textId="6E5A2902">
      <w:pPr>
        <w:spacing w:after="0" w:line="240" w:lineRule="auto"/>
        <w:ind w:left="720" w:hanging="720"/>
        <w:rPr>
          <w:rFonts w:asciiTheme="majorHAnsi" w:hAnsiTheme="majorHAnsi"/>
          <w:sz w:val="24"/>
        </w:rPr>
      </w:pPr>
      <w:r w:rsidRPr="005E4BAF">
        <w:rPr>
          <w:rFonts w:asciiTheme="majorHAnsi" w:hAnsiTheme="majorHAnsi"/>
          <w:sz w:val="24"/>
        </w:rPr>
        <w:tab/>
        <w:t xml:space="preserve">a. Total Number of Respondents: </w:t>
      </w:r>
      <w:r w:rsidR="00AC3495">
        <w:rPr>
          <w:rFonts w:asciiTheme="majorHAnsi" w:hAnsiTheme="majorHAnsi"/>
          <w:sz w:val="24"/>
        </w:rPr>
        <w:t>2,772</w:t>
      </w:r>
    </w:p>
    <w:p w:rsidRPr="005E4BAF" w:rsidR="00254DCF" w:rsidP="002D18E4" w:rsidRDefault="00254DCF" w14:paraId="01DC7EE3" w14:textId="0599C7F1">
      <w:pPr>
        <w:spacing w:after="0" w:line="240" w:lineRule="auto"/>
        <w:ind w:left="720" w:hanging="720"/>
        <w:rPr>
          <w:rFonts w:asciiTheme="majorHAnsi" w:hAnsiTheme="majorHAnsi"/>
          <w:sz w:val="24"/>
        </w:rPr>
      </w:pPr>
      <w:r w:rsidRPr="005E4BAF">
        <w:rPr>
          <w:rFonts w:asciiTheme="majorHAnsi" w:hAnsiTheme="majorHAnsi"/>
          <w:sz w:val="24"/>
        </w:rPr>
        <w:tab/>
        <w:t>b. Total Number of Annual Responses</w:t>
      </w:r>
      <w:r w:rsidRPr="005E4BAF" w:rsidR="00520B36">
        <w:rPr>
          <w:rFonts w:asciiTheme="majorHAnsi" w:hAnsiTheme="majorHAnsi"/>
          <w:sz w:val="24"/>
        </w:rPr>
        <w:t xml:space="preserve">: </w:t>
      </w:r>
      <w:r w:rsidR="005E4BAF">
        <w:rPr>
          <w:rFonts w:asciiTheme="majorHAnsi" w:hAnsiTheme="majorHAnsi"/>
          <w:sz w:val="24"/>
        </w:rPr>
        <w:t>1</w:t>
      </w:r>
    </w:p>
    <w:p w:rsidR="00A77157" w:rsidP="002D18E4" w:rsidRDefault="00254DCF" w14:paraId="02FC81EA" w14:textId="50028E5A">
      <w:pPr>
        <w:spacing w:after="0" w:line="240" w:lineRule="auto"/>
        <w:ind w:left="720" w:hanging="720"/>
        <w:rPr>
          <w:rFonts w:asciiTheme="majorHAnsi" w:hAnsiTheme="majorHAnsi"/>
          <w:sz w:val="24"/>
        </w:rPr>
      </w:pPr>
      <w:r w:rsidRPr="005E4BAF">
        <w:rPr>
          <w:rFonts w:asciiTheme="majorHAnsi" w:hAnsiTheme="majorHAnsi"/>
          <w:sz w:val="24"/>
        </w:rPr>
        <w:tab/>
        <w:t>c. Total Respondent Burden Hours</w:t>
      </w:r>
      <w:r w:rsidRPr="005E4BAF" w:rsidR="00520B36">
        <w:rPr>
          <w:rFonts w:asciiTheme="majorHAnsi" w:hAnsiTheme="majorHAnsi"/>
          <w:sz w:val="24"/>
        </w:rPr>
        <w:t xml:space="preserve">: </w:t>
      </w:r>
      <w:r w:rsidR="00AC3495">
        <w:rPr>
          <w:rFonts w:asciiTheme="majorHAnsi" w:hAnsiTheme="majorHAnsi"/>
          <w:sz w:val="24"/>
        </w:rPr>
        <w:t>924</w:t>
      </w:r>
      <w:r w:rsidRPr="005E4BAF">
        <w:rPr>
          <w:rFonts w:asciiTheme="majorHAnsi" w:hAnsiTheme="majorHAnsi"/>
          <w:sz w:val="24"/>
        </w:rPr>
        <w:t xml:space="preserve"> hours</w:t>
      </w:r>
      <w:r>
        <w:rPr>
          <w:rFonts w:asciiTheme="majorHAnsi" w:hAnsiTheme="majorHAnsi"/>
          <w:sz w:val="24"/>
        </w:rPr>
        <w:t xml:space="preserve"> </w:t>
      </w:r>
    </w:p>
    <w:p w:rsidR="00254DCF" w:rsidP="00337EF1" w:rsidRDefault="00254DCF" w14:paraId="2C10B15F" w14:textId="77777777">
      <w:pPr>
        <w:spacing w:after="0" w:line="240" w:lineRule="auto"/>
        <w:rPr>
          <w:rFonts w:asciiTheme="majorHAnsi" w:hAnsiTheme="majorHAnsi"/>
          <w:sz w:val="24"/>
        </w:rPr>
      </w:pPr>
    </w:p>
    <w:p w:rsidRPr="0019309D" w:rsidR="00E315B6" w:rsidP="00E315B6" w:rsidRDefault="00E315B6" w14:paraId="5477F02C" w14:textId="77777777">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rsidR="00E315B6" w:rsidP="00E315B6" w:rsidRDefault="00E315B6" w14:paraId="1845A1D3" w14:textId="77777777">
      <w:pPr>
        <w:spacing w:after="0" w:line="240" w:lineRule="auto"/>
        <w:rPr>
          <w:rFonts w:asciiTheme="majorHAnsi" w:hAnsiTheme="majorHAnsi"/>
          <w:sz w:val="24"/>
        </w:rPr>
      </w:pPr>
      <w:r>
        <w:rPr>
          <w:rFonts w:asciiTheme="majorHAnsi" w:hAnsiTheme="majorHAnsi"/>
          <w:sz w:val="24"/>
        </w:rPr>
        <w:tab/>
      </w:r>
    </w:p>
    <w:p w:rsidR="00E315B6" w:rsidP="00E315B6" w:rsidRDefault="00E315B6" w14:paraId="425DED53" w14:textId="77777777">
      <w:pPr>
        <w:spacing w:after="0" w:line="240" w:lineRule="auto"/>
        <w:ind w:left="720" w:hanging="720"/>
        <w:rPr>
          <w:rFonts w:asciiTheme="majorHAnsi" w:hAnsiTheme="majorHAnsi"/>
          <w:sz w:val="24"/>
        </w:rPr>
      </w:pPr>
      <w:r>
        <w:rPr>
          <w:rFonts w:asciiTheme="majorHAnsi" w:hAnsiTheme="majorHAnsi"/>
          <w:sz w:val="24"/>
        </w:rPr>
        <w:tab/>
      </w:r>
    </w:p>
    <w:p w:rsidR="00E315B6" w:rsidP="00E315B6" w:rsidRDefault="00E315B6" w14:paraId="2866628B" w14:textId="77777777">
      <w:pPr>
        <w:spacing w:after="0" w:line="240" w:lineRule="auto"/>
        <w:ind w:left="720"/>
        <w:rPr>
          <w:rFonts w:asciiTheme="majorHAnsi" w:hAnsiTheme="majorHAnsi"/>
          <w:sz w:val="24"/>
        </w:rPr>
      </w:pPr>
      <w:bookmarkStart w:name="_Hlk5182272" w:id="1"/>
      <w:r>
        <w:rPr>
          <w:rFonts w:asciiTheme="majorHAnsi" w:hAnsiTheme="majorHAnsi"/>
          <w:sz w:val="24"/>
        </w:rPr>
        <w:t xml:space="preserve">1a. </w:t>
      </w:r>
      <w:r>
        <w:rPr>
          <w:rFonts w:asciiTheme="majorHAnsi" w:hAnsiTheme="majorHAnsi"/>
          <w:b/>
          <w:sz w:val="24"/>
        </w:rPr>
        <w:t>Study Participation via GfK Knowledge Panel Pre Survey</w:t>
      </w:r>
    </w:p>
    <w:p w:rsidRPr="00E077BE" w:rsidR="00E315B6" w:rsidP="00E315B6" w:rsidRDefault="00E315B6" w14:paraId="7ADF3CB8" w14:textId="77777777">
      <w:pPr>
        <w:pStyle w:val="ListParagraph"/>
        <w:numPr>
          <w:ilvl w:val="0"/>
          <w:numId w:val="22"/>
        </w:numPr>
        <w:spacing w:after="0" w:line="240" w:lineRule="auto"/>
        <w:rPr>
          <w:rFonts w:asciiTheme="majorHAnsi" w:hAnsiTheme="majorHAnsi"/>
          <w:sz w:val="24"/>
        </w:rPr>
      </w:pPr>
      <w:r w:rsidRPr="00E077BE">
        <w:rPr>
          <w:rFonts w:asciiTheme="majorHAnsi" w:hAnsiTheme="majorHAnsi"/>
          <w:sz w:val="24"/>
        </w:rPr>
        <w:t>Number of Total Annual Responses: 2,772</w:t>
      </w:r>
    </w:p>
    <w:p w:rsidRPr="00E077BE" w:rsidR="00E315B6" w:rsidP="00E315B6" w:rsidRDefault="00E315B6" w14:paraId="612950F5" w14:textId="77777777">
      <w:pPr>
        <w:pStyle w:val="ListParagraph"/>
        <w:numPr>
          <w:ilvl w:val="0"/>
          <w:numId w:val="22"/>
        </w:numPr>
        <w:spacing w:after="0" w:line="240" w:lineRule="auto"/>
        <w:rPr>
          <w:rFonts w:asciiTheme="majorHAnsi" w:hAnsiTheme="majorHAnsi"/>
          <w:sz w:val="24"/>
        </w:rPr>
      </w:pPr>
      <w:r w:rsidRPr="00E077BE">
        <w:rPr>
          <w:rFonts w:asciiTheme="majorHAnsi" w:hAnsiTheme="majorHAnsi"/>
          <w:sz w:val="24"/>
        </w:rPr>
        <w:t>Response Time: 2 minutes</w:t>
      </w:r>
    </w:p>
    <w:p w:rsidRPr="00E077BE" w:rsidR="00E315B6" w:rsidP="00E315B6" w:rsidRDefault="00E315B6" w14:paraId="0913B96C" w14:textId="77777777">
      <w:pPr>
        <w:pStyle w:val="ListParagraph"/>
        <w:numPr>
          <w:ilvl w:val="0"/>
          <w:numId w:val="22"/>
        </w:numPr>
        <w:spacing w:after="0" w:line="240" w:lineRule="auto"/>
        <w:rPr>
          <w:rFonts w:asciiTheme="majorHAnsi" w:hAnsiTheme="majorHAnsi"/>
          <w:sz w:val="24"/>
        </w:rPr>
      </w:pPr>
      <w:r w:rsidRPr="00E077BE">
        <w:rPr>
          <w:rFonts w:asciiTheme="majorHAnsi" w:hAnsiTheme="majorHAnsi"/>
          <w:sz w:val="24"/>
        </w:rPr>
        <w:t>Respondent Hourly Wage: $3</w:t>
      </w:r>
      <w:r>
        <w:rPr>
          <w:rFonts w:asciiTheme="majorHAnsi" w:hAnsiTheme="majorHAnsi"/>
          <w:sz w:val="24"/>
        </w:rPr>
        <w:t>6</w:t>
      </w:r>
      <w:r w:rsidRPr="00E077BE">
        <w:rPr>
          <w:rFonts w:asciiTheme="majorHAnsi" w:hAnsiTheme="majorHAnsi"/>
          <w:sz w:val="24"/>
        </w:rPr>
        <w:t>.</w:t>
      </w:r>
      <w:r>
        <w:rPr>
          <w:rFonts w:asciiTheme="majorHAnsi" w:hAnsiTheme="majorHAnsi"/>
          <w:sz w:val="24"/>
        </w:rPr>
        <w:t>32</w:t>
      </w:r>
    </w:p>
    <w:p w:rsidRPr="00E077BE" w:rsidR="00E315B6" w:rsidP="00E315B6" w:rsidRDefault="00E315B6" w14:paraId="54BD25B9" w14:textId="77777777">
      <w:pPr>
        <w:pStyle w:val="ListParagraph"/>
        <w:numPr>
          <w:ilvl w:val="0"/>
          <w:numId w:val="22"/>
        </w:numPr>
        <w:spacing w:after="0" w:line="240" w:lineRule="auto"/>
        <w:rPr>
          <w:rFonts w:asciiTheme="majorHAnsi" w:hAnsiTheme="majorHAnsi"/>
          <w:sz w:val="24"/>
        </w:rPr>
      </w:pPr>
      <w:r w:rsidRPr="00E077BE">
        <w:rPr>
          <w:rFonts w:asciiTheme="majorHAnsi" w:hAnsiTheme="majorHAnsi"/>
          <w:sz w:val="24"/>
        </w:rPr>
        <w:t>Labor Burden per Response: $</w:t>
      </w:r>
      <w:r>
        <w:rPr>
          <w:rFonts w:asciiTheme="majorHAnsi" w:hAnsiTheme="majorHAnsi"/>
          <w:sz w:val="24"/>
        </w:rPr>
        <w:t>1.21</w:t>
      </w:r>
    </w:p>
    <w:p w:rsidR="00E315B6" w:rsidP="00E315B6" w:rsidRDefault="00E315B6" w14:paraId="775CFA9A" w14:textId="77777777">
      <w:pPr>
        <w:pStyle w:val="ListParagraph"/>
        <w:numPr>
          <w:ilvl w:val="0"/>
          <w:numId w:val="22"/>
        </w:numPr>
        <w:spacing w:after="0" w:line="240" w:lineRule="auto"/>
        <w:rPr>
          <w:rFonts w:asciiTheme="majorHAnsi" w:hAnsiTheme="majorHAnsi"/>
          <w:sz w:val="24"/>
        </w:rPr>
      </w:pPr>
      <w:r w:rsidRPr="00E077BE">
        <w:rPr>
          <w:rFonts w:asciiTheme="majorHAnsi" w:hAnsiTheme="majorHAnsi"/>
          <w:sz w:val="24"/>
        </w:rPr>
        <w:t>Total Labor Burden: $</w:t>
      </w:r>
      <w:r>
        <w:rPr>
          <w:rFonts w:asciiTheme="majorHAnsi" w:hAnsiTheme="majorHAnsi"/>
          <w:sz w:val="24"/>
        </w:rPr>
        <w:t>3,355.97</w:t>
      </w:r>
    </w:p>
    <w:p w:rsidR="00E315B6" w:rsidP="00E315B6" w:rsidRDefault="00E315B6" w14:paraId="4506E254" w14:textId="77777777">
      <w:pPr>
        <w:spacing w:after="0" w:line="240" w:lineRule="auto"/>
        <w:rPr>
          <w:rFonts w:asciiTheme="majorHAnsi" w:hAnsiTheme="majorHAnsi"/>
          <w:sz w:val="24"/>
        </w:rPr>
      </w:pPr>
    </w:p>
    <w:p w:rsidR="00E315B6" w:rsidP="00E315B6" w:rsidRDefault="00E315B6" w14:paraId="34257813" w14:textId="77777777">
      <w:pPr>
        <w:spacing w:after="0" w:line="240" w:lineRule="auto"/>
        <w:ind w:left="1440" w:hanging="720"/>
        <w:rPr>
          <w:rFonts w:asciiTheme="majorHAnsi" w:hAnsiTheme="majorHAnsi"/>
          <w:sz w:val="24"/>
        </w:rPr>
      </w:pPr>
      <w:r>
        <w:rPr>
          <w:rFonts w:asciiTheme="majorHAnsi" w:hAnsiTheme="majorHAnsi"/>
          <w:sz w:val="24"/>
        </w:rPr>
        <w:t xml:space="preserve">1b. </w:t>
      </w:r>
      <w:r>
        <w:rPr>
          <w:rFonts w:asciiTheme="majorHAnsi" w:hAnsiTheme="majorHAnsi"/>
          <w:b/>
          <w:sz w:val="24"/>
        </w:rPr>
        <w:t>Study Participation via GfK Knowledge Panel Survey</w:t>
      </w:r>
    </w:p>
    <w:p w:rsidRPr="00E077BE" w:rsidR="00E315B6" w:rsidP="00E315B6" w:rsidRDefault="00E315B6" w14:paraId="1C7C364A" w14:textId="77777777">
      <w:pPr>
        <w:pStyle w:val="ListParagraph"/>
        <w:numPr>
          <w:ilvl w:val="0"/>
          <w:numId w:val="23"/>
        </w:numPr>
        <w:spacing w:after="0" w:line="240" w:lineRule="auto"/>
        <w:rPr>
          <w:rFonts w:asciiTheme="majorHAnsi" w:hAnsiTheme="majorHAnsi"/>
          <w:sz w:val="24"/>
        </w:rPr>
      </w:pPr>
      <w:r w:rsidRPr="00E077BE">
        <w:rPr>
          <w:rFonts w:asciiTheme="majorHAnsi" w:hAnsiTheme="majorHAnsi"/>
          <w:sz w:val="24"/>
        </w:rPr>
        <w:t>Number of Total Annual Responses: 2,772</w:t>
      </w:r>
    </w:p>
    <w:p w:rsidRPr="00E077BE" w:rsidR="00E315B6" w:rsidP="00E315B6" w:rsidRDefault="00E315B6" w14:paraId="643B7000" w14:textId="77777777">
      <w:pPr>
        <w:pStyle w:val="ListParagraph"/>
        <w:numPr>
          <w:ilvl w:val="0"/>
          <w:numId w:val="23"/>
        </w:numPr>
        <w:spacing w:after="0" w:line="240" w:lineRule="auto"/>
        <w:rPr>
          <w:rFonts w:asciiTheme="majorHAnsi" w:hAnsiTheme="majorHAnsi"/>
          <w:sz w:val="24"/>
        </w:rPr>
      </w:pPr>
      <w:r w:rsidRPr="00E077BE">
        <w:rPr>
          <w:rFonts w:asciiTheme="majorHAnsi" w:hAnsiTheme="majorHAnsi"/>
          <w:sz w:val="24"/>
        </w:rPr>
        <w:t xml:space="preserve">Response Time: </w:t>
      </w:r>
      <w:r>
        <w:rPr>
          <w:rFonts w:asciiTheme="majorHAnsi" w:hAnsiTheme="majorHAnsi"/>
          <w:sz w:val="24"/>
        </w:rPr>
        <w:t>17</w:t>
      </w:r>
      <w:r w:rsidRPr="00E077BE">
        <w:rPr>
          <w:rFonts w:asciiTheme="majorHAnsi" w:hAnsiTheme="majorHAnsi"/>
          <w:sz w:val="24"/>
        </w:rPr>
        <w:t xml:space="preserve"> minutes</w:t>
      </w:r>
    </w:p>
    <w:p w:rsidRPr="00E077BE" w:rsidR="00E315B6" w:rsidP="00E315B6" w:rsidRDefault="00E315B6" w14:paraId="574495E7" w14:textId="77777777">
      <w:pPr>
        <w:pStyle w:val="ListParagraph"/>
        <w:numPr>
          <w:ilvl w:val="0"/>
          <w:numId w:val="23"/>
        </w:numPr>
        <w:spacing w:after="0" w:line="240" w:lineRule="auto"/>
        <w:rPr>
          <w:rFonts w:asciiTheme="majorHAnsi" w:hAnsiTheme="majorHAnsi"/>
          <w:sz w:val="24"/>
        </w:rPr>
      </w:pPr>
      <w:r w:rsidRPr="00E077BE">
        <w:rPr>
          <w:rFonts w:asciiTheme="majorHAnsi" w:hAnsiTheme="majorHAnsi"/>
          <w:sz w:val="24"/>
        </w:rPr>
        <w:t>Respondent Hourly Wage: $3</w:t>
      </w:r>
      <w:r>
        <w:rPr>
          <w:rFonts w:asciiTheme="majorHAnsi" w:hAnsiTheme="majorHAnsi"/>
          <w:sz w:val="24"/>
        </w:rPr>
        <w:t>6</w:t>
      </w:r>
      <w:r w:rsidRPr="00E077BE">
        <w:rPr>
          <w:rFonts w:asciiTheme="majorHAnsi" w:hAnsiTheme="majorHAnsi"/>
          <w:sz w:val="24"/>
        </w:rPr>
        <w:t>.</w:t>
      </w:r>
      <w:r>
        <w:rPr>
          <w:rFonts w:asciiTheme="majorHAnsi" w:hAnsiTheme="majorHAnsi"/>
          <w:sz w:val="24"/>
        </w:rPr>
        <w:t>32</w:t>
      </w:r>
    </w:p>
    <w:p w:rsidR="00E315B6" w:rsidP="00E315B6" w:rsidRDefault="00E315B6" w14:paraId="7D3799F4" w14:textId="77777777">
      <w:pPr>
        <w:pStyle w:val="ListParagraph"/>
        <w:numPr>
          <w:ilvl w:val="0"/>
          <w:numId w:val="23"/>
        </w:numPr>
        <w:spacing w:after="0" w:line="240" w:lineRule="auto"/>
        <w:rPr>
          <w:rFonts w:asciiTheme="majorHAnsi" w:hAnsiTheme="majorHAnsi"/>
          <w:sz w:val="24"/>
        </w:rPr>
      </w:pPr>
      <w:r w:rsidRPr="00E077BE">
        <w:rPr>
          <w:rFonts w:asciiTheme="majorHAnsi" w:hAnsiTheme="majorHAnsi"/>
          <w:sz w:val="24"/>
        </w:rPr>
        <w:t>Labor Burden per Response: $</w:t>
      </w:r>
      <w:r>
        <w:rPr>
          <w:rFonts w:asciiTheme="majorHAnsi" w:hAnsiTheme="majorHAnsi"/>
          <w:sz w:val="24"/>
        </w:rPr>
        <w:t>10.29</w:t>
      </w:r>
    </w:p>
    <w:p w:rsidRPr="00E077BE" w:rsidR="00E315B6" w:rsidP="00E315B6" w:rsidRDefault="00E315B6" w14:paraId="591A1A14" w14:textId="77777777">
      <w:pPr>
        <w:pStyle w:val="ListParagraph"/>
        <w:numPr>
          <w:ilvl w:val="0"/>
          <w:numId w:val="23"/>
        </w:numPr>
        <w:spacing w:after="0" w:line="240" w:lineRule="auto"/>
        <w:rPr>
          <w:rFonts w:asciiTheme="majorHAnsi" w:hAnsiTheme="majorHAnsi"/>
          <w:sz w:val="24"/>
        </w:rPr>
      </w:pPr>
      <w:r w:rsidRPr="00E077BE">
        <w:rPr>
          <w:rFonts w:asciiTheme="majorHAnsi" w:hAnsiTheme="majorHAnsi"/>
          <w:sz w:val="24"/>
        </w:rPr>
        <w:t>Total Labor Burden: $</w:t>
      </w:r>
      <w:r>
        <w:rPr>
          <w:rFonts w:asciiTheme="majorHAnsi" w:hAnsiTheme="majorHAnsi"/>
          <w:sz w:val="24"/>
        </w:rPr>
        <w:t>28,525.73</w:t>
      </w:r>
      <w:r w:rsidRPr="00E077BE">
        <w:rPr>
          <w:rFonts w:asciiTheme="majorHAnsi" w:hAnsiTheme="majorHAnsi"/>
          <w:sz w:val="24"/>
        </w:rPr>
        <w:tab/>
      </w:r>
    </w:p>
    <w:p w:rsidR="00E315B6" w:rsidP="00E315B6" w:rsidRDefault="00E315B6" w14:paraId="59675598" w14:textId="77777777">
      <w:pPr>
        <w:spacing w:after="0" w:line="240" w:lineRule="auto"/>
        <w:ind w:left="1440" w:hanging="720"/>
        <w:rPr>
          <w:rFonts w:asciiTheme="majorHAnsi" w:hAnsiTheme="majorHAnsi"/>
          <w:sz w:val="24"/>
        </w:rPr>
      </w:pPr>
    </w:p>
    <w:p w:rsidR="00E315B6" w:rsidP="00E315B6" w:rsidRDefault="00E315B6" w14:paraId="6C4B8A5F" w14:textId="77777777">
      <w:pPr>
        <w:spacing w:after="0" w:line="240" w:lineRule="auto"/>
        <w:ind w:left="1440" w:hanging="720"/>
        <w:rPr>
          <w:rFonts w:asciiTheme="majorHAnsi" w:hAnsiTheme="majorHAnsi"/>
          <w:sz w:val="24"/>
        </w:rPr>
      </w:pPr>
      <w:r>
        <w:rPr>
          <w:rFonts w:asciiTheme="majorHAnsi" w:hAnsiTheme="majorHAnsi"/>
          <w:sz w:val="24"/>
        </w:rPr>
        <w:t xml:space="preserve">1c. </w:t>
      </w:r>
      <w:r>
        <w:rPr>
          <w:rFonts w:asciiTheme="majorHAnsi" w:hAnsiTheme="majorHAnsi"/>
          <w:b/>
          <w:sz w:val="24"/>
        </w:rPr>
        <w:t>Study Participation via GfK Knowledge Panel Post Survey</w:t>
      </w:r>
    </w:p>
    <w:p w:rsidRPr="00E077BE" w:rsidR="00E315B6" w:rsidP="00E315B6" w:rsidRDefault="00E315B6" w14:paraId="29085CC5" w14:textId="77777777">
      <w:pPr>
        <w:pStyle w:val="ListParagraph"/>
        <w:numPr>
          <w:ilvl w:val="0"/>
          <w:numId w:val="24"/>
        </w:numPr>
        <w:spacing w:after="0" w:line="240" w:lineRule="auto"/>
        <w:rPr>
          <w:rFonts w:asciiTheme="majorHAnsi" w:hAnsiTheme="majorHAnsi"/>
          <w:sz w:val="24"/>
        </w:rPr>
      </w:pPr>
      <w:r w:rsidRPr="00E077BE">
        <w:rPr>
          <w:rFonts w:asciiTheme="majorHAnsi" w:hAnsiTheme="majorHAnsi"/>
          <w:sz w:val="24"/>
        </w:rPr>
        <w:t>Number of Total Annual Responses: 2,772</w:t>
      </w:r>
    </w:p>
    <w:p w:rsidRPr="00E077BE" w:rsidR="00E315B6" w:rsidP="00E315B6" w:rsidRDefault="00E315B6" w14:paraId="40DBA797" w14:textId="77777777">
      <w:pPr>
        <w:pStyle w:val="ListParagraph"/>
        <w:numPr>
          <w:ilvl w:val="0"/>
          <w:numId w:val="24"/>
        </w:numPr>
        <w:spacing w:after="0" w:line="240" w:lineRule="auto"/>
        <w:rPr>
          <w:rFonts w:asciiTheme="majorHAnsi" w:hAnsiTheme="majorHAnsi"/>
          <w:sz w:val="24"/>
        </w:rPr>
      </w:pPr>
      <w:r w:rsidRPr="00E077BE">
        <w:rPr>
          <w:rFonts w:asciiTheme="majorHAnsi" w:hAnsiTheme="majorHAnsi"/>
          <w:sz w:val="24"/>
        </w:rPr>
        <w:t xml:space="preserve">Response Time: </w:t>
      </w:r>
      <w:r>
        <w:rPr>
          <w:rFonts w:asciiTheme="majorHAnsi" w:hAnsiTheme="majorHAnsi"/>
          <w:sz w:val="24"/>
        </w:rPr>
        <w:t>1</w:t>
      </w:r>
      <w:r w:rsidRPr="00E077BE">
        <w:rPr>
          <w:rFonts w:asciiTheme="majorHAnsi" w:hAnsiTheme="majorHAnsi"/>
          <w:sz w:val="24"/>
        </w:rPr>
        <w:t xml:space="preserve"> minute</w:t>
      </w:r>
    </w:p>
    <w:p w:rsidRPr="00E077BE" w:rsidR="00E315B6" w:rsidP="00E315B6" w:rsidRDefault="00E315B6" w14:paraId="45B92445" w14:textId="77777777">
      <w:pPr>
        <w:pStyle w:val="ListParagraph"/>
        <w:numPr>
          <w:ilvl w:val="0"/>
          <w:numId w:val="24"/>
        </w:numPr>
        <w:spacing w:after="0" w:line="240" w:lineRule="auto"/>
        <w:rPr>
          <w:rFonts w:asciiTheme="majorHAnsi" w:hAnsiTheme="majorHAnsi"/>
          <w:sz w:val="24"/>
        </w:rPr>
      </w:pPr>
      <w:r w:rsidRPr="00E077BE">
        <w:rPr>
          <w:rFonts w:asciiTheme="majorHAnsi" w:hAnsiTheme="majorHAnsi"/>
          <w:sz w:val="24"/>
        </w:rPr>
        <w:t>Respondent Hourly Wage: $3</w:t>
      </w:r>
      <w:r>
        <w:rPr>
          <w:rFonts w:asciiTheme="majorHAnsi" w:hAnsiTheme="majorHAnsi"/>
          <w:sz w:val="24"/>
        </w:rPr>
        <w:t>6</w:t>
      </w:r>
      <w:r w:rsidRPr="00E077BE">
        <w:rPr>
          <w:rFonts w:asciiTheme="majorHAnsi" w:hAnsiTheme="majorHAnsi"/>
          <w:sz w:val="24"/>
        </w:rPr>
        <w:t>.</w:t>
      </w:r>
      <w:r>
        <w:rPr>
          <w:rFonts w:asciiTheme="majorHAnsi" w:hAnsiTheme="majorHAnsi"/>
          <w:sz w:val="24"/>
        </w:rPr>
        <w:t>32</w:t>
      </w:r>
    </w:p>
    <w:p w:rsidR="00E315B6" w:rsidP="00E315B6" w:rsidRDefault="00E315B6" w14:paraId="6AB151CA" w14:textId="77777777">
      <w:pPr>
        <w:pStyle w:val="ListParagraph"/>
        <w:numPr>
          <w:ilvl w:val="0"/>
          <w:numId w:val="24"/>
        </w:numPr>
        <w:spacing w:after="0" w:line="240" w:lineRule="auto"/>
        <w:rPr>
          <w:rFonts w:asciiTheme="majorHAnsi" w:hAnsiTheme="majorHAnsi"/>
          <w:sz w:val="24"/>
        </w:rPr>
      </w:pPr>
      <w:r w:rsidRPr="00E077BE">
        <w:rPr>
          <w:rFonts w:asciiTheme="majorHAnsi" w:hAnsiTheme="majorHAnsi"/>
          <w:sz w:val="24"/>
        </w:rPr>
        <w:t>Labor Burden per Response: $</w:t>
      </w:r>
      <w:r>
        <w:rPr>
          <w:rFonts w:asciiTheme="majorHAnsi" w:hAnsiTheme="majorHAnsi"/>
          <w:sz w:val="24"/>
        </w:rPr>
        <w:t>0.61</w:t>
      </w:r>
    </w:p>
    <w:p w:rsidRPr="00E077BE" w:rsidR="00E315B6" w:rsidP="00E315B6" w:rsidRDefault="00E315B6" w14:paraId="2F9BB3B6" w14:textId="77777777">
      <w:pPr>
        <w:pStyle w:val="ListParagraph"/>
        <w:numPr>
          <w:ilvl w:val="0"/>
          <w:numId w:val="24"/>
        </w:numPr>
        <w:spacing w:after="0" w:line="240" w:lineRule="auto"/>
        <w:rPr>
          <w:rFonts w:asciiTheme="majorHAnsi" w:hAnsiTheme="majorHAnsi"/>
          <w:sz w:val="24"/>
        </w:rPr>
      </w:pPr>
      <w:r w:rsidRPr="00E077BE">
        <w:rPr>
          <w:rFonts w:asciiTheme="majorHAnsi" w:hAnsiTheme="majorHAnsi"/>
          <w:sz w:val="24"/>
        </w:rPr>
        <w:t>Total Labor Burden: $</w:t>
      </w:r>
      <w:r>
        <w:rPr>
          <w:rFonts w:asciiTheme="majorHAnsi" w:hAnsiTheme="majorHAnsi"/>
          <w:sz w:val="24"/>
        </w:rPr>
        <w:t>1,677.98</w:t>
      </w:r>
      <w:r w:rsidRPr="00E077BE">
        <w:rPr>
          <w:rFonts w:asciiTheme="majorHAnsi" w:hAnsiTheme="majorHAnsi"/>
          <w:sz w:val="24"/>
        </w:rPr>
        <w:tab/>
      </w:r>
    </w:p>
    <w:p w:rsidR="00E315B6" w:rsidP="00E315B6" w:rsidRDefault="00E315B6" w14:paraId="034A143A" w14:textId="77777777">
      <w:pPr>
        <w:spacing w:after="0" w:line="240" w:lineRule="auto"/>
        <w:ind w:left="720" w:hanging="720"/>
        <w:rPr>
          <w:rFonts w:asciiTheme="majorHAnsi" w:hAnsiTheme="majorHAnsi"/>
          <w:sz w:val="24"/>
        </w:rPr>
      </w:pPr>
    </w:p>
    <w:p w:rsidRPr="00722FDB" w:rsidR="00E315B6" w:rsidP="00E315B6" w:rsidRDefault="00E315B6" w14:paraId="4BF6B702" w14:textId="77777777">
      <w:pPr>
        <w:spacing w:after="0" w:line="240" w:lineRule="auto"/>
        <w:ind w:left="720" w:hanging="720"/>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rsidR="00E315B6" w:rsidP="00E315B6" w:rsidRDefault="00E315B6" w14:paraId="52D79B93" w14:textId="77777777">
      <w:pPr>
        <w:spacing w:after="0" w:line="240" w:lineRule="auto"/>
        <w:ind w:left="720" w:hanging="720"/>
        <w:rPr>
          <w:rFonts w:asciiTheme="majorHAnsi" w:hAnsiTheme="majorHAnsi"/>
          <w:sz w:val="24"/>
        </w:rPr>
      </w:pPr>
      <w:r>
        <w:rPr>
          <w:rFonts w:asciiTheme="majorHAnsi" w:hAnsiTheme="majorHAnsi"/>
          <w:sz w:val="24"/>
        </w:rPr>
        <w:tab/>
        <w:t>a. Total Number of Annual Responses</w:t>
      </w:r>
      <w:r w:rsidRPr="00254DCF">
        <w:rPr>
          <w:rFonts w:asciiTheme="majorHAnsi" w:hAnsiTheme="majorHAnsi"/>
          <w:sz w:val="24"/>
        </w:rPr>
        <w:t xml:space="preserve">: </w:t>
      </w:r>
      <w:r>
        <w:rPr>
          <w:rFonts w:asciiTheme="majorHAnsi" w:hAnsiTheme="majorHAnsi"/>
          <w:sz w:val="24"/>
        </w:rPr>
        <w:t>2,772</w:t>
      </w:r>
    </w:p>
    <w:p w:rsidR="00E315B6" w:rsidP="00E315B6" w:rsidRDefault="00E315B6" w14:paraId="34782AB3" w14:textId="77777777">
      <w:pPr>
        <w:spacing w:after="0" w:line="240" w:lineRule="auto"/>
        <w:ind w:left="720" w:hanging="720"/>
        <w:rPr>
          <w:rFonts w:asciiTheme="majorHAnsi" w:hAnsiTheme="majorHAnsi"/>
          <w:sz w:val="24"/>
        </w:rPr>
      </w:pPr>
      <w:r>
        <w:rPr>
          <w:rFonts w:asciiTheme="majorHAnsi" w:hAnsiTheme="majorHAnsi"/>
          <w:sz w:val="24"/>
        </w:rPr>
        <w:tab/>
        <w:t>b. Total Labor Burden</w:t>
      </w:r>
      <w:r w:rsidRPr="00CB0653">
        <w:rPr>
          <w:rFonts w:asciiTheme="majorHAnsi" w:hAnsiTheme="majorHAnsi"/>
          <w:sz w:val="24"/>
        </w:rPr>
        <w:t>: $</w:t>
      </w:r>
      <w:r>
        <w:rPr>
          <w:rFonts w:asciiTheme="majorHAnsi" w:hAnsiTheme="majorHAnsi"/>
          <w:sz w:val="24"/>
        </w:rPr>
        <w:t>33,559.68</w:t>
      </w:r>
    </w:p>
    <w:p w:rsidRPr="00337EF1" w:rsidR="00E315B6" w:rsidP="00E315B6" w:rsidRDefault="00E315B6" w14:paraId="010AD5C5" w14:textId="77777777">
      <w:pPr>
        <w:spacing w:after="0" w:line="240" w:lineRule="auto"/>
        <w:rPr>
          <w:rFonts w:asciiTheme="majorHAnsi" w:hAnsiTheme="majorHAnsi"/>
          <w:sz w:val="24"/>
        </w:rPr>
      </w:pPr>
    </w:p>
    <w:p w:rsidR="00E315B6" w:rsidP="00E315B6" w:rsidRDefault="00E315B6" w14:paraId="17B797A6" w14:textId="77777777">
      <w:pPr>
        <w:spacing w:after="0" w:line="240" w:lineRule="auto"/>
        <w:rPr>
          <w:rFonts w:asciiTheme="majorHAnsi" w:hAnsiTheme="majorHAnsi"/>
          <w:sz w:val="24"/>
        </w:rPr>
      </w:pPr>
      <w:r>
        <w:rPr>
          <w:rFonts w:asciiTheme="majorHAnsi" w:hAnsiTheme="majorHAnsi"/>
          <w:sz w:val="24"/>
        </w:rPr>
        <w:t xml:space="preserve">The mean hourly wage of $36.32 was used in calculations because $36.32 was reported by the </w:t>
      </w:r>
      <w:r w:rsidRPr="00621CA9">
        <w:rPr>
          <w:rFonts w:asciiTheme="majorHAnsi" w:hAnsiTheme="majorHAnsi"/>
          <w:sz w:val="24"/>
        </w:rPr>
        <w:t xml:space="preserve">U.S. Department of Labor Bureau of Labor Statistics </w:t>
      </w:r>
      <w:r>
        <w:rPr>
          <w:rFonts w:asciiTheme="majorHAnsi" w:hAnsiTheme="majorHAnsi"/>
          <w:sz w:val="24"/>
        </w:rPr>
        <w:t>as the average e</w:t>
      </w:r>
      <w:r w:rsidRPr="00621CA9">
        <w:rPr>
          <w:rFonts w:asciiTheme="majorHAnsi" w:hAnsiTheme="majorHAnsi"/>
          <w:sz w:val="24"/>
        </w:rPr>
        <w:t xml:space="preserve">mployer costs for employee compensation </w:t>
      </w:r>
      <w:r>
        <w:rPr>
          <w:rFonts w:asciiTheme="majorHAnsi" w:hAnsiTheme="majorHAnsi"/>
          <w:sz w:val="24"/>
        </w:rPr>
        <w:t xml:space="preserve">per hour </w:t>
      </w:r>
      <w:r w:rsidRPr="00621CA9">
        <w:rPr>
          <w:rFonts w:asciiTheme="majorHAnsi" w:hAnsiTheme="majorHAnsi"/>
          <w:sz w:val="24"/>
        </w:rPr>
        <w:t xml:space="preserve">worked in </w:t>
      </w:r>
      <w:r>
        <w:rPr>
          <w:rFonts w:asciiTheme="majorHAnsi" w:hAnsiTheme="majorHAnsi"/>
          <w:sz w:val="24"/>
        </w:rPr>
        <w:t>December</w:t>
      </w:r>
      <w:r w:rsidRPr="00621CA9">
        <w:rPr>
          <w:rFonts w:asciiTheme="majorHAnsi" w:hAnsiTheme="majorHAnsi"/>
          <w:sz w:val="24"/>
        </w:rPr>
        <w:t xml:space="preserve"> 201</w:t>
      </w:r>
      <w:r>
        <w:rPr>
          <w:rFonts w:asciiTheme="majorHAnsi" w:hAnsiTheme="majorHAnsi"/>
          <w:sz w:val="24"/>
        </w:rPr>
        <w:t xml:space="preserve">9. This information was obtained from a news release issued in March 2019 and available at </w:t>
      </w:r>
      <w:r w:rsidRPr="005D3D09">
        <w:rPr>
          <w:rFonts w:asciiTheme="majorHAnsi" w:hAnsiTheme="majorHAnsi"/>
          <w:sz w:val="24"/>
          <w:szCs w:val="24"/>
        </w:rPr>
        <w:t>https://www.bls.gov/news.release/pdf/ecec.pdf</w:t>
      </w:r>
      <w:r w:rsidRPr="00C43450">
        <w:rPr>
          <w:rFonts w:asciiTheme="majorHAnsi" w:hAnsiTheme="majorHAnsi"/>
          <w:sz w:val="24"/>
          <w:szCs w:val="24"/>
        </w:rPr>
        <w:t>.</w:t>
      </w:r>
    </w:p>
    <w:bookmarkEnd w:id="1"/>
    <w:p w:rsidR="0019309D" w:rsidP="00337EF1" w:rsidRDefault="0019309D" w14:paraId="401A2252" w14:textId="77777777">
      <w:pPr>
        <w:spacing w:after="0" w:line="240" w:lineRule="auto"/>
        <w:rPr>
          <w:rFonts w:asciiTheme="majorHAnsi" w:hAnsiTheme="majorHAnsi"/>
          <w:sz w:val="24"/>
        </w:rPr>
      </w:pPr>
    </w:p>
    <w:p w:rsidR="0019309D" w:rsidP="00337EF1" w:rsidRDefault="0019309D" w14:paraId="45A36C3F"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CB0653" w:rsidP="0019309D" w:rsidRDefault="00CB0653" w14:paraId="17697475" w14:textId="77777777">
      <w:pPr>
        <w:spacing w:after="0" w:line="240" w:lineRule="auto"/>
        <w:rPr>
          <w:rFonts w:asciiTheme="majorHAnsi" w:hAnsiTheme="majorHAnsi"/>
          <w:sz w:val="24"/>
        </w:rPr>
      </w:pPr>
      <w:r w:rsidRPr="00CB0653">
        <w:rPr>
          <w:rFonts w:asciiTheme="majorHAnsi" w:hAnsiTheme="majorHAnsi"/>
          <w:sz w:val="24"/>
        </w:rPr>
        <w:t>There are no annualized costs to respondents other than the labor burden costs addressed in Section 12 of this document to complete this collection.</w:t>
      </w:r>
    </w:p>
    <w:p w:rsidR="0019309D" w:rsidP="0019309D" w:rsidRDefault="0019309D" w14:paraId="43A55D95" w14:textId="77777777">
      <w:pPr>
        <w:spacing w:after="0" w:line="240" w:lineRule="auto"/>
        <w:rPr>
          <w:rFonts w:asciiTheme="majorHAnsi" w:hAnsiTheme="majorHAnsi"/>
          <w:sz w:val="24"/>
        </w:rPr>
      </w:pPr>
    </w:p>
    <w:p w:rsidR="0019309D" w:rsidP="0019309D" w:rsidRDefault="00F25499" w14:paraId="3A03F5FF"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F25499" w:rsidP="0019309D" w:rsidRDefault="00F25499" w14:paraId="4500FB72" w14:textId="77777777">
      <w:pPr>
        <w:spacing w:after="0" w:line="240" w:lineRule="auto"/>
        <w:rPr>
          <w:rFonts w:asciiTheme="majorHAnsi" w:hAnsiTheme="majorHAnsi"/>
          <w:sz w:val="24"/>
        </w:rPr>
      </w:pPr>
    </w:p>
    <w:p w:rsidR="00722FDB" w:rsidP="0019309D" w:rsidRDefault="00722FDB" w14:paraId="51BB2D03" w14:textId="77777777">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p>
    <w:p w:rsidRPr="00722FDB" w:rsidR="00722FDB" w:rsidP="002D18E4" w:rsidRDefault="00722FDB" w14:paraId="23C452D1" w14:textId="1801CFB3">
      <w:pPr>
        <w:spacing w:after="0" w:line="240" w:lineRule="auto"/>
        <w:ind w:left="1440" w:hanging="720"/>
        <w:rPr>
          <w:rFonts w:asciiTheme="majorHAnsi" w:hAnsiTheme="majorHAnsi"/>
          <w:sz w:val="24"/>
        </w:rPr>
      </w:pPr>
      <w:r w:rsidRPr="00722FDB">
        <w:rPr>
          <w:rFonts w:asciiTheme="majorHAnsi" w:hAnsiTheme="majorHAnsi"/>
          <w:sz w:val="24"/>
        </w:rPr>
        <w:t xml:space="preserve">1. </w:t>
      </w:r>
      <w:r w:rsidR="00645934">
        <w:rPr>
          <w:rFonts w:asciiTheme="majorHAnsi" w:hAnsiTheme="majorHAnsi"/>
          <w:b/>
          <w:sz w:val="24"/>
        </w:rPr>
        <w:t>Study Participation via GfK Knowledge Panel (Includes Pre Survey and Post Survey)</w:t>
      </w:r>
      <w:r w:rsidR="00645934">
        <w:rPr>
          <w:rFonts w:asciiTheme="majorHAnsi" w:hAnsiTheme="majorHAnsi"/>
          <w:sz w:val="24"/>
        </w:rPr>
        <w:t xml:space="preserve"> </w:t>
      </w:r>
      <w:r w:rsidDel="00645934" w:rsidR="00645934">
        <w:rPr>
          <w:rStyle w:val="CommentReference"/>
        </w:rPr>
        <w:t xml:space="preserve"> </w:t>
      </w:r>
    </w:p>
    <w:p w:rsidRPr="00CB0653" w:rsidR="00722FDB" w:rsidP="002D18E4" w:rsidRDefault="00722FDB" w14:paraId="3DA9E475" w14:textId="77777777">
      <w:pPr>
        <w:spacing w:after="0" w:line="240" w:lineRule="auto"/>
        <w:ind w:left="1440"/>
        <w:rPr>
          <w:rFonts w:asciiTheme="majorHAnsi" w:hAnsiTheme="majorHAnsi"/>
          <w:sz w:val="24"/>
        </w:rPr>
      </w:pPr>
      <w:r w:rsidRPr="00722FDB">
        <w:rPr>
          <w:rFonts w:asciiTheme="majorHAnsi" w:hAnsiTheme="majorHAnsi"/>
          <w:sz w:val="24"/>
        </w:rPr>
        <w:t>a</w:t>
      </w:r>
      <w:r w:rsidRPr="00CB0653">
        <w:rPr>
          <w:rFonts w:asciiTheme="majorHAnsi" w:hAnsiTheme="majorHAnsi"/>
          <w:sz w:val="24"/>
        </w:rPr>
        <w:t xml:space="preserve">. Number of Total Annual Responses: </w:t>
      </w:r>
      <w:r w:rsidRPr="00CB0653" w:rsidR="00CB0653">
        <w:rPr>
          <w:rFonts w:asciiTheme="majorHAnsi" w:hAnsiTheme="majorHAnsi"/>
          <w:sz w:val="24"/>
        </w:rPr>
        <w:t>0</w:t>
      </w:r>
    </w:p>
    <w:p w:rsidRPr="00CB0653" w:rsidR="00722FDB" w:rsidP="002D18E4" w:rsidRDefault="00722FDB" w14:paraId="39AE2FC0" w14:textId="77777777">
      <w:pPr>
        <w:spacing w:after="0" w:line="240" w:lineRule="auto"/>
        <w:ind w:left="2160" w:hanging="720"/>
        <w:rPr>
          <w:rFonts w:asciiTheme="majorHAnsi" w:hAnsiTheme="majorHAnsi"/>
          <w:sz w:val="24"/>
        </w:rPr>
      </w:pPr>
      <w:r w:rsidRPr="00CB0653">
        <w:rPr>
          <w:rFonts w:asciiTheme="majorHAnsi" w:hAnsiTheme="majorHAnsi"/>
          <w:sz w:val="24"/>
        </w:rPr>
        <w:t xml:space="preserve">b. Processing Time per Response: </w:t>
      </w:r>
      <w:r w:rsidRPr="00CB0653" w:rsidR="00CB0653">
        <w:rPr>
          <w:rFonts w:asciiTheme="majorHAnsi" w:hAnsiTheme="majorHAnsi"/>
          <w:sz w:val="24"/>
        </w:rPr>
        <w:t>0</w:t>
      </w:r>
      <w:r w:rsidRPr="00CB0653">
        <w:rPr>
          <w:rFonts w:asciiTheme="majorHAnsi" w:hAnsiTheme="majorHAnsi"/>
          <w:sz w:val="24"/>
        </w:rPr>
        <w:t xml:space="preserve"> hours  </w:t>
      </w:r>
    </w:p>
    <w:p w:rsidRPr="00CB0653" w:rsidR="00722FDB" w:rsidP="002D18E4" w:rsidRDefault="00722FDB" w14:paraId="6A6AAB05" w14:textId="72620411">
      <w:pPr>
        <w:spacing w:after="0" w:line="240" w:lineRule="auto"/>
        <w:ind w:left="1440" w:hanging="720"/>
        <w:rPr>
          <w:rFonts w:asciiTheme="majorHAnsi" w:hAnsiTheme="majorHAnsi"/>
          <w:sz w:val="24"/>
        </w:rPr>
      </w:pPr>
      <w:r w:rsidRPr="00CB0653">
        <w:rPr>
          <w:rFonts w:asciiTheme="majorHAnsi" w:hAnsiTheme="majorHAnsi"/>
          <w:sz w:val="24"/>
        </w:rPr>
        <w:tab/>
        <w:t>c. Hourly Wage of Worker(s) Processing Responses: $</w:t>
      </w:r>
      <w:r w:rsidRPr="00CB0653" w:rsidR="00CB0653">
        <w:rPr>
          <w:rFonts w:asciiTheme="majorHAnsi" w:hAnsiTheme="majorHAnsi"/>
          <w:sz w:val="24"/>
        </w:rPr>
        <w:t>5</w:t>
      </w:r>
      <w:r w:rsidR="00E315B6">
        <w:rPr>
          <w:rFonts w:asciiTheme="majorHAnsi" w:hAnsiTheme="majorHAnsi"/>
          <w:sz w:val="24"/>
        </w:rPr>
        <w:t>8</w:t>
      </w:r>
      <w:r w:rsidRPr="00CB0653" w:rsidR="00CB0653">
        <w:rPr>
          <w:rFonts w:asciiTheme="majorHAnsi" w:hAnsiTheme="majorHAnsi"/>
          <w:sz w:val="24"/>
        </w:rPr>
        <w:t>.</w:t>
      </w:r>
      <w:r w:rsidR="00E315B6">
        <w:rPr>
          <w:rFonts w:asciiTheme="majorHAnsi" w:hAnsiTheme="majorHAnsi"/>
          <w:sz w:val="24"/>
        </w:rPr>
        <w:t>02</w:t>
      </w:r>
      <w:r w:rsidR="00CB0653">
        <w:rPr>
          <w:rStyle w:val="FootnoteReference"/>
          <w:rFonts w:asciiTheme="majorHAnsi" w:hAnsiTheme="majorHAnsi"/>
          <w:sz w:val="24"/>
        </w:rPr>
        <w:footnoteReference w:id="2"/>
      </w:r>
    </w:p>
    <w:p w:rsidRPr="00CB0653" w:rsidR="00722FDB" w:rsidP="002D18E4" w:rsidRDefault="00722FDB" w14:paraId="59557979" w14:textId="380666E5">
      <w:pPr>
        <w:spacing w:after="0" w:line="240" w:lineRule="auto"/>
        <w:ind w:left="1440" w:hanging="720"/>
        <w:rPr>
          <w:rFonts w:asciiTheme="majorHAnsi" w:hAnsiTheme="majorHAnsi"/>
          <w:sz w:val="24"/>
        </w:rPr>
      </w:pPr>
      <w:r w:rsidRPr="00CB0653">
        <w:rPr>
          <w:rFonts w:asciiTheme="majorHAnsi" w:hAnsiTheme="majorHAnsi"/>
          <w:sz w:val="24"/>
        </w:rPr>
        <w:tab/>
        <w:t>d. Cost to Process Each Response: $</w:t>
      </w:r>
      <w:r w:rsidRPr="00CB0653" w:rsidR="00CB0653">
        <w:rPr>
          <w:rFonts w:asciiTheme="majorHAnsi" w:hAnsiTheme="majorHAnsi"/>
          <w:sz w:val="24"/>
        </w:rPr>
        <w:t>0</w:t>
      </w:r>
    </w:p>
    <w:p w:rsidRPr="00CB0653" w:rsidR="00722FDB" w:rsidP="002D18E4" w:rsidRDefault="00722FDB" w14:paraId="3F220C12" w14:textId="43E50C6D">
      <w:pPr>
        <w:spacing w:after="0" w:line="240" w:lineRule="auto"/>
        <w:ind w:left="1440"/>
        <w:rPr>
          <w:rFonts w:asciiTheme="majorHAnsi" w:hAnsiTheme="majorHAnsi"/>
          <w:sz w:val="24"/>
        </w:rPr>
      </w:pPr>
      <w:r w:rsidRPr="00CB0653">
        <w:rPr>
          <w:rFonts w:asciiTheme="majorHAnsi" w:hAnsiTheme="majorHAnsi"/>
          <w:sz w:val="24"/>
        </w:rPr>
        <w:t>e. Total Cost to Process Responses: $</w:t>
      </w:r>
      <w:r w:rsidRPr="00CB0653" w:rsidR="00CB0653">
        <w:rPr>
          <w:rFonts w:asciiTheme="majorHAnsi" w:hAnsiTheme="majorHAnsi"/>
          <w:sz w:val="24"/>
        </w:rPr>
        <w:t>0</w:t>
      </w:r>
    </w:p>
    <w:p w:rsidRPr="00CB0653" w:rsidR="00722FDB" w:rsidP="002D18E4" w:rsidRDefault="009B0591" w14:paraId="1835E4B6" w14:textId="1A2228AA">
      <w:pPr>
        <w:spacing w:after="0" w:line="240" w:lineRule="auto"/>
        <w:ind w:left="1440" w:hanging="720"/>
        <w:rPr>
          <w:rFonts w:asciiTheme="majorHAnsi" w:hAnsiTheme="majorHAnsi"/>
          <w:sz w:val="24"/>
        </w:rPr>
      </w:pPr>
      <w:r>
        <w:rPr>
          <w:rFonts w:asciiTheme="majorHAnsi" w:hAnsiTheme="majorHAnsi"/>
          <w:sz w:val="24"/>
        </w:rPr>
        <w:tab/>
      </w:r>
    </w:p>
    <w:p w:rsidRPr="00CB0653" w:rsidR="00722FDB" w:rsidP="002D18E4" w:rsidRDefault="00722FDB" w14:paraId="6693C93F" w14:textId="77777777">
      <w:pPr>
        <w:spacing w:after="0" w:line="240" w:lineRule="auto"/>
        <w:ind w:left="720" w:hanging="720"/>
        <w:rPr>
          <w:rFonts w:asciiTheme="majorHAnsi" w:hAnsiTheme="majorHAnsi"/>
          <w:sz w:val="24"/>
        </w:rPr>
      </w:pPr>
      <w:r w:rsidRPr="00CB0653">
        <w:rPr>
          <w:rFonts w:asciiTheme="majorHAnsi" w:hAnsiTheme="majorHAnsi"/>
          <w:sz w:val="24"/>
        </w:rPr>
        <w:lastRenderedPageBreak/>
        <w:tab/>
        <w:t xml:space="preserve">2. </w:t>
      </w:r>
      <w:r w:rsidRPr="00CB0653">
        <w:rPr>
          <w:rFonts w:asciiTheme="majorHAnsi" w:hAnsiTheme="majorHAnsi"/>
          <w:b/>
          <w:sz w:val="24"/>
        </w:rPr>
        <w:t>Overall Labor Burden to Federal Government</w:t>
      </w:r>
      <w:r w:rsidRPr="00CB0653">
        <w:rPr>
          <w:rFonts w:asciiTheme="majorHAnsi" w:hAnsiTheme="majorHAnsi"/>
          <w:sz w:val="24"/>
        </w:rPr>
        <w:t xml:space="preserve"> </w:t>
      </w:r>
    </w:p>
    <w:p w:rsidRPr="00CB0653" w:rsidR="00722FDB" w:rsidP="002D18E4" w:rsidRDefault="00722FDB" w14:paraId="4E9C5964" w14:textId="388A6F1E">
      <w:pPr>
        <w:spacing w:after="0" w:line="240" w:lineRule="auto"/>
        <w:ind w:left="1440" w:hanging="720"/>
        <w:rPr>
          <w:rFonts w:asciiTheme="majorHAnsi" w:hAnsiTheme="majorHAnsi"/>
          <w:sz w:val="24"/>
        </w:rPr>
      </w:pPr>
      <w:r w:rsidRPr="00CB0653">
        <w:rPr>
          <w:rFonts w:asciiTheme="majorHAnsi" w:hAnsiTheme="majorHAnsi"/>
          <w:sz w:val="24"/>
        </w:rPr>
        <w:tab/>
        <w:t xml:space="preserve">a. Total Number of Annual Responses: </w:t>
      </w:r>
      <w:r w:rsidR="005B5143">
        <w:rPr>
          <w:rFonts w:asciiTheme="majorHAnsi" w:hAnsiTheme="majorHAnsi"/>
          <w:sz w:val="24"/>
        </w:rPr>
        <w:t>2,772</w:t>
      </w:r>
    </w:p>
    <w:p w:rsidR="00722FDB" w:rsidP="002D18E4" w:rsidRDefault="00722FDB" w14:paraId="5F1E338F" w14:textId="443F5B2B">
      <w:pPr>
        <w:spacing w:after="0" w:line="240" w:lineRule="auto"/>
        <w:ind w:left="1440" w:hanging="720"/>
        <w:rPr>
          <w:rFonts w:asciiTheme="majorHAnsi" w:hAnsiTheme="majorHAnsi"/>
          <w:sz w:val="24"/>
        </w:rPr>
      </w:pPr>
      <w:r w:rsidRPr="00CB0653">
        <w:rPr>
          <w:rFonts w:asciiTheme="majorHAnsi" w:hAnsiTheme="majorHAnsi"/>
          <w:sz w:val="24"/>
        </w:rPr>
        <w:tab/>
        <w:t>b. Total Labor Burden</w:t>
      </w:r>
      <w:r w:rsidRPr="00CB0653">
        <w:rPr>
          <w:rFonts w:asciiTheme="majorHAnsi" w:hAnsiTheme="majorHAnsi"/>
          <w:i/>
          <w:sz w:val="24"/>
        </w:rPr>
        <w:t xml:space="preserve">: </w:t>
      </w:r>
      <w:r w:rsidRPr="00CB0653" w:rsidR="00CB0653">
        <w:rPr>
          <w:rFonts w:asciiTheme="majorHAnsi" w:hAnsiTheme="majorHAnsi"/>
          <w:sz w:val="24"/>
        </w:rPr>
        <w:t>$</w:t>
      </w:r>
      <w:r w:rsidR="0050629B">
        <w:rPr>
          <w:rFonts w:asciiTheme="majorHAnsi" w:hAnsiTheme="majorHAnsi"/>
          <w:sz w:val="24"/>
        </w:rPr>
        <w:t>3,470.13</w:t>
      </w:r>
      <w:r w:rsidR="00E46266">
        <w:rPr>
          <w:rStyle w:val="FootnoteReference"/>
          <w:rFonts w:asciiTheme="majorHAnsi" w:hAnsiTheme="majorHAnsi"/>
          <w:sz w:val="24"/>
        </w:rPr>
        <w:footnoteReference w:id="3"/>
      </w:r>
    </w:p>
    <w:p w:rsidR="00C91CA6" w:rsidP="00722FDB" w:rsidRDefault="00C91CA6" w14:paraId="049A177B" w14:textId="4CD8F546">
      <w:pPr>
        <w:spacing w:after="0" w:line="240" w:lineRule="auto"/>
        <w:rPr>
          <w:rFonts w:asciiTheme="majorHAnsi" w:hAnsiTheme="majorHAnsi"/>
          <w:sz w:val="24"/>
        </w:rPr>
      </w:pPr>
    </w:p>
    <w:p w:rsidR="00C91CA6" w:rsidP="00722FDB" w:rsidRDefault="00C91CA6" w14:paraId="3A466A1A" w14:textId="4277AABC">
      <w:pPr>
        <w:spacing w:after="0" w:line="240" w:lineRule="auto"/>
        <w:rPr>
          <w:rFonts w:asciiTheme="majorHAnsi" w:hAnsiTheme="majorHAnsi"/>
          <w:sz w:val="24"/>
        </w:rPr>
      </w:pPr>
      <w:r>
        <w:rPr>
          <w:rFonts w:asciiTheme="majorHAnsi" w:hAnsiTheme="majorHAnsi"/>
          <w:sz w:val="24"/>
        </w:rPr>
        <w:t>Because all</w:t>
      </w:r>
      <w:r w:rsidRPr="00C91CA6">
        <w:rPr>
          <w:rFonts w:asciiTheme="majorHAnsi" w:hAnsiTheme="majorHAnsi"/>
          <w:sz w:val="24"/>
        </w:rPr>
        <w:t xml:space="preserve"> processing labor will be done exclusively by research staff at the RAND Corporation, there is no processing time per response by the </w:t>
      </w:r>
      <w:r>
        <w:rPr>
          <w:rFonts w:asciiTheme="majorHAnsi" w:hAnsiTheme="majorHAnsi"/>
          <w:sz w:val="24"/>
        </w:rPr>
        <w:t xml:space="preserve">federal </w:t>
      </w:r>
      <w:r w:rsidRPr="00C91CA6">
        <w:rPr>
          <w:rFonts w:asciiTheme="majorHAnsi" w:hAnsiTheme="majorHAnsi"/>
          <w:sz w:val="24"/>
        </w:rPr>
        <w:t>government.</w:t>
      </w:r>
      <w:r w:rsidR="00E46266">
        <w:rPr>
          <w:rFonts w:asciiTheme="majorHAnsi" w:hAnsiTheme="majorHAnsi"/>
          <w:sz w:val="24"/>
        </w:rPr>
        <w:t xml:space="preserve"> Government is responsible for reviewing and approving all study documents as well as the licensure process therefore there is a total labor burden reflected.</w:t>
      </w:r>
    </w:p>
    <w:p w:rsidRPr="00CB0653" w:rsidR="00722FDB" w:rsidP="00722FDB" w:rsidRDefault="00722FDB" w14:paraId="24ACD3CF" w14:textId="77777777">
      <w:pPr>
        <w:spacing w:after="0" w:line="240" w:lineRule="auto"/>
        <w:rPr>
          <w:rFonts w:asciiTheme="majorHAnsi" w:hAnsiTheme="majorHAnsi"/>
          <w:sz w:val="24"/>
          <w:szCs w:val="24"/>
        </w:rPr>
      </w:pPr>
    </w:p>
    <w:p w:rsidR="00722FDB" w:rsidP="00722FDB" w:rsidRDefault="00722FDB" w14:paraId="15468465" w14:textId="77777777">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rsidRPr="002B0D7D" w:rsidR="00486235" w:rsidP="00486235" w:rsidRDefault="00486235" w14:paraId="02F4C557" w14:textId="77777777">
      <w:pPr>
        <w:pStyle w:val="ListParagraph"/>
        <w:numPr>
          <w:ilvl w:val="0"/>
          <w:numId w:val="11"/>
        </w:numPr>
        <w:spacing w:after="0" w:line="240" w:lineRule="auto"/>
        <w:rPr>
          <w:rFonts w:asciiTheme="majorHAnsi" w:hAnsiTheme="majorHAnsi"/>
          <w:sz w:val="24"/>
          <w:szCs w:val="24"/>
          <w:u w:val="single"/>
        </w:rPr>
      </w:pPr>
      <w:r w:rsidRPr="002B0D7D">
        <w:rPr>
          <w:rFonts w:asciiTheme="majorHAnsi" w:hAnsiTheme="majorHAnsi"/>
          <w:sz w:val="24"/>
          <w:szCs w:val="24"/>
          <w:u w:val="single"/>
        </w:rPr>
        <w:t>Equipment</w:t>
      </w:r>
      <w:r w:rsidRPr="00C43450">
        <w:rPr>
          <w:rFonts w:asciiTheme="majorHAnsi" w:hAnsiTheme="majorHAnsi"/>
          <w:sz w:val="24"/>
          <w:szCs w:val="24"/>
        </w:rPr>
        <w:t>:</w:t>
      </w:r>
      <w:r w:rsidRPr="002B0D7D">
        <w:rPr>
          <w:rFonts w:asciiTheme="majorHAnsi" w:hAnsiTheme="majorHAnsi"/>
          <w:sz w:val="24"/>
          <w:szCs w:val="24"/>
        </w:rPr>
        <w:t xml:space="preserve"> $</w:t>
      </w:r>
      <w:r w:rsidR="002B0D7D">
        <w:rPr>
          <w:rFonts w:asciiTheme="majorHAnsi" w:hAnsiTheme="majorHAnsi"/>
          <w:sz w:val="24"/>
          <w:szCs w:val="24"/>
        </w:rPr>
        <w:t>0</w:t>
      </w:r>
    </w:p>
    <w:p w:rsidRPr="002B0D7D" w:rsidR="00486235" w:rsidP="00486235" w:rsidRDefault="00486235" w14:paraId="034340BF" w14:textId="77777777">
      <w:pPr>
        <w:pStyle w:val="ListParagraph"/>
        <w:numPr>
          <w:ilvl w:val="0"/>
          <w:numId w:val="11"/>
        </w:numPr>
        <w:spacing w:after="0" w:line="240" w:lineRule="auto"/>
        <w:rPr>
          <w:rFonts w:asciiTheme="majorHAnsi" w:hAnsiTheme="majorHAnsi"/>
          <w:sz w:val="24"/>
          <w:szCs w:val="24"/>
          <w:u w:val="single"/>
        </w:rPr>
      </w:pPr>
      <w:r w:rsidRPr="002B0D7D">
        <w:rPr>
          <w:rFonts w:asciiTheme="majorHAnsi" w:hAnsiTheme="majorHAnsi"/>
          <w:sz w:val="24"/>
          <w:szCs w:val="24"/>
          <w:u w:val="single"/>
        </w:rPr>
        <w:t>Printing</w:t>
      </w:r>
      <w:r w:rsidRPr="00C43450">
        <w:rPr>
          <w:rFonts w:asciiTheme="majorHAnsi" w:hAnsiTheme="majorHAnsi"/>
          <w:sz w:val="24"/>
          <w:szCs w:val="24"/>
        </w:rPr>
        <w:t>:</w:t>
      </w:r>
      <w:r w:rsidRPr="002B0D7D">
        <w:rPr>
          <w:rFonts w:asciiTheme="majorHAnsi" w:hAnsiTheme="majorHAnsi"/>
          <w:sz w:val="24"/>
          <w:szCs w:val="24"/>
        </w:rPr>
        <w:t xml:space="preserve"> $</w:t>
      </w:r>
      <w:r w:rsidR="002B0D7D">
        <w:rPr>
          <w:rFonts w:asciiTheme="majorHAnsi" w:hAnsiTheme="majorHAnsi"/>
          <w:sz w:val="24"/>
          <w:szCs w:val="24"/>
        </w:rPr>
        <w:t>0</w:t>
      </w:r>
    </w:p>
    <w:p w:rsidRPr="002B0D7D" w:rsidR="00486235" w:rsidP="00486235" w:rsidRDefault="00486235" w14:paraId="4617A453" w14:textId="77777777">
      <w:pPr>
        <w:pStyle w:val="ListParagraph"/>
        <w:numPr>
          <w:ilvl w:val="0"/>
          <w:numId w:val="11"/>
        </w:numPr>
        <w:spacing w:after="0" w:line="240" w:lineRule="auto"/>
        <w:rPr>
          <w:rFonts w:asciiTheme="majorHAnsi" w:hAnsiTheme="majorHAnsi"/>
          <w:sz w:val="24"/>
          <w:szCs w:val="24"/>
          <w:u w:val="single"/>
        </w:rPr>
      </w:pPr>
      <w:r w:rsidRPr="002B0D7D">
        <w:rPr>
          <w:rFonts w:asciiTheme="majorHAnsi" w:hAnsiTheme="majorHAnsi"/>
          <w:sz w:val="24"/>
          <w:szCs w:val="24"/>
          <w:u w:val="single"/>
        </w:rPr>
        <w:t>Postage</w:t>
      </w:r>
      <w:r w:rsidRPr="00C43450">
        <w:rPr>
          <w:rFonts w:asciiTheme="majorHAnsi" w:hAnsiTheme="majorHAnsi"/>
          <w:sz w:val="24"/>
          <w:szCs w:val="24"/>
        </w:rPr>
        <w:t>:</w:t>
      </w:r>
      <w:r w:rsidRPr="002B0D7D">
        <w:rPr>
          <w:rFonts w:asciiTheme="majorHAnsi" w:hAnsiTheme="majorHAnsi"/>
          <w:sz w:val="24"/>
          <w:szCs w:val="24"/>
        </w:rPr>
        <w:t xml:space="preserve"> $</w:t>
      </w:r>
      <w:r w:rsidR="002B0D7D">
        <w:rPr>
          <w:rFonts w:asciiTheme="majorHAnsi" w:hAnsiTheme="majorHAnsi"/>
          <w:sz w:val="24"/>
          <w:szCs w:val="24"/>
        </w:rPr>
        <w:t>0</w:t>
      </w:r>
    </w:p>
    <w:p w:rsidRPr="002B0D7D" w:rsidR="00486235" w:rsidP="00486235" w:rsidRDefault="00486235" w14:paraId="1407D2D3" w14:textId="77777777">
      <w:pPr>
        <w:pStyle w:val="ListParagraph"/>
        <w:numPr>
          <w:ilvl w:val="0"/>
          <w:numId w:val="11"/>
        </w:numPr>
        <w:spacing w:after="0" w:line="240" w:lineRule="auto"/>
        <w:rPr>
          <w:rFonts w:asciiTheme="majorHAnsi" w:hAnsiTheme="majorHAnsi"/>
          <w:sz w:val="24"/>
          <w:szCs w:val="24"/>
          <w:u w:val="single"/>
        </w:rPr>
      </w:pPr>
      <w:r w:rsidRPr="002B0D7D">
        <w:rPr>
          <w:rFonts w:asciiTheme="majorHAnsi" w:hAnsiTheme="majorHAnsi"/>
          <w:sz w:val="24"/>
          <w:szCs w:val="24"/>
          <w:u w:val="single"/>
        </w:rPr>
        <w:t>Software Purchases</w:t>
      </w:r>
      <w:r w:rsidRPr="00C43450">
        <w:rPr>
          <w:rFonts w:asciiTheme="majorHAnsi" w:hAnsiTheme="majorHAnsi"/>
          <w:sz w:val="24"/>
          <w:szCs w:val="24"/>
        </w:rPr>
        <w:t>:</w:t>
      </w:r>
      <w:r w:rsidRPr="002B0D7D">
        <w:rPr>
          <w:rFonts w:asciiTheme="majorHAnsi" w:hAnsiTheme="majorHAnsi"/>
          <w:sz w:val="24"/>
          <w:szCs w:val="24"/>
        </w:rPr>
        <w:t xml:space="preserve"> $</w:t>
      </w:r>
      <w:r w:rsidR="002B0D7D">
        <w:rPr>
          <w:rFonts w:asciiTheme="majorHAnsi" w:hAnsiTheme="majorHAnsi"/>
          <w:sz w:val="24"/>
          <w:szCs w:val="24"/>
        </w:rPr>
        <w:t>0</w:t>
      </w:r>
    </w:p>
    <w:p w:rsidRPr="002B0D7D" w:rsidR="00486235" w:rsidP="00486235" w:rsidRDefault="00486235" w14:paraId="0B2FB036" w14:textId="77777777">
      <w:pPr>
        <w:pStyle w:val="ListParagraph"/>
        <w:numPr>
          <w:ilvl w:val="0"/>
          <w:numId w:val="11"/>
        </w:numPr>
        <w:spacing w:after="0" w:line="240" w:lineRule="auto"/>
        <w:rPr>
          <w:rFonts w:asciiTheme="majorHAnsi" w:hAnsiTheme="majorHAnsi"/>
          <w:sz w:val="24"/>
          <w:szCs w:val="24"/>
          <w:u w:val="single"/>
        </w:rPr>
      </w:pPr>
      <w:r w:rsidRPr="002B0D7D">
        <w:rPr>
          <w:rFonts w:asciiTheme="majorHAnsi" w:hAnsiTheme="majorHAnsi"/>
          <w:sz w:val="24"/>
          <w:szCs w:val="24"/>
          <w:u w:val="single"/>
        </w:rPr>
        <w:t>Licensing Costs</w:t>
      </w:r>
      <w:r w:rsidRPr="00C43450">
        <w:rPr>
          <w:rFonts w:asciiTheme="majorHAnsi" w:hAnsiTheme="majorHAnsi"/>
          <w:sz w:val="24"/>
          <w:szCs w:val="24"/>
        </w:rPr>
        <w:t>:</w:t>
      </w:r>
      <w:r w:rsidRPr="002B0D7D">
        <w:rPr>
          <w:rFonts w:asciiTheme="majorHAnsi" w:hAnsiTheme="majorHAnsi"/>
          <w:sz w:val="24"/>
          <w:szCs w:val="24"/>
        </w:rPr>
        <w:t xml:space="preserve"> $</w:t>
      </w:r>
      <w:r w:rsidR="002B0D7D">
        <w:rPr>
          <w:rFonts w:asciiTheme="majorHAnsi" w:hAnsiTheme="majorHAnsi"/>
          <w:sz w:val="24"/>
          <w:szCs w:val="24"/>
        </w:rPr>
        <w:t>0</w:t>
      </w:r>
    </w:p>
    <w:p w:rsidRPr="002B0D7D" w:rsidR="00486235" w:rsidP="00486235" w:rsidRDefault="00486235" w14:paraId="3F87CD00" w14:textId="77777777">
      <w:pPr>
        <w:pStyle w:val="ListParagraph"/>
        <w:numPr>
          <w:ilvl w:val="0"/>
          <w:numId w:val="11"/>
        </w:numPr>
        <w:spacing w:after="0" w:line="240" w:lineRule="auto"/>
        <w:rPr>
          <w:rFonts w:asciiTheme="majorHAnsi" w:hAnsiTheme="majorHAnsi"/>
          <w:sz w:val="24"/>
          <w:szCs w:val="24"/>
          <w:u w:val="single"/>
        </w:rPr>
      </w:pPr>
      <w:r w:rsidRPr="002B0D7D">
        <w:rPr>
          <w:rFonts w:asciiTheme="majorHAnsi" w:hAnsiTheme="majorHAnsi"/>
          <w:sz w:val="24"/>
          <w:szCs w:val="24"/>
          <w:u w:val="single"/>
        </w:rPr>
        <w:t>Other</w:t>
      </w:r>
      <w:r w:rsidRPr="002B0D7D" w:rsidR="00CB0653">
        <w:rPr>
          <w:rFonts w:asciiTheme="majorHAnsi" w:hAnsiTheme="majorHAnsi"/>
          <w:sz w:val="24"/>
          <w:szCs w:val="24"/>
          <w:u w:val="single"/>
        </w:rPr>
        <w:t xml:space="preserve"> (Labor)</w:t>
      </w:r>
      <w:r w:rsidRPr="00C43450">
        <w:rPr>
          <w:rFonts w:asciiTheme="majorHAnsi" w:hAnsiTheme="majorHAnsi"/>
          <w:sz w:val="24"/>
          <w:szCs w:val="24"/>
        </w:rPr>
        <w:t>:</w:t>
      </w:r>
      <w:r w:rsidRPr="002B0D7D">
        <w:rPr>
          <w:rFonts w:asciiTheme="majorHAnsi" w:hAnsiTheme="majorHAnsi"/>
          <w:sz w:val="24"/>
          <w:szCs w:val="24"/>
        </w:rPr>
        <w:t xml:space="preserve"> $</w:t>
      </w:r>
      <w:r w:rsidRPr="002B0D7D" w:rsidR="00CB0653">
        <w:rPr>
          <w:rFonts w:eastAsia="Calibri" w:cs="Calibri" w:asciiTheme="majorHAnsi" w:hAnsiTheme="majorHAnsi"/>
          <w:sz w:val="24"/>
          <w:szCs w:val="24"/>
        </w:rPr>
        <w:t>304,361</w:t>
      </w:r>
    </w:p>
    <w:p w:rsidRPr="002B0D7D" w:rsidR="00CB0653" w:rsidP="00486235" w:rsidRDefault="00CB0653" w14:paraId="57D05A7B" w14:textId="77777777">
      <w:pPr>
        <w:pStyle w:val="ListParagraph"/>
        <w:numPr>
          <w:ilvl w:val="0"/>
          <w:numId w:val="11"/>
        </w:numPr>
        <w:spacing w:after="0" w:line="240" w:lineRule="auto"/>
        <w:rPr>
          <w:rFonts w:asciiTheme="majorHAnsi" w:hAnsiTheme="majorHAnsi"/>
          <w:sz w:val="24"/>
          <w:szCs w:val="24"/>
          <w:u w:val="single"/>
        </w:rPr>
      </w:pPr>
      <w:r w:rsidRPr="002B0D7D">
        <w:rPr>
          <w:rFonts w:asciiTheme="majorHAnsi" w:hAnsiTheme="majorHAnsi"/>
          <w:sz w:val="24"/>
          <w:szCs w:val="24"/>
          <w:u w:val="single"/>
        </w:rPr>
        <w:t>Other (Travel)</w:t>
      </w:r>
      <w:r w:rsidRPr="00C43450">
        <w:rPr>
          <w:rFonts w:asciiTheme="majorHAnsi" w:hAnsiTheme="majorHAnsi"/>
          <w:sz w:val="24"/>
          <w:szCs w:val="24"/>
        </w:rPr>
        <w:t>:</w:t>
      </w:r>
      <w:r w:rsidRPr="002B0D7D">
        <w:rPr>
          <w:rFonts w:asciiTheme="majorHAnsi" w:hAnsiTheme="majorHAnsi"/>
          <w:sz w:val="24"/>
          <w:szCs w:val="24"/>
        </w:rPr>
        <w:t xml:space="preserve"> </w:t>
      </w:r>
      <w:r w:rsidRPr="002B0D7D">
        <w:rPr>
          <w:rFonts w:eastAsia="Calibri" w:cs="Calibri" w:asciiTheme="majorHAnsi" w:hAnsiTheme="majorHAnsi"/>
          <w:sz w:val="24"/>
          <w:szCs w:val="24"/>
        </w:rPr>
        <w:t>$3,480</w:t>
      </w:r>
    </w:p>
    <w:p w:rsidRPr="002B0D7D" w:rsidR="00CB0653" w:rsidP="00486235" w:rsidRDefault="00CB0653" w14:paraId="6F2C0695" w14:textId="77777777">
      <w:pPr>
        <w:pStyle w:val="ListParagraph"/>
        <w:numPr>
          <w:ilvl w:val="0"/>
          <w:numId w:val="11"/>
        </w:numPr>
        <w:spacing w:after="0" w:line="240" w:lineRule="auto"/>
        <w:rPr>
          <w:rFonts w:asciiTheme="majorHAnsi" w:hAnsiTheme="majorHAnsi"/>
          <w:sz w:val="24"/>
          <w:szCs w:val="24"/>
          <w:u w:val="single"/>
        </w:rPr>
      </w:pPr>
      <w:r w:rsidRPr="002B0D7D">
        <w:rPr>
          <w:rFonts w:asciiTheme="majorHAnsi" w:hAnsiTheme="majorHAnsi"/>
          <w:sz w:val="24"/>
          <w:szCs w:val="24"/>
          <w:u w:val="single"/>
        </w:rPr>
        <w:t>Other (Computing)</w:t>
      </w:r>
      <w:r w:rsidRPr="00C43450">
        <w:rPr>
          <w:rFonts w:asciiTheme="majorHAnsi" w:hAnsiTheme="majorHAnsi"/>
          <w:sz w:val="24"/>
          <w:szCs w:val="24"/>
        </w:rPr>
        <w:t>:</w:t>
      </w:r>
      <w:r w:rsidRPr="002B0D7D">
        <w:rPr>
          <w:rFonts w:asciiTheme="majorHAnsi" w:hAnsiTheme="majorHAnsi"/>
          <w:sz w:val="24"/>
          <w:szCs w:val="24"/>
        </w:rPr>
        <w:t xml:space="preserve"> </w:t>
      </w:r>
      <w:r w:rsidRPr="002B0D7D">
        <w:rPr>
          <w:rFonts w:eastAsia="Calibri" w:cs="Calibri" w:asciiTheme="majorHAnsi" w:hAnsiTheme="majorHAnsi"/>
          <w:sz w:val="24"/>
          <w:szCs w:val="24"/>
        </w:rPr>
        <w:t>$12,779</w:t>
      </w:r>
    </w:p>
    <w:p w:rsidRPr="002B0D7D" w:rsidR="00CB0653" w:rsidP="00CB0653" w:rsidRDefault="00CB0653" w14:paraId="07058389" w14:textId="77777777">
      <w:pPr>
        <w:pStyle w:val="ListParagraph"/>
        <w:numPr>
          <w:ilvl w:val="0"/>
          <w:numId w:val="11"/>
        </w:numPr>
        <w:spacing w:after="0" w:line="240" w:lineRule="auto"/>
        <w:rPr>
          <w:rFonts w:asciiTheme="majorHAnsi" w:hAnsiTheme="majorHAnsi"/>
          <w:sz w:val="24"/>
          <w:szCs w:val="24"/>
          <w:u w:val="single"/>
        </w:rPr>
      </w:pPr>
      <w:r w:rsidRPr="002B0D7D">
        <w:rPr>
          <w:rFonts w:asciiTheme="majorHAnsi" w:hAnsiTheme="majorHAnsi"/>
          <w:sz w:val="24"/>
          <w:szCs w:val="24"/>
          <w:u w:val="single"/>
        </w:rPr>
        <w:t>Other (Operational)</w:t>
      </w:r>
      <w:r w:rsidRPr="00C43450">
        <w:rPr>
          <w:rFonts w:asciiTheme="majorHAnsi" w:hAnsiTheme="majorHAnsi"/>
          <w:sz w:val="24"/>
          <w:szCs w:val="24"/>
        </w:rPr>
        <w:t>:</w:t>
      </w:r>
      <w:r w:rsidRPr="002B0D7D">
        <w:rPr>
          <w:rFonts w:asciiTheme="majorHAnsi" w:hAnsiTheme="majorHAnsi"/>
          <w:sz w:val="24"/>
          <w:szCs w:val="24"/>
        </w:rPr>
        <w:t xml:space="preserve"> $11,439</w:t>
      </w:r>
    </w:p>
    <w:p w:rsidRPr="002B0D7D" w:rsidR="00CB0653" w:rsidP="00CB0653" w:rsidRDefault="00CB0653" w14:paraId="7993C68E" w14:textId="473A2C48">
      <w:pPr>
        <w:pStyle w:val="ListParagraph"/>
        <w:numPr>
          <w:ilvl w:val="0"/>
          <w:numId w:val="11"/>
        </w:numPr>
        <w:spacing w:after="0" w:line="240" w:lineRule="auto"/>
        <w:rPr>
          <w:rFonts w:asciiTheme="majorHAnsi" w:hAnsiTheme="majorHAnsi"/>
          <w:sz w:val="24"/>
          <w:szCs w:val="24"/>
          <w:u w:val="single"/>
        </w:rPr>
      </w:pPr>
      <w:r w:rsidRPr="002B0D7D">
        <w:rPr>
          <w:rFonts w:asciiTheme="majorHAnsi" w:hAnsiTheme="majorHAnsi"/>
          <w:sz w:val="24"/>
          <w:szCs w:val="24"/>
          <w:u w:val="single"/>
        </w:rPr>
        <w:t>Other (Subcontract)</w:t>
      </w:r>
      <w:r w:rsidRPr="00C43450">
        <w:rPr>
          <w:rFonts w:asciiTheme="majorHAnsi" w:hAnsiTheme="majorHAnsi"/>
          <w:sz w:val="24"/>
          <w:szCs w:val="24"/>
        </w:rPr>
        <w:t>:</w:t>
      </w:r>
      <w:r w:rsidRPr="002B0D7D">
        <w:rPr>
          <w:rFonts w:asciiTheme="majorHAnsi" w:hAnsiTheme="majorHAnsi"/>
          <w:sz w:val="24"/>
          <w:szCs w:val="24"/>
        </w:rPr>
        <w:t xml:space="preserve"> </w:t>
      </w:r>
      <w:r w:rsidR="00C40548">
        <w:rPr>
          <w:rFonts w:asciiTheme="majorHAnsi" w:hAnsiTheme="majorHAnsi"/>
          <w:sz w:val="24"/>
          <w:szCs w:val="24"/>
        </w:rPr>
        <w:t>$</w:t>
      </w:r>
      <w:r w:rsidRPr="002B0D7D">
        <w:rPr>
          <w:rFonts w:eastAsia="Calibri" w:cs="Calibri" w:asciiTheme="majorHAnsi" w:hAnsiTheme="majorHAnsi"/>
          <w:sz w:val="24"/>
          <w:szCs w:val="24"/>
        </w:rPr>
        <w:t>1,440,227</w:t>
      </w:r>
    </w:p>
    <w:p w:rsidRPr="002B0D7D" w:rsidR="00486235" w:rsidP="00486235" w:rsidRDefault="00486235" w14:paraId="353520BC" w14:textId="42C74676">
      <w:pPr>
        <w:spacing w:after="0" w:line="240" w:lineRule="auto"/>
        <w:ind w:left="360"/>
        <w:rPr>
          <w:rFonts w:asciiTheme="majorHAnsi" w:hAnsiTheme="majorHAnsi"/>
          <w:sz w:val="24"/>
          <w:szCs w:val="24"/>
        </w:rPr>
      </w:pPr>
      <w:r w:rsidRPr="002B0D7D">
        <w:rPr>
          <w:rFonts w:asciiTheme="majorHAnsi" w:hAnsiTheme="majorHAnsi"/>
          <w:sz w:val="24"/>
          <w:szCs w:val="24"/>
        </w:rPr>
        <w:t xml:space="preserve">g. </w:t>
      </w:r>
      <w:r w:rsidRPr="002B0D7D">
        <w:rPr>
          <w:rFonts w:asciiTheme="majorHAnsi" w:hAnsiTheme="majorHAnsi"/>
          <w:sz w:val="24"/>
          <w:szCs w:val="24"/>
        </w:rPr>
        <w:tab/>
      </w:r>
      <w:r w:rsidRPr="002B0D7D">
        <w:rPr>
          <w:rFonts w:asciiTheme="majorHAnsi" w:hAnsiTheme="majorHAnsi"/>
          <w:sz w:val="24"/>
          <w:szCs w:val="24"/>
          <w:u w:val="single"/>
        </w:rPr>
        <w:t>Total</w:t>
      </w:r>
      <w:r w:rsidRPr="00C43450">
        <w:rPr>
          <w:rFonts w:asciiTheme="majorHAnsi" w:hAnsiTheme="majorHAnsi"/>
          <w:sz w:val="24"/>
          <w:szCs w:val="24"/>
        </w:rPr>
        <w:t>:</w:t>
      </w:r>
      <w:r w:rsidRPr="002B0D7D">
        <w:rPr>
          <w:rFonts w:asciiTheme="majorHAnsi" w:hAnsiTheme="majorHAnsi"/>
          <w:sz w:val="24"/>
          <w:szCs w:val="24"/>
        </w:rPr>
        <w:t xml:space="preserve"> $</w:t>
      </w:r>
      <w:r w:rsidRPr="002B0D7D" w:rsidR="002B0D7D">
        <w:rPr>
          <w:rFonts w:eastAsia="Calibri" w:cs="Calibri" w:asciiTheme="majorHAnsi" w:hAnsiTheme="majorHAnsi"/>
          <w:sz w:val="24"/>
          <w:szCs w:val="24"/>
        </w:rPr>
        <w:t>1,772,286</w:t>
      </w:r>
    </w:p>
    <w:p w:rsidRPr="002B0D7D" w:rsidR="00486235" w:rsidP="00486235" w:rsidRDefault="00486235" w14:paraId="52359C8B" w14:textId="77777777">
      <w:pPr>
        <w:spacing w:after="0" w:line="240" w:lineRule="auto"/>
        <w:rPr>
          <w:rFonts w:asciiTheme="majorHAnsi" w:hAnsiTheme="majorHAnsi"/>
          <w:sz w:val="24"/>
          <w:szCs w:val="24"/>
        </w:rPr>
      </w:pPr>
    </w:p>
    <w:p w:rsidRPr="002B0D7D" w:rsidR="00486235" w:rsidP="00486235" w:rsidRDefault="00486235" w14:paraId="7D83E359" w14:textId="77777777">
      <w:pPr>
        <w:spacing w:after="0" w:line="240" w:lineRule="auto"/>
        <w:rPr>
          <w:rFonts w:asciiTheme="majorHAnsi" w:hAnsiTheme="majorHAnsi"/>
          <w:sz w:val="24"/>
          <w:szCs w:val="24"/>
        </w:rPr>
      </w:pPr>
      <w:r w:rsidRPr="002B0D7D">
        <w:rPr>
          <w:rFonts w:asciiTheme="majorHAnsi" w:hAnsiTheme="majorHAnsi"/>
          <w:sz w:val="24"/>
          <w:szCs w:val="24"/>
        </w:rPr>
        <w:t>1. Total Operational and Maintenance Costs: $</w:t>
      </w:r>
      <w:r w:rsidRPr="002B0D7D" w:rsidR="00CB0653">
        <w:rPr>
          <w:rFonts w:eastAsia="Calibri" w:cs="Calibri" w:asciiTheme="majorHAnsi" w:hAnsiTheme="majorHAnsi"/>
          <w:sz w:val="24"/>
          <w:szCs w:val="24"/>
        </w:rPr>
        <w:t>1,772,286</w:t>
      </w:r>
    </w:p>
    <w:p w:rsidRPr="002B0D7D" w:rsidR="00486235" w:rsidP="00486235" w:rsidRDefault="00486235" w14:paraId="47B5B868" w14:textId="4D996433">
      <w:pPr>
        <w:spacing w:after="0" w:line="240" w:lineRule="auto"/>
        <w:rPr>
          <w:rFonts w:asciiTheme="majorHAnsi" w:hAnsiTheme="majorHAnsi"/>
          <w:sz w:val="24"/>
          <w:szCs w:val="24"/>
        </w:rPr>
      </w:pPr>
      <w:r w:rsidRPr="002B0D7D">
        <w:rPr>
          <w:rFonts w:asciiTheme="majorHAnsi" w:hAnsiTheme="majorHAnsi"/>
          <w:sz w:val="24"/>
          <w:szCs w:val="24"/>
        </w:rPr>
        <w:t>2. Total Labor Cost to the Federal Government: $</w:t>
      </w:r>
      <w:r w:rsidR="0050629B">
        <w:rPr>
          <w:rFonts w:asciiTheme="majorHAnsi" w:hAnsiTheme="majorHAnsi"/>
          <w:sz w:val="24"/>
          <w:szCs w:val="24"/>
        </w:rPr>
        <w:t>3,470.13</w:t>
      </w:r>
    </w:p>
    <w:p w:rsidRPr="002B0D7D" w:rsidR="00486235" w:rsidP="00486235" w:rsidRDefault="00486235" w14:paraId="217036FD" w14:textId="612731B8">
      <w:pPr>
        <w:spacing w:after="0" w:line="240" w:lineRule="auto"/>
        <w:rPr>
          <w:rFonts w:asciiTheme="majorHAnsi" w:hAnsiTheme="majorHAnsi"/>
          <w:sz w:val="24"/>
          <w:szCs w:val="24"/>
        </w:rPr>
      </w:pPr>
      <w:r w:rsidRPr="002B0D7D">
        <w:rPr>
          <w:rFonts w:asciiTheme="majorHAnsi" w:hAnsiTheme="majorHAnsi"/>
          <w:sz w:val="24"/>
          <w:szCs w:val="24"/>
        </w:rPr>
        <w:t>3. Total Cost to the Federal Government: $</w:t>
      </w:r>
      <w:r w:rsidRPr="002B0D7D" w:rsidR="00CB0653">
        <w:rPr>
          <w:rFonts w:eastAsia="Calibri" w:cs="Calibri" w:asciiTheme="majorHAnsi" w:hAnsiTheme="majorHAnsi"/>
          <w:sz w:val="24"/>
          <w:szCs w:val="24"/>
        </w:rPr>
        <w:t>1,</w:t>
      </w:r>
      <w:r w:rsidR="0050629B">
        <w:rPr>
          <w:rFonts w:eastAsia="Calibri" w:cs="Calibri" w:asciiTheme="majorHAnsi" w:hAnsiTheme="majorHAnsi"/>
          <w:sz w:val="24"/>
          <w:szCs w:val="24"/>
        </w:rPr>
        <w:t>774,366.82</w:t>
      </w:r>
    </w:p>
    <w:p w:rsidR="00DA2B37" w:rsidP="00486235" w:rsidRDefault="00DA2B37" w14:paraId="55324CB1" w14:textId="77777777">
      <w:pPr>
        <w:spacing w:after="0" w:line="240" w:lineRule="auto"/>
        <w:rPr>
          <w:rFonts w:asciiTheme="majorHAnsi" w:hAnsiTheme="majorHAnsi"/>
          <w:sz w:val="24"/>
        </w:rPr>
      </w:pPr>
    </w:p>
    <w:p w:rsidR="00DA2B37" w:rsidP="00486235" w:rsidRDefault="00DA2B37" w14:paraId="05B4FC98"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CB0653" w:rsidP="002D18E4" w:rsidRDefault="00CB0653" w14:paraId="372EDA4F" w14:textId="77777777">
      <w:pPr>
        <w:spacing w:after="0" w:line="240" w:lineRule="auto"/>
        <w:rPr>
          <w:rFonts w:asciiTheme="majorHAnsi" w:hAnsiTheme="majorHAnsi"/>
          <w:sz w:val="24"/>
        </w:rPr>
      </w:pPr>
      <w:r w:rsidRPr="00CB0653">
        <w:rPr>
          <w:rFonts w:asciiTheme="majorHAnsi" w:hAnsiTheme="majorHAnsi"/>
          <w:sz w:val="24"/>
        </w:rPr>
        <w:t>This is a new collection with a new associated burden.</w:t>
      </w:r>
    </w:p>
    <w:p w:rsidR="00DA2B37" w:rsidP="00486235" w:rsidRDefault="00DA2B37" w14:paraId="1B79E2B1" w14:textId="77777777">
      <w:pPr>
        <w:spacing w:after="0" w:line="240" w:lineRule="auto"/>
        <w:rPr>
          <w:rFonts w:asciiTheme="majorHAnsi" w:hAnsiTheme="majorHAnsi"/>
          <w:sz w:val="24"/>
        </w:rPr>
      </w:pPr>
    </w:p>
    <w:p w:rsidR="00DA2B37" w:rsidP="00486235" w:rsidRDefault="005C3A95" w14:paraId="2DFA598C"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Pr="002B0D7D" w:rsidR="002B0D7D" w:rsidP="002B0D7D" w:rsidRDefault="002B0D7D" w14:paraId="2D1600D3" w14:textId="6836E8EC">
      <w:pPr>
        <w:rPr>
          <w:rFonts w:cs="Times New Roman" w:asciiTheme="majorHAnsi" w:hAnsiTheme="majorHAnsi"/>
          <w:sz w:val="24"/>
          <w:szCs w:val="24"/>
        </w:rPr>
      </w:pPr>
      <w:r w:rsidRPr="002B0D7D">
        <w:rPr>
          <w:rFonts w:cs="Times New Roman" w:asciiTheme="majorHAnsi" w:hAnsiTheme="majorHAnsi"/>
          <w:sz w:val="24"/>
          <w:szCs w:val="24"/>
        </w:rPr>
        <w:t>DoD</w:t>
      </w:r>
      <w:r w:rsidR="005B5143">
        <w:rPr>
          <w:rFonts w:cs="Times New Roman" w:asciiTheme="majorHAnsi" w:hAnsiTheme="majorHAnsi"/>
          <w:sz w:val="24"/>
          <w:szCs w:val="24"/>
        </w:rPr>
        <w:t xml:space="preserve"> </w:t>
      </w:r>
      <w:r w:rsidRPr="002B0D7D">
        <w:rPr>
          <w:rFonts w:cs="Times New Roman" w:asciiTheme="majorHAnsi" w:hAnsiTheme="majorHAnsi"/>
          <w:sz w:val="24"/>
          <w:szCs w:val="24"/>
        </w:rPr>
        <w:t xml:space="preserve">will use the findings from these analyses to improve their mental health public awareness campaigns. The findings from these analyses will </w:t>
      </w:r>
      <w:r w:rsidR="00CC4A1A">
        <w:rPr>
          <w:rFonts w:cs="Times New Roman" w:asciiTheme="majorHAnsi" w:hAnsiTheme="majorHAnsi"/>
          <w:sz w:val="24"/>
          <w:szCs w:val="24"/>
        </w:rPr>
        <w:t xml:space="preserve">only </w:t>
      </w:r>
      <w:r w:rsidRPr="002B0D7D">
        <w:rPr>
          <w:rFonts w:cs="Times New Roman" w:asciiTheme="majorHAnsi" w:hAnsiTheme="majorHAnsi"/>
          <w:sz w:val="24"/>
          <w:szCs w:val="24"/>
        </w:rPr>
        <w:t xml:space="preserve">be shared through a </w:t>
      </w:r>
      <w:r w:rsidR="00CC4A1A">
        <w:rPr>
          <w:rFonts w:cs="Times New Roman" w:asciiTheme="majorHAnsi" w:hAnsiTheme="majorHAnsi"/>
          <w:sz w:val="24"/>
          <w:szCs w:val="24"/>
        </w:rPr>
        <w:t>report</w:t>
      </w:r>
      <w:r w:rsidR="00BB7D76">
        <w:rPr>
          <w:rFonts w:cs="Times New Roman" w:asciiTheme="majorHAnsi" w:hAnsiTheme="majorHAnsi"/>
          <w:sz w:val="24"/>
          <w:szCs w:val="24"/>
        </w:rPr>
        <w:t xml:space="preserve"> </w:t>
      </w:r>
      <w:r w:rsidR="00CC4A1A">
        <w:rPr>
          <w:rFonts w:cs="Times New Roman" w:asciiTheme="majorHAnsi" w:hAnsiTheme="majorHAnsi"/>
          <w:sz w:val="24"/>
          <w:szCs w:val="24"/>
        </w:rPr>
        <w:t>from RAND to Real Warriors staff and supervisors within</w:t>
      </w:r>
      <w:r w:rsidR="00E40CDD">
        <w:rPr>
          <w:rFonts w:cs="Times New Roman" w:asciiTheme="majorHAnsi" w:hAnsiTheme="majorHAnsi"/>
          <w:sz w:val="24"/>
          <w:szCs w:val="24"/>
        </w:rPr>
        <w:t xml:space="preserve"> DoD</w:t>
      </w:r>
      <w:r w:rsidR="00CC4A1A">
        <w:rPr>
          <w:rFonts w:cs="Times New Roman" w:asciiTheme="majorHAnsi" w:hAnsiTheme="majorHAnsi"/>
          <w:sz w:val="24"/>
          <w:szCs w:val="24"/>
        </w:rPr>
        <w:t xml:space="preserve"> for quality improvement purposes</w:t>
      </w:r>
      <w:r w:rsidR="00E40CDD">
        <w:rPr>
          <w:rFonts w:cs="Times New Roman" w:asciiTheme="majorHAnsi" w:hAnsiTheme="majorHAnsi"/>
          <w:sz w:val="24"/>
          <w:szCs w:val="24"/>
        </w:rPr>
        <w:t>.</w:t>
      </w:r>
    </w:p>
    <w:p w:rsidRPr="002B0D7D" w:rsidR="002B0D7D" w:rsidP="002B0D7D" w:rsidRDefault="002B0D7D" w14:paraId="402A65C2" w14:textId="77777777">
      <w:pPr>
        <w:rPr>
          <w:rFonts w:asciiTheme="majorHAnsi" w:hAnsiTheme="majorHAnsi"/>
          <w:sz w:val="24"/>
          <w:szCs w:val="24"/>
        </w:rPr>
      </w:pPr>
      <w:r w:rsidRPr="002B0D7D">
        <w:rPr>
          <w:rFonts w:asciiTheme="majorHAnsi" w:hAnsiTheme="majorHAnsi"/>
          <w:sz w:val="24"/>
          <w:szCs w:val="24"/>
        </w:rPr>
        <w:t>The figure below illustrates the timeline for activities related to this collection, including recruitment of participants, data collection, data analysis, and publication.</w:t>
      </w:r>
    </w:p>
    <w:p w:rsidR="0043314A" w:rsidP="002B0D7D" w:rsidRDefault="0043314A" w14:paraId="173BAE8B" w14:textId="77777777">
      <w:pPr>
        <w:spacing w:after="0"/>
        <w:ind w:firstLine="360"/>
        <w:rPr>
          <w:rFonts w:asciiTheme="majorHAnsi" w:hAnsiTheme="majorHAnsi"/>
          <w:b/>
        </w:rPr>
      </w:pPr>
    </w:p>
    <w:p w:rsidR="0043314A" w:rsidP="002B0D7D" w:rsidRDefault="0043314A" w14:paraId="1336E30A" w14:textId="77777777">
      <w:pPr>
        <w:spacing w:after="0"/>
        <w:ind w:firstLine="360"/>
        <w:rPr>
          <w:rFonts w:asciiTheme="majorHAnsi" w:hAnsiTheme="majorHAnsi"/>
          <w:b/>
        </w:rPr>
      </w:pPr>
    </w:p>
    <w:p w:rsidRPr="002B0D7D" w:rsidR="002B0D7D" w:rsidP="002B0D7D" w:rsidRDefault="002B0D7D" w14:paraId="358EABC7" w14:textId="67A3D533">
      <w:pPr>
        <w:spacing w:after="0"/>
        <w:ind w:firstLine="360"/>
        <w:rPr>
          <w:rFonts w:asciiTheme="majorHAnsi" w:hAnsiTheme="majorHAnsi"/>
          <w:b/>
        </w:rPr>
      </w:pPr>
      <w:bookmarkStart w:name="_GoBack" w:id="2"/>
      <w:bookmarkEnd w:id="2"/>
      <w:r w:rsidRPr="002B0D7D">
        <w:rPr>
          <w:rFonts w:asciiTheme="majorHAnsi" w:hAnsiTheme="majorHAnsi"/>
          <w:b/>
        </w:rPr>
        <w:lastRenderedPageBreak/>
        <w:t>Project Timeline</w:t>
      </w:r>
    </w:p>
    <w:tbl>
      <w:tblPr>
        <w:tblStyle w:val="TableGrid"/>
        <w:tblW w:w="9350" w:type="dxa"/>
        <w:tblInd w:w="445" w:type="dxa"/>
        <w:tblLook w:val="04A0" w:firstRow="1" w:lastRow="0" w:firstColumn="1" w:lastColumn="0" w:noHBand="0" w:noVBand="1"/>
      </w:tblPr>
      <w:tblGrid>
        <w:gridCol w:w="4680"/>
        <w:gridCol w:w="4670"/>
      </w:tblGrid>
      <w:tr w:rsidRPr="002B0D7D" w:rsidR="002B0D7D" w:rsidTr="00FE3ADD" w14:paraId="3F290D51" w14:textId="77777777">
        <w:tc>
          <w:tcPr>
            <w:tcW w:w="4680" w:type="dxa"/>
          </w:tcPr>
          <w:p w:rsidRPr="002B0D7D" w:rsidR="002B0D7D" w:rsidP="00FE3ADD" w:rsidRDefault="002B0D7D" w14:paraId="3D60C523" w14:textId="77777777">
            <w:pPr>
              <w:rPr>
                <w:rFonts w:asciiTheme="majorHAnsi" w:hAnsiTheme="majorHAnsi"/>
                <w:b/>
              </w:rPr>
            </w:pPr>
            <w:r w:rsidRPr="002B0D7D">
              <w:rPr>
                <w:rFonts w:asciiTheme="majorHAnsi" w:hAnsiTheme="majorHAnsi"/>
                <w:b/>
              </w:rPr>
              <w:br w:type="page"/>
              <w:t>Activity</w:t>
            </w:r>
          </w:p>
        </w:tc>
        <w:tc>
          <w:tcPr>
            <w:tcW w:w="4670" w:type="dxa"/>
          </w:tcPr>
          <w:p w:rsidRPr="002B0D7D" w:rsidR="002B0D7D" w:rsidP="00FE3ADD" w:rsidRDefault="002B0D7D" w14:paraId="4477B35F" w14:textId="25CD03EE">
            <w:pPr>
              <w:rPr>
                <w:rFonts w:asciiTheme="majorHAnsi" w:hAnsiTheme="majorHAnsi"/>
                <w:b/>
              </w:rPr>
            </w:pPr>
            <w:r w:rsidRPr="002B0D7D">
              <w:rPr>
                <w:rFonts w:asciiTheme="majorHAnsi" w:hAnsiTheme="majorHAnsi"/>
                <w:b/>
              </w:rPr>
              <w:t>Time Schedule</w:t>
            </w:r>
            <w:r w:rsidR="00DC1A70">
              <w:rPr>
                <w:rFonts w:asciiTheme="majorHAnsi" w:hAnsiTheme="majorHAnsi"/>
                <w:b/>
              </w:rPr>
              <w:t>*</w:t>
            </w:r>
          </w:p>
        </w:tc>
      </w:tr>
      <w:tr w:rsidRPr="002B0D7D" w:rsidR="002B0D7D" w:rsidTr="00FE3ADD" w14:paraId="4FAA4B59" w14:textId="77777777">
        <w:tc>
          <w:tcPr>
            <w:tcW w:w="4680" w:type="dxa"/>
          </w:tcPr>
          <w:p w:rsidRPr="002B0D7D" w:rsidR="002B0D7D" w:rsidP="00E40CDD" w:rsidRDefault="00E40CDD" w14:paraId="411185F0" w14:textId="3605E104">
            <w:pPr>
              <w:rPr>
                <w:rFonts w:asciiTheme="majorHAnsi" w:hAnsiTheme="majorHAnsi"/>
              </w:rPr>
            </w:pPr>
            <w:r>
              <w:rPr>
                <w:rFonts w:asciiTheme="majorHAnsi" w:hAnsiTheme="majorHAnsi"/>
              </w:rPr>
              <w:t xml:space="preserve">Survey </w:t>
            </w:r>
            <w:r w:rsidRPr="002B0D7D" w:rsidR="002B0D7D">
              <w:rPr>
                <w:rFonts w:asciiTheme="majorHAnsi" w:hAnsiTheme="majorHAnsi"/>
              </w:rPr>
              <w:t>Recruitment</w:t>
            </w:r>
          </w:p>
        </w:tc>
        <w:tc>
          <w:tcPr>
            <w:tcW w:w="4670" w:type="dxa"/>
          </w:tcPr>
          <w:p w:rsidRPr="002B0D7D" w:rsidR="002B0D7D" w:rsidP="00FE3ADD" w:rsidRDefault="002B0D7D" w14:paraId="79807235" w14:textId="77777777">
            <w:pPr>
              <w:rPr>
                <w:rFonts w:asciiTheme="majorHAnsi" w:hAnsiTheme="majorHAnsi"/>
              </w:rPr>
            </w:pPr>
            <w:r w:rsidRPr="002B0D7D">
              <w:rPr>
                <w:rFonts w:asciiTheme="majorHAnsi" w:hAnsiTheme="majorHAnsi"/>
              </w:rPr>
              <w:t>1 month after OMB approval</w:t>
            </w:r>
          </w:p>
        </w:tc>
      </w:tr>
      <w:tr w:rsidRPr="002B0D7D" w:rsidR="002B0D7D" w:rsidTr="00FE3ADD" w14:paraId="45402BE2" w14:textId="77777777">
        <w:tc>
          <w:tcPr>
            <w:tcW w:w="4680" w:type="dxa"/>
          </w:tcPr>
          <w:p w:rsidRPr="002B0D7D" w:rsidR="002B0D7D" w:rsidP="00E40CDD" w:rsidRDefault="00E40CDD" w14:paraId="1043CE3F" w14:textId="39373AC6">
            <w:pPr>
              <w:rPr>
                <w:rFonts w:asciiTheme="majorHAnsi" w:hAnsiTheme="majorHAnsi"/>
              </w:rPr>
            </w:pPr>
            <w:r>
              <w:rPr>
                <w:rFonts w:asciiTheme="majorHAnsi" w:hAnsiTheme="majorHAnsi"/>
              </w:rPr>
              <w:t xml:space="preserve">Survey </w:t>
            </w:r>
            <w:r w:rsidRPr="002B0D7D" w:rsidR="002B0D7D">
              <w:rPr>
                <w:rFonts w:asciiTheme="majorHAnsi" w:hAnsiTheme="majorHAnsi"/>
              </w:rPr>
              <w:t>Data Collection</w:t>
            </w:r>
          </w:p>
        </w:tc>
        <w:tc>
          <w:tcPr>
            <w:tcW w:w="4670" w:type="dxa"/>
          </w:tcPr>
          <w:p w:rsidRPr="002B0D7D" w:rsidR="002B0D7D" w:rsidP="00FE3ADD" w:rsidRDefault="002B0D7D" w14:paraId="144C114B" w14:textId="77777777">
            <w:pPr>
              <w:rPr>
                <w:rFonts w:asciiTheme="majorHAnsi" w:hAnsiTheme="majorHAnsi"/>
              </w:rPr>
            </w:pPr>
            <w:r w:rsidRPr="002B0D7D">
              <w:rPr>
                <w:rFonts w:asciiTheme="majorHAnsi" w:hAnsiTheme="majorHAnsi"/>
              </w:rPr>
              <w:t xml:space="preserve">2–6 months after OMB approval </w:t>
            </w:r>
          </w:p>
        </w:tc>
      </w:tr>
      <w:tr w:rsidRPr="002B0D7D" w:rsidR="002B0D7D" w:rsidTr="00FE3ADD" w14:paraId="2FC8BA98" w14:textId="77777777">
        <w:tc>
          <w:tcPr>
            <w:tcW w:w="4680" w:type="dxa"/>
          </w:tcPr>
          <w:p w:rsidRPr="002B0D7D" w:rsidR="002B0D7D" w:rsidP="00E40CDD" w:rsidRDefault="002B0D7D" w14:paraId="3F20A577" w14:textId="03C8E0E8">
            <w:pPr>
              <w:rPr>
                <w:rFonts w:asciiTheme="majorHAnsi" w:hAnsiTheme="majorHAnsi"/>
              </w:rPr>
            </w:pPr>
            <w:r w:rsidRPr="002B0D7D">
              <w:rPr>
                <w:rFonts w:asciiTheme="majorHAnsi" w:hAnsiTheme="majorHAnsi"/>
              </w:rPr>
              <w:t>Data Analysis</w:t>
            </w:r>
          </w:p>
        </w:tc>
        <w:tc>
          <w:tcPr>
            <w:tcW w:w="4670" w:type="dxa"/>
          </w:tcPr>
          <w:p w:rsidRPr="002B0D7D" w:rsidR="002B0D7D" w:rsidP="00FE3ADD" w:rsidRDefault="002B0D7D" w14:paraId="46010279" w14:textId="77777777">
            <w:pPr>
              <w:rPr>
                <w:rFonts w:asciiTheme="majorHAnsi" w:hAnsiTheme="majorHAnsi"/>
              </w:rPr>
            </w:pPr>
            <w:r w:rsidRPr="002B0D7D">
              <w:rPr>
                <w:rFonts w:asciiTheme="majorHAnsi" w:hAnsiTheme="majorHAnsi"/>
              </w:rPr>
              <w:t>6-12 months after OMB approval</w:t>
            </w:r>
          </w:p>
        </w:tc>
      </w:tr>
      <w:tr w:rsidRPr="002B0D7D" w:rsidR="002B0D7D" w:rsidTr="00FE3ADD" w14:paraId="4D583590" w14:textId="77777777">
        <w:tc>
          <w:tcPr>
            <w:tcW w:w="4680" w:type="dxa"/>
          </w:tcPr>
          <w:p w:rsidRPr="002B0D7D" w:rsidR="002B0D7D" w:rsidP="00FE3ADD" w:rsidRDefault="002B0D7D" w14:paraId="42AB1C81" w14:textId="1D928E56">
            <w:pPr>
              <w:rPr>
                <w:rFonts w:asciiTheme="majorHAnsi" w:hAnsiTheme="majorHAnsi"/>
              </w:rPr>
            </w:pPr>
            <w:r w:rsidRPr="002B0D7D">
              <w:rPr>
                <w:rFonts w:asciiTheme="majorHAnsi" w:hAnsiTheme="majorHAnsi"/>
              </w:rPr>
              <w:t>Publication</w:t>
            </w:r>
            <w:r w:rsidR="00E40CDD">
              <w:rPr>
                <w:rFonts w:asciiTheme="majorHAnsi" w:hAnsiTheme="majorHAnsi"/>
              </w:rPr>
              <w:t xml:space="preserve"> of results (RAND report</w:t>
            </w:r>
            <w:r w:rsidR="00CC4A1A">
              <w:rPr>
                <w:rFonts w:asciiTheme="majorHAnsi" w:hAnsiTheme="majorHAnsi"/>
              </w:rPr>
              <w:t xml:space="preserve"> to Real Warriors supervisor and staff only</w:t>
            </w:r>
            <w:r w:rsidR="00E40CDD">
              <w:rPr>
                <w:rFonts w:asciiTheme="majorHAnsi" w:hAnsiTheme="majorHAnsi"/>
              </w:rPr>
              <w:t>)</w:t>
            </w:r>
            <w:r w:rsidR="00DC1A70">
              <w:rPr>
                <w:rFonts w:asciiTheme="majorHAnsi" w:hAnsiTheme="majorHAnsi"/>
              </w:rPr>
              <w:t>**</w:t>
            </w:r>
          </w:p>
        </w:tc>
        <w:tc>
          <w:tcPr>
            <w:tcW w:w="4670" w:type="dxa"/>
          </w:tcPr>
          <w:p w:rsidRPr="002B0D7D" w:rsidR="002B0D7D" w:rsidP="00FE3ADD" w:rsidRDefault="002B0D7D" w14:paraId="39715F0D" w14:textId="77777777">
            <w:pPr>
              <w:rPr>
                <w:rFonts w:asciiTheme="majorHAnsi" w:hAnsiTheme="majorHAnsi"/>
              </w:rPr>
            </w:pPr>
            <w:r w:rsidRPr="002B0D7D">
              <w:rPr>
                <w:rFonts w:asciiTheme="majorHAnsi" w:hAnsiTheme="majorHAnsi"/>
              </w:rPr>
              <w:t>18-24 months after OMB approval</w:t>
            </w:r>
          </w:p>
        </w:tc>
      </w:tr>
    </w:tbl>
    <w:p w:rsidRPr="00DC1A70" w:rsidR="00DC1A70" w:rsidP="00DC1A70" w:rsidRDefault="00DC1A70" w14:paraId="466DF982" w14:textId="54142C67">
      <w:pPr>
        <w:spacing w:after="0" w:line="240" w:lineRule="auto"/>
        <w:rPr>
          <w:rFonts w:asciiTheme="majorHAnsi" w:hAnsiTheme="majorHAnsi"/>
          <w:sz w:val="24"/>
        </w:rPr>
      </w:pPr>
      <w:r w:rsidRPr="00DC1A70">
        <w:rPr>
          <w:rFonts w:asciiTheme="majorHAnsi" w:hAnsiTheme="majorHAnsi"/>
          <w:sz w:val="24"/>
        </w:rPr>
        <w:t>*</w:t>
      </w:r>
      <w:r>
        <w:rPr>
          <w:rFonts w:asciiTheme="majorHAnsi" w:hAnsiTheme="majorHAnsi"/>
          <w:sz w:val="24"/>
        </w:rPr>
        <w:t>Staying on this schedule</w:t>
      </w:r>
      <w:r w:rsidRPr="00DC1A70">
        <w:rPr>
          <w:rFonts w:asciiTheme="majorHAnsi" w:hAnsiTheme="majorHAnsi"/>
          <w:sz w:val="24"/>
        </w:rPr>
        <w:t xml:space="preserve"> is contingent upon timely receipt of data. </w:t>
      </w:r>
    </w:p>
    <w:p w:rsidRPr="00DC1A70" w:rsidR="00DC1A70" w:rsidP="00DC1A70" w:rsidRDefault="00DC1A70" w14:paraId="091AC303" w14:textId="391FCC08">
      <w:pPr>
        <w:spacing w:after="0" w:line="240" w:lineRule="auto"/>
        <w:rPr>
          <w:rFonts w:asciiTheme="majorHAnsi" w:hAnsiTheme="majorHAnsi"/>
          <w:sz w:val="24"/>
        </w:rPr>
      </w:pPr>
      <w:r w:rsidRPr="00DC1A70">
        <w:rPr>
          <w:rFonts w:asciiTheme="majorHAnsi" w:hAnsiTheme="majorHAnsi"/>
          <w:sz w:val="24"/>
        </w:rPr>
        <w:t>**</w:t>
      </w:r>
      <w:r w:rsidR="00CC4A1A">
        <w:rPr>
          <w:rFonts w:asciiTheme="majorHAnsi" w:hAnsiTheme="majorHAnsi"/>
          <w:sz w:val="24"/>
        </w:rPr>
        <w:t>Since this report will not be shared with the public, it</w:t>
      </w:r>
      <w:r w:rsidRPr="00DC1A70">
        <w:rPr>
          <w:rFonts w:asciiTheme="majorHAnsi" w:hAnsiTheme="majorHAnsi"/>
          <w:sz w:val="24"/>
        </w:rPr>
        <w:t xml:space="preserve"> will not </w:t>
      </w:r>
      <w:r w:rsidR="00CC4A1A">
        <w:rPr>
          <w:rFonts w:asciiTheme="majorHAnsi" w:hAnsiTheme="majorHAnsi"/>
          <w:sz w:val="24"/>
        </w:rPr>
        <w:t>be</w:t>
      </w:r>
      <w:r w:rsidRPr="00DC1A70" w:rsidR="00CC4A1A">
        <w:rPr>
          <w:rFonts w:asciiTheme="majorHAnsi" w:hAnsiTheme="majorHAnsi"/>
          <w:sz w:val="24"/>
        </w:rPr>
        <w:t xml:space="preserve"> </w:t>
      </w:r>
      <w:r w:rsidR="00CC4A1A">
        <w:rPr>
          <w:rFonts w:asciiTheme="majorHAnsi" w:hAnsiTheme="majorHAnsi"/>
          <w:sz w:val="24"/>
        </w:rPr>
        <w:t xml:space="preserve">professionally </w:t>
      </w:r>
      <w:r w:rsidRPr="00DC1A70">
        <w:rPr>
          <w:rFonts w:asciiTheme="majorHAnsi" w:hAnsiTheme="majorHAnsi"/>
          <w:sz w:val="24"/>
        </w:rPr>
        <w:t xml:space="preserve">copy-edited </w:t>
      </w:r>
      <w:r w:rsidR="00CC4A1A">
        <w:rPr>
          <w:rFonts w:asciiTheme="majorHAnsi" w:hAnsiTheme="majorHAnsi"/>
          <w:sz w:val="24"/>
        </w:rPr>
        <w:t>prior to publication</w:t>
      </w:r>
      <w:r w:rsidRPr="00DC1A70">
        <w:rPr>
          <w:rFonts w:asciiTheme="majorHAnsi" w:hAnsiTheme="majorHAnsi"/>
          <w:sz w:val="24"/>
        </w:rPr>
        <w:t xml:space="preserve">. </w:t>
      </w:r>
    </w:p>
    <w:p w:rsidR="002B0D7D" w:rsidP="00486235" w:rsidRDefault="002B0D7D" w14:paraId="75E6CCE0" w14:textId="5809123B">
      <w:pPr>
        <w:spacing w:after="0" w:line="240" w:lineRule="auto"/>
        <w:rPr>
          <w:rFonts w:asciiTheme="majorHAnsi" w:hAnsiTheme="majorHAnsi"/>
          <w:sz w:val="24"/>
        </w:rPr>
      </w:pPr>
    </w:p>
    <w:p w:rsidR="00A25815" w:rsidP="00486235" w:rsidRDefault="00A25815" w14:paraId="6F0D416A" w14:textId="77777777">
      <w:pPr>
        <w:spacing w:after="0" w:line="240" w:lineRule="auto"/>
        <w:rPr>
          <w:rFonts w:asciiTheme="majorHAnsi" w:hAnsiTheme="majorHAnsi"/>
          <w:sz w:val="24"/>
        </w:rPr>
      </w:pPr>
    </w:p>
    <w:p w:rsidR="005C3A95" w:rsidP="00486235" w:rsidRDefault="005C3A95" w14:paraId="324E930E"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2B0D7D" w:rsidP="00486235" w:rsidRDefault="002B0D7D" w14:paraId="2F7BA983" w14:textId="77777777">
      <w:pPr>
        <w:spacing w:after="0" w:line="240" w:lineRule="auto"/>
        <w:rPr>
          <w:rFonts w:asciiTheme="majorHAnsi" w:hAnsiTheme="majorHAnsi"/>
          <w:sz w:val="24"/>
        </w:rPr>
      </w:pPr>
      <w:r w:rsidRPr="002B0D7D">
        <w:rPr>
          <w:rFonts w:asciiTheme="majorHAnsi" w:hAnsiTheme="majorHAnsi"/>
          <w:sz w:val="24"/>
        </w:rPr>
        <w:t>We are not seeking approval to omit the display of the expiration date of the OMB approval on the collection instrument.</w:t>
      </w:r>
    </w:p>
    <w:p w:rsidR="00C62D17" w:rsidP="00486235" w:rsidRDefault="00C62D17" w14:paraId="3622C7EE" w14:textId="77777777">
      <w:pPr>
        <w:spacing w:after="0" w:line="240" w:lineRule="auto"/>
        <w:rPr>
          <w:rFonts w:asciiTheme="majorHAnsi" w:hAnsiTheme="majorHAnsi"/>
          <w:sz w:val="24"/>
        </w:rPr>
      </w:pPr>
    </w:p>
    <w:p w:rsidR="00C62D17" w:rsidP="00486235" w:rsidRDefault="00C62D17" w14:paraId="6F5CB7EB"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Pr="00C62D17" w:rsidR="002B0D7D" w:rsidP="002D18E4" w:rsidRDefault="002B0D7D" w14:paraId="7327E037" w14:textId="63E81169">
      <w:pPr>
        <w:spacing w:after="0" w:line="240" w:lineRule="auto"/>
        <w:rPr>
          <w:rFonts w:asciiTheme="majorHAnsi" w:hAnsiTheme="majorHAnsi"/>
          <w:i/>
          <w:sz w:val="24"/>
        </w:rPr>
      </w:pPr>
      <w:r w:rsidRPr="002B0D7D">
        <w:rPr>
          <w:rFonts w:asciiTheme="majorHAnsi" w:hAnsiTheme="majorHAnsi"/>
          <w:sz w:val="24"/>
        </w:rPr>
        <w:t xml:space="preserve">We are not requesting any exemptions to the provisions stated in 5 CFR 1320.9. </w:t>
      </w:r>
    </w:p>
    <w:p w:rsidRPr="00C62D17" w:rsidR="002B0D7D" w:rsidP="00A50A0F" w:rsidRDefault="002B0D7D" w14:paraId="5BD180F6" w14:textId="77777777">
      <w:pPr>
        <w:spacing w:after="0" w:line="240" w:lineRule="auto"/>
        <w:ind w:firstLine="720"/>
        <w:rPr>
          <w:rFonts w:asciiTheme="majorHAnsi" w:hAnsiTheme="majorHAnsi"/>
          <w:i/>
          <w:sz w:val="24"/>
        </w:rPr>
      </w:pPr>
    </w:p>
    <w:sectPr w:rsidRPr="00C62D17" w:rsidR="002B0D7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A8927" w14:textId="77777777" w:rsidR="00A72479" w:rsidRDefault="00A72479" w:rsidP="00FB569C">
      <w:pPr>
        <w:spacing w:after="0" w:line="240" w:lineRule="auto"/>
      </w:pPr>
      <w:r>
        <w:separator/>
      </w:r>
    </w:p>
  </w:endnote>
  <w:endnote w:type="continuationSeparator" w:id="0">
    <w:p w14:paraId="4C260041" w14:textId="77777777" w:rsidR="00A72479" w:rsidRDefault="00A72479"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7B05E" w14:textId="77777777" w:rsidR="00FB569C" w:rsidRDefault="00FB5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E9B7F" w14:textId="77777777" w:rsidR="00A72479" w:rsidRDefault="00A72479" w:rsidP="00FB569C">
      <w:pPr>
        <w:spacing w:after="0" w:line="240" w:lineRule="auto"/>
      </w:pPr>
      <w:r>
        <w:separator/>
      </w:r>
    </w:p>
  </w:footnote>
  <w:footnote w:type="continuationSeparator" w:id="0">
    <w:p w14:paraId="6BB22CCC" w14:textId="77777777" w:rsidR="00A72479" w:rsidRDefault="00A72479" w:rsidP="00FB569C">
      <w:pPr>
        <w:spacing w:after="0" w:line="240" w:lineRule="auto"/>
      </w:pPr>
      <w:r>
        <w:continuationSeparator/>
      </w:r>
    </w:p>
  </w:footnote>
  <w:footnote w:id="1">
    <w:p w14:paraId="271C1168" w14:textId="77777777" w:rsidR="0041116B" w:rsidRPr="005D3D09" w:rsidRDefault="0041116B" w:rsidP="0041116B">
      <w:pPr>
        <w:pStyle w:val="FootnoteText"/>
        <w:rPr>
          <w:rFonts w:asciiTheme="majorHAnsi" w:hAnsiTheme="majorHAnsi"/>
        </w:rPr>
      </w:pPr>
      <w:r w:rsidRPr="005D3D09">
        <w:rPr>
          <w:rStyle w:val="FootnoteReference"/>
          <w:rFonts w:asciiTheme="majorHAnsi" w:hAnsiTheme="majorHAnsi"/>
        </w:rPr>
        <w:footnoteRef/>
      </w:r>
      <w:r w:rsidRPr="005D3D09">
        <w:rPr>
          <w:rFonts w:asciiTheme="majorHAnsi" w:hAnsiTheme="majorHAnsi"/>
        </w:rPr>
        <w:t xml:space="preserve"> Singer and Ye (2013), The Use and Effects of Incentives in Surveys, Annals of the American Academy of Political and Social Science, 645(1): 112-141.</w:t>
      </w:r>
    </w:p>
  </w:footnote>
  <w:footnote w:id="2">
    <w:p w14:paraId="05679E7B" w14:textId="3F4F3A8E" w:rsidR="00CB0653" w:rsidRPr="00C166B1" w:rsidRDefault="00CB0653">
      <w:pPr>
        <w:pStyle w:val="FootnoteText"/>
        <w:rPr>
          <w:rFonts w:asciiTheme="majorHAnsi" w:hAnsiTheme="majorHAnsi"/>
        </w:rPr>
      </w:pPr>
      <w:r w:rsidRPr="005D3D09">
        <w:rPr>
          <w:rStyle w:val="FootnoteReference"/>
          <w:rFonts w:asciiTheme="majorHAnsi" w:hAnsiTheme="majorHAnsi"/>
        </w:rPr>
        <w:footnoteRef/>
      </w:r>
      <w:r w:rsidRPr="005D3D09">
        <w:rPr>
          <w:rFonts w:asciiTheme="majorHAnsi" w:hAnsiTheme="majorHAnsi"/>
        </w:rPr>
        <w:t xml:space="preserve"> </w:t>
      </w:r>
      <w:r w:rsidRPr="00C166B1">
        <w:rPr>
          <w:rFonts w:asciiTheme="majorHAnsi" w:eastAsia="Calibri" w:hAnsiTheme="majorHAnsi" w:cs="Calibri"/>
        </w:rPr>
        <w:t xml:space="preserve">Hourly wage is based upon </w:t>
      </w:r>
      <w:r w:rsidR="00637E8E" w:rsidRPr="00C166B1">
        <w:rPr>
          <w:rFonts w:asciiTheme="majorHAnsi" w:eastAsia="Calibri" w:hAnsiTheme="majorHAnsi" w:cs="Calibri"/>
        </w:rPr>
        <w:t>the 2019 General Schedule yearly pay table</w:t>
      </w:r>
      <w:r w:rsidRPr="00C166B1">
        <w:rPr>
          <w:rFonts w:asciiTheme="majorHAnsi" w:eastAsia="Calibri" w:hAnsiTheme="majorHAnsi" w:cs="Calibri"/>
        </w:rPr>
        <w:t xml:space="preserve"> for GS-14 Step 2 federal employee in the Washington, DC area </w:t>
      </w:r>
      <w:r w:rsidR="00637E8E" w:rsidRPr="00C166B1">
        <w:rPr>
          <w:rFonts w:asciiTheme="majorHAnsi" w:eastAsia="Calibri" w:hAnsiTheme="majorHAnsi" w:cs="Calibri"/>
        </w:rPr>
        <w:t>(</w:t>
      </w:r>
      <w:r w:rsidR="00C166B1" w:rsidRPr="00583AC1">
        <w:rPr>
          <w:rFonts w:asciiTheme="majorHAnsi" w:hAnsiTheme="majorHAnsi"/>
        </w:rPr>
        <w:t>https://www.generalschedule.org/localities/washington-dc</w:t>
      </w:r>
      <w:r w:rsidR="00637E8E" w:rsidRPr="00583AC1">
        <w:rPr>
          <w:rFonts w:asciiTheme="majorHAnsi" w:hAnsiTheme="majorHAnsi"/>
        </w:rPr>
        <w:t>)</w:t>
      </w:r>
      <w:r w:rsidRPr="00C166B1">
        <w:rPr>
          <w:rFonts w:asciiTheme="majorHAnsi" w:eastAsia="Calibri" w:hAnsiTheme="majorHAnsi" w:cs="Calibri"/>
        </w:rPr>
        <w:t xml:space="preserve"> divided by 2,087-Hour Divisor </w:t>
      </w:r>
      <w:r w:rsidR="00637E8E" w:rsidRPr="00C166B1">
        <w:rPr>
          <w:rFonts w:asciiTheme="majorHAnsi" w:eastAsia="Calibri" w:hAnsiTheme="majorHAnsi" w:cs="Calibri"/>
        </w:rPr>
        <w:t>(</w:t>
      </w:r>
      <w:r w:rsidR="00FF4864" w:rsidRPr="00C166B1">
        <w:rPr>
          <w:rFonts w:asciiTheme="majorHAnsi" w:eastAsia="Calibri" w:hAnsiTheme="majorHAnsi" w:cs="Calibri"/>
        </w:rPr>
        <w:t>https://www.opm.gov/policy-data-oversight/pay-leave/pay-administration/fact-sheets/computing-hourly-rates-of-pay-using-the-2087-hour-divisor/</w:t>
      </w:r>
      <w:r w:rsidR="00637E8E" w:rsidRPr="00C166B1">
        <w:rPr>
          <w:rFonts w:asciiTheme="majorHAnsi" w:eastAsia="Calibri" w:hAnsiTheme="majorHAnsi" w:cs="Calibri"/>
        </w:rPr>
        <w:t>)</w:t>
      </w:r>
    </w:p>
  </w:footnote>
  <w:footnote w:id="3">
    <w:p w14:paraId="036E26F5" w14:textId="01F0DCF2" w:rsidR="00E46266" w:rsidRPr="00583AC1" w:rsidRDefault="00E46266">
      <w:pPr>
        <w:pStyle w:val="FootnoteText"/>
        <w:rPr>
          <w:rFonts w:asciiTheme="majorHAnsi" w:hAnsiTheme="majorHAnsi"/>
        </w:rPr>
      </w:pPr>
      <w:r w:rsidRPr="00C166B1">
        <w:rPr>
          <w:rStyle w:val="FootnoteReference"/>
          <w:rFonts w:asciiTheme="majorHAnsi" w:hAnsiTheme="majorHAnsi"/>
        </w:rPr>
        <w:footnoteRef/>
      </w:r>
      <w:r w:rsidRPr="00C166B1">
        <w:rPr>
          <w:rFonts w:asciiTheme="majorHAnsi" w:hAnsiTheme="majorHAnsi"/>
        </w:rPr>
        <w:t xml:space="preserve"> </w:t>
      </w:r>
      <w:r w:rsidRPr="00C166B1">
        <w:rPr>
          <w:rFonts w:asciiTheme="majorHAnsi" w:eastAsia="Calibri" w:hAnsiTheme="majorHAnsi" w:cs="Calibri"/>
        </w:rPr>
        <w:t xml:space="preserve">Total labor burden is calculated by taking hourly wage and an anticipated time commitment over a calendar year. </w:t>
      </w:r>
      <w:r w:rsidR="00C166B1" w:rsidRPr="00C166B1">
        <w:rPr>
          <w:rFonts w:asciiTheme="majorHAnsi" w:eastAsia="Calibri" w:hAnsiTheme="majorHAnsi" w:cs="Calibri"/>
        </w:rPr>
        <w:t>Hourly wage is based upon the 2019 General Schedule yearly pay table for GS-14 Step 2 federal employee in the Washington, DC area (</w:t>
      </w:r>
      <w:r w:rsidR="00C166B1" w:rsidRPr="00583AC1">
        <w:rPr>
          <w:rFonts w:asciiTheme="majorHAnsi" w:hAnsiTheme="majorHAnsi"/>
        </w:rPr>
        <w:t>https://www.generalschedule.org/localities/washington-dc)</w:t>
      </w:r>
      <w:r w:rsidR="00C166B1" w:rsidRPr="00C166B1">
        <w:rPr>
          <w:rFonts w:asciiTheme="majorHAnsi" w:eastAsia="Calibri" w:hAnsiTheme="majorHAnsi" w:cs="Calibri"/>
        </w:rPr>
        <w:t xml:space="preserve"> divided by 2,087-Hour Divisor (https://www.opm.gov/policy-data-oversight/pay-leave/pay-administration/fact-sheets/computing-hourly-rates-of-pay-using-the-2087-hour-divisor/)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E02A3"/>
    <w:multiLevelType w:val="hybridMultilevel"/>
    <w:tmpl w:val="C8B0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961856"/>
    <w:multiLevelType w:val="hybridMultilevel"/>
    <w:tmpl w:val="29286644"/>
    <w:lvl w:ilvl="0" w:tplc="95660A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CB644E"/>
    <w:multiLevelType w:val="hybridMultilevel"/>
    <w:tmpl w:val="AD84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82795"/>
    <w:multiLevelType w:val="hybridMultilevel"/>
    <w:tmpl w:val="C316B006"/>
    <w:lvl w:ilvl="0" w:tplc="84D2FAA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 w15:restartNumberingAfterBreak="0">
    <w:nsid w:val="1DC950F4"/>
    <w:multiLevelType w:val="hybridMultilevel"/>
    <w:tmpl w:val="411667AC"/>
    <w:lvl w:ilvl="0" w:tplc="557250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7E3A1C"/>
    <w:multiLevelType w:val="hybridMultilevel"/>
    <w:tmpl w:val="FDAC3C9C"/>
    <w:lvl w:ilvl="0" w:tplc="C7662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63266B2"/>
    <w:multiLevelType w:val="hybridMultilevel"/>
    <w:tmpl w:val="1C3456F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D55911"/>
    <w:multiLevelType w:val="hybridMultilevel"/>
    <w:tmpl w:val="E9AAD848"/>
    <w:lvl w:ilvl="0" w:tplc="B6BE188A">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3A9E0CC9"/>
    <w:multiLevelType w:val="hybridMultilevel"/>
    <w:tmpl w:val="E65845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04361"/>
    <w:multiLevelType w:val="hybridMultilevel"/>
    <w:tmpl w:val="56603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1F68D0"/>
    <w:multiLevelType w:val="hybridMultilevel"/>
    <w:tmpl w:val="9F087964"/>
    <w:lvl w:ilvl="0" w:tplc="03F6519E">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3" w15:restartNumberingAfterBreak="0">
    <w:nsid w:val="74B34CD4"/>
    <w:multiLevelType w:val="hybridMultilevel"/>
    <w:tmpl w:val="D33C4D1C"/>
    <w:lvl w:ilvl="0" w:tplc="DECCD6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0"/>
  </w:num>
  <w:num w:numId="3">
    <w:abstractNumId w:val="14"/>
  </w:num>
  <w:num w:numId="4">
    <w:abstractNumId w:val="9"/>
  </w:num>
  <w:num w:numId="5">
    <w:abstractNumId w:val="19"/>
  </w:num>
  <w:num w:numId="6">
    <w:abstractNumId w:val="2"/>
  </w:num>
  <w:num w:numId="7">
    <w:abstractNumId w:val="20"/>
  </w:num>
  <w:num w:numId="8">
    <w:abstractNumId w:val="17"/>
  </w:num>
  <w:num w:numId="9">
    <w:abstractNumId w:val="21"/>
  </w:num>
  <w:num w:numId="10">
    <w:abstractNumId w:val="5"/>
  </w:num>
  <w:num w:numId="11">
    <w:abstractNumId w:val="16"/>
  </w:num>
  <w:num w:numId="12">
    <w:abstractNumId w:val="18"/>
  </w:num>
  <w:num w:numId="13">
    <w:abstractNumId w:val="11"/>
  </w:num>
  <w:num w:numId="14">
    <w:abstractNumId w:val="6"/>
  </w:num>
  <w:num w:numId="15">
    <w:abstractNumId w:val="22"/>
  </w:num>
  <w:num w:numId="16">
    <w:abstractNumId w:val="13"/>
  </w:num>
  <w:num w:numId="17">
    <w:abstractNumId w:val="7"/>
  </w:num>
  <w:num w:numId="18">
    <w:abstractNumId w:val="1"/>
  </w:num>
  <w:num w:numId="19">
    <w:abstractNumId w:val="23"/>
  </w:num>
  <w:num w:numId="20">
    <w:abstractNumId w:val="4"/>
  </w:num>
  <w:num w:numId="21">
    <w:abstractNumId w:val="3"/>
  </w:num>
  <w:num w:numId="22">
    <w:abstractNumId w:val="8"/>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56E9A"/>
    <w:rsid w:val="0008650F"/>
    <w:rsid w:val="000B0E70"/>
    <w:rsid w:val="000B11E2"/>
    <w:rsid w:val="000F3BD3"/>
    <w:rsid w:val="001028F1"/>
    <w:rsid w:val="00105F45"/>
    <w:rsid w:val="00112F19"/>
    <w:rsid w:val="00124789"/>
    <w:rsid w:val="00125043"/>
    <w:rsid w:val="00136290"/>
    <w:rsid w:val="00183AFD"/>
    <w:rsid w:val="00192E09"/>
    <w:rsid w:val="0019309D"/>
    <w:rsid w:val="001B3EC6"/>
    <w:rsid w:val="001E1B38"/>
    <w:rsid w:val="001F526C"/>
    <w:rsid w:val="00200261"/>
    <w:rsid w:val="00211832"/>
    <w:rsid w:val="00211DC2"/>
    <w:rsid w:val="00222D1B"/>
    <w:rsid w:val="0024335E"/>
    <w:rsid w:val="00252FB2"/>
    <w:rsid w:val="00254DCF"/>
    <w:rsid w:val="002567F9"/>
    <w:rsid w:val="00275CD3"/>
    <w:rsid w:val="0027743E"/>
    <w:rsid w:val="00293021"/>
    <w:rsid w:val="00294E92"/>
    <w:rsid w:val="002B0D7D"/>
    <w:rsid w:val="002D18E4"/>
    <w:rsid w:val="003132E7"/>
    <w:rsid w:val="00316675"/>
    <w:rsid w:val="00331D7E"/>
    <w:rsid w:val="00337EF1"/>
    <w:rsid w:val="003562C6"/>
    <w:rsid w:val="003570A4"/>
    <w:rsid w:val="003802E2"/>
    <w:rsid w:val="00394A8A"/>
    <w:rsid w:val="003C02B2"/>
    <w:rsid w:val="003C0540"/>
    <w:rsid w:val="003C2B4C"/>
    <w:rsid w:val="00405BB1"/>
    <w:rsid w:val="0041116B"/>
    <w:rsid w:val="004111E4"/>
    <w:rsid w:val="00417A97"/>
    <w:rsid w:val="00420AE9"/>
    <w:rsid w:val="00424414"/>
    <w:rsid w:val="0043314A"/>
    <w:rsid w:val="00465D7E"/>
    <w:rsid w:val="00486235"/>
    <w:rsid w:val="00490797"/>
    <w:rsid w:val="004B0196"/>
    <w:rsid w:val="004C74D6"/>
    <w:rsid w:val="004D7C5D"/>
    <w:rsid w:val="004F4F5D"/>
    <w:rsid w:val="0050629B"/>
    <w:rsid w:val="00506D87"/>
    <w:rsid w:val="00510F0C"/>
    <w:rsid w:val="00520B36"/>
    <w:rsid w:val="00545468"/>
    <w:rsid w:val="00555277"/>
    <w:rsid w:val="00571698"/>
    <w:rsid w:val="00576EDB"/>
    <w:rsid w:val="00583AC1"/>
    <w:rsid w:val="00586841"/>
    <w:rsid w:val="00596BBA"/>
    <w:rsid w:val="005971F4"/>
    <w:rsid w:val="005B5143"/>
    <w:rsid w:val="005B578D"/>
    <w:rsid w:val="005C3A95"/>
    <w:rsid w:val="005C7428"/>
    <w:rsid w:val="005D3D09"/>
    <w:rsid w:val="005D5C81"/>
    <w:rsid w:val="005E4BAF"/>
    <w:rsid w:val="00621CA9"/>
    <w:rsid w:val="006230D5"/>
    <w:rsid w:val="0062723E"/>
    <w:rsid w:val="00627B16"/>
    <w:rsid w:val="00637E8E"/>
    <w:rsid w:val="00642741"/>
    <w:rsid w:val="00645934"/>
    <w:rsid w:val="006667C5"/>
    <w:rsid w:val="006A13FA"/>
    <w:rsid w:val="006E563D"/>
    <w:rsid w:val="006F2DF8"/>
    <w:rsid w:val="00722FDB"/>
    <w:rsid w:val="007525D4"/>
    <w:rsid w:val="007572D1"/>
    <w:rsid w:val="0077261C"/>
    <w:rsid w:val="007A5E9F"/>
    <w:rsid w:val="007D36BF"/>
    <w:rsid w:val="007F2756"/>
    <w:rsid w:val="00801214"/>
    <w:rsid w:val="00802129"/>
    <w:rsid w:val="008309EB"/>
    <w:rsid w:val="00855067"/>
    <w:rsid w:val="00857E70"/>
    <w:rsid w:val="008635C4"/>
    <w:rsid w:val="008762E7"/>
    <w:rsid w:val="0088076C"/>
    <w:rsid w:val="008A3DD3"/>
    <w:rsid w:val="008A623F"/>
    <w:rsid w:val="008D1294"/>
    <w:rsid w:val="008E3029"/>
    <w:rsid w:val="008E375F"/>
    <w:rsid w:val="00911A01"/>
    <w:rsid w:val="009256EF"/>
    <w:rsid w:val="00960A18"/>
    <w:rsid w:val="00964F4D"/>
    <w:rsid w:val="0098628F"/>
    <w:rsid w:val="00996894"/>
    <w:rsid w:val="009A4B92"/>
    <w:rsid w:val="009A6246"/>
    <w:rsid w:val="009B0591"/>
    <w:rsid w:val="009E09BF"/>
    <w:rsid w:val="009E6C56"/>
    <w:rsid w:val="009F2544"/>
    <w:rsid w:val="00A21929"/>
    <w:rsid w:val="00A25815"/>
    <w:rsid w:val="00A31998"/>
    <w:rsid w:val="00A50A0F"/>
    <w:rsid w:val="00A62008"/>
    <w:rsid w:val="00A72479"/>
    <w:rsid w:val="00A76F7E"/>
    <w:rsid w:val="00A77157"/>
    <w:rsid w:val="00A8107F"/>
    <w:rsid w:val="00A818DF"/>
    <w:rsid w:val="00A865A4"/>
    <w:rsid w:val="00A97653"/>
    <w:rsid w:val="00AC3495"/>
    <w:rsid w:val="00AE43EF"/>
    <w:rsid w:val="00AF261D"/>
    <w:rsid w:val="00AF6251"/>
    <w:rsid w:val="00B25F92"/>
    <w:rsid w:val="00B265F9"/>
    <w:rsid w:val="00B31A00"/>
    <w:rsid w:val="00B36F7F"/>
    <w:rsid w:val="00B52F4E"/>
    <w:rsid w:val="00B632A3"/>
    <w:rsid w:val="00B80731"/>
    <w:rsid w:val="00B933B0"/>
    <w:rsid w:val="00B94FF9"/>
    <w:rsid w:val="00BB7D76"/>
    <w:rsid w:val="00BC1157"/>
    <w:rsid w:val="00BF0FB4"/>
    <w:rsid w:val="00C166B1"/>
    <w:rsid w:val="00C40548"/>
    <w:rsid w:val="00C43450"/>
    <w:rsid w:val="00C44394"/>
    <w:rsid w:val="00C62D17"/>
    <w:rsid w:val="00C808F4"/>
    <w:rsid w:val="00C91718"/>
    <w:rsid w:val="00C91CA6"/>
    <w:rsid w:val="00CA15B1"/>
    <w:rsid w:val="00CB0653"/>
    <w:rsid w:val="00CB688B"/>
    <w:rsid w:val="00CC24D5"/>
    <w:rsid w:val="00CC4A1A"/>
    <w:rsid w:val="00CC69B6"/>
    <w:rsid w:val="00CD54C2"/>
    <w:rsid w:val="00CF363A"/>
    <w:rsid w:val="00D21AA6"/>
    <w:rsid w:val="00D22781"/>
    <w:rsid w:val="00D44367"/>
    <w:rsid w:val="00D462F7"/>
    <w:rsid w:val="00D46418"/>
    <w:rsid w:val="00D63432"/>
    <w:rsid w:val="00D752C7"/>
    <w:rsid w:val="00DA2B37"/>
    <w:rsid w:val="00DB4F9B"/>
    <w:rsid w:val="00DC1A70"/>
    <w:rsid w:val="00E077BE"/>
    <w:rsid w:val="00E20968"/>
    <w:rsid w:val="00E224D1"/>
    <w:rsid w:val="00E315B6"/>
    <w:rsid w:val="00E40CDD"/>
    <w:rsid w:val="00E46266"/>
    <w:rsid w:val="00E5409A"/>
    <w:rsid w:val="00E73D4E"/>
    <w:rsid w:val="00E84D3B"/>
    <w:rsid w:val="00E95FFB"/>
    <w:rsid w:val="00EA6C04"/>
    <w:rsid w:val="00EB50E1"/>
    <w:rsid w:val="00EC0306"/>
    <w:rsid w:val="00ED18D8"/>
    <w:rsid w:val="00ED57AD"/>
    <w:rsid w:val="00EF7A6A"/>
    <w:rsid w:val="00F11B76"/>
    <w:rsid w:val="00F25499"/>
    <w:rsid w:val="00F3308E"/>
    <w:rsid w:val="00F647E4"/>
    <w:rsid w:val="00F8486D"/>
    <w:rsid w:val="00F86C35"/>
    <w:rsid w:val="00F97482"/>
    <w:rsid w:val="00FB569C"/>
    <w:rsid w:val="00FF060E"/>
    <w:rsid w:val="00FF4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4BA8"/>
  <w15:docId w15:val="{1A27EFBC-5652-4693-8510-A4E15C79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FootnoteText">
    <w:name w:val="footnote text"/>
    <w:aliases w:val="F1"/>
    <w:basedOn w:val="Normal"/>
    <w:link w:val="FootnoteTextChar"/>
    <w:uiPriority w:val="99"/>
    <w:unhideWhenUsed/>
    <w:rsid w:val="0041116B"/>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41116B"/>
    <w:rPr>
      <w:sz w:val="20"/>
      <w:szCs w:val="20"/>
    </w:rPr>
  </w:style>
  <w:style w:type="character" w:styleId="FootnoteReference">
    <w:name w:val="footnote reference"/>
    <w:basedOn w:val="DefaultParagraphFont"/>
    <w:uiPriority w:val="99"/>
    <w:unhideWhenUsed/>
    <w:rsid w:val="0041116B"/>
    <w:rPr>
      <w:vertAlign w:val="superscript"/>
    </w:rPr>
  </w:style>
  <w:style w:type="character" w:customStyle="1" w:styleId="Mention1">
    <w:name w:val="Mention1"/>
    <w:basedOn w:val="DefaultParagraphFont"/>
    <w:uiPriority w:val="99"/>
    <w:semiHidden/>
    <w:unhideWhenUsed/>
    <w:rsid w:val="00CB0653"/>
    <w:rPr>
      <w:color w:val="2B579A"/>
      <w:shd w:val="clear" w:color="auto" w:fill="E6E6E6"/>
    </w:rPr>
  </w:style>
  <w:style w:type="table" w:styleId="TableGrid">
    <w:name w:val="Table Grid"/>
    <w:basedOn w:val="TableNormal"/>
    <w:uiPriority w:val="59"/>
    <w:rsid w:val="002B0D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525D4"/>
    <w:rPr>
      <w:sz w:val="16"/>
      <w:szCs w:val="16"/>
    </w:rPr>
  </w:style>
  <w:style w:type="paragraph" w:styleId="CommentText">
    <w:name w:val="annotation text"/>
    <w:basedOn w:val="Normal"/>
    <w:link w:val="CommentTextChar"/>
    <w:uiPriority w:val="99"/>
    <w:semiHidden/>
    <w:unhideWhenUsed/>
    <w:rsid w:val="007525D4"/>
    <w:pPr>
      <w:spacing w:line="240" w:lineRule="auto"/>
    </w:pPr>
    <w:rPr>
      <w:sz w:val="20"/>
      <w:szCs w:val="20"/>
    </w:rPr>
  </w:style>
  <w:style w:type="character" w:customStyle="1" w:styleId="CommentTextChar">
    <w:name w:val="Comment Text Char"/>
    <w:basedOn w:val="DefaultParagraphFont"/>
    <w:link w:val="CommentText"/>
    <w:uiPriority w:val="99"/>
    <w:semiHidden/>
    <w:rsid w:val="007525D4"/>
    <w:rPr>
      <w:sz w:val="20"/>
      <w:szCs w:val="20"/>
    </w:rPr>
  </w:style>
  <w:style w:type="paragraph" w:styleId="CommentSubject">
    <w:name w:val="annotation subject"/>
    <w:basedOn w:val="CommentText"/>
    <w:next w:val="CommentText"/>
    <w:link w:val="CommentSubjectChar"/>
    <w:uiPriority w:val="99"/>
    <w:semiHidden/>
    <w:unhideWhenUsed/>
    <w:rsid w:val="007525D4"/>
    <w:rPr>
      <w:b/>
      <w:bCs/>
    </w:rPr>
  </w:style>
  <w:style w:type="character" w:customStyle="1" w:styleId="CommentSubjectChar">
    <w:name w:val="Comment Subject Char"/>
    <w:basedOn w:val="CommentTextChar"/>
    <w:link w:val="CommentSubject"/>
    <w:uiPriority w:val="99"/>
    <w:semiHidden/>
    <w:rsid w:val="007525D4"/>
    <w:rPr>
      <w:b/>
      <w:bCs/>
      <w:sz w:val="20"/>
      <w:szCs w:val="20"/>
    </w:rPr>
  </w:style>
  <w:style w:type="character" w:styleId="FollowedHyperlink">
    <w:name w:val="FollowedHyperlink"/>
    <w:basedOn w:val="DefaultParagraphFont"/>
    <w:uiPriority w:val="99"/>
    <w:semiHidden/>
    <w:unhideWhenUsed/>
    <w:rsid w:val="00621CA9"/>
    <w:rPr>
      <w:color w:val="800080" w:themeColor="followedHyperlink"/>
      <w:u w:val="single"/>
    </w:rPr>
  </w:style>
  <w:style w:type="character" w:customStyle="1" w:styleId="UnresolvedMention1">
    <w:name w:val="Unresolved Mention1"/>
    <w:basedOn w:val="DefaultParagraphFont"/>
    <w:uiPriority w:val="99"/>
    <w:semiHidden/>
    <w:unhideWhenUsed/>
    <w:rsid w:val="00AF6251"/>
    <w:rPr>
      <w:color w:val="808080"/>
      <w:shd w:val="clear" w:color="auto" w:fill="E6E6E6"/>
    </w:rPr>
  </w:style>
  <w:style w:type="paragraph" w:styleId="PlainText">
    <w:name w:val="Plain Text"/>
    <w:basedOn w:val="Normal"/>
    <w:link w:val="PlainTextChar"/>
    <w:uiPriority w:val="99"/>
    <w:semiHidden/>
    <w:unhideWhenUsed/>
    <w:rsid w:val="00964F4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64F4D"/>
    <w:rPr>
      <w:rFonts w:ascii="Calibri" w:hAnsi="Calibri"/>
      <w:szCs w:val="21"/>
    </w:rPr>
  </w:style>
  <w:style w:type="paragraph" w:styleId="Revision">
    <w:name w:val="Revision"/>
    <w:hidden/>
    <w:uiPriority w:val="99"/>
    <w:semiHidden/>
    <w:rsid w:val="005D3D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93574">
      <w:bodyDiv w:val="1"/>
      <w:marLeft w:val="0"/>
      <w:marRight w:val="0"/>
      <w:marTop w:val="0"/>
      <w:marBottom w:val="0"/>
      <w:divBdr>
        <w:top w:val="none" w:sz="0" w:space="0" w:color="auto"/>
        <w:left w:val="none" w:sz="0" w:space="0" w:color="auto"/>
        <w:bottom w:val="none" w:sz="0" w:space="0" w:color="auto"/>
        <w:right w:val="none" w:sz="0" w:space="0" w:color="auto"/>
      </w:divBdr>
    </w:div>
    <w:div w:id="1076631203">
      <w:bodyDiv w:val="1"/>
      <w:marLeft w:val="0"/>
      <w:marRight w:val="0"/>
      <w:marTop w:val="0"/>
      <w:marBottom w:val="0"/>
      <w:divBdr>
        <w:top w:val="none" w:sz="0" w:space="0" w:color="auto"/>
        <w:left w:val="none" w:sz="0" w:space="0" w:color="auto"/>
        <w:bottom w:val="none" w:sz="0" w:space="0" w:color="auto"/>
        <w:right w:val="none" w:sz="0" w:space="0" w:color="auto"/>
      </w:divBdr>
    </w:div>
    <w:div w:id="168689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knpanel.com/participate/privacy2.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TH3QXZ4CCXAT-18-3442</_dlc_DocId>
    <_dlc_DocIdUrl xmlns="4f06cbb4-5319-44a1-b73c-03442379dfaa">
      <Url>https://apps.sp.pentagon.mil/sites/dodiic/_layouts/DocIdRedir.aspx?ID=TH3QXZ4CCXAT-18-3442</Url>
      <Description>TH3QXZ4CCXAT-18-3442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92FED-F994-4767-8904-ACF071FC6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E7E88-BA22-4908-BBF6-A48D7CECEE29}">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3.xml><?xml version="1.0" encoding="utf-8"?>
<ds:datastoreItem xmlns:ds="http://schemas.openxmlformats.org/officeDocument/2006/customXml" ds:itemID="{EF6D8D5F-2E00-4863-81D2-2339B2D476BC}">
  <ds:schemaRefs>
    <ds:schemaRef ds:uri="http://schemas.microsoft.com/sharepoint/v3/contenttype/forms"/>
  </ds:schemaRefs>
</ds:datastoreItem>
</file>

<file path=customXml/itemProps4.xml><?xml version="1.0" encoding="utf-8"?>
<ds:datastoreItem xmlns:ds="http://schemas.openxmlformats.org/officeDocument/2006/customXml" ds:itemID="{B716730E-2B0F-4C65-8049-E75FD9C26C65}">
  <ds:schemaRefs>
    <ds:schemaRef ds:uri="http://schemas.microsoft.com/sharepoint/events"/>
  </ds:schemaRefs>
</ds:datastoreItem>
</file>

<file path=customXml/itemProps5.xml><?xml version="1.0" encoding="utf-8"?>
<ds:datastoreItem xmlns:ds="http://schemas.openxmlformats.org/officeDocument/2006/customXml" ds:itemID="{0AE5B95E-E891-D04D-A125-2D8839F44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2177</Words>
  <Characters>13352</Characters>
  <Application>Microsoft Office Word</Application>
  <DocSecurity>0</DocSecurity>
  <Lines>381</Lines>
  <Paragraphs>242</Paragraphs>
  <ScaleCrop>false</ScaleCrop>
  <HeadingPairs>
    <vt:vector size="2" baseType="variant">
      <vt:variant>
        <vt:lpstr>Title</vt:lpstr>
      </vt:variant>
      <vt:variant>
        <vt:i4>1</vt:i4>
      </vt:variant>
    </vt:vector>
  </HeadingPairs>
  <TitlesOfParts>
    <vt:vector size="1" baseType="lpstr">
      <vt:lpstr>Cross-Agency Assessment of Campaigns to Reduce Negative Perceptions About mental Health conditions, Treatment and Awareness of Resources</vt:lpstr>
    </vt:vector>
  </TitlesOfParts>
  <Company>EITSD</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Cross-Agency Assessment of Campaigns to Reduce Negative Perceptions About mental Health conditions, Treatment and Awareness of Resources</dc:title>
  <dc:creator>Kaitlin Chiarelli</dc:creator>
  <cp:lastModifiedBy>Acosta, Joie</cp:lastModifiedBy>
  <cp:revision>3</cp:revision>
  <cp:lastPrinted>2016-09-20T19:55:00Z</cp:lastPrinted>
  <dcterms:created xsi:type="dcterms:W3CDTF">2020-02-25T15:36:00Z</dcterms:created>
  <dcterms:modified xsi:type="dcterms:W3CDTF">2020-02-25T17:58:00Z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1c8d7e8e-a8da-49f9-b3ed-cf0e9510e3cb</vt:lpwstr>
  </property>
</Properties>
</file>