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C1B" w:rsidRDefault="000E4C1B" w:rsidP="005C3FF9">
      <w:pPr>
        <w:jc w:val="center"/>
        <w:rPr>
          <w:color w:val="000000"/>
        </w:rPr>
      </w:pPr>
      <w:bookmarkStart w:id="0" w:name="_GoBack"/>
      <w:bookmarkEnd w:id="0"/>
      <w:r>
        <w:rPr>
          <w:color w:val="000000"/>
        </w:rPr>
        <w:t>U.S. Food and Drug Administration</w:t>
      </w:r>
    </w:p>
    <w:p w:rsidR="005C3FF9" w:rsidRPr="008F0306" w:rsidRDefault="005C3FF9" w:rsidP="005C3FF9">
      <w:pPr>
        <w:jc w:val="center"/>
        <w:rPr>
          <w:color w:val="000000"/>
        </w:rPr>
      </w:pPr>
      <w:r w:rsidRPr="008F0306">
        <w:rPr>
          <w:color w:val="000000"/>
        </w:rPr>
        <w:t>REGULATIONS RESTRICTING THE SALE AND DISTRIBUTION OF CIGARETTES AND SMOKELESS TOBACCO TO PROTECT CHILDREN AND ADOLESCENTS</w:t>
      </w:r>
    </w:p>
    <w:p w:rsidR="00B479FD" w:rsidRDefault="00B479FD" w:rsidP="005C3FF9">
      <w:pPr>
        <w:jc w:val="center"/>
        <w:rPr>
          <w:color w:val="000000"/>
        </w:rPr>
      </w:pPr>
    </w:p>
    <w:p w:rsidR="005C3FF9" w:rsidRPr="008F0306" w:rsidRDefault="005C3FF9" w:rsidP="005C3FF9">
      <w:pPr>
        <w:jc w:val="center"/>
        <w:rPr>
          <w:color w:val="000000"/>
        </w:rPr>
      </w:pPr>
      <w:r w:rsidRPr="008F0306">
        <w:rPr>
          <w:color w:val="000000"/>
        </w:rPr>
        <w:t>OMB CONTROL NO. 0910-0312</w:t>
      </w:r>
    </w:p>
    <w:p w:rsidR="005C3FF9" w:rsidRDefault="005C3FF9" w:rsidP="005C3FF9">
      <w:pPr>
        <w:jc w:val="center"/>
        <w:rPr>
          <w:color w:val="000000"/>
        </w:rPr>
      </w:pPr>
      <w:r w:rsidRPr="008F0306">
        <w:rPr>
          <w:color w:val="000000"/>
        </w:rPr>
        <w:t>SUPPORTING STATEMENT</w:t>
      </w:r>
    </w:p>
    <w:p w:rsidR="00105E42" w:rsidRDefault="00105E42" w:rsidP="005C3FF9">
      <w:pPr>
        <w:jc w:val="center"/>
        <w:rPr>
          <w:color w:val="000000"/>
        </w:rPr>
      </w:pPr>
    </w:p>
    <w:p w:rsidR="005C3FF9" w:rsidRPr="008F0306" w:rsidRDefault="005C3FF9" w:rsidP="005C3FF9">
      <w:pPr>
        <w:rPr>
          <w:color w:val="000000"/>
        </w:rPr>
      </w:pPr>
    </w:p>
    <w:p w:rsidR="005C3FF9" w:rsidRPr="008F0306" w:rsidRDefault="005C3FF9" w:rsidP="005C3FF9">
      <w:pPr>
        <w:rPr>
          <w:color w:val="000000"/>
        </w:rPr>
      </w:pPr>
      <w:r w:rsidRPr="008F0306">
        <w:rPr>
          <w:color w:val="000000"/>
        </w:rPr>
        <w:t>1.</w:t>
      </w:r>
      <w:r w:rsidR="003A605B">
        <w:rPr>
          <w:color w:val="000000"/>
        </w:rPr>
        <w:t xml:space="preserve"> </w:t>
      </w:r>
      <w:r w:rsidR="00BC008F">
        <w:rPr>
          <w:color w:val="000000"/>
        </w:rPr>
        <w:t xml:space="preserve"> </w:t>
      </w:r>
      <w:r w:rsidRPr="009213EC">
        <w:rPr>
          <w:color w:val="000000"/>
          <w:u w:val="single"/>
        </w:rPr>
        <w:t xml:space="preserve">Circumstances </w:t>
      </w:r>
      <w:r w:rsidR="00AE4932" w:rsidRPr="009213EC">
        <w:rPr>
          <w:color w:val="000000"/>
          <w:u w:val="single"/>
        </w:rPr>
        <w:t xml:space="preserve">Making the Collection </w:t>
      </w:r>
      <w:r w:rsidR="0034513F" w:rsidRPr="009213EC">
        <w:rPr>
          <w:color w:val="000000"/>
          <w:u w:val="single"/>
        </w:rPr>
        <w:t>of Information Necessary</w:t>
      </w:r>
    </w:p>
    <w:p w:rsidR="00B479FD" w:rsidRDefault="00B479FD" w:rsidP="005C3FF9">
      <w:pPr>
        <w:ind w:right="360"/>
        <w:rPr>
          <w:color w:val="000000"/>
        </w:rPr>
      </w:pPr>
    </w:p>
    <w:p w:rsidR="005C3FF9" w:rsidRPr="008F0306" w:rsidRDefault="005C3FF9" w:rsidP="005C3FF9">
      <w:pPr>
        <w:ind w:right="360"/>
        <w:rPr>
          <w:color w:val="000000"/>
        </w:rPr>
      </w:pPr>
      <w:r w:rsidRPr="008F0306">
        <w:rPr>
          <w:color w:val="000000"/>
        </w:rPr>
        <w:t>This is a request for a</w:t>
      </w:r>
      <w:r w:rsidR="009E304D">
        <w:rPr>
          <w:color w:val="000000"/>
        </w:rPr>
        <w:t>n</w:t>
      </w:r>
      <w:r w:rsidRPr="008F0306">
        <w:rPr>
          <w:color w:val="000000"/>
        </w:rPr>
        <w:t xml:space="preserve"> </w:t>
      </w:r>
      <w:r w:rsidR="009E304D">
        <w:rPr>
          <w:color w:val="000000"/>
        </w:rPr>
        <w:t>extension</w:t>
      </w:r>
      <w:r w:rsidRPr="008F0306">
        <w:rPr>
          <w:color w:val="000000"/>
        </w:rPr>
        <w:t xml:space="preserve"> of OMB approval of the information collection requirements contained in the Food and Drug Administration's (FDA's) regulations for cigarettes and smokeless tobacco containing nicotine.</w:t>
      </w:r>
      <w:r w:rsidR="00B14C01">
        <w:rPr>
          <w:color w:val="000000"/>
        </w:rPr>
        <w:t xml:space="preserve"> </w:t>
      </w:r>
      <w:r w:rsidRPr="008F0306">
        <w:rPr>
          <w:color w:val="000000"/>
        </w:rPr>
        <w:t xml:space="preserve"> The regulations, which are codified at 21 CFR </w:t>
      </w:r>
      <w:r w:rsidR="009E304D">
        <w:rPr>
          <w:color w:val="000000"/>
        </w:rPr>
        <w:t>p</w:t>
      </w:r>
      <w:r w:rsidRPr="008F0306">
        <w:rPr>
          <w:color w:val="000000"/>
        </w:rPr>
        <w:t xml:space="preserve">art 1140 (previously codified at 21 CFR </w:t>
      </w:r>
      <w:r w:rsidR="009E304D">
        <w:rPr>
          <w:color w:val="000000"/>
        </w:rPr>
        <w:t>p</w:t>
      </w:r>
      <w:r w:rsidRPr="008F0306">
        <w:rPr>
          <w:color w:val="000000"/>
        </w:rPr>
        <w:t>art 897), are authorized by section 102 of the Family Smoking Prevention and Tobacco Control Act (Tobacco Control Act) (Public Law 111-31).</w:t>
      </w:r>
      <w:r w:rsidR="00105E42">
        <w:rPr>
          <w:color w:val="000000"/>
        </w:rPr>
        <w:t xml:space="preserve"> </w:t>
      </w:r>
      <w:r w:rsidRPr="008F0306">
        <w:rPr>
          <w:color w:val="000000"/>
        </w:rPr>
        <w:t xml:space="preserve"> Section 102 of the Tobacco Control Act require</w:t>
      </w:r>
      <w:r w:rsidR="00B14C01">
        <w:rPr>
          <w:color w:val="000000"/>
        </w:rPr>
        <w:t>d</w:t>
      </w:r>
      <w:r w:rsidRPr="008F0306">
        <w:rPr>
          <w:color w:val="000000"/>
        </w:rPr>
        <w:t xml:space="preserve"> FDA to publish a final rule regarding cigarettes and smokeless tobacco identical in its provisions to the regulation issued by FDA in 1996 (61 FR 44396, August 28, 1996) with certain specified exceptions</w:t>
      </w:r>
      <w:r w:rsidR="009E304D">
        <w:rPr>
          <w:color w:val="000000"/>
        </w:rPr>
        <w:t xml:space="preserve"> — which </w:t>
      </w:r>
      <w:r w:rsidRPr="008F0306">
        <w:rPr>
          <w:color w:val="000000"/>
        </w:rPr>
        <w:t xml:space="preserve"> includ</w:t>
      </w:r>
      <w:r w:rsidR="009E304D">
        <w:rPr>
          <w:color w:val="000000"/>
        </w:rPr>
        <w:t>ed</w:t>
      </w:r>
      <w:r w:rsidRPr="008F0306">
        <w:rPr>
          <w:color w:val="000000"/>
        </w:rPr>
        <w:t xml:space="preserve"> </w:t>
      </w:r>
      <w:r w:rsidR="009E304D">
        <w:rPr>
          <w:color w:val="000000"/>
        </w:rPr>
        <w:t xml:space="preserve">striking </w:t>
      </w:r>
      <w:r w:rsidRPr="008F0306">
        <w:rPr>
          <w:color w:val="000000"/>
        </w:rPr>
        <w:t>subpart C (</w:t>
      </w:r>
      <w:r w:rsidR="009E304D">
        <w:rPr>
          <w:color w:val="000000"/>
        </w:rPr>
        <w:t>with</w:t>
      </w:r>
      <w:r w:rsidRPr="008F0306">
        <w:rPr>
          <w:color w:val="000000"/>
        </w:rPr>
        <w:t xml:space="preserve"> § 897.24) and § 897.32(c) from the reissued rule (</w:t>
      </w:r>
      <w:r w:rsidR="009E304D">
        <w:rPr>
          <w:color w:val="000000"/>
        </w:rPr>
        <w:t>section</w:t>
      </w:r>
      <w:r w:rsidRPr="008F0306">
        <w:rPr>
          <w:color w:val="000000"/>
        </w:rPr>
        <w:t xml:space="preserve"> 102(a)(2)(B)).</w:t>
      </w:r>
      <w:r w:rsidR="00CE4F42">
        <w:rPr>
          <w:color w:val="000000"/>
        </w:rPr>
        <w:t xml:space="preserve"> The </w:t>
      </w:r>
      <w:r w:rsidR="00D34CC3">
        <w:rPr>
          <w:color w:val="000000"/>
        </w:rPr>
        <w:t xml:space="preserve">reissued </w:t>
      </w:r>
      <w:r w:rsidR="00CE4F42">
        <w:rPr>
          <w:color w:val="000000"/>
        </w:rPr>
        <w:t xml:space="preserve">final rule was published in the </w:t>
      </w:r>
      <w:r w:rsidR="00CE4F42" w:rsidRPr="00916D11">
        <w:rPr>
          <w:i/>
          <w:color w:val="000000"/>
        </w:rPr>
        <w:t>Federal Register</w:t>
      </w:r>
      <w:r w:rsidR="00CE4F42">
        <w:rPr>
          <w:color w:val="000000"/>
        </w:rPr>
        <w:t xml:space="preserve"> on March 19, 2010 (75 FR 13225)</w:t>
      </w:r>
      <w:r w:rsidR="00AD3FB8">
        <w:rPr>
          <w:color w:val="000000"/>
        </w:rPr>
        <w:t xml:space="preserve">.  </w:t>
      </w:r>
    </w:p>
    <w:p w:rsidR="005C3FF9" w:rsidRPr="008F0306" w:rsidRDefault="005C3FF9" w:rsidP="005C3FF9">
      <w:pPr>
        <w:ind w:right="360"/>
        <w:rPr>
          <w:color w:val="000000"/>
        </w:rPr>
      </w:pPr>
    </w:p>
    <w:p w:rsidR="005C3FF9" w:rsidRPr="008F0306" w:rsidRDefault="007878E9" w:rsidP="00FD48E6">
      <w:pPr>
        <w:ind w:right="360"/>
        <w:rPr>
          <w:color w:val="000000"/>
        </w:rPr>
      </w:pPr>
      <w:r>
        <w:rPr>
          <w:color w:val="000000"/>
        </w:rPr>
        <w:t>T</w:t>
      </w:r>
      <w:r w:rsidR="005C3FF9" w:rsidRPr="008F0306">
        <w:rPr>
          <w:color w:val="000000"/>
        </w:rPr>
        <w:t>h</w:t>
      </w:r>
      <w:r>
        <w:rPr>
          <w:color w:val="000000"/>
        </w:rPr>
        <w:t>is</w:t>
      </w:r>
      <w:r w:rsidR="005C3FF9" w:rsidRPr="008F0306">
        <w:rPr>
          <w:color w:val="000000"/>
        </w:rPr>
        <w:t xml:space="preserve"> </w:t>
      </w:r>
      <w:r>
        <w:rPr>
          <w:color w:val="000000"/>
        </w:rPr>
        <w:t>collection</w:t>
      </w:r>
      <w:r w:rsidR="005C3FF9" w:rsidRPr="008F0306">
        <w:rPr>
          <w:color w:val="000000"/>
        </w:rPr>
        <w:t xml:space="preserve"> includes </w:t>
      </w:r>
      <w:r w:rsidR="00D34CC3">
        <w:rPr>
          <w:color w:val="000000"/>
        </w:rPr>
        <w:t xml:space="preserve">reporting information requirements for </w:t>
      </w:r>
      <w:r w:rsidR="009E304D">
        <w:rPr>
          <w:color w:val="000000"/>
        </w:rPr>
        <w:t xml:space="preserve">§ </w:t>
      </w:r>
      <w:r w:rsidR="005C3FF9" w:rsidRPr="008F0306">
        <w:rPr>
          <w:color w:val="000000"/>
        </w:rPr>
        <w:t>1140.30</w:t>
      </w:r>
      <w:r w:rsidR="009E304D">
        <w:rPr>
          <w:color w:val="000000"/>
        </w:rPr>
        <w:t>,</w:t>
      </w:r>
      <w:r w:rsidR="005C3FF9" w:rsidRPr="008F0306">
        <w:rPr>
          <w:color w:val="000000"/>
        </w:rPr>
        <w:t xml:space="preserve"> which directs persons to notify FDA if they intend to use a form of advertising that is not addressed in the </w:t>
      </w:r>
      <w:r>
        <w:rPr>
          <w:color w:val="000000"/>
        </w:rPr>
        <w:t>regulations</w:t>
      </w:r>
      <w:r w:rsidR="005C3FF9" w:rsidRPr="008F0306">
        <w:rPr>
          <w:color w:val="000000"/>
        </w:rPr>
        <w:t xml:space="preserve">. </w:t>
      </w:r>
      <w:r w:rsidR="002D4444">
        <w:rPr>
          <w:color w:val="000000"/>
        </w:rPr>
        <w:t xml:space="preserve"> </w:t>
      </w:r>
      <w:r w:rsidR="005C3FF9" w:rsidRPr="008F0306">
        <w:rPr>
          <w:color w:val="000000"/>
        </w:rPr>
        <w:t>The requirements are as follows:</w:t>
      </w:r>
    </w:p>
    <w:p w:rsidR="005C3FF9" w:rsidRPr="008F0306" w:rsidRDefault="005C3FF9" w:rsidP="005C3FF9">
      <w:pPr>
        <w:ind w:right="360"/>
        <w:rPr>
          <w:color w:val="000000"/>
        </w:rPr>
      </w:pPr>
    </w:p>
    <w:p w:rsidR="005C3FF9" w:rsidRPr="008F0306" w:rsidRDefault="005C3FF9" w:rsidP="005C3FF9">
      <w:pPr>
        <w:ind w:left="5040" w:right="360" w:hanging="5040"/>
        <w:rPr>
          <w:color w:val="000000"/>
        </w:rPr>
      </w:pPr>
    </w:p>
    <w:p w:rsidR="003A605B" w:rsidRDefault="005C3FF9" w:rsidP="003A605B">
      <w:pPr>
        <w:tabs>
          <w:tab w:val="left" w:pos="2880"/>
          <w:tab w:val="left" w:pos="5220"/>
        </w:tabs>
        <w:ind w:left="5040" w:right="360" w:hanging="5040"/>
        <w:rPr>
          <w:color w:val="000000"/>
        </w:rPr>
      </w:pPr>
      <w:r w:rsidRPr="008F0306">
        <w:rPr>
          <w:color w:val="000000"/>
        </w:rPr>
        <w:t>21 CFR 1140.30</w:t>
      </w:r>
      <w:r w:rsidR="003A605B">
        <w:rPr>
          <w:color w:val="000000"/>
        </w:rPr>
        <w:tab/>
      </w:r>
      <w:r w:rsidR="008F0306" w:rsidRPr="008F0306">
        <w:rPr>
          <w:color w:val="000000"/>
        </w:rPr>
        <w:t>Reporting</w:t>
      </w:r>
      <w:r w:rsidR="003A605B">
        <w:rPr>
          <w:color w:val="000000"/>
        </w:rPr>
        <w:tab/>
      </w:r>
      <w:r w:rsidRPr="008F0306">
        <w:rPr>
          <w:color w:val="000000"/>
        </w:rPr>
        <w:t>Directs persons to notify FDA if they intend to use a form of advertising that is not described in</w:t>
      </w:r>
      <w:r w:rsidR="0007248A">
        <w:rPr>
          <w:color w:val="000000"/>
        </w:rPr>
        <w:t xml:space="preserve"> </w:t>
      </w:r>
      <w:r w:rsidR="0007248A" w:rsidRPr="008F0306">
        <w:rPr>
          <w:color w:val="000000"/>
        </w:rPr>
        <w:t xml:space="preserve">§ </w:t>
      </w:r>
      <w:r w:rsidR="0007248A">
        <w:rPr>
          <w:color w:val="000000"/>
        </w:rPr>
        <w:t>1140.30(a)(1)</w:t>
      </w:r>
      <w:r w:rsidR="00AD3FB8">
        <w:rPr>
          <w:color w:val="000000"/>
        </w:rPr>
        <w:t>.</w:t>
      </w:r>
    </w:p>
    <w:p w:rsidR="005C3FF9" w:rsidRDefault="005C3FF9" w:rsidP="00196C2C">
      <w:pPr>
        <w:tabs>
          <w:tab w:val="left" w:pos="2880"/>
          <w:tab w:val="left" w:pos="5040"/>
        </w:tabs>
        <w:ind w:right="360"/>
        <w:rPr>
          <w:color w:val="000000"/>
        </w:rPr>
      </w:pPr>
    </w:p>
    <w:p w:rsidR="00B479FD" w:rsidRDefault="00B479FD" w:rsidP="005C3FF9">
      <w:pPr>
        <w:ind w:left="5040" w:right="360" w:hanging="5040"/>
        <w:rPr>
          <w:color w:val="000000"/>
        </w:rPr>
      </w:pPr>
    </w:p>
    <w:p w:rsidR="005C3FF9" w:rsidRPr="009213EC" w:rsidRDefault="005C3FF9" w:rsidP="005C3FF9">
      <w:pPr>
        <w:ind w:right="360"/>
        <w:rPr>
          <w:color w:val="000000"/>
          <w:u w:val="single"/>
        </w:rPr>
      </w:pPr>
      <w:r w:rsidRPr="008F0306">
        <w:rPr>
          <w:color w:val="000000"/>
        </w:rPr>
        <w:t>2.</w:t>
      </w:r>
      <w:r w:rsidR="00BC008F">
        <w:rPr>
          <w:color w:val="000000"/>
        </w:rPr>
        <w:t xml:space="preserve"> </w:t>
      </w:r>
      <w:r w:rsidR="003A605B">
        <w:rPr>
          <w:color w:val="000000"/>
        </w:rPr>
        <w:t xml:space="preserve"> </w:t>
      </w:r>
      <w:r w:rsidRPr="009213EC">
        <w:rPr>
          <w:color w:val="000000"/>
          <w:u w:val="single"/>
        </w:rPr>
        <w:t xml:space="preserve">Purpose </w:t>
      </w:r>
      <w:r w:rsidR="00AE4932" w:rsidRPr="009213EC">
        <w:rPr>
          <w:color w:val="000000"/>
          <w:u w:val="single"/>
        </w:rPr>
        <w:t xml:space="preserve">and Use of the </w:t>
      </w:r>
      <w:r w:rsidRPr="009213EC">
        <w:rPr>
          <w:color w:val="000000"/>
          <w:u w:val="single"/>
        </w:rPr>
        <w:t xml:space="preserve">Information Collection </w:t>
      </w:r>
    </w:p>
    <w:p w:rsidR="005C3FF9" w:rsidRPr="009213EC" w:rsidRDefault="005C3FF9" w:rsidP="005C3FF9">
      <w:pPr>
        <w:ind w:right="360"/>
        <w:rPr>
          <w:color w:val="000000"/>
          <w:u w:val="single"/>
        </w:rPr>
      </w:pPr>
    </w:p>
    <w:p w:rsidR="00CA0C35" w:rsidRDefault="005C3FF9" w:rsidP="00196C2C">
      <w:pPr>
        <w:ind w:right="360"/>
        <w:rPr>
          <w:color w:val="000000"/>
        </w:rPr>
      </w:pPr>
      <w:r w:rsidRPr="008F0306">
        <w:rPr>
          <w:color w:val="000000"/>
        </w:rPr>
        <w:t>Federal law direct</w:t>
      </w:r>
      <w:r w:rsidR="007878E9">
        <w:rPr>
          <w:color w:val="000000"/>
        </w:rPr>
        <w:t>ed</w:t>
      </w:r>
      <w:r w:rsidRPr="008F0306">
        <w:rPr>
          <w:color w:val="000000"/>
        </w:rPr>
        <w:t xml:space="preserve"> the </w:t>
      </w:r>
      <w:r w:rsidR="0007248A">
        <w:rPr>
          <w:color w:val="000000"/>
        </w:rPr>
        <w:t>A</w:t>
      </w:r>
      <w:r w:rsidRPr="008F0306">
        <w:rPr>
          <w:color w:val="000000"/>
        </w:rPr>
        <w:t xml:space="preserve">gency to reissue regulations pertaining to the sale and distribution of cigarettes and smokeless tobacco to protect children and adolescents. The </w:t>
      </w:r>
      <w:r w:rsidR="0007248A">
        <w:rPr>
          <w:color w:val="000000"/>
        </w:rPr>
        <w:t>A</w:t>
      </w:r>
      <w:r w:rsidRPr="008F0306">
        <w:rPr>
          <w:color w:val="000000"/>
        </w:rPr>
        <w:t>gency intends to use th</w:t>
      </w:r>
      <w:r w:rsidR="007878E9">
        <w:rPr>
          <w:color w:val="000000"/>
        </w:rPr>
        <w:t>e</w:t>
      </w:r>
      <w:r w:rsidRPr="008F0306">
        <w:rPr>
          <w:color w:val="000000"/>
        </w:rPr>
        <w:t xml:space="preserve"> information </w:t>
      </w:r>
      <w:r w:rsidR="007878E9">
        <w:rPr>
          <w:color w:val="000000"/>
        </w:rPr>
        <w:t xml:space="preserve">in this collection to </w:t>
      </w:r>
      <w:r w:rsidRPr="008F0306">
        <w:rPr>
          <w:color w:val="000000"/>
        </w:rPr>
        <w:t>determine whether a party is meeting its regulatory obligations.</w:t>
      </w:r>
      <w:r w:rsidR="003A605B">
        <w:rPr>
          <w:color w:val="000000"/>
        </w:rPr>
        <w:t xml:space="preserve"> </w:t>
      </w:r>
    </w:p>
    <w:p w:rsidR="00196C2C" w:rsidRDefault="00196C2C" w:rsidP="00196C2C">
      <w:pPr>
        <w:ind w:right="360"/>
        <w:rPr>
          <w:color w:val="000000"/>
        </w:rPr>
      </w:pPr>
    </w:p>
    <w:p w:rsidR="00CA0C35" w:rsidRPr="008F0306" w:rsidRDefault="00CA0C35" w:rsidP="005C3FF9">
      <w:pPr>
        <w:ind w:right="360"/>
        <w:rPr>
          <w:color w:val="000000"/>
        </w:rPr>
      </w:pPr>
      <w:r>
        <w:rPr>
          <w:color w:val="000000"/>
        </w:rPr>
        <w:t>Respondents to this collection of information are businesses or other for</w:t>
      </w:r>
      <w:r w:rsidR="0007248A">
        <w:rPr>
          <w:color w:val="000000"/>
        </w:rPr>
        <w:t>-</w:t>
      </w:r>
      <w:r>
        <w:rPr>
          <w:color w:val="000000"/>
        </w:rPr>
        <w:t>profit institutions who advertise the availability and sale of tobacco products.</w:t>
      </w:r>
    </w:p>
    <w:p w:rsidR="005C3FF9" w:rsidRPr="008F0306" w:rsidRDefault="005C3FF9" w:rsidP="005C3FF9">
      <w:pPr>
        <w:ind w:right="360"/>
        <w:rPr>
          <w:color w:val="000000"/>
        </w:rPr>
      </w:pPr>
    </w:p>
    <w:p w:rsidR="005C3FF9" w:rsidRDefault="005C3FF9" w:rsidP="005C3FF9">
      <w:pPr>
        <w:ind w:right="360"/>
        <w:rPr>
          <w:color w:val="000000"/>
        </w:rPr>
      </w:pPr>
      <w:r w:rsidRPr="008F0306">
        <w:rPr>
          <w:color w:val="000000"/>
        </w:rPr>
        <w:t xml:space="preserve">Section </w:t>
      </w:r>
      <w:r w:rsidR="00547E7E" w:rsidRPr="008F0306">
        <w:rPr>
          <w:color w:val="000000"/>
        </w:rPr>
        <w:t xml:space="preserve">1140.30 </w:t>
      </w:r>
      <w:r w:rsidR="00547E7E">
        <w:rPr>
          <w:color w:val="000000"/>
        </w:rPr>
        <w:t>is</w:t>
      </w:r>
      <w:r w:rsidRPr="008F0306">
        <w:rPr>
          <w:color w:val="000000"/>
        </w:rPr>
        <w:t xml:space="preserve"> intended to help protect children and adolescents by reducing the appeal of cigarettes and smokeless tobacco to them.</w:t>
      </w:r>
      <w:r w:rsidR="003A605B">
        <w:rPr>
          <w:color w:val="000000"/>
        </w:rPr>
        <w:t xml:space="preserve"> </w:t>
      </w:r>
      <w:r w:rsidRPr="008F0306">
        <w:rPr>
          <w:color w:val="000000"/>
        </w:rPr>
        <w:t xml:space="preserve"> Section 1140.30, in part, </w:t>
      </w:r>
      <w:r w:rsidRPr="008F0306">
        <w:rPr>
          <w:color w:val="000000"/>
        </w:rPr>
        <w:lastRenderedPageBreak/>
        <w:t xml:space="preserve">contains a comprehensive list of permissible forms of advertising and labeling; in the unlikely event that a person wishes to use a form of advertising or labeling that is not described in § 1140.30, the </w:t>
      </w:r>
      <w:r w:rsidR="008F4467">
        <w:rPr>
          <w:color w:val="000000"/>
        </w:rPr>
        <w:t xml:space="preserve">section </w:t>
      </w:r>
      <w:r w:rsidRPr="008F0306">
        <w:rPr>
          <w:color w:val="000000"/>
        </w:rPr>
        <w:t xml:space="preserve">directs </w:t>
      </w:r>
      <w:r w:rsidR="008F4467">
        <w:rPr>
          <w:color w:val="000000"/>
        </w:rPr>
        <w:t>respondents</w:t>
      </w:r>
      <w:r w:rsidRPr="008F0306">
        <w:rPr>
          <w:color w:val="000000"/>
        </w:rPr>
        <w:t xml:space="preserve"> to notify FDA </w:t>
      </w:r>
      <w:r w:rsidR="0007248A">
        <w:rPr>
          <w:color w:val="000000"/>
        </w:rPr>
        <w:t>o</w:t>
      </w:r>
      <w:r w:rsidRPr="008F0306">
        <w:rPr>
          <w:color w:val="000000"/>
        </w:rPr>
        <w:t xml:space="preserve">f </w:t>
      </w:r>
      <w:r w:rsidR="0007248A">
        <w:rPr>
          <w:color w:val="000000"/>
        </w:rPr>
        <w:t>the</w:t>
      </w:r>
      <w:r w:rsidRPr="008F0306">
        <w:rPr>
          <w:color w:val="000000"/>
        </w:rPr>
        <w:t xml:space="preserve"> form of advertising or labeling </w:t>
      </w:r>
      <w:r w:rsidR="0007248A">
        <w:rPr>
          <w:color w:val="000000"/>
        </w:rPr>
        <w:t>they intend to use</w:t>
      </w:r>
      <w:r w:rsidR="008F4467">
        <w:rPr>
          <w:color w:val="000000"/>
        </w:rPr>
        <w:t xml:space="preserve">.  </w:t>
      </w:r>
    </w:p>
    <w:p w:rsidR="00AD3FB8" w:rsidRDefault="00AD3FB8" w:rsidP="005C3FF9">
      <w:pPr>
        <w:ind w:right="360"/>
        <w:rPr>
          <w:color w:val="000000"/>
        </w:rPr>
      </w:pPr>
    </w:p>
    <w:p w:rsidR="00AD3FB8" w:rsidRPr="008F0306" w:rsidRDefault="00C23DC9" w:rsidP="005C3FF9">
      <w:pPr>
        <w:ind w:right="360"/>
        <w:rPr>
          <w:color w:val="000000"/>
        </w:rPr>
      </w:pPr>
      <w:r w:rsidRPr="00C23DC9">
        <w:rPr>
          <w:color w:val="000000"/>
        </w:rPr>
        <w:t>As</w:t>
      </w:r>
      <w:r>
        <w:rPr>
          <w:color w:val="000000"/>
        </w:rPr>
        <w:t xml:space="preserve"> noted in </w:t>
      </w:r>
      <w:r w:rsidRPr="00C23DC9">
        <w:rPr>
          <w:color w:val="000000"/>
        </w:rPr>
        <w:t>the FDA guidance entitled “Enforcement Pol</w:t>
      </w:r>
      <w:r w:rsidR="002D4444">
        <w:rPr>
          <w:color w:val="000000"/>
        </w:rPr>
        <w:t>i</w:t>
      </w:r>
      <w:r w:rsidRPr="00C23DC9">
        <w:rPr>
          <w:color w:val="000000"/>
        </w:rPr>
        <w:t xml:space="preserve">cy Concerning Certain Regulations Restricting the Sale and Distribution of Cigarettes and Smokeless Tobacco,” the </w:t>
      </w:r>
      <w:r w:rsidR="00DC1A03">
        <w:rPr>
          <w:color w:val="000000"/>
        </w:rPr>
        <w:t xml:space="preserve">recordkeeping and </w:t>
      </w:r>
      <w:r w:rsidRPr="00C23DC9">
        <w:rPr>
          <w:color w:val="000000"/>
        </w:rPr>
        <w:t xml:space="preserve">disclosure requirements under section 1140.32 are not being </w:t>
      </w:r>
      <w:r w:rsidR="006433E5">
        <w:rPr>
          <w:color w:val="000000"/>
        </w:rPr>
        <w:t>enforced</w:t>
      </w:r>
      <w:r w:rsidR="00AD3FB8">
        <w:rPr>
          <w:color w:val="000000"/>
        </w:rPr>
        <w:t xml:space="preserve">.  </w:t>
      </w:r>
    </w:p>
    <w:p w:rsidR="005C3FF9" w:rsidRPr="008F0306" w:rsidRDefault="005C3FF9" w:rsidP="005C3FF9">
      <w:pPr>
        <w:ind w:right="360"/>
        <w:rPr>
          <w:color w:val="000000"/>
        </w:rPr>
      </w:pPr>
    </w:p>
    <w:p w:rsidR="005C3FF9" w:rsidRPr="008F0306" w:rsidRDefault="005C3FF9" w:rsidP="005C3FF9">
      <w:pPr>
        <w:rPr>
          <w:color w:val="000000"/>
        </w:rPr>
      </w:pPr>
      <w:r w:rsidRPr="008F0306">
        <w:rPr>
          <w:color w:val="000000"/>
        </w:rPr>
        <w:t>3.</w:t>
      </w:r>
      <w:r w:rsidR="00BC008F">
        <w:rPr>
          <w:color w:val="000000"/>
        </w:rPr>
        <w:t xml:space="preserve"> </w:t>
      </w:r>
      <w:r w:rsidRPr="008F0306">
        <w:rPr>
          <w:color w:val="000000"/>
        </w:rPr>
        <w:t xml:space="preserve"> </w:t>
      </w:r>
      <w:r w:rsidRPr="009213EC">
        <w:rPr>
          <w:color w:val="000000"/>
          <w:u w:val="single"/>
        </w:rPr>
        <w:t xml:space="preserve">Use of Improved Information Technology </w:t>
      </w:r>
      <w:r w:rsidR="00146116" w:rsidRPr="009213EC">
        <w:rPr>
          <w:color w:val="000000"/>
          <w:u w:val="single"/>
        </w:rPr>
        <w:t>and Burden Reduction</w:t>
      </w:r>
    </w:p>
    <w:p w:rsidR="005C3FF9" w:rsidRPr="008F0306" w:rsidRDefault="005C3FF9" w:rsidP="005C3FF9">
      <w:pPr>
        <w:rPr>
          <w:color w:val="000000"/>
        </w:rPr>
      </w:pPr>
    </w:p>
    <w:p w:rsidR="005C3FF9" w:rsidRPr="008F0306" w:rsidRDefault="005C3FF9" w:rsidP="005C3FF9">
      <w:pPr>
        <w:rPr>
          <w:color w:val="000000"/>
        </w:rPr>
      </w:pPr>
      <w:r w:rsidRPr="008F0306">
        <w:rPr>
          <w:color w:val="000000"/>
        </w:rPr>
        <w:t xml:space="preserve">The </w:t>
      </w:r>
      <w:r w:rsidR="0007248A">
        <w:rPr>
          <w:color w:val="000000"/>
        </w:rPr>
        <w:t>A</w:t>
      </w:r>
      <w:r w:rsidRPr="008F0306">
        <w:rPr>
          <w:color w:val="000000"/>
        </w:rPr>
        <w:t>gency has considered the possible impact of improved information technology and</w:t>
      </w:r>
      <w:r w:rsidR="003A605B">
        <w:rPr>
          <w:color w:val="000000"/>
        </w:rPr>
        <w:t xml:space="preserve"> </w:t>
      </w:r>
      <w:r w:rsidRPr="008F0306">
        <w:rPr>
          <w:color w:val="000000"/>
        </w:rPr>
        <w:t>determined that although improved technology may not reduce the burden significantly</w:t>
      </w:r>
      <w:r w:rsidR="008F0306" w:rsidRPr="008F0306">
        <w:rPr>
          <w:color w:val="000000"/>
        </w:rPr>
        <w:t>,</w:t>
      </w:r>
      <w:r w:rsidRPr="008F0306">
        <w:rPr>
          <w:color w:val="000000"/>
        </w:rPr>
        <w:t xml:space="preserve"> electronic submission is available and may reduce some burden.</w:t>
      </w:r>
      <w:r w:rsidR="003A605B">
        <w:rPr>
          <w:color w:val="000000"/>
        </w:rPr>
        <w:t xml:space="preserve">  </w:t>
      </w:r>
      <w:r w:rsidRPr="008F0306">
        <w:rPr>
          <w:color w:val="000000"/>
        </w:rPr>
        <w:t>Based on information related to other FDA information collections, we expect that 80</w:t>
      </w:r>
      <w:r w:rsidR="00702B8C">
        <w:rPr>
          <w:color w:val="000000"/>
        </w:rPr>
        <w:t xml:space="preserve"> percent</w:t>
      </w:r>
      <w:r w:rsidRPr="008F0306">
        <w:rPr>
          <w:color w:val="000000"/>
        </w:rPr>
        <w:t xml:space="preserve"> of respondents would take advantage of electronic submission.</w:t>
      </w:r>
    </w:p>
    <w:p w:rsidR="005C3FF9" w:rsidRPr="008F0306" w:rsidRDefault="005C3FF9" w:rsidP="005C3FF9">
      <w:pPr>
        <w:rPr>
          <w:color w:val="000000"/>
        </w:rPr>
      </w:pPr>
    </w:p>
    <w:p w:rsidR="005C3FF9" w:rsidRPr="008F0306" w:rsidRDefault="00702B8C" w:rsidP="005C3FF9">
      <w:pPr>
        <w:rPr>
          <w:color w:val="000000"/>
        </w:rPr>
      </w:pPr>
      <w:r>
        <w:rPr>
          <w:color w:val="000000"/>
        </w:rPr>
        <w:t>In a</w:t>
      </w:r>
      <w:r w:rsidR="005C3FF9" w:rsidRPr="008F0306">
        <w:rPr>
          <w:color w:val="000000"/>
        </w:rPr>
        <w:t xml:space="preserve">ddition, the </w:t>
      </w:r>
      <w:r>
        <w:rPr>
          <w:color w:val="000000"/>
        </w:rPr>
        <w:t>A</w:t>
      </w:r>
      <w:r w:rsidR="005C3FF9" w:rsidRPr="008F0306">
        <w:rPr>
          <w:color w:val="000000"/>
        </w:rPr>
        <w:t xml:space="preserve">gency has regulations regarding electronic signatures and records </w:t>
      </w:r>
      <w:r>
        <w:rPr>
          <w:color w:val="000000"/>
        </w:rPr>
        <w:t>that</w:t>
      </w:r>
      <w:r w:rsidR="005C3FF9" w:rsidRPr="008F0306">
        <w:rPr>
          <w:color w:val="000000"/>
        </w:rPr>
        <w:t xml:space="preserve"> may ultimately facilitate submission of information and, consequently, reduce the burden under this rule.</w:t>
      </w:r>
    </w:p>
    <w:p w:rsidR="005C3FF9" w:rsidRPr="008F0306" w:rsidRDefault="005C3FF9" w:rsidP="005C3FF9">
      <w:pPr>
        <w:rPr>
          <w:color w:val="000000"/>
        </w:rPr>
      </w:pPr>
    </w:p>
    <w:p w:rsidR="005C3FF9" w:rsidRPr="008F0306" w:rsidRDefault="005C3FF9" w:rsidP="005C3FF9">
      <w:pPr>
        <w:rPr>
          <w:color w:val="000000"/>
        </w:rPr>
      </w:pPr>
      <w:r w:rsidRPr="008F0306">
        <w:rPr>
          <w:color w:val="000000"/>
        </w:rPr>
        <w:t xml:space="preserve">4. </w:t>
      </w:r>
      <w:r w:rsidR="00BC008F">
        <w:rPr>
          <w:color w:val="000000"/>
        </w:rPr>
        <w:t xml:space="preserve"> </w:t>
      </w:r>
      <w:r w:rsidRPr="009213EC">
        <w:rPr>
          <w:color w:val="000000"/>
          <w:u w:val="single"/>
        </w:rPr>
        <w:t xml:space="preserve">Efforts to Identify Duplication and </w:t>
      </w:r>
      <w:r w:rsidR="00052D14" w:rsidRPr="009213EC">
        <w:rPr>
          <w:color w:val="000000"/>
          <w:u w:val="single"/>
        </w:rPr>
        <w:t xml:space="preserve">Use of Similar </w:t>
      </w:r>
      <w:r w:rsidRPr="009213EC">
        <w:rPr>
          <w:color w:val="000000"/>
          <w:u w:val="single"/>
        </w:rPr>
        <w:t>Information</w:t>
      </w:r>
    </w:p>
    <w:p w:rsidR="005C3FF9" w:rsidRPr="008F0306" w:rsidRDefault="005C3FF9" w:rsidP="005C3FF9">
      <w:pPr>
        <w:rPr>
          <w:color w:val="000000"/>
        </w:rPr>
      </w:pPr>
    </w:p>
    <w:p w:rsidR="005C3FF9" w:rsidRPr="008F0306" w:rsidRDefault="005C3FF9" w:rsidP="005C3FF9">
      <w:pPr>
        <w:rPr>
          <w:color w:val="000000"/>
        </w:rPr>
      </w:pPr>
      <w:r w:rsidRPr="008F0306">
        <w:rPr>
          <w:color w:val="000000"/>
        </w:rPr>
        <w:t>Because of the unique nature of the information to be collected</w:t>
      </w:r>
      <w:r w:rsidR="006A68B4">
        <w:rPr>
          <w:color w:val="000000"/>
        </w:rPr>
        <w:t>,</w:t>
      </w:r>
      <w:r w:rsidRPr="008F0306">
        <w:rPr>
          <w:color w:val="000000"/>
        </w:rPr>
        <w:t xml:space="preserve"> duplication of information is unlikely. The information to be submitted is only generated by, in the possession of, or determined by the manufacturer and, in some cases, distributors and retailers.</w:t>
      </w:r>
    </w:p>
    <w:p w:rsidR="005C3FF9" w:rsidRPr="008F0306" w:rsidRDefault="005C3FF9" w:rsidP="005C3FF9">
      <w:pPr>
        <w:rPr>
          <w:color w:val="000000"/>
        </w:rPr>
      </w:pPr>
    </w:p>
    <w:p w:rsidR="005C3FF9" w:rsidRPr="008F0306" w:rsidRDefault="005C3FF9" w:rsidP="005C3FF9">
      <w:pPr>
        <w:rPr>
          <w:color w:val="000000"/>
        </w:rPr>
      </w:pPr>
      <w:r w:rsidRPr="008F0306">
        <w:rPr>
          <w:color w:val="000000"/>
        </w:rPr>
        <w:t xml:space="preserve">The </w:t>
      </w:r>
      <w:r w:rsidR="00702B8C">
        <w:rPr>
          <w:color w:val="000000"/>
        </w:rPr>
        <w:t>A</w:t>
      </w:r>
      <w:r w:rsidRPr="008F0306">
        <w:rPr>
          <w:color w:val="000000"/>
        </w:rPr>
        <w:t xml:space="preserve">gency examined </w:t>
      </w:r>
      <w:r w:rsidR="00CA0C35">
        <w:rPr>
          <w:color w:val="000000"/>
        </w:rPr>
        <w:t xml:space="preserve">other federal </w:t>
      </w:r>
      <w:r w:rsidRPr="008F0306">
        <w:rPr>
          <w:color w:val="000000"/>
        </w:rPr>
        <w:t>tobacco-related statutes and regulations implemented by the Department of Agriculture (USDA), the Department of Health and Human Services (DHHS), the Department of the Treasury (Bureau of Alcohol, Tobacco, and Firearms (BATF)), the Federal Trade Commission (FTC), and the General Services Administration (GSA).</w:t>
      </w:r>
      <w:r w:rsidR="003A605B">
        <w:rPr>
          <w:color w:val="000000"/>
        </w:rPr>
        <w:t xml:space="preserve"> </w:t>
      </w:r>
      <w:r w:rsidRPr="008F0306">
        <w:rPr>
          <w:color w:val="000000"/>
        </w:rPr>
        <w:t xml:space="preserve"> FDA used computer databases and libraries to identify and to study tobacco-related statutes and regulations, and, during the rulemaking, consulted staff at DHHS, BATF, and the FTC.</w:t>
      </w:r>
      <w:r w:rsidR="003A605B">
        <w:rPr>
          <w:color w:val="000000"/>
        </w:rPr>
        <w:t xml:space="preserve"> </w:t>
      </w:r>
      <w:r w:rsidRPr="008F0306">
        <w:rPr>
          <w:color w:val="000000"/>
        </w:rPr>
        <w:t xml:space="preserve"> FDA determined that the disclosure, reporting, and recordkeeping requirements described in this document are not duplicative of requirements in other statutes and regulations. </w:t>
      </w:r>
    </w:p>
    <w:p w:rsidR="005C3FF9" w:rsidRPr="008F0306" w:rsidRDefault="005C3FF9" w:rsidP="005C3FF9">
      <w:pPr>
        <w:rPr>
          <w:color w:val="000000"/>
        </w:rPr>
      </w:pPr>
    </w:p>
    <w:p w:rsidR="005C3FF9" w:rsidRDefault="005C3FF9" w:rsidP="005C3FF9">
      <w:pPr>
        <w:rPr>
          <w:color w:val="000000"/>
        </w:rPr>
      </w:pPr>
      <w:r w:rsidRPr="008F0306">
        <w:rPr>
          <w:color w:val="000000"/>
        </w:rPr>
        <w:t xml:space="preserve">For example, many USDA statutes and regulations concern tobacco classification and tobacco plants; BATF and Treasury statutes and regulations address tax issues and contraband cigarettes; FTC statutes and regulations involve warning statements on packages and advertising practices; and GSA statutes and regulations focus on cigarette and smokeless tobacco sales on federal property. </w:t>
      </w:r>
    </w:p>
    <w:p w:rsidR="00D80CD7" w:rsidRPr="008F0306" w:rsidRDefault="00D80CD7" w:rsidP="005C3FF9">
      <w:pPr>
        <w:rPr>
          <w:color w:val="000000"/>
        </w:rPr>
      </w:pPr>
    </w:p>
    <w:p w:rsidR="005C3FF9" w:rsidRPr="008F0306" w:rsidRDefault="005C3FF9" w:rsidP="005C3FF9">
      <w:pPr>
        <w:rPr>
          <w:color w:val="000000"/>
        </w:rPr>
      </w:pPr>
      <w:r w:rsidRPr="008F0306">
        <w:rPr>
          <w:color w:val="000000"/>
        </w:rPr>
        <w:lastRenderedPageBreak/>
        <w:t xml:space="preserve">The </w:t>
      </w:r>
      <w:r w:rsidR="00702B8C">
        <w:rPr>
          <w:color w:val="000000"/>
        </w:rPr>
        <w:t>A</w:t>
      </w:r>
      <w:r w:rsidRPr="008F0306">
        <w:rPr>
          <w:color w:val="000000"/>
        </w:rPr>
        <w:t>gency is also aware of regulations issued by the Substance Abuse and Mental Health Services Administration (SAMHSA).</w:t>
      </w:r>
      <w:r w:rsidR="003A605B">
        <w:rPr>
          <w:color w:val="000000"/>
        </w:rPr>
        <w:t xml:space="preserve"> </w:t>
      </w:r>
      <w:r w:rsidRPr="008F0306">
        <w:rPr>
          <w:color w:val="000000"/>
        </w:rPr>
        <w:t xml:space="preserve"> The SAMHSA rule concerns tobacco regulation for substance abuse prevention and treatment block grants and focuses on States and State efforts to reduce tobacco use by young people.</w:t>
      </w:r>
      <w:r w:rsidR="003A605B">
        <w:rPr>
          <w:color w:val="000000"/>
        </w:rPr>
        <w:t xml:space="preserve"> </w:t>
      </w:r>
      <w:r w:rsidRPr="008F0306">
        <w:rPr>
          <w:color w:val="000000"/>
        </w:rPr>
        <w:t xml:space="preserve"> In contrast, FDA’s rule focuses on manufacturers, distributors, and retailers.</w:t>
      </w:r>
      <w:r w:rsidR="003A605B">
        <w:rPr>
          <w:color w:val="000000"/>
        </w:rPr>
        <w:t xml:space="preserve"> </w:t>
      </w:r>
      <w:r w:rsidRPr="008F0306">
        <w:rPr>
          <w:color w:val="000000"/>
        </w:rPr>
        <w:t xml:space="preserve"> The SAMHSA rule reflects a statutory requirement that States have laws prohibiting the sale of tobacco products as a condition of receipt of certain grants and that States enforce those laws and meet certain negotiated rates of compliance</w:t>
      </w:r>
      <w:r w:rsidR="00270299">
        <w:rPr>
          <w:color w:val="000000"/>
        </w:rPr>
        <w:t>.</w:t>
      </w:r>
    </w:p>
    <w:p w:rsidR="005C3FF9" w:rsidRPr="008F0306" w:rsidRDefault="005C3FF9" w:rsidP="005C3FF9">
      <w:pPr>
        <w:rPr>
          <w:color w:val="000000"/>
        </w:rPr>
      </w:pPr>
    </w:p>
    <w:p w:rsidR="005C3FF9" w:rsidRPr="008F0306" w:rsidRDefault="005C3FF9" w:rsidP="005C3FF9">
      <w:pPr>
        <w:rPr>
          <w:color w:val="000000"/>
        </w:rPr>
      </w:pPr>
      <w:r w:rsidRPr="008F0306">
        <w:rPr>
          <w:color w:val="000000"/>
        </w:rPr>
        <w:t xml:space="preserve">5. </w:t>
      </w:r>
      <w:r w:rsidR="00BC008F">
        <w:rPr>
          <w:color w:val="000000"/>
        </w:rPr>
        <w:t xml:space="preserve"> </w:t>
      </w:r>
      <w:r w:rsidR="00D80CD7" w:rsidRPr="009213EC">
        <w:rPr>
          <w:color w:val="000000"/>
          <w:u w:val="single"/>
        </w:rPr>
        <w:t xml:space="preserve">Impact on </w:t>
      </w:r>
      <w:r w:rsidRPr="009213EC">
        <w:rPr>
          <w:color w:val="000000"/>
          <w:u w:val="single"/>
        </w:rPr>
        <w:t>Small Business</w:t>
      </w:r>
      <w:r w:rsidR="00D80CD7" w:rsidRPr="009213EC">
        <w:rPr>
          <w:color w:val="000000"/>
          <w:u w:val="single"/>
        </w:rPr>
        <w:t>es or Other Small Entities</w:t>
      </w:r>
    </w:p>
    <w:p w:rsidR="005C3FF9" w:rsidRPr="008F0306" w:rsidRDefault="005C3FF9" w:rsidP="005C3FF9">
      <w:pPr>
        <w:rPr>
          <w:color w:val="000000"/>
        </w:rPr>
      </w:pPr>
    </w:p>
    <w:p w:rsidR="005C3FF9" w:rsidRPr="008F0306" w:rsidRDefault="005C3FF9" w:rsidP="005C3FF9">
      <w:pPr>
        <w:rPr>
          <w:color w:val="000000"/>
        </w:rPr>
      </w:pPr>
      <w:r w:rsidRPr="008F0306">
        <w:rPr>
          <w:color w:val="000000"/>
        </w:rPr>
        <w:t>The disclosure, reporting, and recordkeeping requirements on small businesses should not be burdensome. The reporting requirements in § 1140.30 affect small businesses if they decide to use a form of advertising or labeling not specified in</w:t>
      </w:r>
      <w:r w:rsidR="003733AD">
        <w:rPr>
          <w:color w:val="000000"/>
        </w:rPr>
        <w:t xml:space="preserve"> </w:t>
      </w:r>
      <w:r w:rsidRPr="008F0306">
        <w:rPr>
          <w:color w:val="000000"/>
        </w:rPr>
        <w:t>§ 1140.30 or if they decide to advertise in an “adult” publication.</w:t>
      </w:r>
      <w:r w:rsidR="003A605B">
        <w:rPr>
          <w:color w:val="000000"/>
        </w:rPr>
        <w:t xml:space="preserve"> </w:t>
      </w:r>
      <w:r w:rsidRPr="008F0306">
        <w:rPr>
          <w:color w:val="000000"/>
        </w:rPr>
        <w:t xml:space="preserve"> The list of permitted forms of advertising and labeling in § 1140.30 is very comprehensive, so </w:t>
      </w:r>
      <w:r w:rsidR="00702B8C">
        <w:rPr>
          <w:color w:val="000000"/>
        </w:rPr>
        <w:t>FDA</w:t>
      </w:r>
      <w:r w:rsidRPr="008F0306">
        <w:rPr>
          <w:color w:val="000000"/>
        </w:rPr>
        <w:t xml:space="preserve"> does not anticipate that many small businesses will notify the </w:t>
      </w:r>
      <w:r w:rsidR="00702B8C">
        <w:rPr>
          <w:color w:val="000000"/>
        </w:rPr>
        <w:t>A</w:t>
      </w:r>
      <w:r w:rsidRPr="008F0306">
        <w:rPr>
          <w:color w:val="000000"/>
        </w:rPr>
        <w:t>gency of their intent to use a form of advertising or labeling that is not specified in § 1140.30.</w:t>
      </w:r>
      <w:r w:rsidR="00247D79">
        <w:rPr>
          <w:color w:val="000000"/>
        </w:rPr>
        <w:t xml:space="preserve"> </w:t>
      </w:r>
      <w:r w:rsidRPr="008F0306">
        <w:rPr>
          <w:color w:val="000000"/>
        </w:rPr>
        <w:t xml:space="preserve"> </w:t>
      </w:r>
    </w:p>
    <w:p w:rsidR="005C3FF9" w:rsidRPr="008F0306" w:rsidRDefault="005C3FF9" w:rsidP="005C3FF9">
      <w:pPr>
        <w:rPr>
          <w:color w:val="000000"/>
        </w:rPr>
      </w:pPr>
    </w:p>
    <w:p w:rsidR="005C3FF9" w:rsidRPr="008F0306" w:rsidRDefault="005C3FF9" w:rsidP="005C3FF9">
      <w:pPr>
        <w:rPr>
          <w:color w:val="000000"/>
        </w:rPr>
      </w:pPr>
      <w:r w:rsidRPr="008F0306">
        <w:rPr>
          <w:color w:val="000000"/>
        </w:rPr>
        <w:t>6.</w:t>
      </w:r>
      <w:r w:rsidR="00CA0C35">
        <w:rPr>
          <w:color w:val="000000"/>
        </w:rPr>
        <w:t xml:space="preserve"> </w:t>
      </w:r>
      <w:r w:rsidRPr="008F0306">
        <w:rPr>
          <w:color w:val="000000"/>
        </w:rPr>
        <w:t xml:space="preserve"> </w:t>
      </w:r>
      <w:r w:rsidRPr="009213EC">
        <w:rPr>
          <w:color w:val="000000"/>
          <w:u w:val="single"/>
        </w:rPr>
        <w:t xml:space="preserve">Consequences of </w:t>
      </w:r>
      <w:r w:rsidR="00D80CD7" w:rsidRPr="009213EC">
        <w:rPr>
          <w:color w:val="000000"/>
          <w:u w:val="single"/>
        </w:rPr>
        <w:t xml:space="preserve">Collecting the Information </w:t>
      </w:r>
      <w:r w:rsidRPr="009213EC">
        <w:rPr>
          <w:color w:val="000000"/>
          <w:u w:val="single"/>
        </w:rPr>
        <w:t>Less Frequent</w:t>
      </w:r>
      <w:r w:rsidR="00D80CD7" w:rsidRPr="009213EC">
        <w:rPr>
          <w:color w:val="000000"/>
          <w:u w:val="single"/>
        </w:rPr>
        <w:t>ly</w:t>
      </w:r>
      <w:r w:rsidR="00D80CD7">
        <w:rPr>
          <w:color w:val="000000"/>
        </w:rPr>
        <w:t xml:space="preserve"> </w:t>
      </w:r>
    </w:p>
    <w:p w:rsidR="005C3FF9" w:rsidRPr="008F0306" w:rsidRDefault="005C3FF9" w:rsidP="005C3FF9">
      <w:pPr>
        <w:rPr>
          <w:color w:val="000000"/>
        </w:rPr>
      </w:pPr>
    </w:p>
    <w:p w:rsidR="007A2A1C" w:rsidRDefault="005C3FF9" w:rsidP="005C3FF9">
      <w:pPr>
        <w:rPr>
          <w:color w:val="000000"/>
        </w:rPr>
      </w:pPr>
      <w:r w:rsidRPr="008F0306">
        <w:rPr>
          <w:color w:val="000000"/>
        </w:rPr>
        <w:t xml:space="preserve">The regulations reissued </w:t>
      </w:r>
      <w:r w:rsidR="002E5F63">
        <w:rPr>
          <w:color w:val="000000"/>
        </w:rPr>
        <w:t>under</w:t>
      </w:r>
      <w:r w:rsidRPr="008F0306">
        <w:rPr>
          <w:color w:val="000000"/>
        </w:rPr>
        <w:t xml:space="preserve"> the Tobacco Control Act require respondents to respond to the data collection occasionally; for example, if they need to provide notice of a different medium under § 1140.30. </w:t>
      </w:r>
      <w:r w:rsidR="00CA0C35">
        <w:rPr>
          <w:color w:val="000000"/>
        </w:rPr>
        <w:t xml:space="preserve"> The frequency of response depends on what type of advertising is used, its frequency, and the type of media used to display the advertising.</w:t>
      </w:r>
      <w:r w:rsidR="007A2A1C">
        <w:rPr>
          <w:color w:val="000000"/>
        </w:rPr>
        <w:t xml:space="preserve"> </w:t>
      </w:r>
    </w:p>
    <w:p w:rsidR="00723A3A" w:rsidRDefault="00CA0C35" w:rsidP="005C3FF9">
      <w:pPr>
        <w:rPr>
          <w:color w:val="000000"/>
        </w:rPr>
      </w:pPr>
      <w:r>
        <w:rPr>
          <w:color w:val="000000"/>
        </w:rPr>
        <w:t xml:space="preserve">If this information is collected less frequently, FDA will be unable to enforce advertising provisions under </w:t>
      </w:r>
      <w:r w:rsidR="002E5F63">
        <w:rPr>
          <w:color w:val="000000"/>
        </w:rPr>
        <w:t>s</w:t>
      </w:r>
      <w:r>
        <w:rPr>
          <w:color w:val="000000"/>
        </w:rPr>
        <w:t xml:space="preserve">ection 102 of the Tobacco Control Act </w:t>
      </w:r>
    </w:p>
    <w:p w:rsidR="00CA0C35" w:rsidRDefault="00CA0C35" w:rsidP="005C3FF9">
      <w:pPr>
        <w:rPr>
          <w:color w:val="000000"/>
        </w:rPr>
      </w:pPr>
    </w:p>
    <w:p w:rsidR="00723A3A" w:rsidRPr="008F0306" w:rsidRDefault="00723A3A" w:rsidP="005C3FF9">
      <w:pPr>
        <w:rPr>
          <w:color w:val="000000"/>
        </w:rPr>
      </w:pPr>
      <w:r>
        <w:rPr>
          <w:color w:val="000000"/>
        </w:rPr>
        <w:t>There are no legal obstacles to reduce the burden.</w:t>
      </w:r>
    </w:p>
    <w:p w:rsidR="005C3FF9" w:rsidRPr="008F0306" w:rsidRDefault="005C3FF9" w:rsidP="005C3FF9">
      <w:pPr>
        <w:rPr>
          <w:color w:val="000000"/>
        </w:rPr>
      </w:pPr>
    </w:p>
    <w:p w:rsidR="005C3FF9" w:rsidRPr="008F0306" w:rsidRDefault="005C3FF9" w:rsidP="005C3FF9">
      <w:pPr>
        <w:rPr>
          <w:color w:val="000000"/>
        </w:rPr>
      </w:pPr>
      <w:r w:rsidRPr="008F0306">
        <w:rPr>
          <w:color w:val="000000"/>
        </w:rPr>
        <w:t>7.</w:t>
      </w:r>
      <w:r w:rsidR="00CA0C35">
        <w:rPr>
          <w:color w:val="000000"/>
        </w:rPr>
        <w:t xml:space="preserve"> </w:t>
      </w:r>
      <w:r w:rsidRPr="008F0306">
        <w:rPr>
          <w:color w:val="000000"/>
        </w:rPr>
        <w:t xml:space="preserve"> </w:t>
      </w:r>
      <w:r w:rsidRPr="009213EC">
        <w:rPr>
          <w:color w:val="000000"/>
          <w:u w:val="single"/>
        </w:rPr>
        <w:t xml:space="preserve">Special Circumstances </w:t>
      </w:r>
      <w:r w:rsidR="00723A3A" w:rsidRPr="009213EC">
        <w:rPr>
          <w:color w:val="000000"/>
          <w:u w:val="single"/>
        </w:rPr>
        <w:t xml:space="preserve">Relating to the Guidelines </w:t>
      </w:r>
      <w:r w:rsidR="0034513F" w:rsidRPr="009213EC">
        <w:rPr>
          <w:color w:val="000000"/>
          <w:u w:val="single"/>
        </w:rPr>
        <w:t>of 5</w:t>
      </w:r>
      <w:r w:rsidRPr="009213EC">
        <w:rPr>
          <w:color w:val="000000"/>
          <w:u w:val="single"/>
        </w:rPr>
        <w:t xml:space="preserve"> CFR</w:t>
      </w:r>
      <w:r w:rsidRPr="009213EC">
        <w:rPr>
          <w:b/>
          <w:bCs/>
          <w:color w:val="000000"/>
          <w:u w:val="single"/>
        </w:rPr>
        <w:t xml:space="preserve"> </w:t>
      </w:r>
      <w:r w:rsidRPr="009213EC">
        <w:rPr>
          <w:color w:val="000000"/>
          <w:u w:val="single"/>
        </w:rPr>
        <w:t>1320.5</w:t>
      </w:r>
      <w:r w:rsidRPr="008F0306">
        <w:rPr>
          <w:color w:val="000000"/>
        </w:rPr>
        <w:t xml:space="preserve"> </w:t>
      </w:r>
    </w:p>
    <w:p w:rsidR="005C3FF9" w:rsidRPr="008F0306" w:rsidRDefault="005C3FF9" w:rsidP="005C3FF9">
      <w:pPr>
        <w:rPr>
          <w:color w:val="000000"/>
        </w:rPr>
      </w:pPr>
    </w:p>
    <w:p w:rsidR="005C3FF9" w:rsidRPr="008F0306" w:rsidRDefault="005C3FF9" w:rsidP="005C3FF9">
      <w:pPr>
        <w:rPr>
          <w:color w:val="000000"/>
        </w:rPr>
      </w:pPr>
      <w:r w:rsidRPr="008F0306">
        <w:rPr>
          <w:color w:val="000000"/>
        </w:rPr>
        <w:t>The collection methods are consistent with the guidelines of 5 CFR 1320.5.</w:t>
      </w:r>
      <w:r w:rsidR="00723A3A">
        <w:rPr>
          <w:color w:val="000000"/>
        </w:rPr>
        <w:t xml:space="preserve">  There are no special circumstances for this collection of information.</w:t>
      </w:r>
    </w:p>
    <w:p w:rsidR="005C3FF9" w:rsidRPr="008F0306" w:rsidRDefault="005C3FF9" w:rsidP="005C3FF9">
      <w:pPr>
        <w:rPr>
          <w:color w:val="000000"/>
        </w:rPr>
      </w:pPr>
    </w:p>
    <w:p w:rsidR="005C3FF9" w:rsidRPr="008F0306" w:rsidRDefault="005C3FF9" w:rsidP="005C3FF9">
      <w:pPr>
        <w:rPr>
          <w:color w:val="000000"/>
        </w:rPr>
      </w:pPr>
      <w:r w:rsidRPr="008F0306">
        <w:rPr>
          <w:color w:val="000000"/>
        </w:rPr>
        <w:t>8.</w:t>
      </w:r>
      <w:r w:rsidR="00BC008F">
        <w:rPr>
          <w:color w:val="000000"/>
        </w:rPr>
        <w:t xml:space="preserve"> </w:t>
      </w:r>
      <w:r w:rsidR="00CA0C35">
        <w:rPr>
          <w:color w:val="000000"/>
        </w:rPr>
        <w:t xml:space="preserve"> </w:t>
      </w:r>
      <w:r w:rsidR="00EE7628" w:rsidRPr="009213EC">
        <w:rPr>
          <w:color w:val="000000"/>
          <w:u w:val="single"/>
        </w:rPr>
        <w:t>Comments in Response to the F</w:t>
      </w:r>
      <w:r w:rsidR="00EE7628">
        <w:rPr>
          <w:color w:val="000000"/>
          <w:u w:val="single"/>
        </w:rPr>
        <w:t>e</w:t>
      </w:r>
      <w:r w:rsidR="00EE7628" w:rsidRPr="009213EC">
        <w:rPr>
          <w:color w:val="000000"/>
          <w:u w:val="single"/>
        </w:rPr>
        <w:t xml:space="preserve">deral Register Notice and </w:t>
      </w:r>
      <w:r w:rsidR="002E5F63">
        <w:rPr>
          <w:color w:val="000000"/>
          <w:u w:val="single"/>
        </w:rPr>
        <w:t>E</w:t>
      </w:r>
      <w:r w:rsidR="00EE7628" w:rsidRPr="009213EC">
        <w:rPr>
          <w:color w:val="000000"/>
          <w:u w:val="single"/>
        </w:rPr>
        <w:t xml:space="preserve">fforts to Consult Outside the Agency </w:t>
      </w:r>
    </w:p>
    <w:p w:rsidR="005C3FF9" w:rsidRPr="008F0306" w:rsidRDefault="005C3FF9" w:rsidP="005C3FF9">
      <w:pPr>
        <w:rPr>
          <w:color w:val="000000"/>
        </w:rPr>
      </w:pPr>
    </w:p>
    <w:p w:rsidR="007466EA" w:rsidRDefault="00BE2FE8" w:rsidP="00AB5A21">
      <w:pPr>
        <w:rPr>
          <w:iCs/>
          <w:color w:val="000000"/>
        </w:rPr>
      </w:pPr>
      <w:r w:rsidRPr="009213EC">
        <w:rPr>
          <w:iCs/>
          <w:color w:val="000000"/>
        </w:rPr>
        <w:t xml:space="preserve">In accordance with 5 CFR 1320.8(d), </w:t>
      </w:r>
      <w:r w:rsidR="00270299">
        <w:rPr>
          <w:iCs/>
          <w:color w:val="000000"/>
        </w:rPr>
        <w:t>F</w:t>
      </w:r>
      <w:r w:rsidRPr="009213EC">
        <w:rPr>
          <w:iCs/>
          <w:color w:val="000000"/>
        </w:rPr>
        <w:t>DA published a 60</w:t>
      </w:r>
      <w:r w:rsidR="002E5F63">
        <w:rPr>
          <w:iCs/>
          <w:color w:val="000000"/>
        </w:rPr>
        <w:t>-</w:t>
      </w:r>
      <w:r w:rsidRPr="009213EC">
        <w:rPr>
          <w:iCs/>
          <w:color w:val="000000"/>
        </w:rPr>
        <w:t xml:space="preserve">day notice for public comment in the </w:t>
      </w:r>
      <w:r w:rsidRPr="00916D11">
        <w:rPr>
          <w:i/>
          <w:iCs/>
          <w:color w:val="000000"/>
        </w:rPr>
        <w:t>Federal Register</w:t>
      </w:r>
      <w:r w:rsidRPr="009213EC">
        <w:rPr>
          <w:iCs/>
          <w:color w:val="000000"/>
        </w:rPr>
        <w:t xml:space="preserve"> of </w:t>
      </w:r>
      <w:r w:rsidR="007466EA">
        <w:rPr>
          <w:iCs/>
          <w:color w:val="000000"/>
        </w:rPr>
        <w:t>May 17</w:t>
      </w:r>
      <w:r w:rsidR="00AB5A21" w:rsidRPr="00AB5A21">
        <w:rPr>
          <w:iCs/>
          <w:color w:val="000000"/>
        </w:rPr>
        <w:t>, 201</w:t>
      </w:r>
      <w:r w:rsidR="007466EA">
        <w:rPr>
          <w:iCs/>
          <w:color w:val="000000"/>
        </w:rPr>
        <w:t>9</w:t>
      </w:r>
      <w:r w:rsidR="00AB5A21" w:rsidRPr="00AB5A21">
        <w:rPr>
          <w:iCs/>
          <w:color w:val="000000"/>
        </w:rPr>
        <w:t xml:space="preserve"> (8</w:t>
      </w:r>
      <w:r w:rsidR="007466EA">
        <w:rPr>
          <w:iCs/>
          <w:color w:val="000000"/>
        </w:rPr>
        <w:t>4</w:t>
      </w:r>
      <w:r w:rsidR="00AB5A21" w:rsidRPr="00AB5A21">
        <w:rPr>
          <w:iCs/>
          <w:color w:val="000000"/>
        </w:rPr>
        <w:t xml:space="preserve"> FR </w:t>
      </w:r>
      <w:r w:rsidR="007466EA">
        <w:rPr>
          <w:iCs/>
          <w:color w:val="000000"/>
        </w:rPr>
        <w:t>22496</w:t>
      </w:r>
      <w:r w:rsidR="00AB5A21" w:rsidRPr="00AB5A21">
        <w:rPr>
          <w:iCs/>
          <w:color w:val="000000"/>
        </w:rPr>
        <w:t>)</w:t>
      </w:r>
      <w:r w:rsidRPr="009213EC">
        <w:rPr>
          <w:iCs/>
          <w:color w:val="000000"/>
        </w:rPr>
        <w:t xml:space="preserve">. </w:t>
      </w:r>
      <w:r w:rsidR="007466EA">
        <w:rPr>
          <w:iCs/>
          <w:color w:val="000000"/>
        </w:rPr>
        <w:t xml:space="preserve"> </w:t>
      </w:r>
      <w:r w:rsidR="007466EA" w:rsidRPr="007466EA">
        <w:rPr>
          <w:iCs/>
          <w:color w:val="000000"/>
        </w:rPr>
        <w:t>One comment was received that was PRA related. The commenter stated that this program is ineffective and has no effect on whether Americans smoke. FDA disagrees, Section 1140.30 is intended to help protect children and adolescents by reducing the appeal of cigarettes and smokeless tobacco to them.  Section 1140.30, in part, contains a comprehensive list of permissible forms of advertising and labeling; in the unlikely event that a person wishes to use a form of advertising or labeling that is not described in § 1140.30, the section directs respondents to notify FDA of the form of advertising or labeling they intend to use.</w:t>
      </w:r>
    </w:p>
    <w:p w:rsidR="00CA0C35" w:rsidRDefault="00CA0C35" w:rsidP="005C3FF9">
      <w:pPr>
        <w:rPr>
          <w:iCs/>
          <w:color w:val="000000"/>
        </w:rPr>
      </w:pPr>
    </w:p>
    <w:p w:rsidR="005C3FF9" w:rsidRPr="009213EC" w:rsidRDefault="005C3FF9" w:rsidP="005C3FF9">
      <w:pPr>
        <w:rPr>
          <w:color w:val="000000"/>
          <w:u w:val="single"/>
        </w:rPr>
      </w:pPr>
      <w:r w:rsidRPr="008F0306">
        <w:rPr>
          <w:color w:val="000000"/>
        </w:rPr>
        <w:t>9.</w:t>
      </w:r>
      <w:r w:rsidR="00CA0C35">
        <w:rPr>
          <w:color w:val="000000"/>
        </w:rPr>
        <w:t xml:space="preserve"> </w:t>
      </w:r>
      <w:r w:rsidRPr="008F0306">
        <w:rPr>
          <w:color w:val="000000"/>
        </w:rPr>
        <w:t xml:space="preserve"> </w:t>
      </w:r>
      <w:r w:rsidR="00C219FA" w:rsidRPr="009213EC">
        <w:rPr>
          <w:color w:val="000000"/>
          <w:u w:val="single"/>
        </w:rPr>
        <w:t xml:space="preserve">Explanation of Any </w:t>
      </w:r>
      <w:r w:rsidRPr="009213EC">
        <w:rPr>
          <w:color w:val="000000"/>
          <w:u w:val="single"/>
        </w:rPr>
        <w:t>Payment or Gift</w:t>
      </w:r>
      <w:r w:rsidR="00C219FA" w:rsidRPr="009213EC">
        <w:rPr>
          <w:color w:val="000000"/>
          <w:u w:val="single"/>
        </w:rPr>
        <w:t xml:space="preserve"> to Respondents</w:t>
      </w:r>
    </w:p>
    <w:p w:rsidR="005C3FF9" w:rsidRPr="009213EC" w:rsidRDefault="005C3FF9" w:rsidP="005C3FF9">
      <w:pPr>
        <w:rPr>
          <w:color w:val="000000"/>
          <w:u w:val="single"/>
        </w:rPr>
      </w:pPr>
    </w:p>
    <w:p w:rsidR="005C3FF9" w:rsidRPr="008F0306" w:rsidRDefault="005C3FF9" w:rsidP="005C3FF9">
      <w:pPr>
        <w:rPr>
          <w:color w:val="000000"/>
        </w:rPr>
      </w:pPr>
      <w:r w:rsidRPr="008F0306">
        <w:rPr>
          <w:color w:val="000000"/>
        </w:rPr>
        <w:t>FDA did not provide any payment or gift to respondents.</w:t>
      </w:r>
    </w:p>
    <w:p w:rsidR="005C3FF9" w:rsidRPr="008F0306" w:rsidRDefault="005C3FF9" w:rsidP="005C3FF9">
      <w:pPr>
        <w:rPr>
          <w:color w:val="000000"/>
        </w:rPr>
      </w:pPr>
      <w:r w:rsidRPr="008F0306">
        <w:rPr>
          <w:color w:val="000000"/>
        </w:rPr>
        <w:t> </w:t>
      </w:r>
    </w:p>
    <w:p w:rsidR="005C3FF9" w:rsidRPr="008F0306" w:rsidRDefault="005C3FF9" w:rsidP="005C3FF9">
      <w:pPr>
        <w:rPr>
          <w:color w:val="000000"/>
        </w:rPr>
      </w:pPr>
      <w:r w:rsidRPr="008F0306">
        <w:rPr>
          <w:color w:val="000000"/>
        </w:rPr>
        <w:t>10.</w:t>
      </w:r>
      <w:r w:rsidR="00BC008F">
        <w:rPr>
          <w:color w:val="000000"/>
        </w:rPr>
        <w:t xml:space="preserve"> </w:t>
      </w:r>
      <w:r w:rsidRPr="008F0306">
        <w:rPr>
          <w:color w:val="000000"/>
        </w:rPr>
        <w:t xml:space="preserve"> </w:t>
      </w:r>
      <w:r w:rsidRPr="009213EC">
        <w:rPr>
          <w:color w:val="000000"/>
          <w:u w:val="single"/>
        </w:rPr>
        <w:t>Assurance of Confidentiality</w:t>
      </w:r>
      <w:r w:rsidR="00C219FA" w:rsidRPr="009213EC">
        <w:rPr>
          <w:color w:val="000000"/>
          <w:u w:val="single"/>
        </w:rPr>
        <w:t xml:space="preserve"> Provided to Respondents</w:t>
      </w:r>
    </w:p>
    <w:p w:rsidR="005C3FF9" w:rsidRPr="008F0306" w:rsidRDefault="005C3FF9" w:rsidP="005C3FF9">
      <w:pPr>
        <w:rPr>
          <w:color w:val="000000"/>
        </w:rPr>
      </w:pPr>
    </w:p>
    <w:p w:rsidR="005C3FF9" w:rsidRPr="008F0306" w:rsidRDefault="005C3FF9" w:rsidP="005C3FF9">
      <w:pPr>
        <w:rPr>
          <w:color w:val="000000"/>
        </w:rPr>
      </w:pPr>
      <w:r w:rsidRPr="008F0306">
        <w:rPr>
          <w:color w:val="000000"/>
        </w:rPr>
        <w:t xml:space="preserve">Section 101 of the Family Smoking Prevention and Tobacco Control Act protects certain information from disclosure (see Public Law 111-31, June 22, 2009).  </w:t>
      </w:r>
    </w:p>
    <w:p w:rsidR="00E560D8" w:rsidRDefault="00E560D8" w:rsidP="00E560D8">
      <w:pPr>
        <w:autoSpaceDE w:val="0"/>
        <w:autoSpaceDN w:val="0"/>
        <w:adjustRightInd w:val="0"/>
      </w:pPr>
      <w:r w:rsidRPr="00E560D8">
        <w:t xml:space="preserve">Information provided by respondents will be kept private and anonymous, except as otherwise required by law.  </w:t>
      </w:r>
    </w:p>
    <w:p w:rsidR="00E560D8" w:rsidRDefault="00E560D8" w:rsidP="00E560D8">
      <w:pPr>
        <w:autoSpaceDE w:val="0"/>
        <w:autoSpaceDN w:val="0"/>
        <w:adjustRightInd w:val="0"/>
      </w:pPr>
    </w:p>
    <w:p w:rsidR="00270299" w:rsidRDefault="005C3FF9" w:rsidP="005C3FF9">
      <w:pPr>
        <w:rPr>
          <w:color w:val="000000"/>
          <w:u w:val="single"/>
        </w:rPr>
      </w:pPr>
      <w:r w:rsidRPr="008F0306">
        <w:rPr>
          <w:color w:val="000000"/>
        </w:rPr>
        <w:t>11.</w:t>
      </w:r>
      <w:r w:rsidR="00BC008F">
        <w:rPr>
          <w:color w:val="000000"/>
        </w:rPr>
        <w:t xml:space="preserve"> </w:t>
      </w:r>
      <w:r w:rsidRPr="008F0306">
        <w:rPr>
          <w:color w:val="000000"/>
        </w:rPr>
        <w:t xml:space="preserve"> </w:t>
      </w:r>
      <w:r w:rsidR="00C219FA" w:rsidRPr="009213EC">
        <w:rPr>
          <w:color w:val="000000"/>
          <w:u w:val="single"/>
        </w:rPr>
        <w:t>Justification for Sensitive Questions</w:t>
      </w:r>
    </w:p>
    <w:p w:rsidR="00270299" w:rsidRDefault="00270299" w:rsidP="005C3FF9">
      <w:pPr>
        <w:rPr>
          <w:color w:val="000000"/>
          <w:u w:val="single"/>
        </w:rPr>
      </w:pPr>
    </w:p>
    <w:p w:rsidR="005C3FF9" w:rsidRPr="008F0306" w:rsidRDefault="005C3FF9" w:rsidP="005C3FF9">
      <w:pPr>
        <w:rPr>
          <w:color w:val="000000"/>
        </w:rPr>
      </w:pPr>
      <w:r w:rsidRPr="008F0306">
        <w:rPr>
          <w:color w:val="000000"/>
        </w:rPr>
        <w:t>No questions of a sensitive nature are asked.</w:t>
      </w:r>
    </w:p>
    <w:p w:rsidR="005C3FF9" w:rsidRPr="008F0306" w:rsidRDefault="005C3FF9" w:rsidP="005C3FF9">
      <w:pPr>
        <w:rPr>
          <w:color w:val="000000"/>
        </w:rPr>
      </w:pPr>
    </w:p>
    <w:p w:rsidR="005C3FF9" w:rsidRPr="008F0306" w:rsidRDefault="005C3FF9" w:rsidP="005C3FF9">
      <w:pPr>
        <w:rPr>
          <w:color w:val="000000"/>
        </w:rPr>
      </w:pPr>
      <w:r w:rsidRPr="008F0306">
        <w:rPr>
          <w:color w:val="000000"/>
        </w:rPr>
        <w:t>12.</w:t>
      </w:r>
      <w:r w:rsidR="00BC008F">
        <w:rPr>
          <w:color w:val="000000"/>
        </w:rPr>
        <w:t xml:space="preserve"> </w:t>
      </w:r>
      <w:r w:rsidRPr="008F0306">
        <w:rPr>
          <w:color w:val="000000"/>
        </w:rPr>
        <w:t xml:space="preserve"> </w:t>
      </w:r>
      <w:r w:rsidRPr="009213EC">
        <w:rPr>
          <w:color w:val="000000"/>
          <w:u w:val="single"/>
        </w:rPr>
        <w:t xml:space="preserve">Estimates of the Burden </w:t>
      </w:r>
      <w:r w:rsidR="00C219FA" w:rsidRPr="009213EC">
        <w:rPr>
          <w:color w:val="000000"/>
          <w:u w:val="single"/>
        </w:rPr>
        <w:t>Hours and Costs</w:t>
      </w:r>
    </w:p>
    <w:p w:rsidR="005C3FF9" w:rsidRPr="008F0306" w:rsidRDefault="005C3FF9" w:rsidP="005C3FF9">
      <w:pPr>
        <w:rPr>
          <w:color w:val="000000"/>
        </w:rPr>
      </w:pPr>
    </w:p>
    <w:p w:rsidR="00A94B7D" w:rsidRDefault="00A94B7D" w:rsidP="005C3FF9">
      <w:pPr>
        <w:rPr>
          <w:color w:val="000000"/>
        </w:rPr>
      </w:pPr>
    </w:p>
    <w:p w:rsidR="00A94B7D" w:rsidRPr="009213EC" w:rsidRDefault="00A94B7D" w:rsidP="005C3FF9">
      <w:pPr>
        <w:rPr>
          <w:color w:val="000000"/>
          <w:u w:val="single"/>
        </w:rPr>
      </w:pPr>
      <w:r w:rsidRPr="00916D11">
        <w:rPr>
          <w:color w:val="000000"/>
        </w:rPr>
        <w:t>12a</w:t>
      </w:r>
      <w:r w:rsidR="0034513F" w:rsidRPr="00916D11">
        <w:rPr>
          <w:color w:val="000000"/>
        </w:rPr>
        <w:t xml:space="preserve">. </w:t>
      </w:r>
      <w:r w:rsidR="0034513F" w:rsidRPr="009213EC">
        <w:rPr>
          <w:color w:val="000000"/>
          <w:u w:val="single"/>
        </w:rPr>
        <w:t>Annualized</w:t>
      </w:r>
      <w:r w:rsidRPr="009213EC">
        <w:rPr>
          <w:color w:val="000000"/>
          <w:u w:val="single"/>
        </w:rPr>
        <w:t xml:space="preserve"> Hour Burden Estimate</w:t>
      </w:r>
    </w:p>
    <w:p w:rsidR="00A94B7D" w:rsidRDefault="00A94B7D" w:rsidP="005C3FF9">
      <w:pPr>
        <w:rPr>
          <w:color w:val="000000"/>
        </w:rPr>
      </w:pPr>
    </w:p>
    <w:p w:rsidR="005C3FF9" w:rsidRPr="008F0306" w:rsidRDefault="00145C92" w:rsidP="005C3FF9">
      <w:pPr>
        <w:rPr>
          <w:color w:val="000000"/>
        </w:rPr>
      </w:pPr>
      <w:r w:rsidRPr="008F0306">
        <w:rPr>
          <w:color w:val="000000"/>
        </w:rPr>
        <w:t xml:space="preserve">The burden hour estimates for this rule </w:t>
      </w:r>
      <w:r w:rsidR="00BC008F">
        <w:rPr>
          <w:color w:val="000000"/>
        </w:rPr>
        <w:t>are</w:t>
      </w:r>
      <w:r w:rsidR="00BC008F" w:rsidRPr="008F0306">
        <w:rPr>
          <w:color w:val="000000"/>
        </w:rPr>
        <w:t xml:space="preserve"> </w:t>
      </w:r>
      <w:r w:rsidRPr="008F0306">
        <w:rPr>
          <w:color w:val="000000"/>
        </w:rPr>
        <w:t xml:space="preserve">based on industry-prepared data and information regarding pharmaceutical advertising and cigarette and smokeless tobacco product advertising expenditures. </w:t>
      </w:r>
      <w:r w:rsidR="005C3FF9" w:rsidRPr="008F0306">
        <w:rPr>
          <w:color w:val="000000"/>
        </w:rPr>
        <w:t xml:space="preserve"> The burden collection </w:t>
      </w:r>
      <w:r w:rsidR="00D34CC3">
        <w:rPr>
          <w:color w:val="000000"/>
        </w:rPr>
        <w:t xml:space="preserve">does not </w:t>
      </w:r>
      <w:r w:rsidR="00762C37">
        <w:rPr>
          <w:color w:val="000000"/>
        </w:rPr>
        <w:t xml:space="preserve">include </w:t>
      </w:r>
      <w:r w:rsidR="00762C37" w:rsidRPr="008F0306">
        <w:rPr>
          <w:color w:val="000000"/>
        </w:rPr>
        <w:t>reporting</w:t>
      </w:r>
      <w:r w:rsidR="005C3FF9" w:rsidRPr="008F0306">
        <w:rPr>
          <w:color w:val="000000"/>
        </w:rPr>
        <w:t xml:space="preserve"> burdens associated with providing established names on labels and statements of intended use because section 102 of the Tobacco Control Act required that these provisions be struck from the reissued final rule (previously included in </w:t>
      </w:r>
      <w:r w:rsidR="002E5F63">
        <w:rPr>
          <w:color w:val="000000"/>
        </w:rPr>
        <w:t>§§</w:t>
      </w:r>
      <w:r w:rsidR="005C3FF9" w:rsidRPr="008F0306">
        <w:rPr>
          <w:color w:val="000000"/>
        </w:rPr>
        <w:t xml:space="preserve"> 897.24 and 897.32(c)). </w:t>
      </w:r>
    </w:p>
    <w:p w:rsidR="005C3FF9" w:rsidRPr="008F0306" w:rsidRDefault="005C3FF9" w:rsidP="005C3FF9">
      <w:pPr>
        <w:rPr>
          <w:color w:val="000000"/>
        </w:rPr>
      </w:pPr>
    </w:p>
    <w:p w:rsidR="005C3FF9" w:rsidRPr="008F0306" w:rsidRDefault="005C3FF9" w:rsidP="005C3FF9">
      <w:pPr>
        <w:rPr>
          <w:color w:val="000000"/>
        </w:rPr>
      </w:pPr>
      <w:r w:rsidRPr="008F0306">
        <w:rPr>
          <w:color w:val="000000"/>
        </w:rPr>
        <w:t>Section 1140.30 requires manufacturers, distributors, and retailers to observe certain format and content requirements for labeling and advertising, and requires manufacturers, distributors, and retailers to notify FDA if they intend to use an advertising medium that is not listed in the regulations.</w:t>
      </w:r>
      <w:r w:rsidR="00BC008F">
        <w:rPr>
          <w:color w:val="000000"/>
        </w:rPr>
        <w:t xml:space="preserve"> </w:t>
      </w:r>
      <w:r w:rsidRPr="008F0306">
        <w:rPr>
          <w:color w:val="000000"/>
        </w:rPr>
        <w:t xml:space="preserve"> The concept of permitted advertising in § 1140.30 is sufficiently broad to encompass </w:t>
      </w:r>
      <w:r w:rsidR="00D34CC3">
        <w:rPr>
          <w:color w:val="000000"/>
        </w:rPr>
        <w:t>most</w:t>
      </w:r>
      <w:r w:rsidRPr="008F0306">
        <w:rPr>
          <w:color w:val="000000"/>
        </w:rPr>
        <w:t xml:space="preserve"> forms of advertising</w:t>
      </w:r>
      <w:r w:rsidR="00B479FD">
        <w:rPr>
          <w:color w:val="000000"/>
        </w:rPr>
        <w:t xml:space="preserve">.  FDA estimates that approximately 300 respondents will submit </w:t>
      </w:r>
      <w:r w:rsidR="00D34CC3">
        <w:rPr>
          <w:color w:val="000000"/>
        </w:rPr>
        <w:t xml:space="preserve">an </w:t>
      </w:r>
      <w:r w:rsidR="008F4467">
        <w:rPr>
          <w:color w:val="000000"/>
        </w:rPr>
        <w:t xml:space="preserve">annual </w:t>
      </w:r>
      <w:r w:rsidR="00B479FD">
        <w:rPr>
          <w:color w:val="000000"/>
        </w:rPr>
        <w:t xml:space="preserve">notice of alternative </w:t>
      </w:r>
      <w:r w:rsidR="008F4467">
        <w:rPr>
          <w:color w:val="000000"/>
        </w:rPr>
        <w:t>advertising</w:t>
      </w:r>
      <w:r w:rsidRPr="008F0306">
        <w:rPr>
          <w:color w:val="000000"/>
        </w:rPr>
        <w:t>,</w:t>
      </w:r>
      <w:r w:rsidR="008F4467">
        <w:rPr>
          <w:color w:val="000000"/>
        </w:rPr>
        <w:t xml:space="preserve"> and </w:t>
      </w:r>
      <w:r w:rsidRPr="008F0306">
        <w:rPr>
          <w:color w:val="000000"/>
        </w:rPr>
        <w:t xml:space="preserve">the </w:t>
      </w:r>
      <w:r w:rsidR="002E5F63">
        <w:rPr>
          <w:color w:val="000000"/>
        </w:rPr>
        <w:t>A</w:t>
      </w:r>
      <w:r w:rsidRPr="008F0306">
        <w:rPr>
          <w:color w:val="000000"/>
        </w:rPr>
        <w:t xml:space="preserve">gency has </w:t>
      </w:r>
      <w:r w:rsidR="009E25A8">
        <w:rPr>
          <w:color w:val="000000"/>
        </w:rPr>
        <w:t xml:space="preserve">estimated it should </w:t>
      </w:r>
      <w:r w:rsidR="00762C37">
        <w:rPr>
          <w:color w:val="000000"/>
        </w:rPr>
        <w:t xml:space="preserve">take </w:t>
      </w:r>
      <w:r w:rsidR="00762C37" w:rsidRPr="008F0306">
        <w:rPr>
          <w:color w:val="000000"/>
        </w:rPr>
        <w:t>1</w:t>
      </w:r>
      <w:r w:rsidRPr="008F0306">
        <w:rPr>
          <w:color w:val="000000"/>
        </w:rPr>
        <w:t xml:space="preserve"> hour </w:t>
      </w:r>
      <w:r w:rsidR="008F4467">
        <w:rPr>
          <w:color w:val="000000"/>
        </w:rPr>
        <w:t xml:space="preserve">to </w:t>
      </w:r>
      <w:r w:rsidRPr="008F0306">
        <w:rPr>
          <w:color w:val="000000"/>
        </w:rPr>
        <w:t>provide such notice</w:t>
      </w:r>
      <w:r w:rsidR="008F4467">
        <w:rPr>
          <w:color w:val="000000"/>
        </w:rPr>
        <w:t xml:space="preserve">.  </w:t>
      </w:r>
    </w:p>
    <w:p w:rsidR="005C3FF9" w:rsidRPr="008F0306" w:rsidRDefault="005C3FF9" w:rsidP="005C3FF9">
      <w:pPr>
        <w:rPr>
          <w:color w:val="000000"/>
        </w:rPr>
      </w:pPr>
    </w:p>
    <w:p w:rsidR="007B223C" w:rsidRDefault="005A78EF" w:rsidP="00CD5CFE">
      <w:pPr>
        <w:rPr>
          <w:color w:val="000000"/>
        </w:rPr>
      </w:pPr>
      <w:r w:rsidRPr="008F0306">
        <w:rPr>
          <w:color w:val="000000"/>
        </w:rPr>
        <w:t>FDA estimate</w:t>
      </w:r>
      <w:r>
        <w:rPr>
          <w:color w:val="000000"/>
        </w:rPr>
        <w:t>s</w:t>
      </w:r>
      <w:r w:rsidRPr="008F0306">
        <w:rPr>
          <w:color w:val="000000"/>
        </w:rPr>
        <w:t xml:space="preserve"> that the </w:t>
      </w:r>
      <w:r>
        <w:rPr>
          <w:color w:val="000000"/>
        </w:rPr>
        <w:t xml:space="preserve">total </w:t>
      </w:r>
      <w:r w:rsidRPr="008F0306">
        <w:rPr>
          <w:color w:val="000000"/>
        </w:rPr>
        <w:t xml:space="preserve">time required for </w:t>
      </w:r>
      <w:r>
        <w:rPr>
          <w:color w:val="000000"/>
        </w:rPr>
        <w:t xml:space="preserve">this collection of information is </w:t>
      </w:r>
      <w:r w:rsidR="0076514C">
        <w:rPr>
          <w:color w:val="000000"/>
        </w:rPr>
        <w:t>25</w:t>
      </w:r>
      <w:r w:rsidR="00CD5CFE">
        <w:rPr>
          <w:color w:val="000000"/>
        </w:rPr>
        <w:t xml:space="preserve"> </w:t>
      </w:r>
      <w:r>
        <w:rPr>
          <w:color w:val="000000"/>
        </w:rPr>
        <w:t>hours.</w:t>
      </w:r>
    </w:p>
    <w:p w:rsidR="005A78EF" w:rsidRDefault="005A78EF" w:rsidP="005B56E0">
      <w:pPr>
        <w:rPr>
          <w:color w:val="000000"/>
        </w:rPr>
      </w:pPr>
    </w:p>
    <w:p w:rsidR="000E4C1B" w:rsidRDefault="000E4C1B" w:rsidP="005C3FF9">
      <w:pPr>
        <w:ind w:right="-360"/>
        <w:jc w:val="center"/>
        <w:rPr>
          <w:color w:val="000000"/>
        </w:rPr>
      </w:pPr>
    </w:p>
    <w:p w:rsidR="000E4C1B" w:rsidRDefault="000E4C1B" w:rsidP="005C3FF9">
      <w:pPr>
        <w:ind w:right="-360"/>
        <w:jc w:val="center"/>
        <w:rPr>
          <w:color w:val="000000"/>
        </w:rPr>
      </w:pPr>
    </w:p>
    <w:p w:rsidR="000E4C1B" w:rsidRDefault="000E4C1B" w:rsidP="005C3FF9">
      <w:pPr>
        <w:ind w:right="-360"/>
        <w:jc w:val="center"/>
        <w:rPr>
          <w:color w:val="000000"/>
        </w:rPr>
      </w:pPr>
    </w:p>
    <w:p w:rsidR="000E4C1B" w:rsidRDefault="000E4C1B" w:rsidP="005C3FF9">
      <w:pPr>
        <w:ind w:right="-360"/>
        <w:jc w:val="center"/>
        <w:rPr>
          <w:color w:val="000000"/>
        </w:rPr>
      </w:pPr>
    </w:p>
    <w:p w:rsidR="000E4C1B" w:rsidRDefault="000E4C1B" w:rsidP="005C3FF9">
      <w:pPr>
        <w:ind w:right="-360"/>
        <w:jc w:val="center"/>
        <w:rPr>
          <w:color w:val="000000"/>
        </w:rPr>
      </w:pPr>
    </w:p>
    <w:p w:rsidR="000E4C1B" w:rsidRDefault="000E4C1B" w:rsidP="005C3FF9">
      <w:pPr>
        <w:ind w:right="-360"/>
        <w:jc w:val="center"/>
        <w:rPr>
          <w:color w:val="000000"/>
        </w:rPr>
      </w:pPr>
    </w:p>
    <w:p w:rsidR="005C3FF9" w:rsidRPr="008F0306" w:rsidRDefault="005C3FF9" w:rsidP="005C3FF9">
      <w:pPr>
        <w:ind w:right="-360"/>
        <w:jc w:val="center"/>
        <w:rPr>
          <w:color w:val="000000"/>
        </w:rPr>
      </w:pPr>
      <w:r w:rsidRPr="008F0306">
        <w:rPr>
          <w:color w:val="000000"/>
        </w:rPr>
        <w:t>Estimated Annual Reporting Burden</w:t>
      </w:r>
    </w:p>
    <w:p w:rsidR="005C3FF9" w:rsidRPr="008F0306" w:rsidRDefault="005C3FF9" w:rsidP="005C3FF9">
      <w:pPr>
        <w:ind w:right="-360"/>
        <w:rPr>
          <w:color w:val="000000"/>
        </w:rPr>
      </w:pPr>
    </w:p>
    <w:tbl>
      <w:tblPr>
        <w:tblW w:w="0" w:type="auto"/>
        <w:tblInd w:w="120" w:type="dxa"/>
        <w:tblCellMar>
          <w:left w:w="0" w:type="dxa"/>
          <w:right w:w="0" w:type="dxa"/>
        </w:tblCellMar>
        <w:tblLook w:val="0000" w:firstRow="0" w:lastRow="0" w:firstColumn="0" w:lastColumn="0" w:noHBand="0" w:noVBand="0"/>
      </w:tblPr>
      <w:tblGrid>
        <w:gridCol w:w="1736"/>
        <w:gridCol w:w="1467"/>
        <w:gridCol w:w="1445"/>
        <w:gridCol w:w="1320"/>
        <w:gridCol w:w="1416"/>
        <w:gridCol w:w="1376"/>
      </w:tblGrid>
      <w:tr w:rsidR="005C3FF9" w:rsidRPr="008F0306" w:rsidTr="00105E42">
        <w:tc>
          <w:tcPr>
            <w:tcW w:w="1736" w:type="dxa"/>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tcPr>
          <w:p w:rsidR="005C3FF9" w:rsidRPr="008F0306" w:rsidRDefault="005C3FF9" w:rsidP="005C3FF9">
            <w:pPr>
              <w:jc w:val="center"/>
              <w:rPr>
                <w:color w:val="000000"/>
              </w:rPr>
            </w:pPr>
            <w:r w:rsidRPr="008F0306">
              <w:rPr>
                <w:color w:val="000000"/>
              </w:rPr>
              <w:t>21 CFR</w:t>
            </w:r>
          </w:p>
          <w:p w:rsidR="005C3FF9" w:rsidRPr="008F0306" w:rsidRDefault="005C3FF9" w:rsidP="005C3FF9">
            <w:pPr>
              <w:spacing w:after="58"/>
              <w:jc w:val="center"/>
              <w:rPr>
                <w:color w:val="000000"/>
              </w:rPr>
            </w:pPr>
            <w:r w:rsidRPr="008F0306">
              <w:rPr>
                <w:color w:val="000000"/>
              </w:rPr>
              <w:t>Section</w:t>
            </w:r>
          </w:p>
        </w:tc>
        <w:tc>
          <w:tcPr>
            <w:tcW w:w="1467"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5C3FF9" w:rsidRPr="008F0306" w:rsidRDefault="005C3FF9" w:rsidP="005C3FF9">
            <w:pPr>
              <w:jc w:val="center"/>
              <w:rPr>
                <w:color w:val="000000"/>
              </w:rPr>
            </w:pPr>
            <w:r w:rsidRPr="008F0306">
              <w:rPr>
                <w:color w:val="000000"/>
              </w:rPr>
              <w:t xml:space="preserve">No. of </w:t>
            </w:r>
          </w:p>
          <w:p w:rsidR="005C3FF9" w:rsidRPr="008F0306" w:rsidRDefault="005C3FF9" w:rsidP="005C3FF9">
            <w:pPr>
              <w:spacing w:after="58"/>
              <w:jc w:val="center"/>
              <w:rPr>
                <w:color w:val="000000"/>
              </w:rPr>
            </w:pPr>
            <w:r w:rsidRPr="008F0306">
              <w:rPr>
                <w:color w:val="000000"/>
              </w:rPr>
              <w:t>Respondents</w:t>
            </w:r>
          </w:p>
        </w:tc>
        <w:tc>
          <w:tcPr>
            <w:tcW w:w="1445"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5C3FF9" w:rsidRPr="008F0306" w:rsidRDefault="005C3FF9" w:rsidP="005C3FF9">
            <w:pPr>
              <w:spacing w:after="58"/>
              <w:jc w:val="center"/>
              <w:rPr>
                <w:color w:val="000000"/>
              </w:rPr>
            </w:pPr>
            <w:r w:rsidRPr="008F0306">
              <w:rPr>
                <w:color w:val="000000"/>
              </w:rPr>
              <w:t>Annual Frequency per Response</w:t>
            </w:r>
          </w:p>
        </w:tc>
        <w:tc>
          <w:tcPr>
            <w:tcW w:w="1320"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5C3FF9" w:rsidRPr="008F0306" w:rsidRDefault="005C3FF9" w:rsidP="005C3FF9">
            <w:pPr>
              <w:spacing w:after="58"/>
              <w:jc w:val="center"/>
              <w:rPr>
                <w:color w:val="000000"/>
              </w:rPr>
            </w:pPr>
            <w:r w:rsidRPr="008F0306">
              <w:rPr>
                <w:color w:val="000000"/>
              </w:rPr>
              <w:t>Total Annual Responses</w:t>
            </w:r>
          </w:p>
        </w:tc>
        <w:tc>
          <w:tcPr>
            <w:tcW w:w="1416"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5C3FF9" w:rsidRPr="008F0306" w:rsidRDefault="005C3FF9" w:rsidP="005C3FF9">
            <w:pPr>
              <w:spacing w:after="58"/>
              <w:jc w:val="center"/>
              <w:rPr>
                <w:color w:val="000000"/>
              </w:rPr>
            </w:pPr>
            <w:r w:rsidRPr="008F0306">
              <w:rPr>
                <w:color w:val="000000"/>
              </w:rPr>
              <w:t>Hours per Response</w:t>
            </w:r>
          </w:p>
        </w:tc>
        <w:tc>
          <w:tcPr>
            <w:tcW w:w="1376"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5C3FF9" w:rsidRPr="008F0306" w:rsidRDefault="005C3FF9" w:rsidP="005C3FF9">
            <w:pPr>
              <w:jc w:val="center"/>
              <w:rPr>
                <w:color w:val="000000"/>
              </w:rPr>
            </w:pPr>
            <w:r w:rsidRPr="008F0306">
              <w:rPr>
                <w:color w:val="000000"/>
              </w:rPr>
              <w:t xml:space="preserve">Total </w:t>
            </w:r>
          </w:p>
          <w:p w:rsidR="005C3FF9" w:rsidRPr="008F0306" w:rsidRDefault="005C3FF9" w:rsidP="005C3FF9">
            <w:pPr>
              <w:spacing w:after="58"/>
              <w:jc w:val="center"/>
              <w:rPr>
                <w:color w:val="000000"/>
              </w:rPr>
            </w:pPr>
            <w:r w:rsidRPr="008F0306">
              <w:rPr>
                <w:color w:val="000000"/>
              </w:rPr>
              <w:t>Hours</w:t>
            </w:r>
          </w:p>
        </w:tc>
      </w:tr>
      <w:tr w:rsidR="005C3FF9" w:rsidRPr="008F0306" w:rsidTr="00102DEF">
        <w:tc>
          <w:tcPr>
            <w:tcW w:w="1736"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5C3FF9" w:rsidRPr="008F0306" w:rsidRDefault="005C3FF9" w:rsidP="005C3FF9">
            <w:pPr>
              <w:spacing w:after="58"/>
              <w:rPr>
                <w:color w:val="000000"/>
              </w:rPr>
            </w:pPr>
            <w:r w:rsidRPr="008F0306">
              <w:rPr>
                <w:color w:val="000000"/>
              </w:rPr>
              <w:t>1140.30</w:t>
            </w:r>
          </w:p>
          <w:p w:rsidR="005C3FF9" w:rsidRPr="008F0306" w:rsidRDefault="005C3FF9" w:rsidP="005C3FF9">
            <w:pPr>
              <w:spacing w:after="58"/>
              <w:rPr>
                <w:color w:val="000000"/>
              </w:rPr>
            </w:pPr>
            <w:r w:rsidRPr="008F0306">
              <w:rPr>
                <w:color w:val="000000"/>
              </w:rPr>
              <w:t>(Scope of permissible forms of labeling and advertising)</w:t>
            </w:r>
          </w:p>
        </w:tc>
        <w:tc>
          <w:tcPr>
            <w:tcW w:w="1467" w:type="dxa"/>
            <w:tcBorders>
              <w:top w:val="nil"/>
              <w:left w:val="nil"/>
              <w:bottom w:val="single" w:sz="8" w:space="0" w:color="000000"/>
              <w:right w:val="single" w:sz="8" w:space="0" w:color="000000"/>
            </w:tcBorders>
            <w:tcMar>
              <w:top w:w="0" w:type="dxa"/>
              <w:left w:w="120" w:type="dxa"/>
              <w:bottom w:w="0" w:type="dxa"/>
              <w:right w:w="120" w:type="dxa"/>
            </w:tcMar>
          </w:tcPr>
          <w:p w:rsidR="005C3FF9" w:rsidRPr="008F0306" w:rsidRDefault="00102DEF" w:rsidP="00102DEF">
            <w:pPr>
              <w:spacing w:after="58"/>
              <w:jc w:val="center"/>
              <w:rPr>
                <w:color w:val="000000"/>
              </w:rPr>
            </w:pPr>
            <w:r>
              <w:rPr>
                <w:color w:val="000000"/>
              </w:rPr>
              <w:t>25</w:t>
            </w:r>
          </w:p>
        </w:tc>
        <w:tc>
          <w:tcPr>
            <w:tcW w:w="1445" w:type="dxa"/>
            <w:tcBorders>
              <w:top w:val="nil"/>
              <w:left w:val="nil"/>
              <w:bottom w:val="single" w:sz="8" w:space="0" w:color="000000"/>
              <w:right w:val="single" w:sz="8" w:space="0" w:color="000000"/>
            </w:tcBorders>
            <w:tcMar>
              <w:top w:w="0" w:type="dxa"/>
              <w:left w:w="120" w:type="dxa"/>
              <w:bottom w:w="0" w:type="dxa"/>
              <w:right w:w="120" w:type="dxa"/>
            </w:tcMar>
          </w:tcPr>
          <w:p w:rsidR="005C3FF9" w:rsidRPr="008F0306" w:rsidRDefault="00102DEF" w:rsidP="00102DEF">
            <w:pPr>
              <w:spacing w:line="120" w:lineRule="atLeast"/>
              <w:jc w:val="center"/>
              <w:rPr>
                <w:color w:val="000000"/>
              </w:rPr>
            </w:pPr>
            <w:r>
              <w:rPr>
                <w:color w:val="000000"/>
              </w:rPr>
              <w:t>1</w:t>
            </w:r>
          </w:p>
          <w:p w:rsidR="005C3FF9" w:rsidRPr="008F0306" w:rsidRDefault="005C3FF9" w:rsidP="00102DEF">
            <w:pPr>
              <w:spacing w:after="58"/>
              <w:jc w:val="center"/>
              <w:rPr>
                <w:color w:val="000000"/>
              </w:rPr>
            </w:pPr>
          </w:p>
        </w:tc>
        <w:tc>
          <w:tcPr>
            <w:tcW w:w="1320" w:type="dxa"/>
            <w:tcBorders>
              <w:top w:val="nil"/>
              <w:left w:val="nil"/>
              <w:bottom w:val="single" w:sz="8" w:space="0" w:color="000000"/>
              <w:right w:val="single" w:sz="8" w:space="0" w:color="000000"/>
            </w:tcBorders>
            <w:tcMar>
              <w:top w:w="0" w:type="dxa"/>
              <w:left w:w="120" w:type="dxa"/>
              <w:bottom w:w="0" w:type="dxa"/>
              <w:right w:w="120" w:type="dxa"/>
            </w:tcMar>
          </w:tcPr>
          <w:p w:rsidR="005C3FF9" w:rsidRPr="008F0306" w:rsidRDefault="00102DEF" w:rsidP="00102DEF">
            <w:pPr>
              <w:spacing w:after="58"/>
              <w:jc w:val="center"/>
              <w:rPr>
                <w:color w:val="000000"/>
              </w:rPr>
            </w:pPr>
            <w:r>
              <w:rPr>
                <w:color w:val="000000"/>
              </w:rPr>
              <w:t>25</w:t>
            </w:r>
          </w:p>
        </w:tc>
        <w:tc>
          <w:tcPr>
            <w:tcW w:w="1416" w:type="dxa"/>
            <w:tcBorders>
              <w:top w:val="nil"/>
              <w:left w:val="nil"/>
              <w:bottom w:val="single" w:sz="8" w:space="0" w:color="000000"/>
              <w:right w:val="single" w:sz="8" w:space="0" w:color="000000"/>
            </w:tcBorders>
            <w:tcMar>
              <w:top w:w="0" w:type="dxa"/>
              <w:left w:w="120" w:type="dxa"/>
              <w:bottom w:w="0" w:type="dxa"/>
              <w:right w:w="120" w:type="dxa"/>
            </w:tcMar>
          </w:tcPr>
          <w:p w:rsidR="005C3FF9" w:rsidRPr="008F0306" w:rsidRDefault="00102DEF" w:rsidP="00102DEF">
            <w:pPr>
              <w:spacing w:after="58"/>
              <w:jc w:val="center"/>
              <w:rPr>
                <w:color w:val="000000"/>
              </w:rPr>
            </w:pPr>
            <w:r>
              <w:rPr>
                <w:color w:val="000000"/>
              </w:rPr>
              <w:t>1</w:t>
            </w:r>
          </w:p>
        </w:tc>
        <w:tc>
          <w:tcPr>
            <w:tcW w:w="1376" w:type="dxa"/>
            <w:tcBorders>
              <w:top w:val="nil"/>
              <w:left w:val="nil"/>
              <w:bottom w:val="single" w:sz="8" w:space="0" w:color="000000"/>
              <w:right w:val="single" w:sz="8" w:space="0" w:color="000000"/>
            </w:tcBorders>
            <w:tcMar>
              <w:top w:w="0" w:type="dxa"/>
              <w:left w:w="120" w:type="dxa"/>
              <w:bottom w:w="0" w:type="dxa"/>
              <w:right w:w="120" w:type="dxa"/>
            </w:tcMar>
          </w:tcPr>
          <w:p w:rsidR="005C3FF9" w:rsidRPr="008F0306" w:rsidRDefault="00102DEF" w:rsidP="00102DEF">
            <w:pPr>
              <w:spacing w:after="58"/>
              <w:jc w:val="center"/>
              <w:rPr>
                <w:color w:val="000000"/>
              </w:rPr>
            </w:pPr>
            <w:r>
              <w:rPr>
                <w:color w:val="000000"/>
              </w:rPr>
              <w:t>25</w:t>
            </w:r>
          </w:p>
        </w:tc>
      </w:tr>
      <w:tr w:rsidR="00105E42" w:rsidRPr="008F0306" w:rsidTr="00105E42">
        <w:trPr>
          <w:trHeight w:val="475"/>
        </w:trPr>
        <w:tc>
          <w:tcPr>
            <w:tcW w:w="7384" w:type="dxa"/>
            <w:gridSpan w:val="5"/>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105E42" w:rsidRPr="008F0306" w:rsidRDefault="00105E42" w:rsidP="005C3FF9">
            <w:pPr>
              <w:spacing w:after="58"/>
              <w:rPr>
                <w:color w:val="000000"/>
              </w:rPr>
            </w:pPr>
            <w:r w:rsidRPr="008F0306">
              <w:rPr>
                <w:color w:val="000000"/>
              </w:rPr>
              <w:t>Total</w:t>
            </w:r>
          </w:p>
        </w:tc>
        <w:tc>
          <w:tcPr>
            <w:tcW w:w="1376" w:type="dxa"/>
            <w:tcBorders>
              <w:top w:val="nil"/>
              <w:left w:val="nil"/>
              <w:bottom w:val="single" w:sz="8" w:space="0" w:color="000000"/>
              <w:right w:val="single" w:sz="8" w:space="0" w:color="000000"/>
            </w:tcBorders>
            <w:tcMar>
              <w:top w:w="0" w:type="dxa"/>
              <w:left w:w="120" w:type="dxa"/>
              <w:bottom w:w="0" w:type="dxa"/>
              <w:right w:w="120" w:type="dxa"/>
            </w:tcMar>
          </w:tcPr>
          <w:p w:rsidR="00105E42" w:rsidRPr="008F0306" w:rsidRDefault="007B4308" w:rsidP="00B31DD5">
            <w:pPr>
              <w:spacing w:after="58"/>
              <w:jc w:val="center"/>
              <w:rPr>
                <w:color w:val="000000"/>
              </w:rPr>
            </w:pPr>
            <w:r>
              <w:rPr>
                <w:color w:val="000000"/>
              </w:rPr>
              <w:t>25</w:t>
            </w:r>
          </w:p>
        </w:tc>
      </w:tr>
    </w:tbl>
    <w:p w:rsidR="002E5F63" w:rsidRPr="008F0306" w:rsidRDefault="002E5F63" w:rsidP="00196C2C">
      <w:pPr>
        <w:rPr>
          <w:color w:val="000000"/>
        </w:rPr>
      </w:pPr>
    </w:p>
    <w:p w:rsidR="005C3FF9" w:rsidRPr="008F0306" w:rsidRDefault="005C3FF9" w:rsidP="005C3FF9">
      <w:pPr>
        <w:rPr>
          <w:color w:val="000000"/>
        </w:rPr>
      </w:pPr>
    </w:p>
    <w:p w:rsidR="00A94B7D" w:rsidRPr="009213EC" w:rsidRDefault="00A94B7D" w:rsidP="005C3FF9">
      <w:pPr>
        <w:rPr>
          <w:color w:val="000000"/>
          <w:u w:val="single"/>
        </w:rPr>
      </w:pPr>
      <w:r w:rsidRPr="00916D11">
        <w:rPr>
          <w:color w:val="000000"/>
        </w:rPr>
        <w:t>12b</w:t>
      </w:r>
      <w:r w:rsidR="0034513F" w:rsidRPr="00916D11">
        <w:rPr>
          <w:color w:val="000000"/>
        </w:rPr>
        <w:t xml:space="preserve">. </w:t>
      </w:r>
      <w:r w:rsidR="0034513F" w:rsidRPr="009213EC">
        <w:rPr>
          <w:color w:val="000000"/>
          <w:u w:val="single"/>
        </w:rPr>
        <w:t>Annualized</w:t>
      </w:r>
      <w:r w:rsidRPr="009213EC">
        <w:rPr>
          <w:color w:val="000000"/>
          <w:u w:val="single"/>
        </w:rPr>
        <w:t xml:space="preserve"> Cost Burden Estimate</w:t>
      </w:r>
    </w:p>
    <w:p w:rsidR="007D6875" w:rsidRDefault="007D6875" w:rsidP="005C3FF9">
      <w:pPr>
        <w:rPr>
          <w:color w:val="000000"/>
        </w:rPr>
      </w:pPr>
    </w:p>
    <w:p w:rsidR="00C65933" w:rsidRDefault="00DE0F93" w:rsidP="00196C2C">
      <w:pPr>
        <w:rPr>
          <w:color w:val="000000"/>
        </w:rPr>
      </w:pPr>
      <w:r>
        <w:rPr>
          <w:color w:val="000000"/>
        </w:rPr>
        <w:t>The costs of this collection of information is $</w:t>
      </w:r>
      <w:r w:rsidR="00C65933">
        <w:rPr>
          <w:color w:val="000000"/>
        </w:rPr>
        <w:t>7,</w:t>
      </w:r>
      <w:r w:rsidR="00196C2C">
        <w:rPr>
          <w:color w:val="000000"/>
        </w:rPr>
        <w:t>989</w:t>
      </w:r>
      <w:r w:rsidR="00CD5CFE">
        <w:rPr>
          <w:color w:val="000000"/>
        </w:rPr>
        <w:t xml:space="preserve"> </w:t>
      </w:r>
      <w:r>
        <w:rPr>
          <w:color w:val="000000"/>
        </w:rPr>
        <w:t>(30</w:t>
      </w:r>
      <w:r w:rsidR="00CD5CFE">
        <w:rPr>
          <w:color w:val="000000"/>
        </w:rPr>
        <w:t>0</w:t>
      </w:r>
      <w:r>
        <w:rPr>
          <w:color w:val="000000"/>
        </w:rPr>
        <w:t xml:space="preserve"> hours x $26.</w:t>
      </w:r>
      <w:r w:rsidR="00196C2C">
        <w:rPr>
          <w:color w:val="000000"/>
        </w:rPr>
        <w:t>63</w:t>
      </w:r>
      <w:r w:rsidR="00C23863">
        <w:rPr>
          <w:color w:val="000000"/>
        </w:rPr>
        <w:t>)</w:t>
      </w:r>
      <w:r w:rsidR="007D6875">
        <w:rPr>
          <w:color w:val="000000"/>
        </w:rPr>
        <w:t>,</w:t>
      </w:r>
      <w:r w:rsidR="00C65933">
        <w:rPr>
          <w:color w:val="000000"/>
        </w:rPr>
        <w:t xml:space="preserve"> which is </w:t>
      </w:r>
      <w:r w:rsidR="0034513F">
        <w:rPr>
          <w:color w:val="000000"/>
        </w:rPr>
        <w:t xml:space="preserve">the </w:t>
      </w:r>
      <w:r w:rsidR="00C65933">
        <w:rPr>
          <w:color w:val="000000"/>
        </w:rPr>
        <w:t xml:space="preserve">seasonally adjusted average </w:t>
      </w:r>
      <w:r w:rsidR="00174688">
        <w:rPr>
          <w:color w:val="000000"/>
        </w:rPr>
        <w:t xml:space="preserve">Bureau of Labor and Statistics </w:t>
      </w:r>
      <w:r w:rsidR="00C65933">
        <w:rPr>
          <w:color w:val="000000"/>
        </w:rPr>
        <w:t>hourly and weekly earning wage.</w:t>
      </w:r>
    </w:p>
    <w:p w:rsidR="00C65933" w:rsidRDefault="00C65933" w:rsidP="005C3FF9">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C65933" w:rsidRPr="00F877CB" w:rsidTr="00F877CB">
        <w:tc>
          <w:tcPr>
            <w:tcW w:w="2214" w:type="dxa"/>
            <w:shd w:val="clear" w:color="auto" w:fill="auto"/>
          </w:tcPr>
          <w:p w:rsidR="00C65933" w:rsidRPr="00F877CB" w:rsidRDefault="00C65933" w:rsidP="005C3FF9">
            <w:pPr>
              <w:rPr>
                <w:color w:val="000000"/>
              </w:rPr>
            </w:pPr>
            <w:r w:rsidRPr="00F877CB">
              <w:rPr>
                <w:color w:val="000000"/>
              </w:rPr>
              <w:t>Respondent</w:t>
            </w:r>
          </w:p>
        </w:tc>
        <w:tc>
          <w:tcPr>
            <w:tcW w:w="2214" w:type="dxa"/>
            <w:shd w:val="clear" w:color="auto" w:fill="auto"/>
          </w:tcPr>
          <w:p w:rsidR="00C65933" w:rsidRPr="00F877CB" w:rsidRDefault="00C65933" w:rsidP="005C3FF9">
            <w:pPr>
              <w:rPr>
                <w:color w:val="000000"/>
              </w:rPr>
            </w:pPr>
            <w:r w:rsidRPr="00F877CB">
              <w:rPr>
                <w:color w:val="000000"/>
              </w:rPr>
              <w:t>Total Burden Hours</w:t>
            </w:r>
          </w:p>
        </w:tc>
        <w:tc>
          <w:tcPr>
            <w:tcW w:w="2214" w:type="dxa"/>
            <w:shd w:val="clear" w:color="auto" w:fill="auto"/>
          </w:tcPr>
          <w:p w:rsidR="00C65933" w:rsidRPr="00F877CB" w:rsidRDefault="00C65933" w:rsidP="005C3FF9">
            <w:pPr>
              <w:rPr>
                <w:color w:val="000000"/>
              </w:rPr>
            </w:pPr>
            <w:r w:rsidRPr="00F877CB">
              <w:rPr>
                <w:color w:val="000000"/>
              </w:rPr>
              <w:t>Hourly Wage Grade</w:t>
            </w:r>
          </w:p>
        </w:tc>
        <w:tc>
          <w:tcPr>
            <w:tcW w:w="2214" w:type="dxa"/>
            <w:shd w:val="clear" w:color="auto" w:fill="auto"/>
          </w:tcPr>
          <w:p w:rsidR="00C65933" w:rsidRPr="00F877CB" w:rsidRDefault="00C65933" w:rsidP="005C3FF9">
            <w:pPr>
              <w:rPr>
                <w:color w:val="000000"/>
              </w:rPr>
            </w:pPr>
            <w:r w:rsidRPr="00F877CB">
              <w:rPr>
                <w:color w:val="000000"/>
              </w:rPr>
              <w:t>Total Costs</w:t>
            </w:r>
          </w:p>
        </w:tc>
      </w:tr>
      <w:tr w:rsidR="00C65933" w:rsidRPr="00F877CB" w:rsidTr="00F877CB">
        <w:tc>
          <w:tcPr>
            <w:tcW w:w="2214" w:type="dxa"/>
            <w:shd w:val="clear" w:color="auto" w:fill="auto"/>
          </w:tcPr>
          <w:p w:rsidR="00C65933" w:rsidRPr="00F877CB" w:rsidRDefault="00C65933" w:rsidP="005C3FF9">
            <w:pPr>
              <w:rPr>
                <w:color w:val="000000"/>
              </w:rPr>
            </w:pPr>
            <w:r w:rsidRPr="00F877CB">
              <w:rPr>
                <w:color w:val="000000"/>
              </w:rPr>
              <w:t>Tobacco Industry</w:t>
            </w:r>
          </w:p>
        </w:tc>
        <w:tc>
          <w:tcPr>
            <w:tcW w:w="2214" w:type="dxa"/>
            <w:shd w:val="clear" w:color="auto" w:fill="auto"/>
          </w:tcPr>
          <w:p w:rsidR="00C65933" w:rsidRPr="00F877CB" w:rsidRDefault="007E6E90" w:rsidP="005C3FF9">
            <w:pPr>
              <w:rPr>
                <w:color w:val="000000"/>
              </w:rPr>
            </w:pPr>
            <w:r>
              <w:rPr>
                <w:color w:val="000000"/>
              </w:rPr>
              <w:t>25</w:t>
            </w:r>
          </w:p>
        </w:tc>
        <w:tc>
          <w:tcPr>
            <w:tcW w:w="2214" w:type="dxa"/>
            <w:shd w:val="clear" w:color="auto" w:fill="auto"/>
          </w:tcPr>
          <w:p w:rsidR="00C65933" w:rsidRPr="00F877CB" w:rsidRDefault="00C65933" w:rsidP="005C3FF9">
            <w:pPr>
              <w:rPr>
                <w:color w:val="000000"/>
              </w:rPr>
            </w:pPr>
            <w:r w:rsidRPr="00F877CB">
              <w:rPr>
                <w:color w:val="000000"/>
              </w:rPr>
              <w:t>$26.</w:t>
            </w:r>
            <w:r w:rsidR="00196C2C">
              <w:rPr>
                <w:color w:val="000000"/>
              </w:rPr>
              <w:t>63</w:t>
            </w:r>
          </w:p>
        </w:tc>
        <w:tc>
          <w:tcPr>
            <w:tcW w:w="2214" w:type="dxa"/>
            <w:shd w:val="clear" w:color="auto" w:fill="auto"/>
          </w:tcPr>
          <w:p w:rsidR="00C65933" w:rsidRPr="00F877CB" w:rsidRDefault="00C65933" w:rsidP="00CD5CFE">
            <w:pPr>
              <w:rPr>
                <w:color w:val="000000"/>
              </w:rPr>
            </w:pPr>
            <w:r w:rsidRPr="00F877CB">
              <w:rPr>
                <w:color w:val="000000"/>
              </w:rPr>
              <w:t>$</w:t>
            </w:r>
            <w:r w:rsidR="00E85423">
              <w:rPr>
                <w:color w:val="000000"/>
              </w:rPr>
              <w:t>665.75</w:t>
            </w:r>
          </w:p>
        </w:tc>
      </w:tr>
      <w:tr w:rsidR="00C65933" w:rsidRPr="00F877CB" w:rsidTr="00F877CB">
        <w:tc>
          <w:tcPr>
            <w:tcW w:w="6642" w:type="dxa"/>
            <w:gridSpan w:val="3"/>
            <w:shd w:val="clear" w:color="auto" w:fill="auto"/>
          </w:tcPr>
          <w:p w:rsidR="00C65933" w:rsidRPr="00F877CB" w:rsidRDefault="00C65933" w:rsidP="005C3FF9">
            <w:pPr>
              <w:rPr>
                <w:color w:val="000000"/>
              </w:rPr>
            </w:pPr>
            <w:r w:rsidRPr="00F877CB">
              <w:rPr>
                <w:color w:val="000000"/>
              </w:rPr>
              <w:t>Total</w:t>
            </w:r>
          </w:p>
        </w:tc>
        <w:tc>
          <w:tcPr>
            <w:tcW w:w="2214" w:type="dxa"/>
            <w:shd w:val="clear" w:color="auto" w:fill="auto"/>
          </w:tcPr>
          <w:p w:rsidR="00C65933" w:rsidRPr="00F877CB" w:rsidRDefault="00C65933" w:rsidP="00CD5CFE">
            <w:pPr>
              <w:rPr>
                <w:color w:val="000000"/>
              </w:rPr>
            </w:pPr>
            <w:r w:rsidRPr="00F877CB">
              <w:rPr>
                <w:color w:val="000000"/>
              </w:rPr>
              <w:t>$</w:t>
            </w:r>
            <w:r w:rsidR="00E85423">
              <w:rPr>
                <w:color w:val="000000"/>
              </w:rPr>
              <w:t>665.75</w:t>
            </w:r>
          </w:p>
        </w:tc>
      </w:tr>
    </w:tbl>
    <w:p w:rsidR="00C65933" w:rsidRDefault="00C65933" w:rsidP="005C3FF9">
      <w:pPr>
        <w:rPr>
          <w:color w:val="000000"/>
        </w:rPr>
      </w:pPr>
    </w:p>
    <w:p w:rsidR="00A94B7D" w:rsidRDefault="00A94B7D" w:rsidP="005C3FF9">
      <w:pPr>
        <w:rPr>
          <w:color w:val="000000"/>
          <w:u w:val="single"/>
        </w:rPr>
      </w:pPr>
      <w:r w:rsidRPr="00916D11">
        <w:rPr>
          <w:color w:val="000000"/>
        </w:rPr>
        <w:t xml:space="preserve">13.  </w:t>
      </w:r>
      <w:r w:rsidRPr="009213EC">
        <w:rPr>
          <w:color w:val="000000"/>
          <w:u w:val="single"/>
        </w:rPr>
        <w:t>Estimates of Other Total An</w:t>
      </w:r>
      <w:r w:rsidR="0034513F">
        <w:rPr>
          <w:color w:val="000000"/>
          <w:u w:val="single"/>
        </w:rPr>
        <w:t>n</w:t>
      </w:r>
      <w:r w:rsidRPr="009213EC">
        <w:rPr>
          <w:color w:val="000000"/>
          <w:u w:val="single"/>
        </w:rPr>
        <w:t>ual Costs to Respondents and/or Recordkeepers/Capital Costs</w:t>
      </w:r>
    </w:p>
    <w:p w:rsidR="00A94B7D" w:rsidRDefault="00A94B7D" w:rsidP="005C3FF9">
      <w:pPr>
        <w:rPr>
          <w:color w:val="000000"/>
          <w:u w:val="single"/>
        </w:rPr>
      </w:pPr>
    </w:p>
    <w:p w:rsidR="00E560D8" w:rsidRDefault="00A94B7D" w:rsidP="00E560D8">
      <w:pPr>
        <w:rPr>
          <w:color w:val="000000"/>
        </w:rPr>
      </w:pPr>
      <w:r w:rsidRPr="0034513F">
        <w:rPr>
          <w:color w:val="000000"/>
        </w:rPr>
        <w:t>There are no capital, start-up, operating</w:t>
      </w:r>
      <w:r w:rsidR="00B82D3E">
        <w:rPr>
          <w:color w:val="000000"/>
        </w:rPr>
        <w:t>,</w:t>
      </w:r>
      <w:r w:rsidRPr="0034513F">
        <w:rPr>
          <w:color w:val="000000"/>
        </w:rPr>
        <w:t xml:space="preserve"> or maintenance costs associated with this information collection.</w:t>
      </w:r>
      <w:r w:rsidR="00E560D8" w:rsidRPr="0034513F">
        <w:rPr>
          <w:color w:val="000000"/>
        </w:rPr>
        <w:t xml:space="preserve"> With respect to § 1140.30, the </w:t>
      </w:r>
      <w:r w:rsidR="00B82D3E">
        <w:rPr>
          <w:color w:val="000000"/>
        </w:rPr>
        <w:t>A</w:t>
      </w:r>
      <w:r w:rsidR="00E560D8" w:rsidRPr="0034513F">
        <w:rPr>
          <w:color w:val="000000"/>
        </w:rPr>
        <w:t xml:space="preserve">gency </w:t>
      </w:r>
      <w:r w:rsidR="00845C46" w:rsidRPr="0034513F">
        <w:rPr>
          <w:color w:val="000000"/>
        </w:rPr>
        <w:t>expects</w:t>
      </w:r>
      <w:r w:rsidR="00E560D8" w:rsidRPr="0034513F">
        <w:rPr>
          <w:color w:val="000000"/>
        </w:rPr>
        <w:t xml:space="preserve"> no estimated</w:t>
      </w:r>
      <w:r w:rsidR="00E560D8" w:rsidRPr="008F0306">
        <w:rPr>
          <w:color w:val="000000"/>
        </w:rPr>
        <w:t xml:space="preserve"> capital or annual costs.</w:t>
      </w:r>
      <w:r w:rsidR="00BC008F">
        <w:rPr>
          <w:color w:val="000000"/>
        </w:rPr>
        <w:t xml:space="preserve"> </w:t>
      </w:r>
      <w:r w:rsidR="00E560D8" w:rsidRPr="008F0306">
        <w:rPr>
          <w:color w:val="000000"/>
        </w:rPr>
        <w:t xml:space="preserve"> </w:t>
      </w:r>
      <w:r w:rsidR="00845C46">
        <w:rPr>
          <w:color w:val="000000"/>
        </w:rPr>
        <w:t>(</w:t>
      </w:r>
      <w:r w:rsidR="00E560D8" w:rsidRPr="008F0306">
        <w:rPr>
          <w:color w:val="000000"/>
        </w:rPr>
        <w:t xml:space="preserve">The provision provides for the possibility that a person may </w:t>
      </w:r>
      <w:r w:rsidR="00E560D8">
        <w:rPr>
          <w:color w:val="000000"/>
        </w:rPr>
        <w:t xml:space="preserve">seek to </w:t>
      </w:r>
      <w:r w:rsidR="00E560D8" w:rsidRPr="008F0306">
        <w:rPr>
          <w:color w:val="000000"/>
        </w:rPr>
        <w:t>use a form of advertising that is not listed in § 1140.30,</w:t>
      </w:r>
      <w:r w:rsidR="00E560D8">
        <w:rPr>
          <w:color w:val="000000"/>
        </w:rPr>
        <w:t xml:space="preserve"> and should notify</w:t>
      </w:r>
      <w:r w:rsidR="00E560D8" w:rsidRPr="008F0306">
        <w:rPr>
          <w:color w:val="000000"/>
        </w:rPr>
        <w:t xml:space="preserve"> FDA </w:t>
      </w:r>
      <w:r w:rsidR="00E560D8">
        <w:rPr>
          <w:color w:val="000000"/>
        </w:rPr>
        <w:t xml:space="preserve">if they intend to use a medium not mentioned </w:t>
      </w:r>
      <w:r w:rsidR="0034513F">
        <w:rPr>
          <w:color w:val="000000"/>
        </w:rPr>
        <w:t xml:space="preserve">in </w:t>
      </w:r>
      <w:r w:rsidR="0034513F" w:rsidRPr="008F0306">
        <w:rPr>
          <w:color w:val="000000"/>
        </w:rPr>
        <w:t>§</w:t>
      </w:r>
      <w:r w:rsidR="00E560D8" w:rsidRPr="008F0306">
        <w:rPr>
          <w:color w:val="000000"/>
        </w:rPr>
        <w:t xml:space="preserve"> 1140.30</w:t>
      </w:r>
      <w:r w:rsidR="00B82D3E">
        <w:rPr>
          <w:color w:val="000000"/>
        </w:rPr>
        <w:t>.</w:t>
      </w:r>
      <w:r w:rsidR="00845C46">
        <w:rPr>
          <w:color w:val="000000"/>
        </w:rPr>
        <w:t>)</w:t>
      </w:r>
      <w:r w:rsidR="00E560D8">
        <w:rPr>
          <w:color w:val="000000"/>
        </w:rPr>
        <w:t xml:space="preserve">  </w:t>
      </w:r>
      <w:r w:rsidR="00E560D8" w:rsidRPr="008F0306">
        <w:rPr>
          <w:color w:val="000000"/>
        </w:rPr>
        <w:t xml:space="preserve"> </w:t>
      </w:r>
    </w:p>
    <w:p w:rsidR="00E560D8" w:rsidRPr="008F0306" w:rsidRDefault="00E560D8" w:rsidP="00E560D8">
      <w:pPr>
        <w:rPr>
          <w:color w:val="000000"/>
        </w:rPr>
      </w:pPr>
    </w:p>
    <w:p w:rsidR="005C3FF9" w:rsidRDefault="005C3FF9" w:rsidP="005C3FF9">
      <w:pPr>
        <w:rPr>
          <w:color w:val="000000"/>
          <w:u w:val="single"/>
        </w:rPr>
      </w:pPr>
      <w:r w:rsidRPr="00916D11">
        <w:rPr>
          <w:color w:val="000000"/>
        </w:rPr>
        <w:t>14.</w:t>
      </w:r>
      <w:r w:rsidR="00BC008F" w:rsidRPr="00916D11">
        <w:rPr>
          <w:color w:val="000000"/>
        </w:rPr>
        <w:t xml:space="preserve"> </w:t>
      </w:r>
      <w:r w:rsidRPr="00916D11">
        <w:rPr>
          <w:color w:val="000000"/>
        </w:rPr>
        <w:t xml:space="preserve"> </w:t>
      </w:r>
      <w:r w:rsidR="00A94B7D" w:rsidRPr="009213EC">
        <w:rPr>
          <w:color w:val="000000"/>
          <w:u w:val="single"/>
        </w:rPr>
        <w:t xml:space="preserve">Annualized Cost to the Federal </w:t>
      </w:r>
      <w:r w:rsidR="00A94B7D">
        <w:rPr>
          <w:color w:val="000000"/>
          <w:u w:val="single"/>
        </w:rPr>
        <w:t>G</w:t>
      </w:r>
      <w:r w:rsidR="00A94B7D" w:rsidRPr="009213EC">
        <w:rPr>
          <w:color w:val="000000"/>
          <w:u w:val="single"/>
        </w:rPr>
        <w:t>overnment</w:t>
      </w:r>
    </w:p>
    <w:p w:rsidR="003C38A7" w:rsidRPr="008F0306" w:rsidRDefault="003C38A7" w:rsidP="005C3FF9">
      <w:pPr>
        <w:rPr>
          <w:color w:val="000000"/>
        </w:rPr>
      </w:pPr>
    </w:p>
    <w:p w:rsidR="005B56E0" w:rsidRDefault="005B56E0" w:rsidP="005C3FF9">
      <w:pPr>
        <w:rPr>
          <w:color w:val="000000"/>
        </w:rPr>
      </w:pPr>
      <w:r>
        <w:rPr>
          <w:color w:val="000000"/>
        </w:rPr>
        <w:t>The anticipated cost to government is the equivalent of one full</w:t>
      </w:r>
      <w:r w:rsidR="00B82D3E">
        <w:rPr>
          <w:color w:val="000000"/>
        </w:rPr>
        <w:t>-</w:t>
      </w:r>
      <w:r>
        <w:rPr>
          <w:color w:val="000000"/>
        </w:rPr>
        <w:t xml:space="preserve">time equivalent (FTE) employee to collect, process, and file the responses received related to </w:t>
      </w:r>
      <w:r w:rsidR="00B82D3E">
        <w:rPr>
          <w:color w:val="000000"/>
        </w:rPr>
        <w:t>§</w:t>
      </w:r>
      <w:r w:rsidR="00B82D3E" w:rsidRPr="008F0306">
        <w:rPr>
          <w:color w:val="000000"/>
        </w:rPr>
        <w:t xml:space="preserve"> </w:t>
      </w:r>
      <w:r>
        <w:rPr>
          <w:color w:val="000000"/>
        </w:rPr>
        <w:t>1140.30 for a total cost of $116,000</w:t>
      </w:r>
      <w:r w:rsidR="004C7D4E">
        <w:rPr>
          <w:color w:val="000000"/>
        </w:rPr>
        <w:t>.</w:t>
      </w:r>
    </w:p>
    <w:p w:rsidR="00F26773" w:rsidRDefault="00F26773" w:rsidP="005C3FF9">
      <w:pPr>
        <w:rPr>
          <w:color w:val="000000"/>
        </w:rPr>
      </w:pPr>
    </w:p>
    <w:p w:rsidR="005C3FF9" w:rsidRPr="008F0306" w:rsidRDefault="005C3FF9" w:rsidP="005C3FF9">
      <w:pPr>
        <w:rPr>
          <w:color w:val="000000"/>
        </w:rPr>
      </w:pPr>
      <w:r w:rsidRPr="008F0306">
        <w:rPr>
          <w:color w:val="000000"/>
        </w:rPr>
        <w:t>15.</w:t>
      </w:r>
      <w:r w:rsidR="00BC008F">
        <w:rPr>
          <w:color w:val="000000"/>
        </w:rPr>
        <w:t xml:space="preserve"> </w:t>
      </w:r>
      <w:r w:rsidRPr="008F0306">
        <w:rPr>
          <w:color w:val="000000"/>
        </w:rPr>
        <w:t xml:space="preserve"> </w:t>
      </w:r>
      <w:r w:rsidR="004C7D4E" w:rsidRPr="009213EC">
        <w:rPr>
          <w:color w:val="000000"/>
          <w:u w:val="single"/>
        </w:rPr>
        <w:t>Explanation for Program Changes or Adjustments</w:t>
      </w:r>
      <w:r w:rsidR="00C65933">
        <w:rPr>
          <w:color w:val="000000"/>
          <w:u w:val="single"/>
        </w:rPr>
        <w:t xml:space="preserve"> </w:t>
      </w:r>
    </w:p>
    <w:p w:rsidR="005C3FF9" w:rsidRPr="008F0306" w:rsidRDefault="005C3FF9" w:rsidP="005C3FF9">
      <w:pPr>
        <w:rPr>
          <w:color w:val="000000"/>
        </w:rPr>
      </w:pPr>
    </w:p>
    <w:p w:rsidR="00E23A10" w:rsidRDefault="0076514C" w:rsidP="005C3FF9">
      <w:pPr>
        <w:rPr>
          <w:color w:val="000000"/>
        </w:rPr>
      </w:pPr>
      <w:r w:rsidRPr="0076514C">
        <w:rPr>
          <w:color w:val="000000"/>
        </w:rPr>
        <w:t>We have adjusted our burden estimate to approximately 25 notifications annually, which more accurately reflects the current number of submissions under this regulation. This is a decrease to the currently approved burden. The decrease in notifications is not unexpected given that the regulation applies to cigarettes and smokeless tobacco and many of the alternative media notifications have been made in previous years</w:t>
      </w:r>
      <w:r w:rsidR="00CD5CFE">
        <w:rPr>
          <w:color w:val="000000"/>
        </w:rPr>
        <w:t>.</w:t>
      </w:r>
      <w:r w:rsidR="004540D4" w:rsidRPr="00293A52">
        <w:rPr>
          <w:color w:val="000000"/>
        </w:rPr>
        <w:t xml:space="preserve"> </w:t>
      </w:r>
    </w:p>
    <w:p w:rsidR="005C3FF9" w:rsidRPr="008F0306" w:rsidRDefault="005C3FF9" w:rsidP="005C3FF9">
      <w:pPr>
        <w:rPr>
          <w:color w:val="000000"/>
        </w:rPr>
      </w:pPr>
    </w:p>
    <w:p w:rsidR="005C3FF9" w:rsidRPr="008F0306" w:rsidRDefault="005C3FF9" w:rsidP="005C3FF9">
      <w:pPr>
        <w:rPr>
          <w:color w:val="000000"/>
        </w:rPr>
      </w:pPr>
      <w:r w:rsidRPr="008F0306">
        <w:rPr>
          <w:color w:val="000000"/>
        </w:rPr>
        <w:t>16.</w:t>
      </w:r>
      <w:r w:rsidR="00BC008F">
        <w:rPr>
          <w:color w:val="000000"/>
        </w:rPr>
        <w:t xml:space="preserve"> </w:t>
      </w:r>
      <w:r w:rsidRPr="008F0306">
        <w:rPr>
          <w:color w:val="000000"/>
        </w:rPr>
        <w:t xml:space="preserve"> </w:t>
      </w:r>
      <w:r w:rsidRPr="009213EC">
        <w:rPr>
          <w:color w:val="000000"/>
          <w:u w:val="single"/>
        </w:rPr>
        <w:t>Plans for</w:t>
      </w:r>
      <w:r w:rsidR="004C7D4E" w:rsidRPr="009213EC">
        <w:rPr>
          <w:color w:val="000000"/>
          <w:u w:val="single"/>
        </w:rPr>
        <w:t xml:space="preserve"> Tabulation and Publication and Project Time Schedule</w:t>
      </w:r>
    </w:p>
    <w:p w:rsidR="005C3FF9" w:rsidRPr="008F0306" w:rsidRDefault="005C3FF9" w:rsidP="005C3FF9">
      <w:pPr>
        <w:rPr>
          <w:color w:val="000000"/>
        </w:rPr>
      </w:pPr>
    </w:p>
    <w:p w:rsidR="005C3FF9" w:rsidRPr="008F0306" w:rsidRDefault="005C3FF9" w:rsidP="005C3FF9">
      <w:pPr>
        <w:rPr>
          <w:color w:val="000000"/>
        </w:rPr>
      </w:pPr>
      <w:r w:rsidRPr="008F0306">
        <w:rPr>
          <w:color w:val="000000"/>
        </w:rPr>
        <w:t xml:space="preserve">Information collected will not be used for statistical purposes. </w:t>
      </w:r>
    </w:p>
    <w:p w:rsidR="005C3FF9" w:rsidRPr="008F0306" w:rsidRDefault="005C3FF9" w:rsidP="005C3FF9">
      <w:pPr>
        <w:rPr>
          <w:color w:val="000000"/>
        </w:rPr>
      </w:pPr>
    </w:p>
    <w:p w:rsidR="003C38A7" w:rsidRDefault="005C3FF9" w:rsidP="005C3FF9">
      <w:pPr>
        <w:rPr>
          <w:color w:val="000000"/>
          <w:u w:val="single"/>
        </w:rPr>
      </w:pPr>
      <w:r w:rsidRPr="008F0306">
        <w:rPr>
          <w:color w:val="000000"/>
        </w:rPr>
        <w:t>17.</w:t>
      </w:r>
      <w:r w:rsidR="00BC008F">
        <w:rPr>
          <w:color w:val="000000"/>
        </w:rPr>
        <w:t xml:space="preserve"> </w:t>
      </w:r>
      <w:r w:rsidRPr="008F0306">
        <w:rPr>
          <w:color w:val="000000"/>
        </w:rPr>
        <w:t xml:space="preserve"> </w:t>
      </w:r>
      <w:r w:rsidR="004C7D4E" w:rsidRPr="009213EC">
        <w:rPr>
          <w:color w:val="000000"/>
          <w:u w:val="single"/>
        </w:rPr>
        <w:t>Reason Display of OMB Expiration Date is Inappropriate</w:t>
      </w:r>
      <w:r w:rsidR="004C7D4E">
        <w:rPr>
          <w:color w:val="000000"/>
          <w:u w:val="single"/>
        </w:rPr>
        <w:t xml:space="preserve"> </w:t>
      </w:r>
    </w:p>
    <w:p w:rsidR="003C38A7" w:rsidRDefault="003C38A7" w:rsidP="005C3FF9">
      <w:pPr>
        <w:rPr>
          <w:color w:val="000000"/>
          <w:u w:val="single"/>
        </w:rPr>
      </w:pPr>
    </w:p>
    <w:p w:rsidR="005C3FF9" w:rsidRPr="008F0306" w:rsidRDefault="005C3FF9" w:rsidP="005C3FF9">
      <w:pPr>
        <w:rPr>
          <w:color w:val="000000"/>
        </w:rPr>
      </w:pPr>
      <w:r w:rsidRPr="008F0306">
        <w:rPr>
          <w:color w:val="000000"/>
        </w:rPr>
        <w:t xml:space="preserve">The </w:t>
      </w:r>
      <w:r w:rsidR="00E23A10">
        <w:rPr>
          <w:color w:val="000000"/>
        </w:rPr>
        <w:t>A</w:t>
      </w:r>
      <w:r w:rsidRPr="008F0306">
        <w:rPr>
          <w:color w:val="000000"/>
        </w:rPr>
        <w:t xml:space="preserve">gency is not seeking approval to not display the expiration date </w:t>
      </w:r>
      <w:r w:rsidR="00084EF9">
        <w:rPr>
          <w:color w:val="000000"/>
        </w:rPr>
        <w:t>of</w:t>
      </w:r>
      <w:r w:rsidRPr="008F0306">
        <w:rPr>
          <w:color w:val="000000"/>
        </w:rPr>
        <w:t xml:space="preserve"> OMB approval </w:t>
      </w:r>
      <w:r w:rsidR="0034513F">
        <w:rPr>
          <w:color w:val="000000"/>
        </w:rPr>
        <w:t xml:space="preserve">for </w:t>
      </w:r>
      <w:r w:rsidR="0034513F" w:rsidRPr="008F0306">
        <w:rPr>
          <w:color w:val="000000"/>
        </w:rPr>
        <w:t>these</w:t>
      </w:r>
      <w:r w:rsidRPr="008F0306">
        <w:rPr>
          <w:color w:val="000000"/>
        </w:rPr>
        <w:t xml:space="preserve"> information collections.</w:t>
      </w:r>
    </w:p>
    <w:p w:rsidR="005C3FF9" w:rsidRPr="008F0306" w:rsidRDefault="005C3FF9" w:rsidP="005C3FF9">
      <w:pPr>
        <w:rPr>
          <w:color w:val="000000"/>
        </w:rPr>
      </w:pPr>
    </w:p>
    <w:p w:rsidR="005C3FF9" w:rsidRDefault="005C3FF9" w:rsidP="005C3FF9">
      <w:pPr>
        <w:rPr>
          <w:color w:val="000000"/>
          <w:u w:val="single"/>
        </w:rPr>
      </w:pPr>
      <w:r w:rsidRPr="008F0306">
        <w:rPr>
          <w:color w:val="000000"/>
        </w:rPr>
        <w:t>18.</w:t>
      </w:r>
      <w:r w:rsidR="00BC008F">
        <w:rPr>
          <w:color w:val="000000"/>
        </w:rPr>
        <w:t xml:space="preserve"> </w:t>
      </w:r>
      <w:r w:rsidRPr="008F0306">
        <w:rPr>
          <w:color w:val="000000"/>
        </w:rPr>
        <w:t xml:space="preserve"> </w:t>
      </w:r>
      <w:r w:rsidRPr="009213EC">
        <w:rPr>
          <w:color w:val="000000"/>
          <w:u w:val="single"/>
        </w:rPr>
        <w:t>Exception</w:t>
      </w:r>
      <w:r w:rsidR="00084EF9" w:rsidRPr="009213EC">
        <w:rPr>
          <w:color w:val="000000"/>
          <w:u w:val="single"/>
        </w:rPr>
        <w:t>s</w:t>
      </w:r>
      <w:r w:rsidRPr="009213EC">
        <w:rPr>
          <w:color w:val="000000"/>
          <w:u w:val="single"/>
        </w:rPr>
        <w:t xml:space="preserve"> </w:t>
      </w:r>
      <w:r w:rsidR="0034513F" w:rsidRPr="009213EC">
        <w:rPr>
          <w:color w:val="000000"/>
          <w:u w:val="single"/>
        </w:rPr>
        <w:t>to Certification</w:t>
      </w:r>
      <w:r w:rsidRPr="009213EC">
        <w:rPr>
          <w:color w:val="000000"/>
          <w:u w:val="single"/>
        </w:rPr>
        <w:t xml:space="preserve"> </w:t>
      </w:r>
      <w:r w:rsidR="00084EF9" w:rsidRPr="009213EC">
        <w:rPr>
          <w:color w:val="000000"/>
          <w:u w:val="single"/>
        </w:rPr>
        <w:t>for Paperwork Reduction Act Submissions</w:t>
      </w:r>
      <w:r w:rsidR="00084EF9">
        <w:rPr>
          <w:color w:val="000000"/>
          <w:u w:val="single"/>
        </w:rPr>
        <w:t xml:space="preserve"> </w:t>
      </w:r>
    </w:p>
    <w:p w:rsidR="003C38A7" w:rsidRPr="008F0306" w:rsidRDefault="003C38A7" w:rsidP="005C3FF9">
      <w:pPr>
        <w:rPr>
          <w:color w:val="000000"/>
        </w:rPr>
      </w:pPr>
    </w:p>
    <w:p w:rsidR="005C3FF9" w:rsidRPr="008F0306" w:rsidRDefault="00084EF9">
      <w:pPr>
        <w:rPr>
          <w:color w:val="000000"/>
        </w:rPr>
      </w:pPr>
      <w:r>
        <w:rPr>
          <w:color w:val="000000"/>
        </w:rPr>
        <w:t xml:space="preserve">There are no exceptions to the certification.  </w:t>
      </w:r>
    </w:p>
    <w:sectPr w:rsidR="005C3FF9" w:rsidRPr="008F030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088" w:rsidRDefault="00544088" w:rsidP="00E560D8">
      <w:r>
        <w:separator/>
      </w:r>
    </w:p>
  </w:endnote>
  <w:endnote w:type="continuationSeparator" w:id="0">
    <w:p w:rsidR="00544088" w:rsidRDefault="00544088" w:rsidP="00E56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7A0" w:rsidRDefault="006257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7A0" w:rsidRDefault="006257A0">
    <w:pPr>
      <w:pStyle w:val="Footer"/>
      <w:jc w:val="center"/>
    </w:pPr>
    <w:r>
      <w:fldChar w:fldCharType="begin"/>
    </w:r>
    <w:r>
      <w:instrText xml:space="preserve"> PAGE   \* MERGEFORMAT </w:instrText>
    </w:r>
    <w:r>
      <w:fldChar w:fldCharType="separate"/>
    </w:r>
    <w:r w:rsidR="00D138C7">
      <w:rPr>
        <w:noProof/>
      </w:rPr>
      <w:t>1</w:t>
    </w:r>
    <w:r>
      <w:rPr>
        <w:noProof/>
      </w:rPr>
      <w:fldChar w:fldCharType="end"/>
    </w:r>
  </w:p>
  <w:p w:rsidR="006257A0" w:rsidRDefault="006257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7A0" w:rsidRDefault="006257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088" w:rsidRDefault="00544088" w:rsidP="00E560D8">
      <w:r>
        <w:separator/>
      </w:r>
    </w:p>
  </w:footnote>
  <w:footnote w:type="continuationSeparator" w:id="0">
    <w:p w:rsidR="00544088" w:rsidRDefault="00544088" w:rsidP="00E56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7A0" w:rsidRDefault="006257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7A0" w:rsidRDefault="006257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7A0" w:rsidRDefault="006257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80A23"/>
    <w:multiLevelType w:val="hybridMultilevel"/>
    <w:tmpl w:val="0FF0C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FF9"/>
    <w:rsid w:val="00016FF4"/>
    <w:rsid w:val="00052D14"/>
    <w:rsid w:val="00065794"/>
    <w:rsid w:val="0007248A"/>
    <w:rsid w:val="00084EF9"/>
    <w:rsid w:val="000C47BE"/>
    <w:rsid w:val="000E4C1B"/>
    <w:rsid w:val="000E701B"/>
    <w:rsid w:val="000F12C4"/>
    <w:rsid w:val="000F27C2"/>
    <w:rsid w:val="000F6C4C"/>
    <w:rsid w:val="00102DEF"/>
    <w:rsid w:val="00105E42"/>
    <w:rsid w:val="00127D6D"/>
    <w:rsid w:val="00132F90"/>
    <w:rsid w:val="00145C92"/>
    <w:rsid w:val="00146116"/>
    <w:rsid w:val="00156CAF"/>
    <w:rsid w:val="00174688"/>
    <w:rsid w:val="00181B7D"/>
    <w:rsid w:val="00196C2C"/>
    <w:rsid w:val="001A1756"/>
    <w:rsid w:val="001A759C"/>
    <w:rsid w:val="00225425"/>
    <w:rsid w:val="00232585"/>
    <w:rsid w:val="00241CD0"/>
    <w:rsid w:val="00245CC5"/>
    <w:rsid w:val="00247D79"/>
    <w:rsid w:val="00270299"/>
    <w:rsid w:val="00293A52"/>
    <w:rsid w:val="002B52B6"/>
    <w:rsid w:val="002D4444"/>
    <w:rsid w:val="002E5F63"/>
    <w:rsid w:val="002F59E6"/>
    <w:rsid w:val="0030147D"/>
    <w:rsid w:val="00313DF0"/>
    <w:rsid w:val="00317544"/>
    <w:rsid w:val="0034513F"/>
    <w:rsid w:val="0035163D"/>
    <w:rsid w:val="00354641"/>
    <w:rsid w:val="003733AD"/>
    <w:rsid w:val="003A605B"/>
    <w:rsid w:val="003C38A7"/>
    <w:rsid w:val="003F4B8B"/>
    <w:rsid w:val="00447623"/>
    <w:rsid w:val="004540D4"/>
    <w:rsid w:val="0046500F"/>
    <w:rsid w:val="00490B85"/>
    <w:rsid w:val="004C7D4E"/>
    <w:rsid w:val="00533623"/>
    <w:rsid w:val="00544088"/>
    <w:rsid w:val="00547E7E"/>
    <w:rsid w:val="0057078C"/>
    <w:rsid w:val="00577879"/>
    <w:rsid w:val="005A2D24"/>
    <w:rsid w:val="005A78EF"/>
    <w:rsid w:val="005B56E0"/>
    <w:rsid w:val="005C3FF9"/>
    <w:rsid w:val="005E5EE1"/>
    <w:rsid w:val="006257A0"/>
    <w:rsid w:val="006433E5"/>
    <w:rsid w:val="00653CB3"/>
    <w:rsid w:val="00674FDD"/>
    <w:rsid w:val="00682895"/>
    <w:rsid w:val="0068532E"/>
    <w:rsid w:val="006A607D"/>
    <w:rsid w:val="006A68B4"/>
    <w:rsid w:val="00702B8C"/>
    <w:rsid w:val="00703462"/>
    <w:rsid w:val="00723A3A"/>
    <w:rsid w:val="00745DF7"/>
    <w:rsid w:val="007466EA"/>
    <w:rsid w:val="0075151E"/>
    <w:rsid w:val="00762C37"/>
    <w:rsid w:val="0076514C"/>
    <w:rsid w:val="007878E9"/>
    <w:rsid w:val="00797B6B"/>
    <w:rsid w:val="007A2A1C"/>
    <w:rsid w:val="007B223C"/>
    <w:rsid w:val="007B2CA9"/>
    <w:rsid w:val="007B4308"/>
    <w:rsid w:val="007D6875"/>
    <w:rsid w:val="007E6E90"/>
    <w:rsid w:val="007F3565"/>
    <w:rsid w:val="00804580"/>
    <w:rsid w:val="00831FAE"/>
    <w:rsid w:val="00845C46"/>
    <w:rsid w:val="00852FF3"/>
    <w:rsid w:val="008A5998"/>
    <w:rsid w:val="008B0DC2"/>
    <w:rsid w:val="008C50D8"/>
    <w:rsid w:val="008E35CF"/>
    <w:rsid w:val="008F0306"/>
    <w:rsid w:val="008F352C"/>
    <w:rsid w:val="008F4467"/>
    <w:rsid w:val="008F677A"/>
    <w:rsid w:val="00901814"/>
    <w:rsid w:val="00916D11"/>
    <w:rsid w:val="009178C7"/>
    <w:rsid w:val="009213EC"/>
    <w:rsid w:val="00965C93"/>
    <w:rsid w:val="009A665A"/>
    <w:rsid w:val="009B33D0"/>
    <w:rsid w:val="009E25A8"/>
    <w:rsid w:val="009E304D"/>
    <w:rsid w:val="009E6257"/>
    <w:rsid w:val="009F024B"/>
    <w:rsid w:val="00A67EBD"/>
    <w:rsid w:val="00A77300"/>
    <w:rsid w:val="00A94B7D"/>
    <w:rsid w:val="00AB2814"/>
    <w:rsid w:val="00AB5A21"/>
    <w:rsid w:val="00AD0ED2"/>
    <w:rsid w:val="00AD192F"/>
    <w:rsid w:val="00AD3FB8"/>
    <w:rsid w:val="00AE4932"/>
    <w:rsid w:val="00AF6934"/>
    <w:rsid w:val="00B14C01"/>
    <w:rsid w:val="00B22F1F"/>
    <w:rsid w:val="00B26954"/>
    <w:rsid w:val="00B31DD5"/>
    <w:rsid w:val="00B479FD"/>
    <w:rsid w:val="00B826A8"/>
    <w:rsid w:val="00B82D3E"/>
    <w:rsid w:val="00BC008F"/>
    <w:rsid w:val="00BE2FE8"/>
    <w:rsid w:val="00BE7260"/>
    <w:rsid w:val="00C219FA"/>
    <w:rsid w:val="00C23863"/>
    <w:rsid w:val="00C23DC9"/>
    <w:rsid w:val="00C65933"/>
    <w:rsid w:val="00C70107"/>
    <w:rsid w:val="00CA0C35"/>
    <w:rsid w:val="00CD5CFE"/>
    <w:rsid w:val="00CE4F42"/>
    <w:rsid w:val="00D138C7"/>
    <w:rsid w:val="00D34CC3"/>
    <w:rsid w:val="00D4083E"/>
    <w:rsid w:val="00D4553A"/>
    <w:rsid w:val="00D53D71"/>
    <w:rsid w:val="00D61173"/>
    <w:rsid w:val="00D80CD7"/>
    <w:rsid w:val="00DC1A03"/>
    <w:rsid w:val="00DC6D79"/>
    <w:rsid w:val="00DE0F93"/>
    <w:rsid w:val="00DF7D71"/>
    <w:rsid w:val="00E153C0"/>
    <w:rsid w:val="00E238F5"/>
    <w:rsid w:val="00E23A10"/>
    <w:rsid w:val="00E27AA4"/>
    <w:rsid w:val="00E33E83"/>
    <w:rsid w:val="00E560D8"/>
    <w:rsid w:val="00E72F6D"/>
    <w:rsid w:val="00E85423"/>
    <w:rsid w:val="00EA4FD9"/>
    <w:rsid w:val="00ED76B1"/>
    <w:rsid w:val="00EE7628"/>
    <w:rsid w:val="00F26773"/>
    <w:rsid w:val="00F877CB"/>
    <w:rsid w:val="00F93250"/>
    <w:rsid w:val="00FB04A8"/>
    <w:rsid w:val="00FD48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2B52B6"/>
    <w:rPr>
      <w:sz w:val="16"/>
      <w:szCs w:val="16"/>
    </w:rPr>
  </w:style>
  <w:style w:type="paragraph" w:styleId="CommentText">
    <w:name w:val="annotation text"/>
    <w:basedOn w:val="Normal"/>
    <w:link w:val="CommentTextChar"/>
    <w:rsid w:val="002B52B6"/>
    <w:rPr>
      <w:sz w:val="20"/>
      <w:szCs w:val="20"/>
    </w:rPr>
  </w:style>
  <w:style w:type="character" w:customStyle="1" w:styleId="CommentTextChar">
    <w:name w:val="Comment Text Char"/>
    <w:basedOn w:val="DefaultParagraphFont"/>
    <w:link w:val="CommentText"/>
    <w:rsid w:val="002B52B6"/>
  </w:style>
  <w:style w:type="paragraph" w:styleId="CommentSubject">
    <w:name w:val="annotation subject"/>
    <w:basedOn w:val="CommentText"/>
    <w:next w:val="CommentText"/>
    <w:link w:val="CommentSubjectChar"/>
    <w:rsid w:val="002B52B6"/>
    <w:rPr>
      <w:b/>
      <w:bCs/>
    </w:rPr>
  </w:style>
  <w:style w:type="character" w:customStyle="1" w:styleId="CommentSubjectChar">
    <w:name w:val="Comment Subject Char"/>
    <w:link w:val="CommentSubject"/>
    <w:rsid w:val="002B52B6"/>
    <w:rPr>
      <w:b/>
      <w:bCs/>
    </w:rPr>
  </w:style>
  <w:style w:type="paragraph" w:styleId="BalloonText">
    <w:name w:val="Balloon Text"/>
    <w:basedOn w:val="Normal"/>
    <w:link w:val="BalloonTextChar"/>
    <w:rsid w:val="002B52B6"/>
    <w:rPr>
      <w:rFonts w:ascii="Tahoma" w:hAnsi="Tahoma" w:cs="Tahoma"/>
      <w:sz w:val="16"/>
      <w:szCs w:val="16"/>
    </w:rPr>
  </w:style>
  <w:style w:type="character" w:customStyle="1" w:styleId="BalloonTextChar">
    <w:name w:val="Balloon Text Char"/>
    <w:link w:val="BalloonText"/>
    <w:rsid w:val="002B52B6"/>
    <w:rPr>
      <w:rFonts w:ascii="Tahoma" w:hAnsi="Tahoma" w:cs="Tahoma"/>
      <w:sz w:val="16"/>
      <w:szCs w:val="16"/>
    </w:rPr>
  </w:style>
  <w:style w:type="paragraph" w:styleId="FootnoteText">
    <w:name w:val="footnote text"/>
    <w:basedOn w:val="Normal"/>
    <w:link w:val="FootnoteTextChar"/>
    <w:rsid w:val="00E560D8"/>
    <w:pPr>
      <w:autoSpaceDE w:val="0"/>
      <w:autoSpaceDN w:val="0"/>
      <w:adjustRightInd w:val="0"/>
    </w:pPr>
    <w:rPr>
      <w:rFonts w:ascii="Courier 10cpi" w:hAnsi="Courier 10cpi"/>
      <w:sz w:val="20"/>
      <w:szCs w:val="20"/>
    </w:rPr>
  </w:style>
  <w:style w:type="character" w:customStyle="1" w:styleId="FootnoteTextChar">
    <w:name w:val="Footnote Text Char"/>
    <w:link w:val="FootnoteText"/>
    <w:rsid w:val="00E560D8"/>
    <w:rPr>
      <w:rFonts w:ascii="Courier 10cpi" w:hAnsi="Courier 10cpi"/>
    </w:rPr>
  </w:style>
  <w:style w:type="character" w:styleId="FootnoteReference">
    <w:name w:val="footnote reference"/>
    <w:rsid w:val="00E560D8"/>
    <w:rPr>
      <w:vertAlign w:val="superscript"/>
    </w:rPr>
  </w:style>
  <w:style w:type="table" w:styleId="TableGrid">
    <w:name w:val="Table Grid"/>
    <w:basedOn w:val="TableNormal"/>
    <w:rsid w:val="00C65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257A0"/>
    <w:pPr>
      <w:tabs>
        <w:tab w:val="center" w:pos="4680"/>
        <w:tab w:val="right" w:pos="9360"/>
      </w:tabs>
    </w:pPr>
  </w:style>
  <w:style w:type="character" w:customStyle="1" w:styleId="HeaderChar">
    <w:name w:val="Header Char"/>
    <w:link w:val="Header"/>
    <w:rsid w:val="006257A0"/>
    <w:rPr>
      <w:sz w:val="24"/>
      <w:szCs w:val="24"/>
    </w:rPr>
  </w:style>
  <w:style w:type="paragraph" w:styleId="Footer">
    <w:name w:val="footer"/>
    <w:basedOn w:val="Normal"/>
    <w:link w:val="FooterChar"/>
    <w:uiPriority w:val="99"/>
    <w:rsid w:val="006257A0"/>
    <w:pPr>
      <w:tabs>
        <w:tab w:val="center" w:pos="4680"/>
        <w:tab w:val="right" w:pos="9360"/>
      </w:tabs>
    </w:pPr>
  </w:style>
  <w:style w:type="character" w:customStyle="1" w:styleId="FooterChar">
    <w:name w:val="Footer Char"/>
    <w:link w:val="Footer"/>
    <w:uiPriority w:val="99"/>
    <w:rsid w:val="006257A0"/>
    <w:rPr>
      <w:sz w:val="24"/>
      <w:szCs w:val="24"/>
    </w:rPr>
  </w:style>
  <w:style w:type="character" w:styleId="Hyperlink">
    <w:name w:val="Hyperlink"/>
    <w:rsid w:val="00AB5A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2B52B6"/>
    <w:rPr>
      <w:sz w:val="16"/>
      <w:szCs w:val="16"/>
    </w:rPr>
  </w:style>
  <w:style w:type="paragraph" w:styleId="CommentText">
    <w:name w:val="annotation text"/>
    <w:basedOn w:val="Normal"/>
    <w:link w:val="CommentTextChar"/>
    <w:rsid w:val="002B52B6"/>
    <w:rPr>
      <w:sz w:val="20"/>
      <w:szCs w:val="20"/>
    </w:rPr>
  </w:style>
  <w:style w:type="character" w:customStyle="1" w:styleId="CommentTextChar">
    <w:name w:val="Comment Text Char"/>
    <w:basedOn w:val="DefaultParagraphFont"/>
    <w:link w:val="CommentText"/>
    <w:rsid w:val="002B52B6"/>
  </w:style>
  <w:style w:type="paragraph" w:styleId="CommentSubject">
    <w:name w:val="annotation subject"/>
    <w:basedOn w:val="CommentText"/>
    <w:next w:val="CommentText"/>
    <w:link w:val="CommentSubjectChar"/>
    <w:rsid w:val="002B52B6"/>
    <w:rPr>
      <w:b/>
      <w:bCs/>
    </w:rPr>
  </w:style>
  <w:style w:type="character" w:customStyle="1" w:styleId="CommentSubjectChar">
    <w:name w:val="Comment Subject Char"/>
    <w:link w:val="CommentSubject"/>
    <w:rsid w:val="002B52B6"/>
    <w:rPr>
      <w:b/>
      <w:bCs/>
    </w:rPr>
  </w:style>
  <w:style w:type="paragraph" w:styleId="BalloonText">
    <w:name w:val="Balloon Text"/>
    <w:basedOn w:val="Normal"/>
    <w:link w:val="BalloonTextChar"/>
    <w:rsid w:val="002B52B6"/>
    <w:rPr>
      <w:rFonts w:ascii="Tahoma" w:hAnsi="Tahoma" w:cs="Tahoma"/>
      <w:sz w:val="16"/>
      <w:szCs w:val="16"/>
    </w:rPr>
  </w:style>
  <w:style w:type="character" w:customStyle="1" w:styleId="BalloonTextChar">
    <w:name w:val="Balloon Text Char"/>
    <w:link w:val="BalloonText"/>
    <w:rsid w:val="002B52B6"/>
    <w:rPr>
      <w:rFonts w:ascii="Tahoma" w:hAnsi="Tahoma" w:cs="Tahoma"/>
      <w:sz w:val="16"/>
      <w:szCs w:val="16"/>
    </w:rPr>
  </w:style>
  <w:style w:type="paragraph" w:styleId="FootnoteText">
    <w:name w:val="footnote text"/>
    <w:basedOn w:val="Normal"/>
    <w:link w:val="FootnoteTextChar"/>
    <w:rsid w:val="00E560D8"/>
    <w:pPr>
      <w:autoSpaceDE w:val="0"/>
      <w:autoSpaceDN w:val="0"/>
      <w:adjustRightInd w:val="0"/>
    </w:pPr>
    <w:rPr>
      <w:rFonts w:ascii="Courier 10cpi" w:hAnsi="Courier 10cpi"/>
      <w:sz w:val="20"/>
      <w:szCs w:val="20"/>
    </w:rPr>
  </w:style>
  <w:style w:type="character" w:customStyle="1" w:styleId="FootnoteTextChar">
    <w:name w:val="Footnote Text Char"/>
    <w:link w:val="FootnoteText"/>
    <w:rsid w:val="00E560D8"/>
    <w:rPr>
      <w:rFonts w:ascii="Courier 10cpi" w:hAnsi="Courier 10cpi"/>
    </w:rPr>
  </w:style>
  <w:style w:type="character" w:styleId="FootnoteReference">
    <w:name w:val="footnote reference"/>
    <w:rsid w:val="00E560D8"/>
    <w:rPr>
      <w:vertAlign w:val="superscript"/>
    </w:rPr>
  </w:style>
  <w:style w:type="table" w:styleId="TableGrid">
    <w:name w:val="Table Grid"/>
    <w:basedOn w:val="TableNormal"/>
    <w:rsid w:val="00C65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257A0"/>
    <w:pPr>
      <w:tabs>
        <w:tab w:val="center" w:pos="4680"/>
        <w:tab w:val="right" w:pos="9360"/>
      </w:tabs>
    </w:pPr>
  </w:style>
  <w:style w:type="character" w:customStyle="1" w:styleId="HeaderChar">
    <w:name w:val="Header Char"/>
    <w:link w:val="Header"/>
    <w:rsid w:val="006257A0"/>
    <w:rPr>
      <w:sz w:val="24"/>
      <w:szCs w:val="24"/>
    </w:rPr>
  </w:style>
  <w:style w:type="paragraph" w:styleId="Footer">
    <w:name w:val="footer"/>
    <w:basedOn w:val="Normal"/>
    <w:link w:val="FooterChar"/>
    <w:uiPriority w:val="99"/>
    <w:rsid w:val="006257A0"/>
    <w:pPr>
      <w:tabs>
        <w:tab w:val="center" w:pos="4680"/>
        <w:tab w:val="right" w:pos="9360"/>
      </w:tabs>
    </w:pPr>
  </w:style>
  <w:style w:type="character" w:customStyle="1" w:styleId="FooterChar">
    <w:name w:val="Footer Char"/>
    <w:link w:val="Footer"/>
    <w:uiPriority w:val="99"/>
    <w:rsid w:val="006257A0"/>
    <w:rPr>
      <w:sz w:val="24"/>
      <w:szCs w:val="24"/>
    </w:rPr>
  </w:style>
  <w:style w:type="character" w:styleId="Hyperlink">
    <w:name w:val="Hyperlink"/>
    <w:rsid w:val="00AB5A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89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0DB15-C26F-4137-8448-41C25540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1779</Words>
  <Characters>10143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REGULATIONS RESTRICTING THE SALE AND DISTRIBUTION OF CIGARETTES AND SMOKELESS TOBACCO TO PROTECT CHILDREN AND ADOLESCENTS</vt:lpstr>
    </vt:vector>
  </TitlesOfParts>
  <Company>US FDA</Company>
  <LinksUpToDate>false</LinksUpToDate>
  <CharactersWithSpaces>11899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REGULATIONS RESTRICTING THE SALE AND DISTRIBUTION OF CIGARETTES AND SMOKELESS TOBACCO TO PROTECT CHILDREN AND ADOLESCENTS</dc:title>
  <dc:creator>Sanford, Amber</dc:creator>
  <cp:lastModifiedBy>SYSTEM</cp:lastModifiedBy>
  <cp:revision>2</cp:revision>
  <cp:lastPrinted>2012-09-06T14:04:00Z</cp:lastPrinted>
  <dcterms:created xsi:type="dcterms:W3CDTF">2019-10-11T19:24:00Z</dcterms:created>
  <dcterms:modified xsi:type="dcterms:W3CDTF">2019-10-11T19:24:00Z</dcterms:modified>
</cp:coreProperties>
</file>