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923" w:rsidRDefault="00BD4923" w:rsidP="006D6FCE">
      <w:pPr>
        <w:tabs>
          <w:tab w:val="left" w:pos="720"/>
        </w:tabs>
        <w:jc w:val="center"/>
        <w:rPr>
          <w:b/>
          <w:bCs/>
        </w:rPr>
      </w:pPr>
      <w:bookmarkStart w:id="0" w:name="_GoBack"/>
      <w:bookmarkEnd w:id="0"/>
      <w:r>
        <w:rPr>
          <w:b/>
          <w:bCs/>
        </w:rPr>
        <w:t>U.S. Food and Drug Administration</w:t>
      </w:r>
    </w:p>
    <w:p w:rsidR="006D6FCE" w:rsidRDefault="006D6FCE" w:rsidP="006D6FCE">
      <w:pPr>
        <w:tabs>
          <w:tab w:val="left" w:pos="720"/>
        </w:tabs>
        <w:jc w:val="center"/>
        <w:rPr>
          <w:b/>
          <w:bCs/>
        </w:rPr>
      </w:pPr>
      <w:r w:rsidRPr="00B36BDA">
        <w:rPr>
          <w:b/>
          <w:bCs/>
        </w:rPr>
        <w:t xml:space="preserve">Requirements </w:t>
      </w:r>
      <w:r>
        <w:rPr>
          <w:b/>
          <w:bCs/>
        </w:rPr>
        <w:t>U</w:t>
      </w:r>
      <w:r w:rsidRPr="00B36BDA">
        <w:rPr>
          <w:b/>
          <w:bCs/>
        </w:rPr>
        <w:t xml:space="preserve">nder the Comprehensive Smokeless Tobacco </w:t>
      </w:r>
      <w:smartTag w:uri="urn:schemas-microsoft-com:office:smarttags" w:element="PersonName">
        <w:r w:rsidRPr="00B36BDA">
          <w:rPr>
            <w:b/>
            <w:bCs/>
          </w:rPr>
          <w:t>H</w:t>
        </w:r>
      </w:smartTag>
      <w:r w:rsidRPr="00B36BDA">
        <w:rPr>
          <w:b/>
          <w:bCs/>
        </w:rPr>
        <w:t xml:space="preserve">ealth Education Act of 1986, as </w:t>
      </w:r>
      <w:r>
        <w:rPr>
          <w:b/>
          <w:bCs/>
        </w:rPr>
        <w:t>A</w:t>
      </w:r>
      <w:r w:rsidRPr="00B36BDA">
        <w:rPr>
          <w:b/>
          <w:bCs/>
        </w:rPr>
        <w:t>mended by the Family Smoking Prevention and Tobacco Control Act</w:t>
      </w:r>
    </w:p>
    <w:p w:rsidR="006D6FCE" w:rsidRDefault="006D6FCE" w:rsidP="006D6FCE">
      <w:pPr>
        <w:jc w:val="center"/>
        <w:rPr>
          <w:b/>
          <w:bCs/>
        </w:rPr>
      </w:pPr>
    </w:p>
    <w:p w:rsidR="006D6FCE" w:rsidRDefault="00BD4923" w:rsidP="006D6FCE">
      <w:pPr>
        <w:jc w:val="center"/>
        <w:rPr>
          <w:b/>
          <w:bCs/>
        </w:rPr>
      </w:pPr>
      <w:r>
        <w:rPr>
          <w:b/>
          <w:bCs/>
        </w:rPr>
        <w:t xml:space="preserve">OMB Control Number </w:t>
      </w:r>
      <w:r w:rsidR="006D6FCE">
        <w:rPr>
          <w:b/>
          <w:bCs/>
        </w:rPr>
        <w:t>0910-0671</w:t>
      </w:r>
    </w:p>
    <w:p w:rsidR="006D6FCE" w:rsidRDefault="006D6FCE" w:rsidP="006D6FCE">
      <w:pPr>
        <w:jc w:val="center"/>
        <w:rPr>
          <w:b/>
          <w:bCs/>
        </w:rPr>
      </w:pPr>
    </w:p>
    <w:p w:rsidR="006D6FCE" w:rsidRPr="009A148C" w:rsidRDefault="006D6FCE" w:rsidP="006D6FCE">
      <w:pPr>
        <w:jc w:val="center"/>
        <w:rPr>
          <w:b/>
          <w:bCs/>
        </w:rPr>
      </w:pPr>
      <w:r w:rsidRPr="009A148C">
        <w:rPr>
          <w:b/>
          <w:bCs/>
        </w:rPr>
        <w:t>SUPPORTING STATEMENT</w:t>
      </w:r>
    </w:p>
    <w:p w:rsidR="00810FF1" w:rsidRDefault="00810FF1" w:rsidP="00B23769">
      <w:pPr>
        <w:jc w:val="center"/>
        <w:rPr>
          <w:b/>
        </w:rPr>
      </w:pPr>
    </w:p>
    <w:p w:rsidR="00810FF1" w:rsidRPr="00810FF1" w:rsidRDefault="00810FF1" w:rsidP="00810FF1">
      <w:r>
        <w:rPr>
          <w:b/>
        </w:rPr>
        <w:t xml:space="preserve">Terms of Clearance: </w:t>
      </w:r>
      <w:r w:rsidRPr="007D3DFC">
        <w:t xml:space="preserve"> </w:t>
      </w:r>
      <w:r w:rsidR="006D6FCE">
        <w:t>None.</w:t>
      </w:r>
    </w:p>
    <w:p w:rsidR="00EB7538" w:rsidRDefault="00EB7538" w:rsidP="00EB7538">
      <w:pPr>
        <w:pStyle w:val="NormalWeb"/>
      </w:pPr>
      <w:r>
        <w:rPr>
          <w:b/>
          <w:bCs/>
        </w:rPr>
        <w:t>A. Justification</w:t>
      </w:r>
    </w:p>
    <w:p w:rsidR="008B30AB" w:rsidRPr="00221EBF"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rsidR="006D6FCE" w:rsidRDefault="006D6FCE" w:rsidP="00620363">
      <w:pPr>
        <w:ind w:left="720"/>
      </w:pPr>
      <w:r w:rsidRPr="00221EBF">
        <w:t>On June 22, 2009, the President signed the Family Smoking Prevention and Tobacco Control Act (the Tobacco Control Act) (Public Law 111-31) into law.  Section 3 of the Comprehensive Smokeless Tobacco Health Education Act of 1986 (the Smokeless Tobacco Act) (15 U.S.C.  4402), as amended by section 204 of the Tobacco Control Act requires, among other things, that all smokeless tobacco product packages and advertisements bear one of four required warning statements.  Section 3(b)(3)(A) of the Smokeless Tobacco Act requires that the warnings be displayed on packaging and advertising for each brand of smokeless tobacco “in accordance with a plan submitted by the tobacco product manufacturer, importer, distributor, or retailer” to, and approved by, FDA.</w:t>
      </w:r>
      <w:r w:rsidR="00620363">
        <w:t xml:space="preserve"> </w:t>
      </w:r>
      <w:r w:rsidR="00620363" w:rsidRPr="00620363">
        <w:t>Additionally, FDA considers a submission to be a supplement if the submitter is seeking approval of a change to an FDA-approved warning plan.</w:t>
      </w:r>
    </w:p>
    <w:p w:rsidR="00CF4C3A" w:rsidRDefault="00CF4C3A" w:rsidP="006D6FCE">
      <w:pPr>
        <w:ind w:left="720"/>
      </w:pPr>
    </w:p>
    <w:p w:rsidR="006D6FCE" w:rsidRPr="0007790E" w:rsidRDefault="00CF4C3A" w:rsidP="0007790E">
      <w:pPr>
        <w:ind w:left="720"/>
      </w:pPr>
      <w:r>
        <w:t>This collection of information is for the submission of warning plans to FDA for smokeless tobacco products.</w:t>
      </w:r>
    </w:p>
    <w:p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rsidR="00544138" w:rsidRDefault="00221EBF" w:rsidP="00544138">
      <w:pPr>
        <w:ind w:left="720"/>
      </w:pPr>
      <w:r w:rsidRPr="00221EBF">
        <w:t>This information collectio</w:t>
      </w:r>
      <w:r w:rsidR="00620363">
        <w:t xml:space="preserve">n for </w:t>
      </w:r>
      <w:r w:rsidRPr="00221EBF">
        <w:t>the submission to FDA of warning plans for smokeless tobacco products--is statutorily mandated.  The warning plans will be reviewed by FDA, as required by the Smokeless Tobacco Act, to determine whether the companies’ plans for the equal distribution and display of warning statements on packaging and the quarterly rotation of warning statements in advertising for each brand of smokeless tobacco products comply with section 3 of the Smokeless Tobacco Act, as amended.</w:t>
      </w:r>
    </w:p>
    <w:p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6D5D57" w:rsidRPr="007F0A08" w:rsidRDefault="007F0A08" w:rsidP="00F207A4">
      <w:pPr>
        <w:ind w:left="720"/>
      </w:pPr>
      <w:r w:rsidRPr="007F0A08">
        <w:t xml:space="preserve">The Smokeless Tobacco Act does not specify the means for submission of warning plans.  There are three ways to submit warning plans: electronic format submitted via the FDA Electronic Submission Gateway; electronic format submitted on physical media (e.g., CD or DVD); or paper format.  FDA estimates 90 percent </w:t>
      </w:r>
      <w:r w:rsidR="00CF4C3A">
        <w:t xml:space="preserve">of the expected respondents to this collection of information </w:t>
      </w:r>
      <w:r w:rsidRPr="007F0A08">
        <w:t xml:space="preserve">will submit </w:t>
      </w:r>
      <w:r w:rsidR="00CF4C3A">
        <w:t xml:space="preserve">their warning plans </w:t>
      </w:r>
      <w:r w:rsidRPr="007F0A08">
        <w:t>electronically.</w:t>
      </w:r>
    </w:p>
    <w:p w:rsidR="002746DB" w:rsidRPr="002746DB" w:rsidRDefault="00EB7538" w:rsidP="00EB7538">
      <w:pPr>
        <w:numPr>
          <w:ilvl w:val="0"/>
          <w:numId w:val="1"/>
        </w:numPr>
        <w:spacing w:before="100" w:beforeAutospacing="1" w:after="100" w:afterAutospacing="1"/>
        <w:rPr>
          <w:u w:val="single"/>
        </w:rPr>
      </w:pPr>
      <w:r w:rsidRPr="002746DB">
        <w:rPr>
          <w:u w:val="single"/>
        </w:rPr>
        <w:lastRenderedPageBreak/>
        <w:t xml:space="preserve">Efforts to Identify Duplication and Use of Similar Information </w:t>
      </w:r>
    </w:p>
    <w:p w:rsidR="002746DB" w:rsidRPr="00CE31CF" w:rsidRDefault="00CF4C3A" w:rsidP="00F207A4">
      <w:pPr>
        <w:ind w:left="720"/>
      </w:pPr>
      <w:r>
        <w:t xml:space="preserve">There is no duplication of information being requested by this collection of information.  </w:t>
      </w:r>
      <w:r w:rsidR="00CE31CF" w:rsidRPr="00CE31CF">
        <w:t xml:space="preserve">FDA knows of no other regulations addressing this subject area or requiring disclosure of similar information. Although the warning statement requirements for smokeless tobacco products are similar to those applicable to cigarettes under the Federal Cigarette Labeling and Advertising Act (15 U.S.C. 1333), as amended by the Tobacco Control Act, no other statute provides for warning statements on the packaging or advertising of smokeless tobacco products. Furthermore, except as provided in the Tobacco Control Act, no statement relating to the use of smokeless tobacco products and health, other than the four warning statements required by the Smokeless Tobacco Act, shall be required by any Federal, State, or local statute or regulation to be included on the package or in an advertisement of a smokeless tobacco product.  See section </w:t>
      </w:r>
      <w:r w:rsidR="00010E93">
        <w:t>3</w:t>
      </w:r>
      <w:r w:rsidR="00CE31CF" w:rsidRPr="00CE31CF">
        <w:t>(a) of the Smokeless Tobacco Act, as amended (15 U.S.C. 4406).</w:t>
      </w:r>
    </w:p>
    <w:p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rsidR="00CE31CF" w:rsidRPr="00CE31CF" w:rsidRDefault="00CE31CF" w:rsidP="00CE31CF">
      <w:pPr>
        <w:pStyle w:val="BodyText2"/>
        <w:ind w:left="720"/>
        <w:rPr>
          <w:szCs w:val="24"/>
        </w:rPr>
      </w:pPr>
      <w:r w:rsidRPr="00CE31CF">
        <w:rPr>
          <w:szCs w:val="24"/>
        </w:rPr>
        <w:t>The requirement for submission of warning plans does not fall disproportionately upon small businesses.  The Smokeless Tobacco Act requires the submission of this information from manufacturers, distributors, importers, and retailers that manufacture, package, sell, offer to sell, distribute or import for sale or distribution smokeless tobacco products within the United States.  Retailers may be exempt from this requirement under certain circumstances.</w:t>
      </w:r>
    </w:p>
    <w:p w:rsidR="00CE31CF" w:rsidRPr="00CE31CF" w:rsidRDefault="00CE31CF" w:rsidP="00CE31CF">
      <w:pPr>
        <w:pStyle w:val="BodyText2"/>
        <w:ind w:left="720"/>
        <w:rPr>
          <w:szCs w:val="24"/>
        </w:rPr>
      </w:pPr>
    </w:p>
    <w:p w:rsidR="00CD77C3" w:rsidRDefault="00CE31CF" w:rsidP="00CE31CF">
      <w:pPr>
        <w:pStyle w:val="BodyText2"/>
        <w:ind w:left="720"/>
      </w:pPr>
      <w:r w:rsidRPr="00CE31CF">
        <w:rPr>
          <w:szCs w:val="24"/>
        </w:rPr>
        <w:t xml:space="preserve">CTP has issued </w:t>
      </w:r>
      <w:r w:rsidR="00DF3518">
        <w:rPr>
          <w:szCs w:val="24"/>
        </w:rPr>
        <w:t xml:space="preserve">draft </w:t>
      </w:r>
      <w:r w:rsidRPr="00CE31CF">
        <w:rPr>
          <w:szCs w:val="24"/>
        </w:rPr>
        <w:t>guidance to assist small businesses and other persons required to submit warning plans under the Smokeless Tobacco Act.</w:t>
      </w:r>
    </w:p>
    <w:p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rsidR="00CD77C3" w:rsidRPr="00CE31CF" w:rsidRDefault="00CE31CF" w:rsidP="00CE31CF">
      <w:pPr>
        <w:ind w:left="720"/>
      </w:pPr>
      <w:r w:rsidRPr="00CE31CF">
        <w:t>Submission of warning plans for smokeless tobacco products to FDA is required so FDA can review and ensure the plan complies with the requirements set forth in the Smokeless Tobacco Act.</w:t>
      </w:r>
      <w:r w:rsidR="00652CF4">
        <w:t xml:space="preserve"> The consequence of collecting this collection of information less frequently could result in a product being labeled as misbranded or adulterated.</w:t>
      </w:r>
    </w:p>
    <w:p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rsidR="008108FA" w:rsidRDefault="00CE31CF" w:rsidP="00CE31CF">
      <w:pPr>
        <w:ind w:left="720"/>
      </w:pPr>
      <w:r>
        <w:t xml:space="preserve">There </w:t>
      </w:r>
      <w:r w:rsidR="008108FA">
        <w:t>are no special circumstances for this collection of information.</w:t>
      </w:r>
    </w:p>
    <w:p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7D4EF7" w:rsidRDefault="007D4EF7" w:rsidP="007D4EF7">
      <w:pPr>
        <w:ind w:left="720"/>
        <w:rPr>
          <w:szCs w:val="20"/>
        </w:rPr>
      </w:pPr>
      <w:r w:rsidRPr="009E1DD7">
        <w:rPr>
          <w:szCs w:val="20"/>
        </w:rPr>
        <w:t xml:space="preserve">In the FEDERAL REGISTER of </w:t>
      </w:r>
      <w:r>
        <w:rPr>
          <w:szCs w:val="20"/>
        </w:rPr>
        <w:t>June 13</w:t>
      </w:r>
      <w:r w:rsidRPr="009E1DD7">
        <w:rPr>
          <w:szCs w:val="20"/>
        </w:rPr>
        <w:t>, 20</w:t>
      </w:r>
      <w:r>
        <w:rPr>
          <w:szCs w:val="20"/>
        </w:rPr>
        <w:t>19</w:t>
      </w:r>
      <w:r w:rsidRPr="009E1DD7">
        <w:rPr>
          <w:szCs w:val="20"/>
        </w:rPr>
        <w:t xml:space="preserve"> (</w:t>
      </w:r>
      <w:r>
        <w:rPr>
          <w:szCs w:val="20"/>
        </w:rPr>
        <w:t>84</w:t>
      </w:r>
      <w:r w:rsidRPr="009E1DD7">
        <w:rPr>
          <w:szCs w:val="20"/>
        </w:rPr>
        <w:t xml:space="preserve"> FR </w:t>
      </w:r>
      <w:r>
        <w:rPr>
          <w:szCs w:val="20"/>
        </w:rPr>
        <w:t>27638</w:t>
      </w:r>
      <w:r w:rsidRPr="009E1DD7">
        <w:rPr>
          <w:szCs w:val="20"/>
        </w:rPr>
        <w:t xml:space="preserve">), </w:t>
      </w:r>
      <w:r>
        <w:rPr>
          <w:szCs w:val="20"/>
        </w:rPr>
        <w:t>FDA published a</w:t>
      </w:r>
      <w:r w:rsidRPr="009E1DD7">
        <w:rPr>
          <w:szCs w:val="20"/>
        </w:rPr>
        <w:t xml:space="preserve"> </w:t>
      </w:r>
      <w:r>
        <w:rPr>
          <w:szCs w:val="20"/>
        </w:rPr>
        <w:t xml:space="preserve">60-day </w:t>
      </w:r>
      <w:r w:rsidRPr="009E1DD7">
        <w:rPr>
          <w:szCs w:val="20"/>
        </w:rPr>
        <w:t>notice</w:t>
      </w:r>
      <w:r>
        <w:rPr>
          <w:szCs w:val="20"/>
        </w:rPr>
        <w:t xml:space="preserve"> requesting </w:t>
      </w:r>
      <w:r w:rsidRPr="009E1DD7">
        <w:rPr>
          <w:szCs w:val="20"/>
        </w:rPr>
        <w:t xml:space="preserve">public comment </w:t>
      </w:r>
      <w:r>
        <w:rPr>
          <w:szCs w:val="20"/>
        </w:rPr>
        <w:t xml:space="preserve">on </w:t>
      </w:r>
      <w:r w:rsidRPr="009E1DD7">
        <w:rPr>
          <w:szCs w:val="20"/>
        </w:rPr>
        <w:t xml:space="preserve">the </w:t>
      </w:r>
      <w:r>
        <w:rPr>
          <w:szCs w:val="20"/>
        </w:rPr>
        <w:t xml:space="preserve">proposed </w:t>
      </w:r>
      <w:r w:rsidRPr="009E1DD7">
        <w:rPr>
          <w:szCs w:val="20"/>
        </w:rPr>
        <w:t>information</w:t>
      </w:r>
      <w:r>
        <w:rPr>
          <w:szCs w:val="20"/>
        </w:rPr>
        <w:t>. One comment that was not PRA related was received.</w:t>
      </w:r>
    </w:p>
    <w:p w:rsidR="007D4EF7" w:rsidRDefault="007D4EF7" w:rsidP="005A6E7B">
      <w:pPr>
        <w:ind w:left="720"/>
      </w:pPr>
    </w:p>
    <w:p w:rsidR="004A01BA" w:rsidRDefault="004A01BA" w:rsidP="005A6E7B">
      <w:pPr>
        <w:ind w:left="720"/>
      </w:pPr>
    </w:p>
    <w:p w:rsidR="00CD77C3" w:rsidRPr="004C6979" w:rsidRDefault="00EB7538" w:rsidP="00E00EA0">
      <w:pPr>
        <w:numPr>
          <w:ilvl w:val="0"/>
          <w:numId w:val="1"/>
        </w:numPr>
        <w:spacing w:before="100" w:beforeAutospacing="1" w:after="100" w:afterAutospacing="1"/>
        <w:rPr>
          <w:u w:val="single"/>
        </w:rPr>
      </w:pPr>
      <w:r w:rsidRPr="004C6979">
        <w:rPr>
          <w:u w:val="single"/>
        </w:rPr>
        <w:lastRenderedPageBreak/>
        <w:t>Explanation of Any Payment or Gift to Respondents</w:t>
      </w:r>
    </w:p>
    <w:p w:rsidR="00CD77C3" w:rsidRDefault="00CE31CF" w:rsidP="00DD09F5">
      <w:pPr>
        <w:ind w:left="720"/>
      </w:pPr>
      <w:r w:rsidRPr="00CE31CF">
        <w:t>This information collection does not provide for any</w:t>
      </w:r>
      <w:r>
        <w:t xml:space="preserve"> payment or gift to respondents.</w:t>
      </w:r>
    </w:p>
    <w:p w:rsidR="00CD77C3" w:rsidRPr="004C6979" w:rsidRDefault="00EB7538" w:rsidP="00EB7538">
      <w:pPr>
        <w:numPr>
          <w:ilvl w:val="0"/>
          <w:numId w:val="1"/>
        </w:numPr>
        <w:spacing w:before="100" w:beforeAutospacing="1" w:after="100" w:afterAutospacing="1"/>
        <w:rPr>
          <w:u w:val="single"/>
        </w:rPr>
      </w:pPr>
      <w:r w:rsidRPr="004C6979">
        <w:rPr>
          <w:u w:val="single"/>
        </w:rPr>
        <w:t>Assurance of Confidentiality Provided to Respondents</w:t>
      </w:r>
    </w:p>
    <w:p w:rsidR="00107885" w:rsidRPr="009E1DD7" w:rsidRDefault="009E1DD7" w:rsidP="00DD09F5">
      <w:pPr>
        <w:ind w:left="720"/>
      </w:pPr>
      <w:r w:rsidRPr="009E1DD7">
        <w:t>Information submitted under section 3 of the Smokeless Tobacco Act may include, but is not limited to, a company's non-public trade secret or confidential commercial information.  Certain laws govern the confidentiality of warning plan information, including the Freedom of Information Act (FOIA) (5 U.S.C. 552), as well as FDA’s implementing regulations.  FDA’s general regulations concerning the public availability of FDA records are contained in 21 CFR part 20.</w:t>
      </w:r>
    </w:p>
    <w:p w:rsidR="004C6979" w:rsidRP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rsidR="004C6979" w:rsidRDefault="009E1DD7" w:rsidP="00DD09F5">
      <w:pPr>
        <w:ind w:left="720"/>
      </w:pPr>
      <w:r w:rsidRPr="009E1DD7">
        <w:t>This information collection does not contain questions of a sensitive nature.</w:t>
      </w:r>
    </w:p>
    <w:p w:rsidR="009E1DD7" w:rsidRPr="009E1DD7" w:rsidRDefault="00EB7538" w:rsidP="00C5649C">
      <w:pPr>
        <w:numPr>
          <w:ilvl w:val="0"/>
          <w:numId w:val="1"/>
        </w:numPr>
        <w:spacing w:before="100" w:beforeAutospacing="1" w:after="100" w:afterAutospacing="1"/>
      </w:pPr>
      <w:r w:rsidRPr="0015717F">
        <w:rPr>
          <w:u w:val="single"/>
        </w:rPr>
        <w:t>Estimates of Annualized Burden Hours and Costs</w:t>
      </w:r>
    </w:p>
    <w:p w:rsidR="004C6979" w:rsidRDefault="008B0E29" w:rsidP="00AC6A99">
      <w:pPr>
        <w:ind w:left="720"/>
      </w:pPr>
      <w:r>
        <w:rPr>
          <w:u w:val="single"/>
        </w:rPr>
        <w:t xml:space="preserve">12 a. </w:t>
      </w:r>
      <w:r w:rsidR="00411D11">
        <w:rPr>
          <w:u w:val="single"/>
        </w:rPr>
        <w:t xml:space="preserve">Annualized </w:t>
      </w:r>
      <w:r w:rsidR="004C6979">
        <w:rPr>
          <w:u w:val="single"/>
        </w:rPr>
        <w:t>Hour Burden Estimate</w:t>
      </w:r>
    </w:p>
    <w:p w:rsidR="004C6979" w:rsidRDefault="004C6979" w:rsidP="004C6979"/>
    <w:p w:rsidR="00DC76C7" w:rsidRDefault="009E1DD7" w:rsidP="009E1DD7">
      <w:pPr>
        <w:pStyle w:val="BodyText2"/>
        <w:ind w:left="720"/>
      </w:pPr>
      <w:r w:rsidRPr="009E1DD7">
        <w:t>FDA estimates the burden of this collection of information as follows:</w:t>
      </w:r>
      <w:r w:rsidR="00E00EA0">
        <w:br/>
      </w:r>
    </w:p>
    <w:tbl>
      <w:tblPr>
        <w:tblW w:w="448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1447"/>
        <w:gridCol w:w="1349"/>
        <w:gridCol w:w="1558"/>
        <w:gridCol w:w="1683"/>
        <w:gridCol w:w="1122"/>
      </w:tblGrid>
      <w:tr w:rsidR="00E65A37" w:rsidRPr="00695DD6" w:rsidTr="006A0C64">
        <w:trPr>
          <w:cantSplit/>
          <w:trHeight w:val="20"/>
          <w:tblHeader/>
        </w:trPr>
        <w:tc>
          <w:tcPr>
            <w:tcW w:w="5000" w:type="pct"/>
            <w:gridSpan w:val="6"/>
            <w:shd w:val="clear" w:color="auto" w:fill="auto"/>
          </w:tcPr>
          <w:p w:rsidR="00E65A37" w:rsidRPr="00695DD6" w:rsidRDefault="00E65A37" w:rsidP="00B86DFA">
            <w:pPr>
              <w:jc w:val="center"/>
            </w:pPr>
            <w:r w:rsidRPr="00695DD6">
              <w:t>Table 1.--Estimated Annual Reporting Burden</w:t>
            </w:r>
            <w:r w:rsidR="008F5E7C" w:rsidRPr="008F5E7C">
              <w:rPr>
                <w:vertAlign w:val="superscript"/>
              </w:rPr>
              <w:t>1</w:t>
            </w:r>
          </w:p>
        </w:tc>
      </w:tr>
      <w:tr w:rsidR="007E2F07" w:rsidRPr="00695DD6" w:rsidTr="006A0C64">
        <w:trPr>
          <w:cantSplit/>
          <w:trHeight w:val="20"/>
          <w:tblHeader/>
        </w:trPr>
        <w:tc>
          <w:tcPr>
            <w:tcW w:w="828" w:type="pct"/>
            <w:shd w:val="clear" w:color="auto" w:fill="auto"/>
          </w:tcPr>
          <w:p w:rsidR="00E65A37" w:rsidRPr="00695DD6" w:rsidRDefault="009E1DD7" w:rsidP="00B86DFA">
            <w:pPr>
              <w:jc w:val="center"/>
            </w:pPr>
            <w:r>
              <w:t>Activity</w:t>
            </w:r>
          </w:p>
        </w:tc>
        <w:tc>
          <w:tcPr>
            <w:tcW w:w="843" w:type="pct"/>
            <w:shd w:val="clear" w:color="auto" w:fill="auto"/>
          </w:tcPr>
          <w:p w:rsidR="00E65A37" w:rsidRPr="00695DD6" w:rsidRDefault="00E65A37" w:rsidP="009E1DD7">
            <w:pPr>
              <w:jc w:val="center"/>
            </w:pPr>
            <w:r w:rsidRPr="00695DD6">
              <w:t>N</w:t>
            </w:r>
            <w:r w:rsidR="009E1DD7">
              <w:t>umber</w:t>
            </w:r>
            <w:r w:rsidRPr="00695DD6">
              <w:t xml:space="preserve"> of </w:t>
            </w:r>
            <w:r w:rsidR="009E1DD7">
              <w:t>r</w:t>
            </w:r>
            <w:r w:rsidRPr="00695DD6">
              <w:t>espondents</w:t>
            </w:r>
          </w:p>
        </w:tc>
        <w:tc>
          <w:tcPr>
            <w:tcW w:w="786" w:type="pct"/>
            <w:shd w:val="clear" w:color="auto" w:fill="auto"/>
          </w:tcPr>
          <w:p w:rsidR="00E65A37" w:rsidRPr="00695DD6" w:rsidRDefault="00E65A37" w:rsidP="009E1DD7">
            <w:pPr>
              <w:jc w:val="center"/>
            </w:pPr>
            <w:r w:rsidRPr="00B86DFA">
              <w:rPr>
                <w:bCs/>
              </w:rPr>
              <w:t>N</w:t>
            </w:r>
            <w:r w:rsidR="009E1DD7">
              <w:rPr>
                <w:bCs/>
              </w:rPr>
              <w:t>umber</w:t>
            </w:r>
            <w:r w:rsidRPr="00B86DFA">
              <w:rPr>
                <w:bCs/>
              </w:rPr>
              <w:t xml:space="preserve"> of </w:t>
            </w:r>
            <w:r w:rsidR="009E1DD7">
              <w:rPr>
                <w:bCs/>
              </w:rPr>
              <w:t>r</w:t>
            </w:r>
            <w:r w:rsidRPr="00B86DFA">
              <w:rPr>
                <w:bCs/>
              </w:rPr>
              <w:t xml:space="preserve">esponses per </w:t>
            </w:r>
            <w:r w:rsidR="009E1DD7">
              <w:rPr>
                <w:bCs/>
              </w:rPr>
              <w:t>r</w:t>
            </w:r>
            <w:r w:rsidRPr="00B86DFA">
              <w:rPr>
                <w:bCs/>
              </w:rPr>
              <w:t>espondent</w:t>
            </w:r>
          </w:p>
        </w:tc>
        <w:tc>
          <w:tcPr>
            <w:tcW w:w="908" w:type="pct"/>
            <w:shd w:val="clear" w:color="auto" w:fill="auto"/>
          </w:tcPr>
          <w:p w:rsidR="00E65A37" w:rsidRPr="00695DD6" w:rsidRDefault="00E65A37" w:rsidP="009E1DD7">
            <w:pPr>
              <w:jc w:val="center"/>
            </w:pPr>
            <w:r w:rsidRPr="00695DD6">
              <w:t xml:space="preserve">Total </w:t>
            </w:r>
            <w:r w:rsidR="009E1DD7">
              <w:t>a</w:t>
            </w:r>
            <w:r w:rsidRPr="00695DD6">
              <w:t xml:space="preserve">nnual </w:t>
            </w:r>
            <w:r w:rsidR="009E1DD7">
              <w:t>r</w:t>
            </w:r>
            <w:r w:rsidRPr="00695DD6">
              <w:t>esponses</w:t>
            </w:r>
          </w:p>
        </w:tc>
        <w:tc>
          <w:tcPr>
            <w:tcW w:w="981" w:type="pct"/>
            <w:shd w:val="clear" w:color="auto" w:fill="auto"/>
          </w:tcPr>
          <w:p w:rsidR="00E65A37" w:rsidRPr="00695DD6" w:rsidRDefault="00E65A37" w:rsidP="009E1DD7">
            <w:pPr>
              <w:jc w:val="center"/>
            </w:pPr>
            <w:r w:rsidRPr="00B86DFA">
              <w:rPr>
                <w:bCs/>
              </w:rPr>
              <w:t xml:space="preserve">Average </w:t>
            </w:r>
            <w:r w:rsidR="009E1DD7">
              <w:rPr>
                <w:bCs/>
              </w:rPr>
              <w:t>b</w:t>
            </w:r>
            <w:r w:rsidRPr="00B86DFA">
              <w:rPr>
                <w:bCs/>
              </w:rPr>
              <w:t xml:space="preserve">urden per </w:t>
            </w:r>
            <w:r w:rsidR="009E1DD7">
              <w:rPr>
                <w:bCs/>
              </w:rPr>
              <w:t>r</w:t>
            </w:r>
            <w:r w:rsidRPr="00B86DFA">
              <w:rPr>
                <w:bCs/>
              </w:rPr>
              <w:t>esponse</w:t>
            </w:r>
          </w:p>
        </w:tc>
        <w:tc>
          <w:tcPr>
            <w:tcW w:w="651" w:type="pct"/>
            <w:shd w:val="clear" w:color="auto" w:fill="auto"/>
          </w:tcPr>
          <w:p w:rsidR="00E65A37" w:rsidRPr="00695DD6" w:rsidRDefault="00E65A37" w:rsidP="009E1DD7">
            <w:pPr>
              <w:jc w:val="center"/>
            </w:pPr>
            <w:r w:rsidRPr="00695DD6">
              <w:t xml:space="preserve">Total </w:t>
            </w:r>
            <w:r w:rsidR="009E1DD7">
              <w:t>h</w:t>
            </w:r>
            <w:r w:rsidRPr="00695DD6">
              <w:t>ours</w:t>
            </w:r>
          </w:p>
        </w:tc>
      </w:tr>
      <w:tr w:rsidR="007E2F07" w:rsidRPr="00695DD6" w:rsidTr="006A0C64">
        <w:trPr>
          <w:cantSplit/>
          <w:trHeight w:val="20"/>
        </w:trPr>
        <w:tc>
          <w:tcPr>
            <w:tcW w:w="828" w:type="pct"/>
            <w:shd w:val="clear" w:color="auto" w:fill="auto"/>
          </w:tcPr>
          <w:p w:rsidR="007E2F07" w:rsidRPr="00695DD6" w:rsidRDefault="009E1DD7" w:rsidP="007E2F07">
            <w:r>
              <w:t>Submission of rotational plans for health warning label statements</w:t>
            </w:r>
          </w:p>
        </w:tc>
        <w:tc>
          <w:tcPr>
            <w:tcW w:w="843" w:type="pct"/>
            <w:shd w:val="clear" w:color="auto" w:fill="auto"/>
          </w:tcPr>
          <w:p w:rsidR="00E65A37" w:rsidRPr="00695DD6" w:rsidRDefault="006A0C64" w:rsidP="007E2F07">
            <w:r>
              <w:t>4</w:t>
            </w:r>
          </w:p>
        </w:tc>
        <w:tc>
          <w:tcPr>
            <w:tcW w:w="786" w:type="pct"/>
            <w:shd w:val="clear" w:color="auto" w:fill="auto"/>
          </w:tcPr>
          <w:p w:rsidR="00E65A37" w:rsidRPr="00695DD6" w:rsidRDefault="008F5E7C" w:rsidP="007E2F07">
            <w:r>
              <w:t>1</w:t>
            </w:r>
          </w:p>
        </w:tc>
        <w:tc>
          <w:tcPr>
            <w:tcW w:w="908" w:type="pct"/>
            <w:shd w:val="clear" w:color="auto" w:fill="auto"/>
          </w:tcPr>
          <w:p w:rsidR="00E65A37" w:rsidRPr="00695DD6" w:rsidRDefault="006A0C64" w:rsidP="007E2F07">
            <w:r>
              <w:t>4</w:t>
            </w:r>
          </w:p>
        </w:tc>
        <w:tc>
          <w:tcPr>
            <w:tcW w:w="981" w:type="pct"/>
            <w:shd w:val="clear" w:color="auto" w:fill="auto"/>
          </w:tcPr>
          <w:p w:rsidR="00E65A37" w:rsidRPr="00695DD6" w:rsidRDefault="008F5E7C" w:rsidP="007E2F07">
            <w:r>
              <w:t>60</w:t>
            </w:r>
          </w:p>
        </w:tc>
        <w:tc>
          <w:tcPr>
            <w:tcW w:w="651" w:type="pct"/>
            <w:shd w:val="clear" w:color="auto" w:fill="auto"/>
          </w:tcPr>
          <w:p w:rsidR="00E65A37" w:rsidRPr="00695DD6" w:rsidRDefault="006A0C64" w:rsidP="007E2F07">
            <w:r>
              <w:t>240</w:t>
            </w:r>
          </w:p>
        </w:tc>
      </w:tr>
      <w:tr w:rsidR="006A0C64" w:rsidRPr="00695DD6" w:rsidTr="006A0C64">
        <w:trPr>
          <w:cantSplit/>
          <w:trHeight w:val="20"/>
        </w:trPr>
        <w:tc>
          <w:tcPr>
            <w:tcW w:w="828" w:type="pct"/>
            <w:shd w:val="clear" w:color="auto" w:fill="auto"/>
          </w:tcPr>
          <w:p w:rsidR="006A0C64" w:rsidRDefault="006A0C64" w:rsidP="007E2F07">
            <w:r>
              <w:t>Supplement to approved plan</w:t>
            </w:r>
          </w:p>
        </w:tc>
        <w:tc>
          <w:tcPr>
            <w:tcW w:w="843" w:type="pct"/>
            <w:shd w:val="clear" w:color="auto" w:fill="auto"/>
          </w:tcPr>
          <w:p w:rsidR="006A0C64" w:rsidRDefault="006A0C64" w:rsidP="007E2F07">
            <w:r>
              <w:t>10</w:t>
            </w:r>
          </w:p>
        </w:tc>
        <w:tc>
          <w:tcPr>
            <w:tcW w:w="786" w:type="pct"/>
            <w:shd w:val="clear" w:color="auto" w:fill="auto"/>
          </w:tcPr>
          <w:p w:rsidR="006A0C64" w:rsidRDefault="006A0C64" w:rsidP="007E2F07">
            <w:r>
              <w:t>1</w:t>
            </w:r>
          </w:p>
        </w:tc>
        <w:tc>
          <w:tcPr>
            <w:tcW w:w="908" w:type="pct"/>
            <w:shd w:val="clear" w:color="auto" w:fill="auto"/>
          </w:tcPr>
          <w:p w:rsidR="006A0C64" w:rsidRDefault="006A0C64" w:rsidP="007E2F07">
            <w:r>
              <w:t>10</w:t>
            </w:r>
          </w:p>
        </w:tc>
        <w:tc>
          <w:tcPr>
            <w:tcW w:w="981" w:type="pct"/>
            <w:shd w:val="clear" w:color="auto" w:fill="auto"/>
          </w:tcPr>
          <w:p w:rsidR="006A0C64" w:rsidRDefault="006A0C64" w:rsidP="007E2F07">
            <w:r>
              <w:t>30</w:t>
            </w:r>
          </w:p>
        </w:tc>
        <w:tc>
          <w:tcPr>
            <w:tcW w:w="651" w:type="pct"/>
            <w:shd w:val="clear" w:color="auto" w:fill="auto"/>
          </w:tcPr>
          <w:p w:rsidR="006A0C64" w:rsidRDefault="006A0C64" w:rsidP="007E2F07">
            <w:r>
              <w:t>300</w:t>
            </w:r>
          </w:p>
        </w:tc>
      </w:tr>
      <w:tr w:rsidR="00620363" w:rsidRPr="00695DD6" w:rsidTr="006A0C64">
        <w:trPr>
          <w:cantSplit/>
          <w:trHeight w:val="20"/>
        </w:trPr>
        <w:tc>
          <w:tcPr>
            <w:tcW w:w="828" w:type="pct"/>
            <w:shd w:val="clear" w:color="auto" w:fill="auto"/>
          </w:tcPr>
          <w:p w:rsidR="00620363" w:rsidRDefault="00620363" w:rsidP="007E2F07">
            <w:r>
              <w:t>Total</w:t>
            </w:r>
          </w:p>
        </w:tc>
        <w:tc>
          <w:tcPr>
            <w:tcW w:w="843" w:type="pct"/>
            <w:shd w:val="clear" w:color="auto" w:fill="auto"/>
          </w:tcPr>
          <w:p w:rsidR="00620363" w:rsidRDefault="00620363" w:rsidP="007E2F07"/>
        </w:tc>
        <w:tc>
          <w:tcPr>
            <w:tcW w:w="786" w:type="pct"/>
            <w:shd w:val="clear" w:color="auto" w:fill="auto"/>
          </w:tcPr>
          <w:p w:rsidR="00620363" w:rsidRDefault="00620363" w:rsidP="007E2F07"/>
        </w:tc>
        <w:tc>
          <w:tcPr>
            <w:tcW w:w="908" w:type="pct"/>
            <w:shd w:val="clear" w:color="auto" w:fill="auto"/>
          </w:tcPr>
          <w:p w:rsidR="00620363" w:rsidRDefault="00620363" w:rsidP="007E2F07"/>
        </w:tc>
        <w:tc>
          <w:tcPr>
            <w:tcW w:w="981" w:type="pct"/>
            <w:shd w:val="clear" w:color="auto" w:fill="auto"/>
          </w:tcPr>
          <w:p w:rsidR="00620363" w:rsidRDefault="00620363" w:rsidP="007E2F07"/>
        </w:tc>
        <w:tc>
          <w:tcPr>
            <w:tcW w:w="651" w:type="pct"/>
            <w:shd w:val="clear" w:color="auto" w:fill="auto"/>
          </w:tcPr>
          <w:p w:rsidR="00620363" w:rsidRDefault="00620363" w:rsidP="007E2F07">
            <w:r>
              <w:t>540</w:t>
            </w:r>
          </w:p>
        </w:tc>
      </w:tr>
    </w:tbl>
    <w:p w:rsidR="008F5E7C" w:rsidRPr="001A679F" w:rsidRDefault="008F5E7C" w:rsidP="000D45BA">
      <w:pPr>
        <w:ind w:right="-360" w:firstLine="720"/>
        <w:rPr>
          <w:color w:val="000000"/>
          <w:sz w:val="18"/>
          <w:szCs w:val="18"/>
        </w:rPr>
      </w:pPr>
      <w:r>
        <w:rPr>
          <w:color w:val="000000"/>
          <w:sz w:val="18"/>
          <w:szCs w:val="18"/>
          <w:vertAlign w:val="superscript"/>
        </w:rPr>
        <w:t xml:space="preserve"> </w:t>
      </w:r>
      <w:r w:rsidRPr="001A679F">
        <w:rPr>
          <w:color w:val="000000"/>
          <w:sz w:val="18"/>
          <w:szCs w:val="18"/>
          <w:vertAlign w:val="superscript"/>
        </w:rPr>
        <w:t>1</w:t>
      </w:r>
      <w:r w:rsidRPr="001A679F">
        <w:rPr>
          <w:color w:val="000000"/>
          <w:sz w:val="18"/>
          <w:szCs w:val="18"/>
        </w:rPr>
        <w:t xml:space="preserve"> There are no capital costs or operating and maintenance costs associated with this collection of information</w:t>
      </w:r>
    </w:p>
    <w:p w:rsidR="003740BC" w:rsidRDefault="003740BC" w:rsidP="00A93ED9">
      <w:pPr>
        <w:pStyle w:val="BodyText2"/>
        <w:ind w:left="360"/>
      </w:pPr>
    </w:p>
    <w:p w:rsidR="00620363" w:rsidRDefault="00620363" w:rsidP="0007790E">
      <w:pPr>
        <w:pStyle w:val="BodyText2"/>
        <w:ind w:left="720"/>
      </w:pPr>
      <w:r w:rsidRPr="00620363">
        <w:t>Based on FDA’s experience over the past several years, FDA believes the estimate of 60 hours to complete an initial rotational plan continues to be accurate. If a supplement to an approved plan is submitted, FDA estimates it will take half the time per response (30 hours).</w:t>
      </w:r>
    </w:p>
    <w:p w:rsidR="00620363" w:rsidRDefault="00620363" w:rsidP="0007790E">
      <w:pPr>
        <w:pStyle w:val="BodyText2"/>
        <w:ind w:left="720"/>
      </w:pPr>
    </w:p>
    <w:p w:rsidR="005A6E7B" w:rsidRDefault="005A6E7B" w:rsidP="0007790E">
      <w:pPr>
        <w:pStyle w:val="BodyText2"/>
        <w:ind w:left="720"/>
      </w:pPr>
      <w:r w:rsidRPr="005A6E7B">
        <w:t>FDA estimates a total of 4 respondents will submit a new original warning plan and take 60 hours to complete a rotational warning plan for a total of 240 burden hours.  In addition, 10 respondents will submit a supplement to an approved warning plan at 30 hours per response for a total of 300 hours. The total burden for this collection is estimated to be 540 hours.</w:t>
      </w:r>
    </w:p>
    <w:p w:rsidR="005A6E7B" w:rsidRDefault="005A6E7B" w:rsidP="00A93ED9">
      <w:pPr>
        <w:pStyle w:val="BodyText2"/>
        <w:ind w:left="360"/>
      </w:pPr>
    </w:p>
    <w:p w:rsidR="00A93ED9" w:rsidRDefault="00A93ED9" w:rsidP="00A93ED9">
      <w:pPr>
        <w:pStyle w:val="BodyText2"/>
        <w:ind w:left="360"/>
      </w:pPr>
      <w:r w:rsidRPr="00C75CBF">
        <w:t xml:space="preserve">12b. </w:t>
      </w:r>
      <w:r w:rsidR="00411D11" w:rsidRPr="00C75CBF">
        <w:rPr>
          <w:u w:val="single"/>
        </w:rPr>
        <w:t>Annualized Cost Burden Estimate</w:t>
      </w:r>
    </w:p>
    <w:p w:rsidR="00A93ED9" w:rsidRDefault="00A93ED9" w:rsidP="001D495A">
      <w:pPr>
        <w:pStyle w:val="BodyText2"/>
        <w:ind w:left="720"/>
      </w:pPr>
    </w:p>
    <w:p w:rsidR="000D48FD" w:rsidRDefault="008F5E7C" w:rsidP="001D495A">
      <w:pPr>
        <w:pStyle w:val="BodyText2"/>
        <w:ind w:left="720"/>
      </w:pPr>
      <w:r w:rsidRPr="008F5E7C">
        <w:t>The estimated annual reporting cost to respondents for submitting rotational warning plans is $1</w:t>
      </w:r>
      <w:r w:rsidR="006A0C64">
        <w:t>09,62</w:t>
      </w:r>
      <w:r w:rsidRPr="008F5E7C">
        <w:t xml:space="preserve">0.  This estimate is based on the assumption that management or attorneys will account for 80 percent of the estimated </w:t>
      </w:r>
      <w:r w:rsidR="006A0C64">
        <w:t>540</w:t>
      </w:r>
      <w:r w:rsidRPr="008F5E7C">
        <w:t xml:space="preserve"> hours required to draft initial plans, at an hourly </w:t>
      </w:r>
      <w:r w:rsidR="00CD62D4">
        <w:t xml:space="preserve">billing </w:t>
      </w:r>
      <w:r w:rsidRPr="008F5E7C">
        <w:t xml:space="preserve">rate of $250 per hour, and that clerical support will account for the remaining time (20 percent) at an hourly </w:t>
      </w:r>
      <w:r w:rsidR="00CD62D4">
        <w:t xml:space="preserve">billing </w:t>
      </w:r>
      <w:r w:rsidRPr="008F5E7C">
        <w:t>rate of $15. [Management and attorneys’ time (</w:t>
      </w:r>
      <w:r w:rsidR="006A0C64">
        <w:t>540</w:t>
      </w:r>
      <w:r w:rsidRPr="008F5E7C">
        <w:t xml:space="preserve"> hours x 0.80 x $250 = $10</w:t>
      </w:r>
      <w:r w:rsidR="006A0C64">
        <w:t>8,0</w:t>
      </w:r>
      <w:r w:rsidRPr="008F5E7C">
        <w:t>00) + clerical time (</w:t>
      </w:r>
      <w:r w:rsidR="006A0C64">
        <w:t>540</w:t>
      </w:r>
      <w:r w:rsidRPr="008F5E7C">
        <w:t xml:space="preserve"> hours x 0.20 x $15 = $1,</w:t>
      </w:r>
      <w:r w:rsidR="006A0C64">
        <w:t>62</w:t>
      </w:r>
      <w:r w:rsidRPr="008F5E7C">
        <w:t>0) = $1</w:t>
      </w:r>
      <w:r w:rsidR="006A0C64">
        <w:t>09</w:t>
      </w:r>
      <w:r w:rsidRPr="008F5E7C">
        <w:t>,</w:t>
      </w:r>
      <w:r w:rsidR="006A0C64">
        <w:t>620</w:t>
      </w:r>
      <w:r w:rsidRPr="008F5E7C">
        <w:t>.]</w:t>
      </w:r>
    </w:p>
    <w:p w:rsidR="003740BC" w:rsidRDefault="003740BC" w:rsidP="001D495A">
      <w:pPr>
        <w:pStyle w:val="BodyText2"/>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394"/>
        <w:gridCol w:w="1926"/>
      </w:tblGrid>
      <w:tr w:rsidR="003740BC" w:rsidTr="00B86DFA">
        <w:tc>
          <w:tcPr>
            <w:tcW w:w="2160" w:type="dxa"/>
            <w:shd w:val="clear" w:color="auto" w:fill="auto"/>
          </w:tcPr>
          <w:p w:rsidR="003740BC" w:rsidRDefault="008F5E7C" w:rsidP="00AF08FC">
            <w:pPr>
              <w:jc w:val="center"/>
            </w:pPr>
            <w:r>
              <w:t>Respondent</w:t>
            </w:r>
          </w:p>
        </w:tc>
        <w:tc>
          <w:tcPr>
            <w:tcW w:w="1800" w:type="dxa"/>
            <w:shd w:val="clear" w:color="auto" w:fill="auto"/>
          </w:tcPr>
          <w:p w:rsidR="003740BC" w:rsidRDefault="003740BC" w:rsidP="00AF08FC">
            <w:pPr>
              <w:jc w:val="center"/>
            </w:pPr>
            <w:r>
              <w:t xml:space="preserve">Total </w:t>
            </w:r>
            <w:r w:rsidR="008F5E7C">
              <w:t>b</w:t>
            </w:r>
            <w:r>
              <w:t xml:space="preserve">urden </w:t>
            </w:r>
            <w:r w:rsidR="008F5E7C">
              <w:t>h</w:t>
            </w:r>
            <w:r>
              <w:t>ours</w:t>
            </w:r>
          </w:p>
        </w:tc>
        <w:tc>
          <w:tcPr>
            <w:tcW w:w="2394" w:type="dxa"/>
            <w:shd w:val="clear" w:color="auto" w:fill="auto"/>
          </w:tcPr>
          <w:p w:rsidR="003740BC" w:rsidRDefault="008F5E7C" w:rsidP="00AF08FC">
            <w:pPr>
              <w:jc w:val="center"/>
            </w:pPr>
            <w:r>
              <w:t>Hourly wage grade</w:t>
            </w:r>
          </w:p>
        </w:tc>
        <w:tc>
          <w:tcPr>
            <w:tcW w:w="1926" w:type="dxa"/>
            <w:shd w:val="clear" w:color="auto" w:fill="auto"/>
          </w:tcPr>
          <w:p w:rsidR="003740BC" w:rsidRDefault="008F5E7C" w:rsidP="00AF08FC">
            <w:pPr>
              <w:jc w:val="center"/>
            </w:pPr>
            <w:r>
              <w:t>Total c</w:t>
            </w:r>
            <w:r w:rsidR="003740BC">
              <w:t>osts</w:t>
            </w:r>
          </w:p>
        </w:tc>
      </w:tr>
      <w:tr w:rsidR="00047E01" w:rsidTr="00B86DFA">
        <w:tc>
          <w:tcPr>
            <w:tcW w:w="2160" w:type="dxa"/>
            <w:shd w:val="clear" w:color="auto" w:fill="auto"/>
          </w:tcPr>
          <w:p w:rsidR="00047E01" w:rsidRPr="004C301F" w:rsidRDefault="00047E01" w:rsidP="008D5383">
            <w:pPr>
              <w:tabs>
                <w:tab w:val="left" w:pos="540"/>
                <w:tab w:val="left" w:pos="630"/>
              </w:tabs>
            </w:pPr>
            <w:r w:rsidRPr="004C301F">
              <w:t>Tobacco industry: management and attorneys</w:t>
            </w:r>
          </w:p>
        </w:tc>
        <w:tc>
          <w:tcPr>
            <w:tcW w:w="1800" w:type="dxa"/>
            <w:shd w:val="clear" w:color="auto" w:fill="auto"/>
          </w:tcPr>
          <w:p w:rsidR="00047E01" w:rsidRDefault="006A0C64" w:rsidP="00AF08FC">
            <w:pPr>
              <w:jc w:val="center"/>
            </w:pPr>
            <w:r>
              <w:t>432</w:t>
            </w:r>
          </w:p>
        </w:tc>
        <w:tc>
          <w:tcPr>
            <w:tcW w:w="2394" w:type="dxa"/>
            <w:shd w:val="clear" w:color="auto" w:fill="auto"/>
          </w:tcPr>
          <w:p w:rsidR="00047E01" w:rsidRDefault="00047E01" w:rsidP="00AF08FC">
            <w:pPr>
              <w:jc w:val="center"/>
            </w:pPr>
            <w:r>
              <w:t>$250</w:t>
            </w:r>
          </w:p>
        </w:tc>
        <w:tc>
          <w:tcPr>
            <w:tcW w:w="1926" w:type="dxa"/>
            <w:shd w:val="clear" w:color="auto" w:fill="auto"/>
          </w:tcPr>
          <w:p w:rsidR="00047E01" w:rsidRDefault="00047E01" w:rsidP="00AF08FC">
            <w:pPr>
              <w:jc w:val="right"/>
            </w:pPr>
            <w:r>
              <w:t>$10</w:t>
            </w:r>
            <w:r w:rsidR="006A0C64">
              <w:t>8</w:t>
            </w:r>
            <w:r>
              <w:t>,000</w:t>
            </w:r>
          </w:p>
        </w:tc>
      </w:tr>
      <w:tr w:rsidR="00047E01" w:rsidTr="00B86DFA">
        <w:tc>
          <w:tcPr>
            <w:tcW w:w="2160" w:type="dxa"/>
            <w:shd w:val="clear" w:color="auto" w:fill="auto"/>
          </w:tcPr>
          <w:p w:rsidR="00047E01" w:rsidRDefault="00047E01" w:rsidP="00047E01">
            <w:r>
              <w:t>Tobacco industry:</w:t>
            </w:r>
          </w:p>
          <w:p w:rsidR="00047E01" w:rsidRDefault="00047E01" w:rsidP="00047E01">
            <w:r>
              <w:t>clerical</w:t>
            </w:r>
          </w:p>
        </w:tc>
        <w:tc>
          <w:tcPr>
            <w:tcW w:w="1800" w:type="dxa"/>
            <w:shd w:val="clear" w:color="auto" w:fill="auto"/>
          </w:tcPr>
          <w:p w:rsidR="00047E01" w:rsidRPr="004C301F" w:rsidRDefault="006A0C64" w:rsidP="00AF08FC">
            <w:pPr>
              <w:tabs>
                <w:tab w:val="left" w:pos="540"/>
                <w:tab w:val="left" w:pos="630"/>
              </w:tabs>
              <w:jc w:val="center"/>
            </w:pPr>
            <w:r>
              <w:t>108</w:t>
            </w:r>
          </w:p>
        </w:tc>
        <w:tc>
          <w:tcPr>
            <w:tcW w:w="2394" w:type="dxa"/>
            <w:shd w:val="clear" w:color="auto" w:fill="auto"/>
          </w:tcPr>
          <w:p w:rsidR="00047E01" w:rsidRPr="004C301F" w:rsidRDefault="00047E01" w:rsidP="00AF08FC">
            <w:pPr>
              <w:tabs>
                <w:tab w:val="left" w:pos="540"/>
                <w:tab w:val="left" w:pos="630"/>
              </w:tabs>
              <w:jc w:val="center"/>
            </w:pPr>
            <w:r w:rsidRPr="004C301F">
              <w:t>$15</w:t>
            </w:r>
          </w:p>
        </w:tc>
        <w:tc>
          <w:tcPr>
            <w:tcW w:w="1926" w:type="dxa"/>
            <w:shd w:val="clear" w:color="auto" w:fill="auto"/>
          </w:tcPr>
          <w:p w:rsidR="00047E01" w:rsidRPr="004C301F" w:rsidRDefault="00047E01" w:rsidP="008D5383">
            <w:pPr>
              <w:tabs>
                <w:tab w:val="left" w:pos="540"/>
                <w:tab w:val="left" w:pos="630"/>
              </w:tabs>
              <w:jc w:val="right"/>
            </w:pPr>
            <w:r w:rsidRPr="004C301F">
              <w:t>$1</w:t>
            </w:r>
            <w:r w:rsidR="006A0C64">
              <w:t>,62</w:t>
            </w:r>
            <w:r w:rsidRPr="004C301F">
              <w:t>0</w:t>
            </w:r>
          </w:p>
        </w:tc>
      </w:tr>
      <w:tr w:rsidR="00047E01" w:rsidTr="00B86DFA">
        <w:tc>
          <w:tcPr>
            <w:tcW w:w="6354" w:type="dxa"/>
            <w:gridSpan w:val="3"/>
            <w:shd w:val="clear" w:color="auto" w:fill="auto"/>
          </w:tcPr>
          <w:p w:rsidR="00047E01" w:rsidRDefault="00047E01" w:rsidP="00754497">
            <w:r>
              <w:t>Total</w:t>
            </w:r>
          </w:p>
        </w:tc>
        <w:tc>
          <w:tcPr>
            <w:tcW w:w="1926" w:type="dxa"/>
            <w:shd w:val="clear" w:color="auto" w:fill="auto"/>
          </w:tcPr>
          <w:p w:rsidR="00047E01" w:rsidRPr="004C301F" w:rsidRDefault="006A0C64" w:rsidP="008D5383">
            <w:pPr>
              <w:tabs>
                <w:tab w:val="left" w:pos="540"/>
                <w:tab w:val="left" w:pos="630"/>
              </w:tabs>
              <w:jc w:val="right"/>
            </w:pPr>
            <w:r>
              <w:fldChar w:fldCharType="begin"/>
            </w:r>
            <w:r>
              <w:instrText xml:space="preserve"> =SUM(ABOVE) </w:instrText>
            </w:r>
            <w:r>
              <w:fldChar w:fldCharType="separate"/>
            </w:r>
            <w:r>
              <w:rPr>
                <w:noProof/>
              </w:rPr>
              <w:t>$109,620.00</w:t>
            </w:r>
            <w:r>
              <w:fldChar w:fldCharType="end"/>
            </w:r>
          </w:p>
        </w:tc>
      </w:tr>
    </w:tbl>
    <w:p w:rsidR="003740BC" w:rsidRDefault="003740BC" w:rsidP="00047E01">
      <w:pPr>
        <w:pStyle w:val="BodyText2"/>
      </w:pPr>
    </w:p>
    <w:p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AF08FC" w:rsidRDefault="00AF08FC" w:rsidP="00AF08FC">
      <w:pPr>
        <w:tabs>
          <w:tab w:val="left" w:pos="450"/>
          <w:tab w:val="left" w:pos="720"/>
          <w:tab w:val="left" w:pos="810"/>
        </w:tabs>
        <w:ind w:left="720"/>
      </w:pPr>
      <w:r w:rsidRPr="002035EB">
        <w:t>The requirement</w:t>
      </w:r>
      <w:r>
        <w:t xml:space="preserve"> to submit a warning plan for smokeless tobacco products</w:t>
      </w:r>
      <w:r w:rsidRPr="002035EB">
        <w:t xml:space="preserve"> impose</w:t>
      </w:r>
      <w:r>
        <w:t>s</w:t>
      </w:r>
      <w:r w:rsidRPr="002035EB">
        <w:t xml:space="preserve"> minimal start-up costs. </w:t>
      </w:r>
      <w:r w:rsidR="00CD62D4">
        <w:t>As a normal business practice, t</w:t>
      </w:r>
      <w:r w:rsidRPr="002035EB">
        <w:t>he companies may keep</w:t>
      </w:r>
      <w:r>
        <w:t xml:space="preserve"> </w:t>
      </w:r>
      <w:r w:rsidRPr="002035EB">
        <w:t xml:space="preserve">copies of their plans to </w:t>
      </w:r>
      <w:r w:rsidR="00CD62D4">
        <w:t>document</w:t>
      </w:r>
      <w:r w:rsidR="00CD62D4" w:rsidRPr="002035EB">
        <w:t xml:space="preserve"> </w:t>
      </w:r>
      <w:r w:rsidRPr="002035EB">
        <w:t xml:space="preserve">that </w:t>
      </w:r>
      <w:r>
        <w:t>packaging</w:t>
      </w:r>
      <w:r w:rsidRPr="002035EB">
        <w:t xml:space="preserve"> and advertising complies with the </w:t>
      </w:r>
      <w:r>
        <w:t>r</w:t>
      </w:r>
      <w:r w:rsidRPr="002035EB">
        <w:t>equirements of the</w:t>
      </w:r>
      <w:r>
        <w:t xml:space="preserve"> </w:t>
      </w:r>
      <w:r w:rsidRPr="002035EB">
        <w:t xml:space="preserve">Smokeless Tobacco Act. </w:t>
      </w:r>
      <w:r w:rsidR="00CD62D4">
        <w:t xml:space="preserve">This would </w:t>
      </w:r>
      <w:r w:rsidRPr="002035EB">
        <w:t>require the use of office supplies, e.g., file</w:t>
      </w:r>
      <w:r>
        <w:t xml:space="preserve"> </w:t>
      </w:r>
      <w:r w:rsidRPr="002035EB">
        <w:t>folders and paper, all of which the companies should have on hand in the ordinary course of their</w:t>
      </w:r>
      <w:r>
        <w:t xml:space="preserve"> </w:t>
      </w:r>
      <w:r w:rsidRPr="002035EB">
        <w:t>business.</w:t>
      </w:r>
      <w:r>
        <w:t xml:space="preserve"> </w:t>
      </w:r>
      <w:r w:rsidRPr="002035EB">
        <w:t>While companies submitting initial plans may incur one-time capital expenditures for</w:t>
      </w:r>
      <w:r>
        <w:t xml:space="preserve"> </w:t>
      </w:r>
      <w:r w:rsidRPr="002035EB">
        <w:t>equipment used to print package labels</w:t>
      </w:r>
      <w:r>
        <w:t>,</w:t>
      </w:r>
      <w:r w:rsidRPr="002035EB">
        <w:t xml:space="preserve"> or to</w:t>
      </w:r>
      <w:r>
        <w:t xml:space="preserve"> </w:t>
      </w:r>
      <w:r w:rsidRPr="002035EB">
        <w:t>prepare acetates for advertising, in order to include the statutory health warnings</w:t>
      </w:r>
      <w:r>
        <w:t>,</w:t>
      </w:r>
      <w:r w:rsidRPr="002035EB">
        <w:t xml:space="preserve"> the warnings themselves disclose information </w:t>
      </w:r>
      <w:r>
        <w:t>supplied</w:t>
      </w:r>
      <w:r w:rsidRPr="002035EB">
        <w:t xml:space="preserve"> by the </w:t>
      </w:r>
      <w:r>
        <w:t>F</w:t>
      </w:r>
      <w:r w:rsidRPr="002035EB">
        <w:t xml:space="preserve">ederal </w:t>
      </w:r>
      <w:r>
        <w:t>G</w:t>
      </w:r>
      <w:r w:rsidRPr="002035EB">
        <w:t>overnment. As such, the disclosure does not constitute a “collection of</w:t>
      </w:r>
      <w:r>
        <w:t xml:space="preserve"> </w:t>
      </w:r>
      <w:r w:rsidRPr="002035EB">
        <w:t>information” as it is defined in the regulations implementing the PRA, nor, by extension, do the</w:t>
      </w:r>
      <w:r>
        <w:t xml:space="preserve"> </w:t>
      </w:r>
      <w:r w:rsidRPr="002035EB">
        <w:t xml:space="preserve">financial resources expended in relation to it constitute paperwork “burden.” </w:t>
      </w:r>
      <w:r w:rsidR="00652CF4">
        <w:t>(</w:t>
      </w:r>
      <w:r w:rsidRPr="002035EB">
        <w:t>See 5 CFR</w:t>
      </w:r>
      <w:r>
        <w:t xml:space="preserve"> </w:t>
      </w:r>
      <w:r w:rsidRPr="002035EB">
        <w:t>1320.3(c)(2)</w:t>
      </w:r>
      <w:r w:rsidR="00652CF4">
        <w:t>)</w:t>
      </w:r>
      <w:r w:rsidRPr="002035EB">
        <w:t xml:space="preserve">. Moreover, any expenditures relating to the statutory health warning </w:t>
      </w:r>
      <w:r>
        <w:t>r</w:t>
      </w:r>
      <w:r w:rsidRPr="002035EB">
        <w:t>equirements</w:t>
      </w:r>
      <w:r>
        <w:t xml:space="preserve"> </w:t>
      </w:r>
      <w:r w:rsidRPr="002035EB">
        <w:t xml:space="preserve">would likely be minimal. After </w:t>
      </w:r>
      <w:r>
        <w:t>FDA</w:t>
      </w:r>
      <w:r w:rsidRPr="002035EB">
        <w:t xml:space="preserve"> approves a plan for the equal</w:t>
      </w:r>
      <w:r>
        <w:rPr>
          <w:bCs/>
        </w:rPr>
        <w:t xml:space="preserve"> distribution and display of warning statements on packaging, and the quarterly rotation of warning statements in advertising for each brand of smokeless tobacco product, </w:t>
      </w:r>
      <w:r>
        <w:t xml:space="preserve">as </w:t>
      </w:r>
      <w:r w:rsidRPr="002035EB">
        <w:t>required by the Smokeless Tobacco Act, the companies are required</w:t>
      </w:r>
      <w:r>
        <w:t xml:space="preserve"> </w:t>
      </w:r>
      <w:r w:rsidRPr="002035EB">
        <w:t xml:space="preserve">to make additional submissions to </w:t>
      </w:r>
      <w:r>
        <w:t>FDA</w:t>
      </w:r>
      <w:r w:rsidRPr="002035EB">
        <w:t xml:space="preserve"> only if they change the</w:t>
      </w:r>
      <w:r>
        <w:t>ir warning plan</w:t>
      </w:r>
      <w:r w:rsidRPr="002035EB">
        <w:t>. Once companies have prepared the artwork for printing the required</w:t>
      </w:r>
      <w:r>
        <w:t xml:space="preserve"> </w:t>
      </w:r>
      <w:r w:rsidRPr="002035EB">
        <w:t>warnings on package</w:t>
      </w:r>
      <w:r>
        <w:t>s</w:t>
      </w:r>
      <w:r w:rsidRPr="002035EB">
        <w:t>, there is no additional start-up costs associated with the display of</w:t>
      </w:r>
      <w:r>
        <w:t xml:space="preserve"> </w:t>
      </w:r>
      <w:r w:rsidRPr="002035EB">
        <w:t xml:space="preserve">the warnings on packaging. Similarly, once companies have prepared artwork for </w:t>
      </w:r>
      <w:r>
        <w:t>including</w:t>
      </w:r>
      <w:r w:rsidRPr="002035EB">
        <w:t xml:space="preserve"> warnings in advertising, there is no additional start-up costs</w:t>
      </w:r>
      <w:r>
        <w:t xml:space="preserve"> </w:t>
      </w:r>
      <w:r w:rsidRPr="002035EB">
        <w:t>associated with printing the warnings in those materials.</w:t>
      </w:r>
    </w:p>
    <w:p w:rsidR="00AF08FC" w:rsidRDefault="00AF08FC" w:rsidP="00AF08FC">
      <w:pPr>
        <w:ind w:left="1080"/>
      </w:pPr>
    </w:p>
    <w:p w:rsidR="00350523" w:rsidRDefault="00AF08FC" w:rsidP="00AF08FC">
      <w:pPr>
        <w:ind w:left="720"/>
      </w:pPr>
      <w:r w:rsidRPr="001B03A9">
        <w:t>There will likely be small capital costs associated with this collection that pertain to the postage for mailing submissions.  Estimating this cost is problematic because the costs would vary depending on the size/weight of the mailed submission</w:t>
      </w:r>
      <w:r>
        <w:t>.  FDA’s</w:t>
      </w:r>
      <w:r w:rsidRPr="001B03A9">
        <w:t xml:space="preserve"> estimate is based upon all </w:t>
      </w:r>
      <w:r>
        <w:t>1</w:t>
      </w:r>
      <w:r w:rsidR="00A02579">
        <w:t>4</w:t>
      </w:r>
      <w:r w:rsidRPr="001B03A9">
        <w:t xml:space="preserve"> respondents mailing in their submission at a postage rate of $12 for a </w:t>
      </w:r>
      <w:r>
        <w:t>5-</w:t>
      </w:r>
      <w:r w:rsidRPr="001B03A9">
        <w:t>pound parcel (business parcel post mail delivered from the furthest delivery zone).</w:t>
      </w:r>
      <w:r>
        <w:t xml:space="preserve"> </w:t>
      </w:r>
      <w:r w:rsidRPr="00DA02B7">
        <w:t xml:space="preserve">FDA estimates that the total postage cost for mailing the rotational warning plans </w:t>
      </w:r>
      <w:r>
        <w:t>will be $1</w:t>
      </w:r>
      <w:r w:rsidR="00A02579">
        <w:t>68</w:t>
      </w:r>
      <w:r w:rsidR="00652CF4">
        <w:t>.</w:t>
      </w:r>
    </w:p>
    <w:p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rsidR="008638BE" w:rsidRPr="008638BE" w:rsidRDefault="008638BE" w:rsidP="008638BE">
      <w:pPr>
        <w:pStyle w:val="BodyText2"/>
        <w:ind w:left="720"/>
        <w:rPr>
          <w:szCs w:val="24"/>
        </w:rPr>
      </w:pPr>
      <w:r w:rsidRPr="008638BE">
        <w:rPr>
          <w:szCs w:val="24"/>
        </w:rPr>
        <w:t xml:space="preserve">FDA anticipates that the Federal Government will incur the following costs: </w:t>
      </w:r>
    </w:p>
    <w:p w:rsidR="008638BE" w:rsidRPr="008638BE" w:rsidRDefault="008638BE" w:rsidP="008638BE">
      <w:pPr>
        <w:pStyle w:val="BodyText2"/>
        <w:ind w:left="720"/>
        <w:rPr>
          <w:szCs w:val="24"/>
        </w:rPr>
      </w:pPr>
    </w:p>
    <w:p w:rsidR="008638BE" w:rsidRPr="008638BE" w:rsidRDefault="008638BE" w:rsidP="008638BE">
      <w:pPr>
        <w:pStyle w:val="BodyText2"/>
        <w:ind w:left="720"/>
        <w:rPr>
          <w:szCs w:val="24"/>
        </w:rPr>
      </w:pPr>
      <w:r w:rsidRPr="008638BE">
        <w:rPr>
          <w:szCs w:val="24"/>
        </w:rPr>
        <w:t>Staff Costs:</w:t>
      </w:r>
    </w:p>
    <w:p w:rsidR="008638BE" w:rsidRPr="008638BE" w:rsidRDefault="008638BE" w:rsidP="008638BE">
      <w:pPr>
        <w:pStyle w:val="BodyText2"/>
        <w:ind w:left="720"/>
        <w:rPr>
          <w:szCs w:val="24"/>
        </w:rPr>
      </w:pPr>
      <w:r w:rsidRPr="008638BE">
        <w:rPr>
          <w:szCs w:val="24"/>
        </w:rPr>
        <w:t>Full-time Equivalents (FTE) = 50 percent of 1 full time equivalent</w:t>
      </w:r>
    </w:p>
    <w:p w:rsidR="008638BE" w:rsidRPr="008638BE" w:rsidRDefault="008638BE" w:rsidP="008638BE">
      <w:pPr>
        <w:pStyle w:val="BodyText2"/>
        <w:ind w:left="720"/>
        <w:rPr>
          <w:szCs w:val="24"/>
        </w:rPr>
      </w:pPr>
      <w:r w:rsidRPr="008638BE">
        <w:rPr>
          <w:szCs w:val="24"/>
        </w:rPr>
        <w:t xml:space="preserve">Annual Cost per FTE=$116,000 </w:t>
      </w:r>
    </w:p>
    <w:p w:rsidR="008638BE" w:rsidRPr="008638BE" w:rsidRDefault="008638BE" w:rsidP="008638BE">
      <w:pPr>
        <w:pStyle w:val="BodyText2"/>
        <w:ind w:left="720"/>
        <w:rPr>
          <w:szCs w:val="24"/>
        </w:rPr>
      </w:pPr>
      <w:r w:rsidRPr="008638BE">
        <w:rPr>
          <w:szCs w:val="24"/>
        </w:rPr>
        <w:t>Total Annual Cost to the Federal Government = $58,000</w:t>
      </w:r>
    </w:p>
    <w:p w:rsidR="008638BE" w:rsidRPr="008638BE" w:rsidRDefault="008638BE" w:rsidP="008638BE">
      <w:pPr>
        <w:pStyle w:val="BodyText2"/>
        <w:ind w:left="720"/>
        <w:rPr>
          <w:szCs w:val="24"/>
        </w:rPr>
      </w:pPr>
    </w:p>
    <w:p w:rsidR="00A70426" w:rsidRDefault="008638BE" w:rsidP="008638BE">
      <w:pPr>
        <w:pStyle w:val="BodyText2"/>
        <w:ind w:left="720"/>
      </w:pPr>
      <w:r w:rsidRPr="008638BE">
        <w:rPr>
          <w:szCs w:val="24"/>
        </w:rPr>
        <w:t>FDA estimates that the current year’s cost of implementing this requirement is approximately $58,000.  This estimate is based on the assumption that approximately 50 percent of an FTE’s work year is devoted to administering the requirements. The salary rate of $116,000 includes salary, benefits, overhead, technical staff, support staff, etc.  This annual rate was determined by the Agency’s current estimates of staff expenses.</w:t>
      </w:r>
    </w:p>
    <w:p w:rsidR="004C6979" w:rsidRP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rsidR="00AF08FC" w:rsidRDefault="00881614" w:rsidP="00174460">
      <w:pPr>
        <w:pStyle w:val="BodyTextIndent"/>
        <w:ind w:left="720"/>
      </w:pPr>
      <w:r w:rsidRPr="00881614">
        <w:t>We have adjusted our burden estimate, which has resulted in a decrease of 5,460 hours and 86 respondents to the currently approved burden.  We received a total number of 44 original smokeless warning plans, and a total of 17 supplements. After receiving the initial influx of original warnings plans, FDA does not expect to receive as many original warning plans annually. We expect that a few supplements will continue to be received as new products are marketed or as warning plans are revised. We anticipate a total number of 10 supplements submitted annually and 4 Original smokeless warning plans.</w:t>
      </w:r>
    </w:p>
    <w:p w:rsidR="004C6979" w:rsidRP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rsidR="003C4EBB" w:rsidRDefault="00AF08FC" w:rsidP="00AF08FC">
      <w:pPr>
        <w:ind w:left="720"/>
      </w:pPr>
      <w:r w:rsidRPr="00AF08FC">
        <w:t>FDA does not intend to publish the results of this information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rsidR="004C6979" w:rsidRDefault="00AF08FC" w:rsidP="00D730BF">
      <w:pPr>
        <w:ind w:left="720"/>
      </w:pPr>
      <w:r w:rsidRPr="00AF08FC">
        <w:t>FDA is not requesting an exemption for display of the OMB expiration date.</w:t>
      </w:r>
    </w:p>
    <w:p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002746DB" w:rsidRPr="00891C55" w:rsidRDefault="00891C55" w:rsidP="00891C55">
      <w:pPr>
        <w:spacing w:before="100" w:beforeAutospacing="1" w:after="100" w:afterAutospacing="1"/>
        <w:ind w:left="720"/>
      </w:pPr>
      <w:r w:rsidRPr="00891C55">
        <w:t>No exceptions to the certification statement were identified.</w:t>
      </w:r>
      <w:r>
        <w:t xml:space="preserve"> </w:t>
      </w:r>
    </w:p>
    <w:sectPr w:rsidR="002746DB" w:rsidRPr="00891C55" w:rsidSect="00EB7538">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157" w:rsidRDefault="00F65157">
      <w:r>
        <w:separator/>
      </w:r>
    </w:p>
  </w:endnote>
  <w:endnote w:type="continuationSeparator" w:id="0">
    <w:p w:rsidR="00F65157" w:rsidRDefault="00F6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DE5" w:rsidRDefault="00E63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2962">
      <w:rPr>
        <w:rStyle w:val="PageNumber"/>
        <w:noProof/>
      </w:rPr>
      <w:t>1</w:t>
    </w:r>
    <w:r>
      <w:rPr>
        <w:rStyle w:val="PageNumber"/>
      </w:rPr>
      <w:fldChar w:fldCharType="end"/>
    </w:r>
  </w:p>
  <w:p w:rsidR="00E63DE5" w:rsidRDefault="00E63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157" w:rsidRDefault="00F65157">
      <w:r>
        <w:separator/>
      </w:r>
    </w:p>
  </w:footnote>
  <w:footnote w:type="continuationSeparator" w:id="0">
    <w:p w:rsidR="00F65157" w:rsidRDefault="00F651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0"/>
  </w:num>
  <w:num w:numId="5">
    <w:abstractNumId w:val="7"/>
  </w:num>
  <w:num w:numId="6">
    <w:abstractNumId w:val="22"/>
  </w:num>
  <w:num w:numId="7">
    <w:abstractNumId w:val="27"/>
  </w:num>
  <w:num w:numId="8">
    <w:abstractNumId w:val="4"/>
  </w:num>
  <w:num w:numId="9">
    <w:abstractNumId w:val="23"/>
  </w:num>
  <w:num w:numId="10">
    <w:abstractNumId w:val="19"/>
  </w:num>
  <w:num w:numId="11">
    <w:abstractNumId w:val="9"/>
  </w:num>
  <w:num w:numId="12">
    <w:abstractNumId w:val="30"/>
  </w:num>
  <w:num w:numId="13">
    <w:abstractNumId w:val="18"/>
  </w:num>
  <w:num w:numId="14">
    <w:abstractNumId w:val="8"/>
  </w:num>
  <w:num w:numId="15">
    <w:abstractNumId w:val="14"/>
  </w:num>
  <w:num w:numId="16">
    <w:abstractNumId w:val="13"/>
  </w:num>
  <w:num w:numId="17">
    <w:abstractNumId w:val="26"/>
  </w:num>
  <w:num w:numId="18">
    <w:abstractNumId w:val="29"/>
  </w:num>
  <w:num w:numId="19">
    <w:abstractNumId w:val="28"/>
  </w:num>
  <w:num w:numId="20">
    <w:abstractNumId w:val="17"/>
  </w:num>
  <w:num w:numId="21">
    <w:abstractNumId w:val="12"/>
  </w:num>
  <w:num w:numId="22">
    <w:abstractNumId w:val="3"/>
  </w:num>
  <w:num w:numId="23">
    <w:abstractNumId w:val="24"/>
  </w:num>
  <w:num w:numId="24">
    <w:abstractNumId w:val="21"/>
  </w:num>
  <w:num w:numId="25">
    <w:abstractNumId w:val="11"/>
  </w:num>
  <w:num w:numId="26">
    <w:abstractNumId w:val="6"/>
  </w:num>
  <w:num w:numId="27">
    <w:abstractNumId w:val="31"/>
  </w:num>
  <w:num w:numId="28">
    <w:abstractNumId w:val="25"/>
  </w:num>
  <w:num w:numId="29">
    <w:abstractNumId w:val="5"/>
  </w:num>
  <w:num w:numId="30">
    <w:abstractNumId w:val="16"/>
  </w:num>
  <w:num w:numId="31">
    <w:abstractNumId w:val="2"/>
  </w:num>
  <w:num w:numId="3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5A72"/>
    <w:rsid w:val="00010E93"/>
    <w:rsid w:val="00047E01"/>
    <w:rsid w:val="0006570F"/>
    <w:rsid w:val="0007790E"/>
    <w:rsid w:val="000C560C"/>
    <w:rsid w:val="000D3B2D"/>
    <w:rsid w:val="000D45BA"/>
    <w:rsid w:val="000D48FD"/>
    <w:rsid w:val="000E1C64"/>
    <w:rsid w:val="000F7119"/>
    <w:rsid w:val="00100739"/>
    <w:rsid w:val="00107885"/>
    <w:rsid w:val="00112962"/>
    <w:rsid w:val="00114FC4"/>
    <w:rsid w:val="0012329C"/>
    <w:rsid w:val="00134FA7"/>
    <w:rsid w:val="00137950"/>
    <w:rsid w:val="00152F29"/>
    <w:rsid w:val="0015717F"/>
    <w:rsid w:val="00174460"/>
    <w:rsid w:val="00185270"/>
    <w:rsid w:val="001A3B5A"/>
    <w:rsid w:val="001B25F3"/>
    <w:rsid w:val="001B7CE9"/>
    <w:rsid w:val="001D495A"/>
    <w:rsid w:val="001E244C"/>
    <w:rsid w:val="001F1437"/>
    <w:rsid w:val="00221EBF"/>
    <w:rsid w:val="002259EF"/>
    <w:rsid w:val="00242ED1"/>
    <w:rsid w:val="00254069"/>
    <w:rsid w:val="002734E5"/>
    <w:rsid w:val="002746DB"/>
    <w:rsid w:val="00280CAF"/>
    <w:rsid w:val="00282F09"/>
    <w:rsid w:val="002A1210"/>
    <w:rsid w:val="002A4210"/>
    <w:rsid w:val="002D14D8"/>
    <w:rsid w:val="002D4799"/>
    <w:rsid w:val="002E3FA4"/>
    <w:rsid w:val="003113FF"/>
    <w:rsid w:val="0032277F"/>
    <w:rsid w:val="00350523"/>
    <w:rsid w:val="00364E8D"/>
    <w:rsid w:val="003740BC"/>
    <w:rsid w:val="003801A3"/>
    <w:rsid w:val="00383D90"/>
    <w:rsid w:val="003B42B3"/>
    <w:rsid w:val="003B6384"/>
    <w:rsid w:val="003C4EBB"/>
    <w:rsid w:val="003D1531"/>
    <w:rsid w:val="003E4EC6"/>
    <w:rsid w:val="003E527E"/>
    <w:rsid w:val="003E553E"/>
    <w:rsid w:val="003E7078"/>
    <w:rsid w:val="003F3DF5"/>
    <w:rsid w:val="00411D11"/>
    <w:rsid w:val="00415E23"/>
    <w:rsid w:val="0041670D"/>
    <w:rsid w:val="00424061"/>
    <w:rsid w:val="00442A3C"/>
    <w:rsid w:val="00443969"/>
    <w:rsid w:val="00447D74"/>
    <w:rsid w:val="00450A74"/>
    <w:rsid w:val="004546BF"/>
    <w:rsid w:val="00465350"/>
    <w:rsid w:val="004846BF"/>
    <w:rsid w:val="004A01BA"/>
    <w:rsid w:val="004C6979"/>
    <w:rsid w:val="004D3E7A"/>
    <w:rsid w:val="00544138"/>
    <w:rsid w:val="00584583"/>
    <w:rsid w:val="005A4099"/>
    <w:rsid w:val="005A6E7B"/>
    <w:rsid w:val="005C38B2"/>
    <w:rsid w:val="005C5029"/>
    <w:rsid w:val="005C55C2"/>
    <w:rsid w:val="005C745C"/>
    <w:rsid w:val="005D4DF5"/>
    <w:rsid w:val="005E6E13"/>
    <w:rsid w:val="00610EC2"/>
    <w:rsid w:val="00611D6B"/>
    <w:rsid w:val="00620363"/>
    <w:rsid w:val="00623BBE"/>
    <w:rsid w:val="00652CF4"/>
    <w:rsid w:val="00694698"/>
    <w:rsid w:val="006A0C64"/>
    <w:rsid w:val="006A26C6"/>
    <w:rsid w:val="006A7D5D"/>
    <w:rsid w:val="006D5D57"/>
    <w:rsid w:val="006D6FCE"/>
    <w:rsid w:val="006F4D6D"/>
    <w:rsid w:val="00705086"/>
    <w:rsid w:val="00754497"/>
    <w:rsid w:val="00787C39"/>
    <w:rsid w:val="00795DF3"/>
    <w:rsid w:val="007A373C"/>
    <w:rsid w:val="007B225C"/>
    <w:rsid w:val="007C75B1"/>
    <w:rsid w:val="007D3DFC"/>
    <w:rsid w:val="007D4EF7"/>
    <w:rsid w:val="007E2F07"/>
    <w:rsid w:val="007F0A08"/>
    <w:rsid w:val="0080776D"/>
    <w:rsid w:val="00810145"/>
    <w:rsid w:val="008108FA"/>
    <w:rsid w:val="00810FF1"/>
    <w:rsid w:val="00822336"/>
    <w:rsid w:val="00823DFA"/>
    <w:rsid w:val="00843752"/>
    <w:rsid w:val="0085395B"/>
    <w:rsid w:val="0085725E"/>
    <w:rsid w:val="008638BE"/>
    <w:rsid w:val="00881614"/>
    <w:rsid w:val="00885B09"/>
    <w:rsid w:val="00891C55"/>
    <w:rsid w:val="00892400"/>
    <w:rsid w:val="008A209D"/>
    <w:rsid w:val="008B0E29"/>
    <w:rsid w:val="008B0EFA"/>
    <w:rsid w:val="008B30AB"/>
    <w:rsid w:val="008F5E7C"/>
    <w:rsid w:val="00905DEF"/>
    <w:rsid w:val="00913B43"/>
    <w:rsid w:val="00930203"/>
    <w:rsid w:val="009311D2"/>
    <w:rsid w:val="009311E6"/>
    <w:rsid w:val="00931275"/>
    <w:rsid w:val="00936AC7"/>
    <w:rsid w:val="0095261E"/>
    <w:rsid w:val="00953B64"/>
    <w:rsid w:val="009A1674"/>
    <w:rsid w:val="009C0B7B"/>
    <w:rsid w:val="009C684F"/>
    <w:rsid w:val="009D074C"/>
    <w:rsid w:val="009E1DD7"/>
    <w:rsid w:val="009F2B4F"/>
    <w:rsid w:val="009F66B5"/>
    <w:rsid w:val="00A02579"/>
    <w:rsid w:val="00A16221"/>
    <w:rsid w:val="00A20A7D"/>
    <w:rsid w:val="00A35D42"/>
    <w:rsid w:val="00A46CCF"/>
    <w:rsid w:val="00A53451"/>
    <w:rsid w:val="00A70426"/>
    <w:rsid w:val="00A73337"/>
    <w:rsid w:val="00A90D69"/>
    <w:rsid w:val="00A91E9A"/>
    <w:rsid w:val="00A93ED9"/>
    <w:rsid w:val="00A96221"/>
    <w:rsid w:val="00AA62CA"/>
    <w:rsid w:val="00AC6A99"/>
    <w:rsid w:val="00AF08FC"/>
    <w:rsid w:val="00B055EF"/>
    <w:rsid w:val="00B23769"/>
    <w:rsid w:val="00B81808"/>
    <w:rsid w:val="00B86DFA"/>
    <w:rsid w:val="00B936D0"/>
    <w:rsid w:val="00BB4ED1"/>
    <w:rsid w:val="00BD4923"/>
    <w:rsid w:val="00BE3600"/>
    <w:rsid w:val="00C01F6F"/>
    <w:rsid w:val="00C11955"/>
    <w:rsid w:val="00C149AB"/>
    <w:rsid w:val="00C40694"/>
    <w:rsid w:val="00C70542"/>
    <w:rsid w:val="00C75CBF"/>
    <w:rsid w:val="00CC2894"/>
    <w:rsid w:val="00CD62D4"/>
    <w:rsid w:val="00CD77C3"/>
    <w:rsid w:val="00CE112C"/>
    <w:rsid w:val="00CE31CF"/>
    <w:rsid w:val="00CF4C3A"/>
    <w:rsid w:val="00CF55D4"/>
    <w:rsid w:val="00D608DA"/>
    <w:rsid w:val="00D730BF"/>
    <w:rsid w:val="00DC76C7"/>
    <w:rsid w:val="00DD09F5"/>
    <w:rsid w:val="00DD4201"/>
    <w:rsid w:val="00DE5711"/>
    <w:rsid w:val="00DF3518"/>
    <w:rsid w:val="00E00EA0"/>
    <w:rsid w:val="00E26758"/>
    <w:rsid w:val="00E4357B"/>
    <w:rsid w:val="00E63DE5"/>
    <w:rsid w:val="00E65A37"/>
    <w:rsid w:val="00E77B48"/>
    <w:rsid w:val="00E91799"/>
    <w:rsid w:val="00EA21FE"/>
    <w:rsid w:val="00EA34E3"/>
    <w:rsid w:val="00EB7538"/>
    <w:rsid w:val="00F207A4"/>
    <w:rsid w:val="00F355AC"/>
    <w:rsid w:val="00F45C00"/>
    <w:rsid w:val="00F65157"/>
    <w:rsid w:val="00F71A5A"/>
    <w:rsid w:val="00F769E0"/>
    <w:rsid w:val="00FC6BDE"/>
    <w:rsid w:val="00FE0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customStyle="1" w:styleId="BodyText2Char">
    <w:name w:val="Body Text 2 Char"/>
    <w:basedOn w:val="DefaultParagraphFont"/>
    <w:link w:val="BodyText2"/>
    <w:rsid w:val="00610EC2"/>
    <w:rPr>
      <w:sz w:val="24"/>
    </w:rPr>
  </w:style>
  <w:style w:type="paragraph" w:styleId="FootnoteText">
    <w:name w:val="footnote text"/>
    <w:basedOn w:val="Normal"/>
    <w:link w:val="FootnoteTextChar"/>
    <w:rsid w:val="00610EC2"/>
    <w:rPr>
      <w:sz w:val="20"/>
      <w:szCs w:val="20"/>
    </w:rPr>
  </w:style>
  <w:style w:type="character" w:customStyle="1" w:styleId="FootnoteTextChar">
    <w:name w:val="Footnote Text Char"/>
    <w:basedOn w:val="DefaultParagraphFont"/>
    <w:link w:val="FootnoteText"/>
    <w:rsid w:val="00610EC2"/>
  </w:style>
  <w:style w:type="character" w:styleId="FootnoteReference">
    <w:name w:val="footnote reference"/>
    <w:rsid w:val="00610EC2"/>
    <w:rPr>
      <w:vertAlign w:val="superscript"/>
    </w:rPr>
  </w:style>
  <w:style w:type="character" w:styleId="Hyperlink">
    <w:name w:val="Hyperlink"/>
    <w:rsid w:val="00610EC2"/>
    <w:rPr>
      <w:color w:val="0000FF"/>
      <w:u w:val="single"/>
    </w:rPr>
  </w:style>
  <w:style w:type="character" w:styleId="FollowedHyperlink">
    <w:name w:val="FollowedHyperlink"/>
    <w:basedOn w:val="DefaultParagraphFont"/>
    <w:rsid w:val="00610EC2"/>
    <w:rPr>
      <w:color w:val="800080" w:themeColor="followedHyperlink"/>
      <w:u w:val="single"/>
    </w:rPr>
  </w:style>
  <w:style w:type="character" w:styleId="CommentReference">
    <w:name w:val="annotation reference"/>
    <w:basedOn w:val="DefaultParagraphFont"/>
    <w:rsid w:val="009C0B7B"/>
    <w:rPr>
      <w:sz w:val="16"/>
      <w:szCs w:val="16"/>
    </w:rPr>
  </w:style>
  <w:style w:type="paragraph" w:styleId="CommentText">
    <w:name w:val="annotation text"/>
    <w:basedOn w:val="Normal"/>
    <w:link w:val="CommentTextChar"/>
    <w:rsid w:val="009C0B7B"/>
    <w:rPr>
      <w:sz w:val="20"/>
      <w:szCs w:val="20"/>
    </w:rPr>
  </w:style>
  <w:style w:type="character" w:customStyle="1" w:styleId="CommentTextChar">
    <w:name w:val="Comment Text Char"/>
    <w:basedOn w:val="DefaultParagraphFont"/>
    <w:link w:val="CommentText"/>
    <w:rsid w:val="009C0B7B"/>
  </w:style>
  <w:style w:type="paragraph" w:styleId="CommentSubject">
    <w:name w:val="annotation subject"/>
    <w:basedOn w:val="CommentText"/>
    <w:next w:val="CommentText"/>
    <w:link w:val="CommentSubjectChar"/>
    <w:rsid w:val="009C0B7B"/>
    <w:rPr>
      <w:b/>
      <w:bCs/>
    </w:rPr>
  </w:style>
  <w:style w:type="character" w:customStyle="1" w:styleId="CommentSubjectChar">
    <w:name w:val="Comment Subject Char"/>
    <w:basedOn w:val="CommentTextChar"/>
    <w:link w:val="CommentSubject"/>
    <w:rsid w:val="009C0B7B"/>
    <w:rPr>
      <w:b/>
      <w:bCs/>
    </w:rPr>
  </w:style>
  <w:style w:type="paragraph" w:styleId="ListParagraph">
    <w:name w:val="List Paragraph"/>
    <w:basedOn w:val="Normal"/>
    <w:uiPriority w:val="34"/>
    <w:qFormat/>
    <w:rsid w:val="007D4E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customStyle="1" w:styleId="BodyText2Char">
    <w:name w:val="Body Text 2 Char"/>
    <w:basedOn w:val="DefaultParagraphFont"/>
    <w:link w:val="BodyText2"/>
    <w:rsid w:val="00610EC2"/>
    <w:rPr>
      <w:sz w:val="24"/>
    </w:rPr>
  </w:style>
  <w:style w:type="paragraph" w:styleId="FootnoteText">
    <w:name w:val="footnote text"/>
    <w:basedOn w:val="Normal"/>
    <w:link w:val="FootnoteTextChar"/>
    <w:rsid w:val="00610EC2"/>
    <w:rPr>
      <w:sz w:val="20"/>
      <w:szCs w:val="20"/>
    </w:rPr>
  </w:style>
  <w:style w:type="character" w:customStyle="1" w:styleId="FootnoteTextChar">
    <w:name w:val="Footnote Text Char"/>
    <w:basedOn w:val="DefaultParagraphFont"/>
    <w:link w:val="FootnoteText"/>
    <w:rsid w:val="00610EC2"/>
  </w:style>
  <w:style w:type="character" w:styleId="FootnoteReference">
    <w:name w:val="footnote reference"/>
    <w:rsid w:val="00610EC2"/>
    <w:rPr>
      <w:vertAlign w:val="superscript"/>
    </w:rPr>
  </w:style>
  <w:style w:type="character" w:styleId="Hyperlink">
    <w:name w:val="Hyperlink"/>
    <w:rsid w:val="00610EC2"/>
    <w:rPr>
      <w:color w:val="0000FF"/>
      <w:u w:val="single"/>
    </w:rPr>
  </w:style>
  <w:style w:type="character" w:styleId="FollowedHyperlink">
    <w:name w:val="FollowedHyperlink"/>
    <w:basedOn w:val="DefaultParagraphFont"/>
    <w:rsid w:val="00610EC2"/>
    <w:rPr>
      <w:color w:val="800080" w:themeColor="followedHyperlink"/>
      <w:u w:val="single"/>
    </w:rPr>
  </w:style>
  <w:style w:type="character" w:styleId="CommentReference">
    <w:name w:val="annotation reference"/>
    <w:basedOn w:val="DefaultParagraphFont"/>
    <w:rsid w:val="009C0B7B"/>
    <w:rPr>
      <w:sz w:val="16"/>
      <w:szCs w:val="16"/>
    </w:rPr>
  </w:style>
  <w:style w:type="paragraph" w:styleId="CommentText">
    <w:name w:val="annotation text"/>
    <w:basedOn w:val="Normal"/>
    <w:link w:val="CommentTextChar"/>
    <w:rsid w:val="009C0B7B"/>
    <w:rPr>
      <w:sz w:val="20"/>
      <w:szCs w:val="20"/>
    </w:rPr>
  </w:style>
  <w:style w:type="character" w:customStyle="1" w:styleId="CommentTextChar">
    <w:name w:val="Comment Text Char"/>
    <w:basedOn w:val="DefaultParagraphFont"/>
    <w:link w:val="CommentText"/>
    <w:rsid w:val="009C0B7B"/>
  </w:style>
  <w:style w:type="paragraph" w:styleId="CommentSubject">
    <w:name w:val="annotation subject"/>
    <w:basedOn w:val="CommentText"/>
    <w:next w:val="CommentText"/>
    <w:link w:val="CommentSubjectChar"/>
    <w:rsid w:val="009C0B7B"/>
    <w:rPr>
      <w:b/>
      <w:bCs/>
    </w:rPr>
  </w:style>
  <w:style w:type="character" w:customStyle="1" w:styleId="CommentSubjectChar">
    <w:name w:val="Comment Subject Char"/>
    <w:basedOn w:val="CommentTextChar"/>
    <w:link w:val="CommentSubject"/>
    <w:rsid w:val="009C0B7B"/>
    <w:rPr>
      <w:b/>
      <w:bCs/>
    </w:rPr>
  </w:style>
  <w:style w:type="paragraph" w:styleId="ListParagraph">
    <w:name w:val="List Paragraph"/>
    <w:basedOn w:val="Normal"/>
    <w:uiPriority w:val="34"/>
    <w:qFormat/>
    <w:rsid w:val="007D4E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1781</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Sanford, Amber</dc:creator>
  <cp:lastModifiedBy>SYSTEM</cp:lastModifiedBy>
  <cp:revision>2</cp:revision>
  <cp:lastPrinted>2013-10-24T17:23:00Z</cp:lastPrinted>
  <dcterms:created xsi:type="dcterms:W3CDTF">2019-10-24T15:11:00Z</dcterms:created>
  <dcterms:modified xsi:type="dcterms:W3CDTF">2019-10-24T15:11:00Z</dcterms:modified>
</cp:coreProperties>
</file>