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8AF88" w14:textId="77777777" w:rsidR="00BA2DBE" w:rsidRPr="00E707C0" w:rsidRDefault="00BA2DBE">
      <w:pPr>
        <w:rPr>
          <w:rFonts w:ascii="Arial" w:hAnsi="Arial" w:cs="Arial"/>
        </w:rPr>
      </w:pPr>
      <w:bookmarkStart w:id="0" w:name="_Toc337198071"/>
      <w:bookmarkStart w:id="1" w:name="_Toc423335421"/>
      <w:bookmarkStart w:id="2" w:name="_GoBack"/>
      <w:bookmarkEnd w:id="2"/>
    </w:p>
    <w:p w14:paraId="79F2D715" w14:textId="77777777" w:rsidR="00BA2DBE" w:rsidRPr="00E707C0" w:rsidRDefault="00BA2DBE">
      <w:pPr>
        <w:rPr>
          <w:rFonts w:ascii="Arial" w:hAnsi="Arial" w:cs="Arial"/>
        </w:rPr>
      </w:pPr>
    </w:p>
    <w:p w14:paraId="7432494C" w14:textId="77777777" w:rsidR="00BA2DBE" w:rsidRPr="00E707C0" w:rsidRDefault="00BA2DBE">
      <w:pPr>
        <w:rPr>
          <w:rFonts w:ascii="Arial" w:hAnsi="Arial" w:cs="Arial"/>
        </w:rPr>
      </w:pPr>
    </w:p>
    <w:p w14:paraId="4832CE70" w14:textId="77777777" w:rsidR="009E47C4" w:rsidRDefault="009E47C4" w:rsidP="009E47C4">
      <w:pPr>
        <w:pStyle w:val="Title"/>
        <w:rPr>
          <w:rFonts w:ascii="Cambria" w:hAnsi="Cambria" w:cs="Courier New"/>
          <w:bCs/>
          <w:iCs/>
          <w:color w:val="000000"/>
          <w:sz w:val="48"/>
          <w:szCs w:val="48"/>
        </w:rPr>
      </w:pPr>
    </w:p>
    <w:p w14:paraId="602672D5" w14:textId="77777777" w:rsidR="009E47C4" w:rsidRPr="009E47C4" w:rsidRDefault="009E47C4" w:rsidP="009E47C4">
      <w:pPr>
        <w:pStyle w:val="Title"/>
        <w:rPr>
          <w:rFonts w:ascii="Cambria" w:hAnsi="Cambria" w:cs="Courier New"/>
          <w:bCs/>
          <w:iCs/>
          <w:color w:val="000000"/>
          <w:sz w:val="48"/>
          <w:szCs w:val="48"/>
        </w:rPr>
      </w:pPr>
      <w:r w:rsidRPr="009E47C4">
        <w:rPr>
          <w:rFonts w:ascii="Cambria" w:hAnsi="Cambria" w:cs="Courier New"/>
          <w:bCs/>
          <w:iCs/>
          <w:color w:val="000000"/>
          <w:sz w:val="48"/>
          <w:szCs w:val="48"/>
        </w:rPr>
        <w:t xml:space="preserve">Human Health Effects of Drinking Water Exposures to Per- and Polyfluoroalkyl Substances (PFAS) at Pease International Tradeport, Portsmouth, NH </w:t>
      </w:r>
    </w:p>
    <w:p w14:paraId="3E102E8B" w14:textId="77777777" w:rsidR="009E47C4" w:rsidRPr="009E47C4" w:rsidRDefault="009E47C4" w:rsidP="009E47C4">
      <w:pPr>
        <w:pStyle w:val="Title"/>
        <w:rPr>
          <w:rFonts w:ascii="Cambria" w:hAnsi="Cambria" w:cs="Courier New"/>
          <w:bCs/>
          <w:iCs/>
          <w:color w:val="000000"/>
          <w:sz w:val="48"/>
          <w:szCs w:val="48"/>
        </w:rPr>
      </w:pPr>
    </w:p>
    <w:p w14:paraId="0DD66A2F" w14:textId="77777777" w:rsidR="009E47C4" w:rsidRPr="009E47C4" w:rsidRDefault="009E47C4" w:rsidP="009E47C4">
      <w:pPr>
        <w:pStyle w:val="Title"/>
        <w:rPr>
          <w:rFonts w:ascii="Cambria" w:hAnsi="Cambria"/>
          <w:color w:val="auto"/>
          <w:sz w:val="48"/>
          <w:szCs w:val="48"/>
        </w:rPr>
      </w:pPr>
      <w:r w:rsidRPr="009E47C4">
        <w:rPr>
          <w:rFonts w:ascii="Cambria" w:hAnsi="Cambria" w:cs="Courier New"/>
          <w:bCs/>
          <w:iCs/>
          <w:color w:val="000000"/>
          <w:sz w:val="48"/>
          <w:szCs w:val="48"/>
        </w:rPr>
        <w:t>(The Pease Study)</w:t>
      </w:r>
    </w:p>
    <w:p w14:paraId="75B43ED3" w14:textId="77777777" w:rsidR="009E47C4" w:rsidRPr="009E47C4" w:rsidRDefault="009E47C4" w:rsidP="009E47C4">
      <w:pPr>
        <w:spacing w:after="200" w:line="276" w:lineRule="auto"/>
        <w:rPr>
          <w:rFonts w:ascii="Cambria" w:hAnsi="Cambria" w:cs="Arial"/>
          <w:sz w:val="36"/>
          <w:szCs w:val="36"/>
        </w:rPr>
      </w:pPr>
    </w:p>
    <w:p w14:paraId="1EDB15DF" w14:textId="77777777" w:rsidR="009E47C4" w:rsidRPr="009E47C4" w:rsidRDefault="009E47C4" w:rsidP="009E47C4">
      <w:pPr>
        <w:spacing w:after="200" w:line="276" w:lineRule="auto"/>
        <w:rPr>
          <w:rFonts w:ascii="Cambria" w:hAnsi="Cambria" w:cs="Arial"/>
          <w:sz w:val="36"/>
          <w:szCs w:val="36"/>
        </w:rPr>
      </w:pPr>
      <w:r w:rsidRPr="009E47C4">
        <w:rPr>
          <w:rFonts w:ascii="Cambria" w:hAnsi="Cambria" w:cs="Arial"/>
          <w:sz w:val="36"/>
          <w:szCs w:val="36"/>
        </w:rPr>
        <w:t>New Information Collection Request</w:t>
      </w:r>
    </w:p>
    <w:p w14:paraId="55E2D12B" w14:textId="77777777" w:rsidR="009E47C4" w:rsidRPr="009E47C4" w:rsidRDefault="009E47C4" w:rsidP="009E47C4">
      <w:pPr>
        <w:pStyle w:val="Subtitle"/>
        <w:rPr>
          <w:rFonts w:ascii="Cambria" w:hAnsi="Cambria"/>
          <w:color w:val="auto"/>
        </w:rPr>
      </w:pPr>
    </w:p>
    <w:p w14:paraId="797F518F" w14:textId="77777777" w:rsidR="009E47C4" w:rsidRPr="00E707C0" w:rsidRDefault="009E47C4" w:rsidP="009E47C4">
      <w:pPr>
        <w:pStyle w:val="Subtitle"/>
        <w:rPr>
          <w:rFonts w:ascii="Cambria" w:hAnsi="Cambria"/>
          <w:color w:val="auto"/>
        </w:rPr>
      </w:pPr>
      <w:r w:rsidRPr="00E707C0">
        <w:rPr>
          <w:rFonts w:ascii="Cambria" w:hAnsi="Cambria"/>
          <w:color w:val="auto"/>
        </w:rPr>
        <w:t xml:space="preserve">Supporting Statement Part B – </w:t>
      </w:r>
    </w:p>
    <w:p w14:paraId="2468CD38" w14:textId="77777777" w:rsidR="009E47C4" w:rsidRPr="00E707C0" w:rsidRDefault="009E47C4" w:rsidP="009E47C4">
      <w:pPr>
        <w:pStyle w:val="Subtitle"/>
        <w:rPr>
          <w:rFonts w:ascii="Cambria" w:hAnsi="Cambria"/>
          <w:color w:val="auto"/>
        </w:rPr>
      </w:pPr>
      <w:r w:rsidRPr="00E707C0">
        <w:rPr>
          <w:rFonts w:ascii="Cambria" w:hAnsi="Cambria"/>
          <w:color w:val="auto"/>
        </w:rPr>
        <w:t>Collections of Information Employing Statistical Methods</w:t>
      </w:r>
    </w:p>
    <w:p w14:paraId="639590F8" w14:textId="77777777" w:rsidR="009E47C4" w:rsidRPr="009E47C4" w:rsidRDefault="009E47C4" w:rsidP="009E47C4">
      <w:pPr>
        <w:rPr>
          <w:rFonts w:ascii="Cambria" w:hAnsi="Cambria"/>
        </w:rPr>
      </w:pPr>
    </w:p>
    <w:p w14:paraId="7BE759B3" w14:textId="77777777" w:rsidR="009E47C4" w:rsidRPr="009E47C4" w:rsidRDefault="009E47C4" w:rsidP="009E47C4">
      <w:pPr>
        <w:spacing w:after="200" w:line="276" w:lineRule="auto"/>
        <w:rPr>
          <w:rFonts w:ascii="Cambria" w:hAnsi="Cambria" w:cs="Arial"/>
          <w:sz w:val="36"/>
          <w:szCs w:val="36"/>
        </w:rPr>
      </w:pPr>
    </w:p>
    <w:p w14:paraId="75691F89"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 xml:space="preserve">Principal Investigator: Marian Pavuk, MD, PhD </w:t>
      </w:r>
    </w:p>
    <w:p w14:paraId="5CEBC02E"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Title: Senior Epidemiologist</w:t>
      </w:r>
    </w:p>
    <w:p w14:paraId="5B3896D3" w14:textId="77777777" w:rsidR="009E47C4" w:rsidRPr="009E47C4" w:rsidRDefault="009E47C4" w:rsidP="009E47C4">
      <w:pPr>
        <w:pStyle w:val="Subtitle"/>
        <w:spacing w:after="0"/>
        <w:ind w:firstLine="720"/>
        <w:rPr>
          <w:rFonts w:ascii="Cambria" w:hAnsi="Cambria"/>
          <w:color w:val="auto"/>
        </w:rPr>
      </w:pPr>
      <w:r w:rsidRPr="009E47C4">
        <w:rPr>
          <w:rFonts w:ascii="Cambria" w:hAnsi="Cambria"/>
          <w:color w:val="auto"/>
        </w:rPr>
        <w:t>ATSDR Division of Toxicology and Human Health Sciences</w:t>
      </w:r>
    </w:p>
    <w:p w14:paraId="24FF0EFF"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Email: fsh8@cdc.gov</w:t>
      </w:r>
    </w:p>
    <w:p w14:paraId="67EF0727"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Phone: 770-488-3671</w:t>
      </w:r>
    </w:p>
    <w:p w14:paraId="57F25E0D"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 xml:space="preserve">Fax: </w:t>
      </w:r>
      <w:r w:rsidRPr="009E47C4">
        <w:rPr>
          <w:rFonts w:ascii="Cambria" w:hAnsi="Cambria" w:cs="Tahoma"/>
          <w:color w:val="333333"/>
        </w:rPr>
        <w:t>770-488-1541</w:t>
      </w:r>
    </w:p>
    <w:p w14:paraId="080EEE5F" w14:textId="77777777" w:rsidR="009E47C4" w:rsidRPr="009E47C4" w:rsidRDefault="009E47C4" w:rsidP="009E47C4">
      <w:pPr>
        <w:pStyle w:val="Subtitle"/>
        <w:spacing w:after="0"/>
        <w:rPr>
          <w:rFonts w:ascii="Cambria" w:hAnsi="Cambria"/>
          <w:color w:val="auto"/>
        </w:rPr>
      </w:pPr>
    </w:p>
    <w:p w14:paraId="3FDB573A" w14:textId="586C66F3" w:rsidR="00BA2DBE" w:rsidRPr="009E47C4" w:rsidRDefault="000267F6" w:rsidP="009E47C4">
      <w:pPr>
        <w:rPr>
          <w:rFonts w:ascii="Cambria" w:hAnsi="Cambria" w:cs="Arial"/>
          <w:sz w:val="30"/>
          <w:szCs w:val="30"/>
        </w:rPr>
      </w:pPr>
      <w:r>
        <w:rPr>
          <w:rFonts w:ascii="Cambria" w:hAnsi="Cambria"/>
          <w:sz w:val="30"/>
          <w:szCs w:val="30"/>
        </w:rPr>
        <w:t xml:space="preserve">Date: </w:t>
      </w:r>
      <w:r w:rsidR="000A3E58">
        <w:rPr>
          <w:rFonts w:ascii="Cambria" w:hAnsi="Cambria"/>
          <w:sz w:val="30"/>
          <w:szCs w:val="30"/>
        </w:rPr>
        <w:t xml:space="preserve">August </w:t>
      </w:r>
      <w:r w:rsidR="003A0C9B">
        <w:rPr>
          <w:rFonts w:ascii="Cambria" w:hAnsi="Cambria"/>
          <w:sz w:val="30"/>
          <w:szCs w:val="30"/>
        </w:rPr>
        <w:t>1</w:t>
      </w:r>
      <w:r w:rsidR="000A3E58">
        <w:rPr>
          <w:rFonts w:ascii="Cambria" w:hAnsi="Cambria"/>
          <w:sz w:val="30"/>
          <w:szCs w:val="30"/>
        </w:rPr>
        <w:t>2</w:t>
      </w:r>
      <w:r w:rsidR="00293654">
        <w:rPr>
          <w:rFonts w:ascii="Cambria" w:hAnsi="Cambria"/>
          <w:sz w:val="30"/>
          <w:szCs w:val="30"/>
        </w:rPr>
        <w:t>, 2019</w:t>
      </w:r>
    </w:p>
    <w:p w14:paraId="5CAE260F" w14:textId="77777777" w:rsidR="00BA2DBE" w:rsidRPr="00E707C0" w:rsidRDefault="00BA2DBE">
      <w:pPr>
        <w:rPr>
          <w:rFonts w:ascii="Arial" w:hAnsi="Arial" w:cs="Arial"/>
        </w:rPr>
      </w:pP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1FF6ED0F" w14:textId="77777777"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5EF12998" w14:textId="3CEB44A5" w:rsidR="00301F0F" w:rsidRPr="00526440" w:rsidRDefault="004B3CEA">
          <w:pPr>
            <w:pStyle w:val="TOC1"/>
            <w:tabs>
              <w:tab w:val="left" w:pos="630"/>
              <w:tab w:val="right" w:leader="dot" w:pos="9350"/>
            </w:tabs>
            <w:rPr>
              <w:rFonts w:cstheme="minorHAnsi"/>
              <w:noProof/>
              <w:sz w:val="22"/>
              <w:szCs w:val="22"/>
            </w:rPr>
          </w:pPr>
          <w:r w:rsidRPr="00526440">
            <w:rPr>
              <w:rFonts w:cstheme="minorHAnsi"/>
            </w:rPr>
            <w:fldChar w:fldCharType="begin"/>
          </w:r>
          <w:r w:rsidRPr="00526440">
            <w:rPr>
              <w:rFonts w:cstheme="minorHAnsi"/>
            </w:rPr>
            <w:instrText xml:space="preserve"> TOC \o "1-5" \h \z \u </w:instrText>
          </w:r>
          <w:r w:rsidRPr="00526440">
            <w:rPr>
              <w:rFonts w:cstheme="minorHAnsi"/>
            </w:rPr>
            <w:fldChar w:fldCharType="separate"/>
          </w:r>
          <w:hyperlink w:anchor="_Toc4777324" w:history="1">
            <w:r w:rsidR="00301F0F" w:rsidRPr="00D26485">
              <w:rPr>
                <w:rStyle w:val="Hyperlink"/>
                <w:rFonts w:cstheme="minorHAnsi"/>
                <w:noProof/>
              </w:rPr>
              <w:t>B.1.</w:t>
            </w:r>
            <w:r w:rsidR="00301F0F" w:rsidRPr="00D26485">
              <w:rPr>
                <w:rFonts w:cstheme="minorHAnsi"/>
                <w:noProof/>
                <w:sz w:val="22"/>
                <w:szCs w:val="22"/>
              </w:rPr>
              <w:tab/>
            </w:r>
            <w:r w:rsidR="00301F0F" w:rsidRPr="00D26485">
              <w:rPr>
                <w:rStyle w:val="Hyperlink"/>
                <w:rFonts w:cstheme="minorHAnsi"/>
                <w:noProof/>
              </w:rPr>
              <w:t>Respondent Universe and Sampling Methods</w:t>
            </w:r>
            <w:r w:rsidR="00301F0F" w:rsidRPr="00D26485">
              <w:rPr>
                <w:rFonts w:cstheme="minorHAnsi"/>
                <w:noProof/>
                <w:webHidden/>
              </w:rPr>
              <w:tab/>
            </w:r>
            <w:r w:rsidR="00301F0F" w:rsidRPr="00D26485">
              <w:rPr>
                <w:rFonts w:cstheme="minorHAnsi"/>
                <w:noProof/>
                <w:webHidden/>
              </w:rPr>
              <w:fldChar w:fldCharType="begin"/>
            </w:r>
            <w:r w:rsidR="00301F0F" w:rsidRPr="00D26485">
              <w:rPr>
                <w:rFonts w:cstheme="minorHAnsi"/>
                <w:noProof/>
                <w:webHidden/>
              </w:rPr>
              <w:instrText xml:space="preserve"> PAGEREF _Toc4777324 \h </w:instrText>
            </w:r>
            <w:r w:rsidR="00301F0F" w:rsidRPr="00D26485">
              <w:rPr>
                <w:rFonts w:cstheme="minorHAnsi"/>
                <w:noProof/>
                <w:webHidden/>
              </w:rPr>
            </w:r>
            <w:r w:rsidR="00301F0F" w:rsidRPr="00D26485">
              <w:rPr>
                <w:rFonts w:cstheme="minorHAnsi"/>
                <w:noProof/>
                <w:webHidden/>
              </w:rPr>
              <w:fldChar w:fldCharType="separate"/>
            </w:r>
            <w:r w:rsidR="0045654F">
              <w:rPr>
                <w:rFonts w:cstheme="minorHAnsi"/>
                <w:noProof/>
                <w:webHidden/>
              </w:rPr>
              <w:t>3</w:t>
            </w:r>
            <w:r w:rsidR="00301F0F" w:rsidRPr="00D26485">
              <w:rPr>
                <w:rFonts w:cstheme="minorHAnsi"/>
                <w:noProof/>
                <w:webHidden/>
              </w:rPr>
              <w:fldChar w:fldCharType="end"/>
            </w:r>
          </w:hyperlink>
        </w:p>
        <w:p w14:paraId="64D5A18E" w14:textId="12EA1EEE" w:rsidR="00301F0F" w:rsidRPr="00526440" w:rsidRDefault="00583C57">
          <w:pPr>
            <w:pStyle w:val="TOC1"/>
            <w:tabs>
              <w:tab w:val="left" w:pos="630"/>
              <w:tab w:val="right" w:leader="dot" w:pos="9350"/>
            </w:tabs>
            <w:rPr>
              <w:rFonts w:cstheme="minorHAnsi"/>
              <w:noProof/>
              <w:sz w:val="22"/>
              <w:szCs w:val="22"/>
            </w:rPr>
          </w:pPr>
          <w:hyperlink w:anchor="_Toc4777325" w:history="1">
            <w:r w:rsidR="00301F0F" w:rsidRPr="00D26485">
              <w:rPr>
                <w:rStyle w:val="Hyperlink"/>
                <w:rFonts w:cstheme="minorHAnsi"/>
                <w:noProof/>
              </w:rPr>
              <w:t>B.2.</w:t>
            </w:r>
            <w:r w:rsidR="00301F0F" w:rsidRPr="00526440">
              <w:rPr>
                <w:rFonts w:cstheme="minorHAnsi"/>
                <w:noProof/>
                <w:sz w:val="22"/>
                <w:szCs w:val="22"/>
              </w:rPr>
              <w:tab/>
            </w:r>
            <w:r w:rsidR="00301F0F" w:rsidRPr="00D26485">
              <w:rPr>
                <w:rStyle w:val="Hyperlink"/>
                <w:rFonts w:cstheme="minorHAnsi"/>
                <w:noProof/>
              </w:rPr>
              <w:t>Procedures for the Collection of Information</w:t>
            </w:r>
            <w:r w:rsidR="00301F0F" w:rsidRPr="00526440">
              <w:rPr>
                <w:rFonts w:cstheme="minorHAnsi"/>
                <w:noProof/>
                <w:webHidden/>
              </w:rPr>
              <w:tab/>
            </w:r>
            <w:r w:rsidR="00301F0F" w:rsidRPr="00526440">
              <w:rPr>
                <w:rFonts w:cstheme="minorHAnsi"/>
                <w:noProof/>
                <w:webHidden/>
              </w:rPr>
              <w:fldChar w:fldCharType="begin"/>
            </w:r>
            <w:r w:rsidR="00301F0F" w:rsidRPr="00D26485">
              <w:rPr>
                <w:rFonts w:cstheme="minorHAnsi"/>
                <w:noProof/>
                <w:webHidden/>
              </w:rPr>
              <w:instrText xml:space="preserve"> PAGEREF _Toc4777325 \h </w:instrText>
            </w:r>
            <w:r w:rsidR="00301F0F" w:rsidRPr="00526440">
              <w:rPr>
                <w:rFonts w:cstheme="minorHAnsi"/>
                <w:noProof/>
                <w:webHidden/>
              </w:rPr>
            </w:r>
            <w:r w:rsidR="00301F0F" w:rsidRPr="00526440">
              <w:rPr>
                <w:rFonts w:cstheme="minorHAnsi"/>
                <w:noProof/>
                <w:webHidden/>
              </w:rPr>
              <w:fldChar w:fldCharType="separate"/>
            </w:r>
            <w:r w:rsidR="0045654F">
              <w:rPr>
                <w:rFonts w:cstheme="minorHAnsi"/>
                <w:noProof/>
                <w:webHidden/>
              </w:rPr>
              <w:t>10</w:t>
            </w:r>
            <w:r w:rsidR="00301F0F" w:rsidRPr="00526440">
              <w:rPr>
                <w:rFonts w:cstheme="minorHAnsi"/>
                <w:noProof/>
                <w:webHidden/>
              </w:rPr>
              <w:fldChar w:fldCharType="end"/>
            </w:r>
          </w:hyperlink>
        </w:p>
        <w:p w14:paraId="72A3AFA8" w14:textId="70C4156D" w:rsidR="00301F0F" w:rsidRPr="00526440" w:rsidRDefault="00583C57">
          <w:pPr>
            <w:pStyle w:val="TOC1"/>
            <w:tabs>
              <w:tab w:val="left" w:pos="630"/>
              <w:tab w:val="right" w:leader="dot" w:pos="9350"/>
            </w:tabs>
            <w:rPr>
              <w:rFonts w:cstheme="minorHAnsi"/>
              <w:noProof/>
              <w:sz w:val="22"/>
              <w:szCs w:val="22"/>
            </w:rPr>
          </w:pPr>
          <w:hyperlink w:anchor="_Toc4777326" w:history="1">
            <w:r w:rsidR="00301F0F" w:rsidRPr="00D26485">
              <w:rPr>
                <w:rStyle w:val="Hyperlink"/>
                <w:rFonts w:cstheme="minorHAnsi"/>
                <w:noProof/>
              </w:rPr>
              <w:t>B.3.</w:t>
            </w:r>
            <w:r w:rsidR="00301F0F" w:rsidRPr="00526440">
              <w:rPr>
                <w:rFonts w:cstheme="minorHAnsi"/>
                <w:noProof/>
                <w:sz w:val="22"/>
                <w:szCs w:val="22"/>
              </w:rPr>
              <w:tab/>
            </w:r>
            <w:r w:rsidR="00301F0F" w:rsidRPr="00D26485">
              <w:rPr>
                <w:rStyle w:val="Hyperlink"/>
                <w:rFonts w:cstheme="minorHAnsi"/>
                <w:noProof/>
              </w:rPr>
              <w:t>Methods to Maximize Response Rates and Deal with Non-response</w:t>
            </w:r>
            <w:r w:rsidR="00301F0F" w:rsidRPr="00526440">
              <w:rPr>
                <w:rFonts w:cstheme="minorHAnsi"/>
                <w:noProof/>
                <w:webHidden/>
              </w:rPr>
              <w:tab/>
            </w:r>
            <w:r w:rsidR="00301F0F" w:rsidRPr="00526440">
              <w:rPr>
                <w:rFonts w:cstheme="minorHAnsi"/>
                <w:noProof/>
                <w:webHidden/>
              </w:rPr>
              <w:fldChar w:fldCharType="begin"/>
            </w:r>
            <w:r w:rsidR="00301F0F" w:rsidRPr="00D26485">
              <w:rPr>
                <w:rFonts w:cstheme="minorHAnsi"/>
                <w:noProof/>
                <w:webHidden/>
              </w:rPr>
              <w:instrText xml:space="preserve"> PAGEREF _Toc4777326 \h </w:instrText>
            </w:r>
            <w:r w:rsidR="00301F0F" w:rsidRPr="00526440">
              <w:rPr>
                <w:rFonts w:cstheme="minorHAnsi"/>
                <w:noProof/>
                <w:webHidden/>
              </w:rPr>
            </w:r>
            <w:r w:rsidR="00301F0F" w:rsidRPr="00526440">
              <w:rPr>
                <w:rFonts w:cstheme="minorHAnsi"/>
                <w:noProof/>
                <w:webHidden/>
              </w:rPr>
              <w:fldChar w:fldCharType="separate"/>
            </w:r>
            <w:r w:rsidR="0045654F">
              <w:rPr>
                <w:rFonts w:cstheme="minorHAnsi"/>
                <w:noProof/>
                <w:webHidden/>
              </w:rPr>
              <w:t>11</w:t>
            </w:r>
            <w:r w:rsidR="00301F0F" w:rsidRPr="00526440">
              <w:rPr>
                <w:rFonts w:cstheme="minorHAnsi"/>
                <w:noProof/>
                <w:webHidden/>
              </w:rPr>
              <w:fldChar w:fldCharType="end"/>
            </w:r>
          </w:hyperlink>
        </w:p>
        <w:p w14:paraId="0C96AF87" w14:textId="02CAE532" w:rsidR="00301F0F" w:rsidRPr="00526440" w:rsidRDefault="00583C57">
          <w:pPr>
            <w:pStyle w:val="TOC1"/>
            <w:tabs>
              <w:tab w:val="left" w:pos="630"/>
              <w:tab w:val="right" w:leader="dot" w:pos="9350"/>
            </w:tabs>
            <w:rPr>
              <w:rFonts w:cstheme="minorHAnsi"/>
              <w:noProof/>
              <w:sz w:val="22"/>
              <w:szCs w:val="22"/>
            </w:rPr>
          </w:pPr>
          <w:hyperlink w:anchor="_Toc4777327" w:history="1">
            <w:r w:rsidR="00301F0F" w:rsidRPr="00D26485">
              <w:rPr>
                <w:rStyle w:val="Hyperlink"/>
                <w:rFonts w:cstheme="minorHAnsi"/>
                <w:noProof/>
              </w:rPr>
              <w:t>B.4.</w:t>
            </w:r>
            <w:r w:rsidR="00301F0F" w:rsidRPr="00526440">
              <w:rPr>
                <w:rFonts w:cstheme="minorHAnsi"/>
                <w:noProof/>
                <w:sz w:val="22"/>
                <w:szCs w:val="22"/>
              </w:rPr>
              <w:tab/>
            </w:r>
            <w:r w:rsidR="00301F0F" w:rsidRPr="00D26485">
              <w:rPr>
                <w:rStyle w:val="Hyperlink"/>
                <w:rFonts w:cstheme="minorHAnsi"/>
                <w:noProof/>
              </w:rPr>
              <w:t>Test of Procedures or Methods to be Undertaken</w:t>
            </w:r>
            <w:r w:rsidR="00301F0F" w:rsidRPr="00526440">
              <w:rPr>
                <w:rFonts w:cstheme="minorHAnsi"/>
                <w:noProof/>
                <w:webHidden/>
              </w:rPr>
              <w:tab/>
            </w:r>
            <w:r w:rsidR="00301F0F" w:rsidRPr="00526440">
              <w:rPr>
                <w:rFonts w:cstheme="minorHAnsi"/>
                <w:noProof/>
                <w:webHidden/>
              </w:rPr>
              <w:fldChar w:fldCharType="begin"/>
            </w:r>
            <w:r w:rsidR="00301F0F" w:rsidRPr="00D26485">
              <w:rPr>
                <w:rFonts w:cstheme="minorHAnsi"/>
                <w:noProof/>
                <w:webHidden/>
              </w:rPr>
              <w:instrText xml:space="preserve"> PAGEREF _Toc4777327 \h </w:instrText>
            </w:r>
            <w:r w:rsidR="00301F0F" w:rsidRPr="00526440">
              <w:rPr>
                <w:rFonts w:cstheme="minorHAnsi"/>
                <w:noProof/>
                <w:webHidden/>
              </w:rPr>
            </w:r>
            <w:r w:rsidR="00301F0F" w:rsidRPr="00526440">
              <w:rPr>
                <w:rFonts w:cstheme="minorHAnsi"/>
                <w:noProof/>
                <w:webHidden/>
              </w:rPr>
              <w:fldChar w:fldCharType="separate"/>
            </w:r>
            <w:r w:rsidR="0045654F">
              <w:rPr>
                <w:rFonts w:cstheme="minorHAnsi"/>
                <w:noProof/>
                <w:webHidden/>
              </w:rPr>
              <w:t>13</w:t>
            </w:r>
            <w:r w:rsidR="00301F0F" w:rsidRPr="00526440">
              <w:rPr>
                <w:rFonts w:cstheme="minorHAnsi"/>
                <w:noProof/>
                <w:webHidden/>
              </w:rPr>
              <w:fldChar w:fldCharType="end"/>
            </w:r>
          </w:hyperlink>
        </w:p>
        <w:p w14:paraId="0BD88C50" w14:textId="4B39601E" w:rsidR="00301F0F" w:rsidRPr="00526440" w:rsidRDefault="00583C57">
          <w:pPr>
            <w:pStyle w:val="TOC1"/>
            <w:tabs>
              <w:tab w:val="left" w:pos="630"/>
              <w:tab w:val="right" w:leader="dot" w:pos="9350"/>
            </w:tabs>
            <w:rPr>
              <w:rFonts w:cstheme="minorHAnsi"/>
              <w:noProof/>
              <w:sz w:val="22"/>
              <w:szCs w:val="22"/>
            </w:rPr>
          </w:pPr>
          <w:hyperlink w:anchor="_Toc4777328" w:history="1">
            <w:r w:rsidR="00301F0F" w:rsidRPr="00D26485">
              <w:rPr>
                <w:rStyle w:val="Hyperlink"/>
                <w:rFonts w:cstheme="minorHAnsi"/>
                <w:noProof/>
              </w:rPr>
              <w:t>B.5.</w:t>
            </w:r>
            <w:r w:rsidR="00301F0F" w:rsidRPr="00526440">
              <w:rPr>
                <w:rFonts w:cstheme="minorHAnsi"/>
                <w:noProof/>
                <w:sz w:val="22"/>
                <w:szCs w:val="22"/>
              </w:rPr>
              <w:tab/>
            </w:r>
            <w:r w:rsidR="00301F0F" w:rsidRPr="00D26485">
              <w:rPr>
                <w:rStyle w:val="Hyperlink"/>
                <w:rFonts w:cstheme="minorHAnsi"/>
                <w:noProof/>
              </w:rPr>
              <w:t>Individuals Consulted on Statistical Aspects and Individuals Collecting and/or Analyzing Data</w:t>
            </w:r>
            <w:r w:rsidR="00301F0F" w:rsidRPr="00526440">
              <w:rPr>
                <w:rFonts w:cstheme="minorHAnsi"/>
                <w:noProof/>
                <w:webHidden/>
              </w:rPr>
              <w:tab/>
            </w:r>
            <w:r w:rsidR="00301F0F" w:rsidRPr="00526440">
              <w:rPr>
                <w:rFonts w:cstheme="minorHAnsi"/>
                <w:noProof/>
                <w:webHidden/>
              </w:rPr>
              <w:fldChar w:fldCharType="begin"/>
            </w:r>
            <w:r w:rsidR="00301F0F" w:rsidRPr="00D26485">
              <w:rPr>
                <w:rFonts w:cstheme="minorHAnsi"/>
                <w:noProof/>
                <w:webHidden/>
              </w:rPr>
              <w:instrText xml:space="preserve"> PAGEREF _Toc4777328 \h </w:instrText>
            </w:r>
            <w:r w:rsidR="00301F0F" w:rsidRPr="00526440">
              <w:rPr>
                <w:rFonts w:cstheme="minorHAnsi"/>
                <w:noProof/>
                <w:webHidden/>
              </w:rPr>
            </w:r>
            <w:r w:rsidR="00301F0F" w:rsidRPr="00526440">
              <w:rPr>
                <w:rFonts w:cstheme="minorHAnsi"/>
                <w:noProof/>
                <w:webHidden/>
              </w:rPr>
              <w:fldChar w:fldCharType="separate"/>
            </w:r>
            <w:r w:rsidR="0045654F">
              <w:rPr>
                <w:rFonts w:cstheme="minorHAnsi"/>
                <w:noProof/>
                <w:webHidden/>
              </w:rPr>
              <w:t>13</w:t>
            </w:r>
            <w:r w:rsidR="00301F0F" w:rsidRPr="00526440">
              <w:rPr>
                <w:rFonts w:cstheme="minorHAnsi"/>
                <w:noProof/>
                <w:webHidden/>
              </w:rPr>
              <w:fldChar w:fldCharType="end"/>
            </w:r>
          </w:hyperlink>
        </w:p>
        <w:p w14:paraId="0D8B8A5E" w14:textId="74A8BBCE" w:rsidR="00301F0F" w:rsidRPr="00526440" w:rsidRDefault="00583C57">
          <w:pPr>
            <w:pStyle w:val="TOC1"/>
            <w:tabs>
              <w:tab w:val="right" w:leader="dot" w:pos="9350"/>
            </w:tabs>
            <w:rPr>
              <w:rFonts w:cstheme="minorHAnsi"/>
              <w:noProof/>
              <w:sz w:val="22"/>
              <w:szCs w:val="22"/>
            </w:rPr>
          </w:pPr>
          <w:hyperlink w:anchor="_Toc4777329" w:history="1">
            <w:r w:rsidR="00301F0F" w:rsidRPr="00D26485">
              <w:rPr>
                <w:rStyle w:val="Hyperlink"/>
                <w:rFonts w:cstheme="minorHAnsi"/>
                <w:noProof/>
              </w:rPr>
              <w:t>References</w:t>
            </w:r>
            <w:r w:rsidR="00301F0F" w:rsidRPr="00526440">
              <w:rPr>
                <w:rFonts w:cstheme="minorHAnsi"/>
                <w:noProof/>
                <w:webHidden/>
              </w:rPr>
              <w:tab/>
            </w:r>
            <w:r w:rsidR="00301F0F" w:rsidRPr="00526440">
              <w:rPr>
                <w:rFonts w:cstheme="minorHAnsi"/>
                <w:noProof/>
                <w:webHidden/>
              </w:rPr>
              <w:fldChar w:fldCharType="begin"/>
            </w:r>
            <w:r w:rsidR="00301F0F" w:rsidRPr="00D26485">
              <w:rPr>
                <w:rFonts w:cstheme="minorHAnsi"/>
                <w:noProof/>
                <w:webHidden/>
              </w:rPr>
              <w:instrText xml:space="preserve"> PAGEREF _Toc4777329 \h </w:instrText>
            </w:r>
            <w:r w:rsidR="00301F0F" w:rsidRPr="00526440">
              <w:rPr>
                <w:rFonts w:cstheme="minorHAnsi"/>
                <w:noProof/>
                <w:webHidden/>
              </w:rPr>
            </w:r>
            <w:r w:rsidR="00301F0F" w:rsidRPr="00526440">
              <w:rPr>
                <w:rFonts w:cstheme="minorHAnsi"/>
                <w:noProof/>
                <w:webHidden/>
              </w:rPr>
              <w:fldChar w:fldCharType="separate"/>
            </w:r>
            <w:r w:rsidR="0045654F">
              <w:rPr>
                <w:rFonts w:cstheme="minorHAnsi"/>
                <w:noProof/>
                <w:webHidden/>
              </w:rPr>
              <w:t>14</w:t>
            </w:r>
            <w:r w:rsidR="00301F0F" w:rsidRPr="00526440">
              <w:rPr>
                <w:rFonts w:cstheme="minorHAnsi"/>
                <w:noProof/>
                <w:webHidden/>
              </w:rPr>
              <w:fldChar w:fldCharType="end"/>
            </w:r>
          </w:hyperlink>
        </w:p>
        <w:p w14:paraId="3D47FF8E" w14:textId="3E574714" w:rsidR="00301F0F" w:rsidRPr="00526440" w:rsidRDefault="00583C57">
          <w:pPr>
            <w:pStyle w:val="TOC1"/>
            <w:tabs>
              <w:tab w:val="right" w:leader="dot" w:pos="9350"/>
            </w:tabs>
            <w:rPr>
              <w:rFonts w:cstheme="minorHAnsi"/>
              <w:noProof/>
              <w:sz w:val="22"/>
              <w:szCs w:val="22"/>
            </w:rPr>
          </w:pPr>
          <w:hyperlink w:anchor="_Toc4777330" w:history="1">
            <w:r w:rsidR="00301F0F" w:rsidRPr="00D26485">
              <w:rPr>
                <w:rStyle w:val="Hyperlink"/>
                <w:rFonts w:cstheme="minorHAnsi"/>
                <w:noProof/>
              </w:rPr>
              <w:t>List of Appendices and Protocol Attachments</w:t>
            </w:r>
            <w:r w:rsidR="00301F0F" w:rsidRPr="00526440">
              <w:rPr>
                <w:rFonts w:cstheme="minorHAnsi"/>
                <w:noProof/>
                <w:webHidden/>
              </w:rPr>
              <w:tab/>
            </w:r>
            <w:r w:rsidR="00301F0F" w:rsidRPr="00526440">
              <w:rPr>
                <w:rFonts w:cstheme="minorHAnsi"/>
                <w:noProof/>
                <w:webHidden/>
              </w:rPr>
              <w:fldChar w:fldCharType="begin"/>
            </w:r>
            <w:r w:rsidR="00301F0F" w:rsidRPr="00D26485">
              <w:rPr>
                <w:rFonts w:cstheme="minorHAnsi"/>
                <w:noProof/>
                <w:webHidden/>
              </w:rPr>
              <w:instrText xml:space="preserve"> PAGEREF _Toc4777330 \h </w:instrText>
            </w:r>
            <w:r w:rsidR="00301F0F" w:rsidRPr="00526440">
              <w:rPr>
                <w:rFonts w:cstheme="minorHAnsi"/>
                <w:noProof/>
                <w:webHidden/>
              </w:rPr>
            </w:r>
            <w:r w:rsidR="00301F0F" w:rsidRPr="00526440">
              <w:rPr>
                <w:rFonts w:cstheme="minorHAnsi"/>
                <w:noProof/>
                <w:webHidden/>
              </w:rPr>
              <w:fldChar w:fldCharType="separate"/>
            </w:r>
            <w:r w:rsidR="0045654F">
              <w:rPr>
                <w:rFonts w:cstheme="minorHAnsi"/>
                <w:noProof/>
                <w:webHidden/>
              </w:rPr>
              <w:t>15</w:t>
            </w:r>
            <w:r w:rsidR="00301F0F" w:rsidRPr="00526440">
              <w:rPr>
                <w:rFonts w:cstheme="minorHAnsi"/>
                <w:noProof/>
                <w:webHidden/>
              </w:rPr>
              <w:fldChar w:fldCharType="end"/>
            </w:r>
          </w:hyperlink>
        </w:p>
        <w:p w14:paraId="0E23C866" w14:textId="77777777" w:rsidR="00FD4EE5" w:rsidRPr="00E36E73" w:rsidRDefault="004B3CEA">
          <w:pPr>
            <w:rPr>
              <w:b/>
            </w:rPr>
          </w:pPr>
          <w:r w:rsidRPr="00526440">
            <w:rPr>
              <w:rFonts w:cstheme="minorHAnsi"/>
            </w:rPr>
            <w:fldChar w:fldCharType="end"/>
          </w:r>
        </w:p>
      </w:sdtContent>
    </w:sdt>
    <w:bookmarkEnd w:id="1" w:displacedByCustomXml="prev"/>
    <w:bookmarkEnd w:id="0" w:displacedByCustomXml="prev"/>
    <w:p w14:paraId="0DCBB46B" w14:textId="77777777" w:rsidR="00D33AE3" w:rsidRPr="00E707C0" w:rsidRDefault="00D33AE3">
      <w:pPr>
        <w:rPr>
          <w:rFonts w:asciiTheme="majorHAnsi" w:eastAsiaTheme="majorEastAsia" w:hAnsiTheme="majorHAnsi" w:cstheme="majorBidi"/>
          <w:sz w:val="36"/>
          <w:szCs w:val="36"/>
        </w:rPr>
      </w:pPr>
      <w:r w:rsidRPr="00E707C0">
        <w:br w:type="page"/>
      </w:r>
    </w:p>
    <w:p w14:paraId="5AD52BA9" w14:textId="77777777"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EF8D47A" w14:textId="77777777" w:rsidR="00B45002" w:rsidRPr="00E707C0" w:rsidRDefault="00D33AE3" w:rsidP="008D0F27">
      <w:pPr>
        <w:pStyle w:val="Heading1"/>
        <w:pBdr>
          <w:bottom w:val="none" w:sz="0" w:space="0" w:color="auto"/>
        </w:pBdr>
        <w:rPr>
          <w:rFonts w:ascii="Cambria" w:hAnsi="Cambria"/>
          <w:color w:val="auto"/>
        </w:rPr>
      </w:pPr>
      <w:bookmarkStart w:id="3" w:name="_Toc4777324"/>
      <w:bookmarkStart w:id="4" w:name="_Toc532227530"/>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bookmarkEnd w:id="4"/>
    </w:p>
    <w:p w14:paraId="6AFC1D3E" w14:textId="77777777" w:rsidR="00EA6E06" w:rsidRPr="00E707C0" w:rsidRDefault="00EA6E06" w:rsidP="00EA6E06">
      <w:pPr>
        <w:spacing w:line="240" w:lineRule="auto"/>
        <w:rPr>
          <w:sz w:val="24"/>
          <w:szCs w:val="24"/>
        </w:rPr>
      </w:pPr>
    </w:p>
    <w:p w14:paraId="64FAB3F4" w14:textId="77777777" w:rsidR="00556567" w:rsidRPr="00223E18" w:rsidRDefault="00A018BE" w:rsidP="00A97246">
      <w:pPr>
        <w:autoSpaceDE w:val="0"/>
        <w:autoSpaceDN w:val="0"/>
        <w:adjustRightInd w:val="0"/>
        <w:spacing w:line="276" w:lineRule="auto"/>
        <w:rPr>
          <w:rFonts w:cstheme="minorHAnsi"/>
          <w:sz w:val="24"/>
          <w:szCs w:val="24"/>
        </w:rPr>
      </w:pPr>
      <w:r>
        <w:rPr>
          <w:sz w:val="24"/>
          <w:szCs w:val="24"/>
        </w:rPr>
        <w:t xml:space="preserve">The </w:t>
      </w:r>
      <w:r w:rsidRPr="00FD4EE5">
        <w:rPr>
          <w:b/>
          <w:sz w:val="24"/>
          <w:szCs w:val="24"/>
        </w:rPr>
        <w:t>Pease Study Protocol</w:t>
      </w:r>
      <w:r w:rsidR="002C0F6C">
        <w:rPr>
          <w:sz w:val="24"/>
          <w:szCs w:val="24"/>
        </w:rPr>
        <w:t xml:space="preserve"> covers two separate</w:t>
      </w:r>
      <w:r>
        <w:rPr>
          <w:sz w:val="24"/>
          <w:szCs w:val="24"/>
        </w:rPr>
        <w:t xml:space="preserve"> studies</w:t>
      </w:r>
      <w:r w:rsidR="002C0F6C">
        <w:rPr>
          <w:sz w:val="24"/>
          <w:szCs w:val="24"/>
        </w:rPr>
        <w:t xml:space="preserve"> by age</w:t>
      </w:r>
      <w:r w:rsidR="00B64498">
        <w:rPr>
          <w:sz w:val="24"/>
          <w:szCs w:val="24"/>
        </w:rPr>
        <w:t xml:space="preserve"> </w:t>
      </w:r>
      <w:r w:rsidR="002C0F6C">
        <w:rPr>
          <w:sz w:val="24"/>
          <w:szCs w:val="24"/>
        </w:rPr>
        <w:t>group</w:t>
      </w:r>
      <w:r>
        <w:rPr>
          <w:sz w:val="24"/>
          <w:szCs w:val="24"/>
        </w:rPr>
        <w:t xml:space="preserve">: the Adult Study and the Child Study. </w:t>
      </w:r>
      <w:r w:rsidR="00C46F6C" w:rsidRPr="00223E18">
        <w:rPr>
          <w:rFonts w:cstheme="minorHAnsi"/>
          <w:sz w:val="24"/>
          <w:szCs w:val="24"/>
        </w:rPr>
        <w:t>The main goals of the research stud</w:t>
      </w:r>
      <w:r>
        <w:rPr>
          <w:rFonts w:cstheme="minorHAnsi"/>
          <w:sz w:val="24"/>
          <w:szCs w:val="24"/>
        </w:rPr>
        <w:t>ies</w:t>
      </w:r>
      <w:r w:rsidR="00C46F6C" w:rsidRPr="00223E18">
        <w:rPr>
          <w:rFonts w:cstheme="minorHAnsi"/>
          <w:sz w:val="24"/>
          <w:szCs w:val="24"/>
        </w:rPr>
        <w:t xml:space="preserve"> are to: 1) evaluate the study procedures and methods to identify any issues that need to be addressed before embarking on a multi-site study; and 2) examine associations between health outcomes and measured and historically reconstructed serum levels of </w:t>
      </w:r>
      <w:r w:rsidR="00BD1396">
        <w:rPr>
          <w:rFonts w:cstheme="minorHAnsi"/>
          <w:sz w:val="24"/>
          <w:szCs w:val="24"/>
        </w:rPr>
        <w:t>per- and poly</w:t>
      </w:r>
      <w:r w:rsidR="00037D54" w:rsidRPr="00223E18">
        <w:rPr>
          <w:rFonts w:cstheme="minorHAnsi"/>
          <w:sz w:val="24"/>
          <w:szCs w:val="24"/>
        </w:rPr>
        <w:t>fluoroalkyl substances (</w:t>
      </w:r>
      <w:r w:rsidR="00C46F6C" w:rsidRPr="00223E18">
        <w:rPr>
          <w:rFonts w:cstheme="minorHAnsi"/>
          <w:sz w:val="24"/>
          <w:szCs w:val="24"/>
        </w:rPr>
        <w:t>PFAS</w:t>
      </w:r>
      <w:r w:rsidR="00037D54" w:rsidRPr="00223E18">
        <w:rPr>
          <w:rFonts w:cstheme="minorHAnsi"/>
          <w:sz w:val="24"/>
          <w:szCs w:val="24"/>
        </w:rPr>
        <w:t>)</w:t>
      </w:r>
      <w:r w:rsidR="00C46F6C" w:rsidRPr="00223E18">
        <w:rPr>
          <w:rFonts w:cstheme="minorHAnsi"/>
          <w:sz w:val="24"/>
          <w:szCs w:val="24"/>
        </w:rPr>
        <w:t>.</w:t>
      </w:r>
      <w:r w:rsidR="009D7487" w:rsidRPr="00223E18">
        <w:rPr>
          <w:rFonts w:cstheme="minorHAnsi"/>
          <w:sz w:val="24"/>
          <w:szCs w:val="24"/>
        </w:rPr>
        <w:t xml:space="preserve"> ATSDR will not employ statistical methods to recruit parti</w:t>
      </w:r>
      <w:r w:rsidR="00E66C82" w:rsidRPr="00223E18">
        <w:rPr>
          <w:rFonts w:cstheme="minorHAnsi"/>
          <w:sz w:val="24"/>
          <w:szCs w:val="24"/>
        </w:rPr>
        <w:t xml:space="preserve">cipants; nevertheless, it is providing details about its data collection procedures in </w:t>
      </w:r>
      <w:r w:rsidR="00E66C82" w:rsidRPr="00223E18">
        <w:rPr>
          <w:rFonts w:cstheme="minorHAnsi"/>
          <w:b/>
          <w:sz w:val="24"/>
          <w:szCs w:val="24"/>
        </w:rPr>
        <w:t>Part B</w:t>
      </w:r>
      <w:r w:rsidR="00E66C82" w:rsidRPr="00223E18">
        <w:rPr>
          <w:rFonts w:cstheme="minorHAnsi"/>
          <w:sz w:val="24"/>
          <w:szCs w:val="24"/>
        </w:rPr>
        <w:t>.</w:t>
      </w:r>
    </w:p>
    <w:p w14:paraId="00D68F28" w14:textId="77777777" w:rsidR="006266A4" w:rsidRPr="006266A4" w:rsidRDefault="00AC3430" w:rsidP="000D50A2">
      <w:pPr>
        <w:autoSpaceDE w:val="0"/>
        <w:autoSpaceDN w:val="0"/>
        <w:adjustRightInd w:val="0"/>
        <w:spacing w:line="276" w:lineRule="auto"/>
        <w:rPr>
          <w:rFonts w:cstheme="minorHAnsi"/>
          <w:sz w:val="24"/>
          <w:szCs w:val="24"/>
        </w:rPr>
      </w:pPr>
      <w:r w:rsidRPr="00223E18">
        <w:rPr>
          <w:rFonts w:cstheme="minorHAnsi"/>
          <w:sz w:val="24"/>
          <w:szCs w:val="24"/>
          <w:u w:val="single"/>
        </w:rPr>
        <w:t>Background</w:t>
      </w:r>
    </w:p>
    <w:p w14:paraId="423E9A25" w14:textId="77777777" w:rsidR="000D50A2" w:rsidRPr="00FD4EE5" w:rsidRDefault="00796470" w:rsidP="000D50A2">
      <w:pPr>
        <w:autoSpaceDE w:val="0"/>
        <w:autoSpaceDN w:val="0"/>
        <w:adjustRightInd w:val="0"/>
        <w:spacing w:line="276" w:lineRule="auto"/>
        <w:rPr>
          <w:sz w:val="24"/>
          <w:szCs w:val="24"/>
        </w:rPr>
      </w:pPr>
      <w:r w:rsidRPr="00FA3D37">
        <w:rPr>
          <w:sz w:val="24"/>
          <w:szCs w:val="24"/>
        </w:rPr>
        <w:t>ATSDR will be largely recruiting from the existing cohort from the</w:t>
      </w:r>
      <w:r w:rsidR="00465234" w:rsidRPr="00FA3D37">
        <w:rPr>
          <w:sz w:val="24"/>
          <w:szCs w:val="24"/>
        </w:rPr>
        <w:t xml:space="preserve"> New Hampshire Department of Health and Human Services (NH DHHS)</w:t>
      </w:r>
      <w:r w:rsidRPr="00FA3D37">
        <w:rPr>
          <w:sz w:val="24"/>
          <w:szCs w:val="24"/>
        </w:rPr>
        <w:t xml:space="preserve"> </w:t>
      </w:r>
      <w:r w:rsidRPr="00FD4EE5">
        <w:rPr>
          <w:sz w:val="24"/>
          <w:szCs w:val="24"/>
        </w:rPr>
        <w:t xml:space="preserve">2015 Pease </w:t>
      </w:r>
      <w:r w:rsidR="009E79D6" w:rsidRPr="00FA3D37">
        <w:rPr>
          <w:sz w:val="24"/>
          <w:szCs w:val="24"/>
        </w:rPr>
        <w:t>Perfluorochemical (</w:t>
      </w:r>
      <w:r w:rsidRPr="00FD4EE5">
        <w:rPr>
          <w:sz w:val="24"/>
          <w:szCs w:val="24"/>
        </w:rPr>
        <w:t>PFC</w:t>
      </w:r>
      <w:r w:rsidR="009E79D6" w:rsidRPr="00FA3D37">
        <w:rPr>
          <w:sz w:val="24"/>
          <w:szCs w:val="24"/>
        </w:rPr>
        <w:t>)</w:t>
      </w:r>
      <w:r w:rsidR="00037D54" w:rsidRPr="00FA3D37">
        <w:rPr>
          <w:rStyle w:val="FootnoteReference"/>
          <w:sz w:val="24"/>
          <w:szCs w:val="24"/>
        </w:rPr>
        <w:footnoteReference w:id="2"/>
      </w:r>
      <w:r w:rsidRPr="00FD4EE5">
        <w:rPr>
          <w:sz w:val="24"/>
          <w:szCs w:val="24"/>
        </w:rPr>
        <w:t xml:space="preserve"> Blood Testing Program</w:t>
      </w:r>
      <w:r w:rsidRPr="00FA3D37">
        <w:rPr>
          <w:sz w:val="24"/>
          <w:szCs w:val="24"/>
        </w:rPr>
        <w:t>.</w:t>
      </w:r>
      <w:r w:rsidRPr="00FA3D37">
        <w:rPr>
          <w:rStyle w:val="FootnoteReference"/>
          <w:sz w:val="24"/>
          <w:szCs w:val="24"/>
        </w:rPr>
        <w:footnoteReference w:id="3"/>
      </w:r>
      <w:r w:rsidRPr="00FA3D37">
        <w:rPr>
          <w:sz w:val="24"/>
          <w:szCs w:val="24"/>
        </w:rPr>
        <w:t xml:space="preserve"> </w:t>
      </w:r>
      <w:r w:rsidR="000D50A2" w:rsidRPr="00FD4EE5">
        <w:rPr>
          <w:sz w:val="24"/>
          <w:szCs w:val="24"/>
        </w:rPr>
        <w:t xml:space="preserve">The purpose of the </w:t>
      </w:r>
      <w:r w:rsidR="00930365">
        <w:rPr>
          <w:sz w:val="24"/>
          <w:szCs w:val="24"/>
        </w:rPr>
        <w:t xml:space="preserve">NH DHHS </w:t>
      </w:r>
      <w:r w:rsidR="000D50A2" w:rsidRPr="00FD4EE5">
        <w:rPr>
          <w:sz w:val="24"/>
          <w:szCs w:val="24"/>
        </w:rPr>
        <w:t>PFC serum testing was to provide concerned community members with more information about their level of exposure to the PFCs.</w:t>
      </w:r>
      <w:r w:rsidR="00884C32" w:rsidRPr="00FD4EE5">
        <w:rPr>
          <w:sz w:val="24"/>
          <w:szCs w:val="24"/>
        </w:rPr>
        <w:t xml:space="preserve"> As a community service, the NH DHHS enrolled participants in several waves for laboratory testing. The cohort was a convenience sample and no statistical sampling methods were applied.</w:t>
      </w:r>
    </w:p>
    <w:p w14:paraId="76AC4226" w14:textId="77777777" w:rsidR="00796470" w:rsidRPr="00FA3D37" w:rsidRDefault="00796470" w:rsidP="00796470">
      <w:pPr>
        <w:autoSpaceDE w:val="0"/>
        <w:autoSpaceDN w:val="0"/>
        <w:adjustRightInd w:val="0"/>
        <w:spacing w:line="276" w:lineRule="auto"/>
        <w:rPr>
          <w:sz w:val="24"/>
          <w:szCs w:val="24"/>
        </w:rPr>
      </w:pPr>
      <w:r w:rsidRPr="00FA3D37">
        <w:rPr>
          <w:sz w:val="24"/>
          <w:szCs w:val="24"/>
        </w:rPr>
        <w:t>I</w:t>
      </w:r>
      <w:r w:rsidRPr="00FD4EE5">
        <w:rPr>
          <w:sz w:val="24"/>
          <w:szCs w:val="24"/>
        </w:rPr>
        <w:t>ndividuals requested PFC testing</w:t>
      </w:r>
      <w:r w:rsidRPr="00FD4EE5">
        <w:rPr>
          <w:i/>
          <w:sz w:val="24"/>
          <w:szCs w:val="24"/>
        </w:rPr>
        <w:t xml:space="preserve"> </w:t>
      </w:r>
      <w:r w:rsidRPr="00FD4EE5">
        <w:rPr>
          <w:sz w:val="24"/>
          <w:szCs w:val="24"/>
        </w:rPr>
        <w:t>if they had, at any time, consumed contaminated drinking water while working on, living on, or attending childcare on Pease, or if they consumed water from a contaminated private drinking well in proximity to Pease that was tested as part of the Pease Superfund Assessment and found to have levels of PFCs above the EPA’s Provisional Health Advisory levels.</w:t>
      </w:r>
      <w:r w:rsidRPr="00FD4EE5">
        <w:rPr>
          <w:rStyle w:val="FootnoteReference"/>
          <w:sz w:val="24"/>
          <w:szCs w:val="24"/>
        </w:rPr>
        <w:footnoteReference w:id="4"/>
      </w:r>
      <w:r w:rsidRPr="00FD4EE5">
        <w:rPr>
          <w:sz w:val="24"/>
          <w:szCs w:val="24"/>
        </w:rPr>
        <w:t xml:space="preserve"> Infants or children who were exposed in utero through their mother’s consumption of contaminated drinking water at Pease were also included in the testing at the parent’s discretion.</w:t>
      </w:r>
      <w:r w:rsidRPr="00FD4EE5">
        <w:rPr>
          <w:sz w:val="24"/>
          <w:szCs w:val="24"/>
          <w:vertAlign w:val="superscript"/>
        </w:rPr>
        <w:t>1</w:t>
      </w:r>
    </w:p>
    <w:p w14:paraId="4972A6C3" w14:textId="77777777" w:rsidR="003940E0" w:rsidRPr="00FD4EE5" w:rsidRDefault="000B752D" w:rsidP="00FD4EE5">
      <w:pPr>
        <w:pStyle w:val="Default"/>
        <w:spacing w:after="120" w:line="276" w:lineRule="auto"/>
      </w:pPr>
      <w:r w:rsidRPr="00FD4EE5">
        <w:t xml:space="preserve">A total of 1,578 individuals submitted blood samples for testing from April to October 2015; 366 (23.2%) were children aged 11 years or younger, 31 (2.0%) were aged 12–19 years, and 1,181 (74.8%) were aged 20 years or older. The majority of individuals tested (n=856, 54.3%) were female. Other exposure characteristics are outlined in </w:t>
      </w:r>
      <w:r w:rsidR="00302C4A" w:rsidRPr="00FD4EE5">
        <w:rPr>
          <w:b/>
          <w:bCs/>
        </w:rPr>
        <w:t xml:space="preserve">Table </w:t>
      </w:r>
      <w:r w:rsidR="003F3D3D" w:rsidRPr="00FD4EE5">
        <w:rPr>
          <w:b/>
          <w:bCs/>
        </w:rPr>
        <w:t>B.1.</w:t>
      </w:r>
      <w:r w:rsidR="00302C4A" w:rsidRPr="00FD4EE5">
        <w:rPr>
          <w:b/>
          <w:bCs/>
        </w:rPr>
        <w:t>1</w:t>
      </w:r>
      <w:r w:rsidRPr="00FD4EE5">
        <w:rPr>
          <w:b/>
          <w:bCs/>
        </w:rPr>
        <w:t xml:space="preserve"> </w:t>
      </w:r>
      <w:r w:rsidRPr="00FD4EE5">
        <w:t xml:space="preserve">and are discussed further below. </w:t>
      </w:r>
    </w:p>
    <w:p w14:paraId="4E746387" w14:textId="77777777" w:rsidR="006A2478" w:rsidRPr="00FD4EE5" w:rsidRDefault="006A2478" w:rsidP="00223E18">
      <w:pPr>
        <w:autoSpaceDE w:val="0"/>
        <w:autoSpaceDN w:val="0"/>
        <w:adjustRightInd w:val="0"/>
        <w:spacing w:line="276" w:lineRule="auto"/>
        <w:rPr>
          <w:sz w:val="20"/>
          <w:szCs w:val="20"/>
        </w:rPr>
      </w:pPr>
      <w:r w:rsidRPr="00FD4EE5">
        <w:rPr>
          <w:sz w:val="20"/>
          <w:szCs w:val="20"/>
        </w:rPr>
        <w:t xml:space="preserve">Table </w:t>
      </w:r>
      <w:r w:rsidR="003F3D3D" w:rsidRPr="00FD4EE5">
        <w:rPr>
          <w:sz w:val="20"/>
          <w:szCs w:val="20"/>
        </w:rPr>
        <w:t>B.1.</w:t>
      </w:r>
      <w:r w:rsidRPr="00FD4EE5">
        <w:rPr>
          <w:sz w:val="20"/>
          <w:szCs w:val="20"/>
        </w:rPr>
        <w:t xml:space="preserve">1. </w:t>
      </w:r>
      <w:r w:rsidR="003F3D3D" w:rsidRPr="00FD4EE5">
        <w:rPr>
          <w:sz w:val="20"/>
          <w:szCs w:val="20"/>
        </w:rPr>
        <w:t>Characteristics</w:t>
      </w:r>
      <w:r w:rsidR="002350C5" w:rsidRPr="00FD4EE5">
        <w:rPr>
          <w:sz w:val="20"/>
          <w:szCs w:val="20"/>
        </w:rPr>
        <w:t xml:space="preserve"> of Pease PFC Blood Testing Program</w:t>
      </w:r>
      <w:r w:rsidR="0090057C" w:rsidRPr="00FD4EE5">
        <w:rPr>
          <w:sz w:val="20"/>
          <w:szCs w:val="20"/>
        </w:rPr>
        <w:t xml:space="preserve"> Participants</w:t>
      </w:r>
      <w:r w:rsidR="00FA4004" w:rsidRPr="00FD4EE5">
        <w:rPr>
          <w:sz w:val="20"/>
          <w:szCs w:val="20"/>
        </w:rPr>
        <w:t>, 2015</w:t>
      </w:r>
      <w:r w:rsidR="00223E18" w:rsidRPr="00FD4EE5">
        <w:rPr>
          <w:sz w:val="20"/>
          <w:szCs w:val="20"/>
        </w:rPr>
        <w:t xml:space="preserve"> </w:t>
      </w:r>
      <w:r w:rsidR="002350C5" w:rsidRPr="00FD4EE5">
        <w:rPr>
          <w:sz w:val="20"/>
          <w:szCs w:val="20"/>
        </w:rPr>
        <w:t>(n=1,578)</w:t>
      </w:r>
    </w:p>
    <w:tbl>
      <w:tblPr>
        <w:tblStyle w:val="TableGrid"/>
        <w:tblW w:w="0" w:type="auto"/>
        <w:jc w:val="center"/>
        <w:tblLook w:val="04A0" w:firstRow="1" w:lastRow="0" w:firstColumn="1" w:lastColumn="0" w:noHBand="0" w:noVBand="1"/>
      </w:tblPr>
      <w:tblGrid>
        <w:gridCol w:w="2880"/>
        <w:gridCol w:w="1980"/>
      </w:tblGrid>
      <w:tr w:rsidR="00230E8F" w:rsidRPr="00230E8F" w14:paraId="1EB8F6B5" w14:textId="77777777" w:rsidTr="00FD4EE5">
        <w:trPr>
          <w:jc w:val="center"/>
        </w:trPr>
        <w:tc>
          <w:tcPr>
            <w:tcW w:w="2880" w:type="dxa"/>
          </w:tcPr>
          <w:p w14:paraId="621AFFF7" w14:textId="77777777" w:rsidR="00230E8F" w:rsidRPr="00FD4EE5" w:rsidRDefault="00230E8F" w:rsidP="00FD4EE5">
            <w:pPr>
              <w:autoSpaceDE w:val="0"/>
              <w:autoSpaceDN w:val="0"/>
              <w:adjustRightInd w:val="0"/>
              <w:spacing w:line="276" w:lineRule="auto"/>
              <w:jc w:val="center"/>
              <w:rPr>
                <w:rFonts w:cstheme="minorHAnsi"/>
                <w:b/>
                <w:sz w:val="20"/>
                <w:szCs w:val="20"/>
              </w:rPr>
            </w:pPr>
            <w:r w:rsidRPr="00FD4EE5">
              <w:rPr>
                <w:rFonts w:cstheme="minorHAnsi"/>
                <w:b/>
                <w:sz w:val="20"/>
                <w:szCs w:val="20"/>
              </w:rPr>
              <w:t>Characteristics</w:t>
            </w:r>
          </w:p>
        </w:tc>
        <w:tc>
          <w:tcPr>
            <w:tcW w:w="1980" w:type="dxa"/>
          </w:tcPr>
          <w:p w14:paraId="40DAA356" w14:textId="77777777" w:rsidR="00230E8F" w:rsidRPr="00FD4EE5" w:rsidRDefault="00230E8F" w:rsidP="00FD4EE5">
            <w:pPr>
              <w:autoSpaceDE w:val="0"/>
              <w:autoSpaceDN w:val="0"/>
              <w:adjustRightInd w:val="0"/>
              <w:spacing w:line="276" w:lineRule="auto"/>
              <w:jc w:val="center"/>
              <w:rPr>
                <w:rFonts w:cstheme="minorHAnsi"/>
                <w:b/>
                <w:sz w:val="20"/>
                <w:szCs w:val="20"/>
              </w:rPr>
            </w:pPr>
            <w:r w:rsidRPr="00FD4EE5">
              <w:rPr>
                <w:rFonts w:cstheme="minorHAnsi"/>
                <w:b/>
                <w:sz w:val="20"/>
                <w:szCs w:val="20"/>
              </w:rPr>
              <w:t>N (%)</w:t>
            </w:r>
          </w:p>
        </w:tc>
      </w:tr>
      <w:tr w:rsidR="00230E8F" w:rsidRPr="00230E8F" w14:paraId="4917E1FE" w14:textId="77777777" w:rsidTr="00FD4EE5">
        <w:trPr>
          <w:jc w:val="center"/>
        </w:trPr>
        <w:tc>
          <w:tcPr>
            <w:tcW w:w="2880" w:type="dxa"/>
          </w:tcPr>
          <w:p w14:paraId="38DD36C6" w14:textId="77777777" w:rsidR="00230E8F" w:rsidRPr="00FD4EE5" w:rsidRDefault="00230E8F" w:rsidP="000B752D">
            <w:pPr>
              <w:autoSpaceDE w:val="0"/>
              <w:autoSpaceDN w:val="0"/>
              <w:adjustRightInd w:val="0"/>
              <w:spacing w:line="276" w:lineRule="auto"/>
              <w:rPr>
                <w:rFonts w:cstheme="minorHAnsi"/>
                <w:sz w:val="20"/>
                <w:szCs w:val="20"/>
              </w:rPr>
            </w:pPr>
            <w:r w:rsidRPr="00FD4EE5">
              <w:rPr>
                <w:rFonts w:cstheme="minorHAnsi"/>
                <w:sz w:val="20"/>
                <w:szCs w:val="20"/>
              </w:rPr>
              <w:t>Age Group (years)</w:t>
            </w:r>
          </w:p>
          <w:p w14:paraId="198B2C8A" w14:textId="77777777" w:rsidR="00230E8F" w:rsidRPr="00FD4EE5" w:rsidRDefault="00230E8F" w:rsidP="00FD4EE5">
            <w:pPr>
              <w:autoSpaceDE w:val="0"/>
              <w:autoSpaceDN w:val="0"/>
              <w:adjustRightInd w:val="0"/>
              <w:spacing w:line="276" w:lineRule="auto"/>
              <w:jc w:val="right"/>
              <w:rPr>
                <w:rFonts w:cstheme="minorHAnsi"/>
                <w:sz w:val="20"/>
                <w:szCs w:val="20"/>
              </w:rPr>
            </w:pPr>
            <w:r w:rsidRPr="00FD4EE5">
              <w:rPr>
                <w:rFonts w:cstheme="minorHAnsi"/>
                <w:sz w:val="20"/>
                <w:szCs w:val="20"/>
              </w:rPr>
              <w:t>0-2</w:t>
            </w:r>
          </w:p>
          <w:p w14:paraId="0B385F1C" w14:textId="77777777" w:rsidR="00230E8F" w:rsidRPr="00FD4EE5" w:rsidRDefault="00230E8F" w:rsidP="00FD4EE5">
            <w:pPr>
              <w:autoSpaceDE w:val="0"/>
              <w:autoSpaceDN w:val="0"/>
              <w:adjustRightInd w:val="0"/>
              <w:spacing w:line="276" w:lineRule="auto"/>
              <w:jc w:val="right"/>
              <w:rPr>
                <w:rFonts w:cstheme="minorHAnsi"/>
                <w:sz w:val="20"/>
                <w:szCs w:val="20"/>
              </w:rPr>
            </w:pPr>
            <w:r w:rsidRPr="00FD4EE5">
              <w:rPr>
                <w:rFonts w:cstheme="minorHAnsi"/>
                <w:sz w:val="20"/>
                <w:szCs w:val="20"/>
              </w:rPr>
              <w:t>3-5</w:t>
            </w:r>
          </w:p>
          <w:p w14:paraId="0CA578C3" w14:textId="77777777" w:rsidR="00230E8F" w:rsidRPr="00FD4EE5" w:rsidRDefault="00230E8F" w:rsidP="00FD4EE5">
            <w:pPr>
              <w:autoSpaceDE w:val="0"/>
              <w:autoSpaceDN w:val="0"/>
              <w:adjustRightInd w:val="0"/>
              <w:spacing w:line="276" w:lineRule="auto"/>
              <w:jc w:val="right"/>
              <w:rPr>
                <w:rFonts w:cstheme="minorHAnsi"/>
                <w:sz w:val="20"/>
                <w:szCs w:val="20"/>
              </w:rPr>
            </w:pPr>
            <w:r w:rsidRPr="00FD4EE5">
              <w:rPr>
                <w:rFonts w:cstheme="minorHAnsi"/>
                <w:sz w:val="20"/>
                <w:szCs w:val="20"/>
              </w:rPr>
              <w:t>6-8</w:t>
            </w:r>
          </w:p>
          <w:p w14:paraId="43167E2C" w14:textId="77777777" w:rsidR="00230E8F" w:rsidRPr="00FD4EE5" w:rsidRDefault="00230E8F" w:rsidP="00FD4EE5">
            <w:pPr>
              <w:autoSpaceDE w:val="0"/>
              <w:autoSpaceDN w:val="0"/>
              <w:adjustRightInd w:val="0"/>
              <w:spacing w:line="276" w:lineRule="auto"/>
              <w:jc w:val="right"/>
              <w:rPr>
                <w:rFonts w:cstheme="minorHAnsi"/>
                <w:sz w:val="20"/>
                <w:szCs w:val="20"/>
              </w:rPr>
            </w:pPr>
            <w:r w:rsidRPr="00FD4EE5">
              <w:rPr>
                <w:rFonts w:cstheme="minorHAnsi"/>
                <w:sz w:val="20"/>
                <w:szCs w:val="20"/>
              </w:rPr>
              <w:t>9-11</w:t>
            </w:r>
          </w:p>
          <w:p w14:paraId="50F333B4" w14:textId="77777777" w:rsidR="00230E8F" w:rsidRPr="00FD4EE5" w:rsidRDefault="00230E8F" w:rsidP="00FD4EE5">
            <w:pPr>
              <w:autoSpaceDE w:val="0"/>
              <w:autoSpaceDN w:val="0"/>
              <w:adjustRightInd w:val="0"/>
              <w:spacing w:line="276" w:lineRule="auto"/>
              <w:jc w:val="right"/>
              <w:rPr>
                <w:rFonts w:cstheme="minorHAnsi"/>
                <w:sz w:val="20"/>
                <w:szCs w:val="20"/>
              </w:rPr>
            </w:pPr>
            <w:r w:rsidRPr="00FD4EE5">
              <w:rPr>
                <w:rFonts w:cstheme="minorHAnsi"/>
                <w:sz w:val="20"/>
                <w:szCs w:val="20"/>
              </w:rPr>
              <w:t>12-19</w:t>
            </w:r>
          </w:p>
          <w:p w14:paraId="1D135271" w14:textId="77777777" w:rsidR="00230E8F" w:rsidRPr="00FD4EE5" w:rsidRDefault="00230E8F" w:rsidP="00FD4EE5">
            <w:pPr>
              <w:autoSpaceDE w:val="0"/>
              <w:autoSpaceDN w:val="0"/>
              <w:adjustRightInd w:val="0"/>
              <w:spacing w:line="276" w:lineRule="auto"/>
              <w:jc w:val="right"/>
              <w:rPr>
                <w:rFonts w:cstheme="minorHAnsi"/>
                <w:sz w:val="20"/>
                <w:szCs w:val="20"/>
              </w:rPr>
            </w:pPr>
            <w:r w:rsidRPr="00FD4EE5">
              <w:rPr>
                <w:rFonts w:cstheme="minorHAnsi"/>
                <w:sz w:val="20"/>
                <w:szCs w:val="20"/>
              </w:rPr>
              <w:t>20-39</w:t>
            </w:r>
          </w:p>
          <w:p w14:paraId="094E688F" w14:textId="77777777" w:rsidR="00230E8F" w:rsidRPr="00FD4EE5" w:rsidRDefault="00230E8F" w:rsidP="00FD4EE5">
            <w:pPr>
              <w:autoSpaceDE w:val="0"/>
              <w:autoSpaceDN w:val="0"/>
              <w:adjustRightInd w:val="0"/>
              <w:spacing w:line="276" w:lineRule="auto"/>
              <w:jc w:val="right"/>
              <w:rPr>
                <w:rFonts w:cstheme="minorHAnsi"/>
                <w:sz w:val="20"/>
                <w:szCs w:val="20"/>
              </w:rPr>
            </w:pPr>
            <w:r w:rsidRPr="00FD4EE5">
              <w:rPr>
                <w:rFonts w:cstheme="minorHAnsi"/>
                <w:sz w:val="20"/>
                <w:szCs w:val="20"/>
              </w:rPr>
              <w:t>40-59</w:t>
            </w:r>
          </w:p>
          <w:p w14:paraId="200DEF92" w14:textId="77777777" w:rsidR="00230E8F" w:rsidRPr="00FD4EE5" w:rsidRDefault="00230E8F" w:rsidP="00FD4EE5">
            <w:pPr>
              <w:autoSpaceDE w:val="0"/>
              <w:autoSpaceDN w:val="0"/>
              <w:adjustRightInd w:val="0"/>
              <w:spacing w:line="276" w:lineRule="auto"/>
              <w:jc w:val="right"/>
              <w:rPr>
                <w:rFonts w:cstheme="minorHAnsi"/>
                <w:sz w:val="20"/>
                <w:szCs w:val="20"/>
              </w:rPr>
            </w:pPr>
            <w:r w:rsidRPr="00FD4EE5">
              <w:rPr>
                <w:rFonts w:cstheme="minorHAnsi"/>
                <w:sz w:val="20"/>
                <w:szCs w:val="20"/>
              </w:rPr>
              <w:t>60+</w:t>
            </w:r>
          </w:p>
        </w:tc>
        <w:tc>
          <w:tcPr>
            <w:tcW w:w="1980" w:type="dxa"/>
          </w:tcPr>
          <w:p w14:paraId="51AC81AA"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(median=40)</w:t>
            </w:r>
          </w:p>
          <w:p w14:paraId="61F7377D"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75 (4.8%)</w:t>
            </w:r>
          </w:p>
          <w:p w14:paraId="6418A35B"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164 (10.4%)</w:t>
            </w:r>
          </w:p>
          <w:p w14:paraId="203FB7F2"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91</w:t>
            </w:r>
            <w:r>
              <w:rPr>
                <w:rFonts w:cstheme="minorHAnsi"/>
                <w:sz w:val="20"/>
                <w:szCs w:val="20"/>
              </w:rPr>
              <w:t xml:space="preserve"> (5.8</w:t>
            </w:r>
            <w:r w:rsidRPr="00FA34C3">
              <w:rPr>
                <w:rFonts w:cstheme="minorHAnsi"/>
                <w:sz w:val="20"/>
                <w:szCs w:val="20"/>
              </w:rPr>
              <w:t>%</w:t>
            </w:r>
            <w:r>
              <w:rPr>
                <w:rFonts w:cstheme="minorHAnsi"/>
                <w:sz w:val="20"/>
                <w:szCs w:val="20"/>
              </w:rPr>
              <w:t>)</w:t>
            </w:r>
          </w:p>
          <w:p w14:paraId="4780893E"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36</w:t>
            </w:r>
            <w:r>
              <w:rPr>
                <w:rFonts w:cstheme="minorHAnsi"/>
                <w:sz w:val="20"/>
                <w:szCs w:val="20"/>
              </w:rPr>
              <w:t xml:space="preserve"> (2.3</w:t>
            </w:r>
            <w:r w:rsidRPr="00FA34C3">
              <w:rPr>
                <w:rFonts w:cstheme="minorHAnsi"/>
                <w:sz w:val="20"/>
                <w:szCs w:val="20"/>
              </w:rPr>
              <w:t>%</w:t>
            </w:r>
            <w:r>
              <w:rPr>
                <w:rFonts w:cstheme="minorHAnsi"/>
                <w:sz w:val="20"/>
                <w:szCs w:val="20"/>
              </w:rPr>
              <w:t>)</w:t>
            </w:r>
          </w:p>
          <w:p w14:paraId="291DF08F"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31</w:t>
            </w:r>
            <w:r>
              <w:rPr>
                <w:rFonts w:cstheme="minorHAnsi"/>
                <w:sz w:val="20"/>
                <w:szCs w:val="20"/>
              </w:rPr>
              <w:t xml:space="preserve"> (2.0%)</w:t>
            </w:r>
          </w:p>
          <w:p w14:paraId="7CA25A0A"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369</w:t>
            </w:r>
            <w:r>
              <w:rPr>
                <w:rFonts w:cstheme="minorHAnsi"/>
                <w:sz w:val="20"/>
                <w:szCs w:val="20"/>
              </w:rPr>
              <w:t xml:space="preserve"> (23.4%)</w:t>
            </w:r>
          </w:p>
          <w:p w14:paraId="7B652565"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611</w:t>
            </w:r>
            <w:r>
              <w:rPr>
                <w:rFonts w:cstheme="minorHAnsi"/>
                <w:sz w:val="20"/>
                <w:szCs w:val="20"/>
              </w:rPr>
              <w:t xml:space="preserve"> (38.7%)</w:t>
            </w:r>
          </w:p>
          <w:p w14:paraId="725885F4"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201</w:t>
            </w:r>
            <w:r>
              <w:rPr>
                <w:rFonts w:cstheme="minorHAnsi"/>
                <w:sz w:val="20"/>
                <w:szCs w:val="20"/>
              </w:rPr>
              <w:t xml:space="preserve"> (12.7%)</w:t>
            </w:r>
          </w:p>
        </w:tc>
      </w:tr>
      <w:tr w:rsidR="00230E8F" w:rsidRPr="00230E8F" w14:paraId="67151518" w14:textId="77777777" w:rsidTr="00FD4EE5">
        <w:trPr>
          <w:jc w:val="center"/>
        </w:trPr>
        <w:tc>
          <w:tcPr>
            <w:tcW w:w="2880" w:type="dxa"/>
          </w:tcPr>
          <w:p w14:paraId="3445ACF5" w14:textId="77777777" w:rsidR="00230E8F" w:rsidRPr="00FD4EE5" w:rsidRDefault="00230E8F" w:rsidP="000B752D">
            <w:pPr>
              <w:autoSpaceDE w:val="0"/>
              <w:autoSpaceDN w:val="0"/>
              <w:adjustRightInd w:val="0"/>
              <w:spacing w:line="276" w:lineRule="auto"/>
              <w:rPr>
                <w:rFonts w:cstheme="minorHAnsi"/>
                <w:sz w:val="20"/>
                <w:szCs w:val="20"/>
              </w:rPr>
            </w:pPr>
            <w:r w:rsidRPr="00FD4EE5">
              <w:rPr>
                <w:rFonts w:cstheme="minorHAnsi"/>
                <w:sz w:val="20"/>
                <w:szCs w:val="20"/>
              </w:rPr>
              <w:t>Sex</w:t>
            </w:r>
          </w:p>
          <w:p w14:paraId="70090B1E" w14:textId="77777777" w:rsidR="00230E8F" w:rsidRPr="00FD4EE5" w:rsidRDefault="00230E8F" w:rsidP="00FD4EE5">
            <w:pPr>
              <w:autoSpaceDE w:val="0"/>
              <w:autoSpaceDN w:val="0"/>
              <w:adjustRightInd w:val="0"/>
              <w:spacing w:line="276" w:lineRule="auto"/>
              <w:jc w:val="right"/>
              <w:rPr>
                <w:rFonts w:cstheme="minorHAnsi"/>
                <w:sz w:val="20"/>
                <w:szCs w:val="20"/>
              </w:rPr>
            </w:pPr>
            <w:r w:rsidRPr="00FD4EE5">
              <w:rPr>
                <w:rFonts w:cstheme="minorHAnsi"/>
                <w:sz w:val="20"/>
                <w:szCs w:val="20"/>
              </w:rPr>
              <w:t>Male</w:t>
            </w:r>
          </w:p>
          <w:p w14:paraId="25FC6F1E" w14:textId="77777777" w:rsidR="00230E8F" w:rsidRPr="00FD4EE5" w:rsidRDefault="00230E8F" w:rsidP="00FD4EE5">
            <w:pPr>
              <w:autoSpaceDE w:val="0"/>
              <w:autoSpaceDN w:val="0"/>
              <w:adjustRightInd w:val="0"/>
              <w:spacing w:line="276" w:lineRule="auto"/>
              <w:jc w:val="right"/>
              <w:rPr>
                <w:rFonts w:cstheme="minorHAnsi"/>
                <w:sz w:val="20"/>
                <w:szCs w:val="20"/>
              </w:rPr>
            </w:pPr>
            <w:r w:rsidRPr="00FD4EE5">
              <w:rPr>
                <w:rFonts w:cstheme="minorHAnsi"/>
                <w:sz w:val="20"/>
                <w:szCs w:val="20"/>
              </w:rPr>
              <w:t>Female</w:t>
            </w:r>
          </w:p>
          <w:p w14:paraId="603F970E" w14:textId="77777777" w:rsidR="00230E8F" w:rsidRPr="00FD4EE5" w:rsidRDefault="00230E8F" w:rsidP="00FD4EE5">
            <w:pPr>
              <w:autoSpaceDE w:val="0"/>
              <w:autoSpaceDN w:val="0"/>
              <w:adjustRightInd w:val="0"/>
              <w:spacing w:line="276" w:lineRule="auto"/>
              <w:jc w:val="right"/>
              <w:rPr>
                <w:rFonts w:cstheme="minorHAnsi"/>
                <w:sz w:val="20"/>
                <w:szCs w:val="20"/>
              </w:rPr>
            </w:pPr>
            <w:r w:rsidRPr="00FD4EE5">
              <w:rPr>
                <w:rFonts w:cstheme="minorHAnsi"/>
                <w:sz w:val="20"/>
                <w:szCs w:val="20"/>
              </w:rPr>
              <w:t>Unknown</w:t>
            </w:r>
          </w:p>
        </w:tc>
        <w:tc>
          <w:tcPr>
            <w:tcW w:w="1980" w:type="dxa"/>
          </w:tcPr>
          <w:p w14:paraId="0292E708" w14:textId="77777777" w:rsidR="00230E8F" w:rsidRPr="00FD4EE5" w:rsidRDefault="00230E8F" w:rsidP="00FD4EE5">
            <w:pPr>
              <w:autoSpaceDE w:val="0"/>
              <w:autoSpaceDN w:val="0"/>
              <w:adjustRightInd w:val="0"/>
              <w:spacing w:line="276" w:lineRule="auto"/>
              <w:jc w:val="center"/>
              <w:rPr>
                <w:rFonts w:cstheme="minorHAnsi"/>
                <w:sz w:val="20"/>
                <w:szCs w:val="20"/>
              </w:rPr>
            </w:pPr>
          </w:p>
          <w:p w14:paraId="58B5C372"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639</w:t>
            </w:r>
            <w:r>
              <w:rPr>
                <w:rFonts w:cstheme="minorHAnsi"/>
                <w:sz w:val="20"/>
                <w:szCs w:val="20"/>
              </w:rPr>
              <w:t xml:space="preserve"> (40.1%)</w:t>
            </w:r>
          </w:p>
          <w:p w14:paraId="5017C654"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856</w:t>
            </w:r>
            <w:r>
              <w:rPr>
                <w:rFonts w:cstheme="minorHAnsi"/>
                <w:sz w:val="20"/>
                <w:szCs w:val="20"/>
              </w:rPr>
              <w:t xml:space="preserve"> (54.3%)</w:t>
            </w:r>
          </w:p>
          <w:p w14:paraId="3B207429" w14:textId="77777777" w:rsidR="00230E8F" w:rsidRPr="00FD4EE5" w:rsidRDefault="00230E8F" w:rsidP="00FD4EE5">
            <w:pPr>
              <w:autoSpaceDE w:val="0"/>
              <w:autoSpaceDN w:val="0"/>
              <w:adjustRightInd w:val="0"/>
              <w:spacing w:line="276" w:lineRule="auto"/>
              <w:jc w:val="center"/>
              <w:rPr>
                <w:rFonts w:cstheme="minorHAnsi"/>
                <w:sz w:val="20"/>
                <w:szCs w:val="20"/>
              </w:rPr>
            </w:pPr>
            <w:r w:rsidRPr="00FD4EE5">
              <w:rPr>
                <w:rFonts w:cstheme="minorHAnsi"/>
                <w:sz w:val="20"/>
                <w:szCs w:val="20"/>
              </w:rPr>
              <w:t>83</w:t>
            </w:r>
            <w:r>
              <w:rPr>
                <w:rFonts w:cstheme="minorHAnsi"/>
                <w:sz w:val="20"/>
                <w:szCs w:val="20"/>
              </w:rPr>
              <w:t xml:space="preserve"> (5.3%)</w:t>
            </w:r>
          </w:p>
        </w:tc>
      </w:tr>
      <w:tr w:rsidR="00230E8F" w:rsidRPr="00230E8F" w14:paraId="29387CF0" w14:textId="77777777" w:rsidTr="00FD4EE5">
        <w:trPr>
          <w:jc w:val="center"/>
        </w:trPr>
        <w:tc>
          <w:tcPr>
            <w:tcW w:w="2880" w:type="dxa"/>
          </w:tcPr>
          <w:p w14:paraId="2ED72F82" w14:textId="77777777" w:rsidR="00230E8F" w:rsidRDefault="00AD615A" w:rsidP="000B752D">
            <w:pPr>
              <w:autoSpaceDE w:val="0"/>
              <w:autoSpaceDN w:val="0"/>
              <w:adjustRightInd w:val="0"/>
              <w:spacing w:line="276" w:lineRule="auto"/>
              <w:rPr>
                <w:rFonts w:cstheme="minorHAnsi"/>
                <w:sz w:val="20"/>
                <w:szCs w:val="20"/>
              </w:rPr>
            </w:pPr>
            <w:r>
              <w:rPr>
                <w:rFonts w:cstheme="minorHAnsi"/>
                <w:sz w:val="20"/>
                <w:szCs w:val="20"/>
              </w:rPr>
              <w:t>Water Consumption (cups/day)</w:t>
            </w:r>
          </w:p>
          <w:p w14:paraId="10465663" w14:textId="77777777" w:rsidR="00AD615A" w:rsidRDefault="00AD615A" w:rsidP="00FD4EE5">
            <w:pPr>
              <w:autoSpaceDE w:val="0"/>
              <w:autoSpaceDN w:val="0"/>
              <w:adjustRightInd w:val="0"/>
              <w:spacing w:line="276" w:lineRule="auto"/>
              <w:jc w:val="right"/>
              <w:rPr>
                <w:rFonts w:cstheme="minorHAnsi"/>
                <w:sz w:val="20"/>
                <w:szCs w:val="20"/>
              </w:rPr>
            </w:pPr>
            <w:r>
              <w:rPr>
                <w:rFonts w:cstheme="minorHAnsi"/>
                <w:sz w:val="20"/>
                <w:szCs w:val="20"/>
              </w:rPr>
              <w:t>&lt;4</w:t>
            </w:r>
          </w:p>
          <w:p w14:paraId="756CC45E" w14:textId="77777777" w:rsidR="00AD615A" w:rsidRDefault="00AD615A" w:rsidP="00FD4EE5">
            <w:pPr>
              <w:autoSpaceDE w:val="0"/>
              <w:autoSpaceDN w:val="0"/>
              <w:adjustRightInd w:val="0"/>
              <w:spacing w:line="276" w:lineRule="auto"/>
              <w:jc w:val="right"/>
              <w:rPr>
                <w:rFonts w:cstheme="minorHAnsi"/>
                <w:sz w:val="20"/>
                <w:szCs w:val="20"/>
              </w:rPr>
            </w:pPr>
            <w:r>
              <w:rPr>
                <w:rFonts w:cstheme="minorHAnsi"/>
                <w:sz w:val="20"/>
                <w:szCs w:val="20"/>
              </w:rPr>
              <w:t>4-7</w:t>
            </w:r>
          </w:p>
          <w:p w14:paraId="68B63106" w14:textId="77777777" w:rsidR="00AD615A" w:rsidRDefault="00AD615A" w:rsidP="00FD4EE5">
            <w:pPr>
              <w:autoSpaceDE w:val="0"/>
              <w:autoSpaceDN w:val="0"/>
              <w:adjustRightInd w:val="0"/>
              <w:spacing w:line="276" w:lineRule="auto"/>
              <w:jc w:val="right"/>
              <w:rPr>
                <w:rFonts w:cstheme="minorHAnsi"/>
                <w:sz w:val="20"/>
                <w:szCs w:val="20"/>
              </w:rPr>
            </w:pPr>
            <w:r>
              <w:rPr>
                <w:rFonts w:cstheme="minorHAnsi"/>
                <w:sz w:val="20"/>
                <w:szCs w:val="20"/>
              </w:rPr>
              <w:t>8+</w:t>
            </w:r>
          </w:p>
          <w:p w14:paraId="30839C28" w14:textId="77777777" w:rsidR="00AD615A" w:rsidRPr="00FD4EE5" w:rsidRDefault="00AD615A" w:rsidP="00FD4EE5">
            <w:pPr>
              <w:autoSpaceDE w:val="0"/>
              <w:autoSpaceDN w:val="0"/>
              <w:adjustRightInd w:val="0"/>
              <w:spacing w:line="276" w:lineRule="auto"/>
              <w:jc w:val="right"/>
              <w:rPr>
                <w:rFonts w:cstheme="minorHAnsi"/>
                <w:sz w:val="20"/>
                <w:szCs w:val="20"/>
              </w:rPr>
            </w:pPr>
            <w:r>
              <w:rPr>
                <w:rFonts w:cstheme="minorHAnsi"/>
                <w:sz w:val="20"/>
                <w:szCs w:val="20"/>
              </w:rPr>
              <w:t>Unknown</w:t>
            </w:r>
          </w:p>
        </w:tc>
        <w:tc>
          <w:tcPr>
            <w:tcW w:w="1980" w:type="dxa"/>
          </w:tcPr>
          <w:p w14:paraId="440A705D" w14:textId="77777777" w:rsidR="00230E8F" w:rsidRDefault="00AD615A" w:rsidP="00FD4EE5">
            <w:pPr>
              <w:autoSpaceDE w:val="0"/>
              <w:autoSpaceDN w:val="0"/>
              <w:adjustRightInd w:val="0"/>
              <w:spacing w:line="276" w:lineRule="auto"/>
              <w:jc w:val="center"/>
              <w:rPr>
                <w:rFonts w:cstheme="minorHAnsi"/>
                <w:sz w:val="20"/>
                <w:szCs w:val="20"/>
              </w:rPr>
            </w:pPr>
            <w:r>
              <w:rPr>
                <w:rFonts w:cstheme="minorHAnsi"/>
                <w:sz w:val="20"/>
                <w:szCs w:val="20"/>
              </w:rPr>
              <w:t>(median=4)</w:t>
            </w:r>
          </w:p>
          <w:p w14:paraId="5F8584B6" w14:textId="77777777" w:rsidR="00AD615A" w:rsidRDefault="00AD615A" w:rsidP="00FD4EE5">
            <w:pPr>
              <w:autoSpaceDE w:val="0"/>
              <w:autoSpaceDN w:val="0"/>
              <w:adjustRightInd w:val="0"/>
              <w:spacing w:line="276" w:lineRule="auto"/>
              <w:jc w:val="center"/>
              <w:rPr>
                <w:rFonts w:cstheme="minorHAnsi"/>
                <w:sz w:val="20"/>
                <w:szCs w:val="20"/>
              </w:rPr>
            </w:pPr>
            <w:r>
              <w:rPr>
                <w:rFonts w:cstheme="minorHAnsi"/>
                <w:sz w:val="20"/>
                <w:szCs w:val="20"/>
              </w:rPr>
              <w:t>572 (36.3%)</w:t>
            </w:r>
          </w:p>
          <w:p w14:paraId="20412DA9" w14:textId="77777777" w:rsidR="00AD615A" w:rsidRDefault="00AD615A" w:rsidP="00FD4EE5">
            <w:pPr>
              <w:autoSpaceDE w:val="0"/>
              <w:autoSpaceDN w:val="0"/>
              <w:adjustRightInd w:val="0"/>
              <w:spacing w:line="276" w:lineRule="auto"/>
              <w:jc w:val="center"/>
              <w:rPr>
                <w:rFonts w:cstheme="minorHAnsi"/>
                <w:sz w:val="20"/>
                <w:szCs w:val="20"/>
              </w:rPr>
            </w:pPr>
            <w:r>
              <w:rPr>
                <w:rFonts w:cstheme="minorHAnsi"/>
                <w:sz w:val="20"/>
                <w:szCs w:val="20"/>
              </w:rPr>
              <w:t>539 (34.2%)</w:t>
            </w:r>
          </w:p>
          <w:p w14:paraId="7F816350" w14:textId="77777777" w:rsidR="00AD615A" w:rsidRDefault="00AD615A" w:rsidP="00FD4EE5">
            <w:pPr>
              <w:autoSpaceDE w:val="0"/>
              <w:autoSpaceDN w:val="0"/>
              <w:adjustRightInd w:val="0"/>
              <w:spacing w:line="276" w:lineRule="auto"/>
              <w:jc w:val="center"/>
              <w:rPr>
                <w:rFonts w:cstheme="minorHAnsi"/>
                <w:sz w:val="20"/>
                <w:szCs w:val="20"/>
              </w:rPr>
            </w:pPr>
            <w:r>
              <w:rPr>
                <w:rFonts w:cstheme="minorHAnsi"/>
                <w:sz w:val="20"/>
                <w:szCs w:val="20"/>
              </w:rPr>
              <w:t>227 (14.4%)</w:t>
            </w:r>
          </w:p>
          <w:p w14:paraId="21CBF9BD" w14:textId="77777777" w:rsidR="00AD615A" w:rsidRPr="00FD4EE5" w:rsidRDefault="00AD615A" w:rsidP="00FD4EE5">
            <w:pPr>
              <w:autoSpaceDE w:val="0"/>
              <w:autoSpaceDN w:val="0"/>
              <w:adjustRightInd w:val="0"/>
              <w:spacing w:line="276" w:lineRule="auto"/>
              <w:jc w:val="center"/>
              <w:rPr>
                <w:rFonts w:cstheme="minorHAnsi"/>
                <w:sz w:val="20"/>
                <w:szCs w:val="20"/>
              </w:rPr>
            </w:pPr>
            <w:r>
              <w:rPr>
                <w:rFonts w:cstheme="minorHAnsi"/>
                <w:sz w:val="20"/>
                <w:szCs w:val="20"/>
              </w:rPr>
              <w:t>240 (15.2%)</w:t>
            </w:r>
          </w:p>
        </w:tc>
      </w:tr>
      <w:tr w:rsidR="00230E8F" w:rsidRPr="00230E8F" w14:paraId="3E81A401" w14:textId="77777777" w:rsidTr="00FD4EE5">
        <w:trPr>
          <w:jc w:val="center"/>
        </w:trPr>
        <w:tc>
          <w:tcPr>
            <w:tcW w:w="2880" w:type="dxa"/>
          </w:tcPr>
          <w:p w14:paraId="771DBC48" w14:textId="77777777" w:rsidR="00230E8F" w:rsidRDefault="00701A79" w:rsidP="000B752D">
            <w:pPr>
              <w:autoSpaceDE w:val="0"/>
              <w:autoSpaceDN w:val="0"/>
              <w:adjustRightInd w:val="0"/>
              <w:spacing w:line="276" w:lineRule="auto"/>
              <w:rPr>
                <w:rFonts w:cstheme="minorHAnsi"/>
                <w:sz w:val="20"/>
                <w:szCs w:val="20"/>
              </w:rPr>
            </w:pPr>
            <w:r>
              <w:rPr>
                <w:rFonts w:cstheme="minorHAnsi"/>
                <w:sz w:val="20"/>
                <w:szCs w:val="20"/>
              </w:rPr>
              <w:t>Time Spent on Pease (years)</w:t>
            </w:r>
          </w:p>
          <w:p w14:paraId="4ACCFFBB" w14:textId="77777777" w:rsidR="00701A79" w:rsidRDefault="00701A79" w:rsidP="00FD4EE5">
            <w:pPr>
              <w:autoSpaceDE w:val="0"/>
              <w:autoSpaceDN w:val="0"/>
              <w:adjustRightInd w:val="0"/>
              <w:spacing w:line="276" w:lineRule="auto"/>
              <w:jc w:val="right"/>
              <w:rPr>
                <w:rFonts w:cstheme="minorHAnsi"/>
                <w:sz w:val="20"/>
                <w:szCs w:val="20"/>
              </w:rPr>
            </w:pPr>
            <w:r>
              <w:rPr>
                <w:rFonts w:cstheme="minorHAnsi"/>
                <w:sz w:val="20"/>
                <w:szCs w:val="20"/>
              </w:rPr>
              <w:t>&lt;1</w:t>
            </w:r>
          </w:p>
          <w:p w14:paraId="357B803A" w14:textId="77777777" w:rsidR="00701A79" w:rsidRDefault="00701A79" w:rsidP="00FD4EE5">
            <w:pPr>
              <w:autoSpaceDE w:val="0"/>
              <w:autoSpaceDN w:val="0"/>
              <w:adjustRightInd w:val="0"/>
              <w:spacing w:line="276" w:lineRule="auto"/>
              <w:jc w:val="right"/>
              <w:rPr>
                <w:rFonts w:cstheme="minorHAnsi"/>
                <w:sz w:val="20"/>
                <w:szCs w:val="20"/>
              </w:rPr>
            </w:pPr>
            <w:r>
              <w:rPr>
                <w:rFonts w:cstheme="minorHAnsi"/>
                <w:sz w:val="20"/>
                <w:szCs w:val="20"/>
              </w:rPr>
              <w:t>1-4</w:t>
            </w:r>
          </w:p>
          <w:p w14:paraId="5DF2FBFF" w14:textId="77777777" w:rsidR="00701A79" w:rsidRDefault="00701A79" w:rsidP="00FD4EE5">
            <w:pPr>
              <w:autoSpaceDE w:val="0"/>
              <w:autoSpaceDN w:val="0"/>
              <w:adjustRightInd w:val="0"/>
              <w:spacing w:line="276" w:lineRule="auto"/>
              <w:jc w:val="right"/>
              <w:rPr>
                <w:rFonts w:cstheme="minorHAnsi"/>
                <w:sz w:val="20"/>
                <w:szCs w:val="20"/>
              </w:rPr>
            </w:pPr>
            <w:r>
              <w:rPr>
                <w:rFonts w:cstheme="minorHAnsi"/>
                <w:sz w:val="20"/>
                <w:szCs w:val="20"/>
              </w:rPr>
              <w:t>5-9</w:t>
            </w:r>
          </w:p>
          <w:p w14:paraId="4DBA580D" w14:textId="77777777" w:rsidR="00701A79" w:rsidRDefault="00701A79" w:rsidP="00FD4EE5">
            <w:pPr>
              <w:autoSpaceDE w:val="0"/>
              <w:autoSpaceDN w:val="0"/>
              <w:adjustRightInd w:val="0"/>
              <w:spacing w:line="276" w:lineRule="auto"/>
              <w:jc w:val="right"/>
              <w:rPr>
                <w:rFonts w:cstheme="minorHAnsi"/>
                <w:sz w:val="20"/>
                <w:szCs w:val="20"/>
              </w:rPr>
            </w:pPr>
            <w:r>
              <w:rPr>
                <w:rFonts w:cstheme="minorHAnsi"/>
                <w:sz w:val="20"/>
                <w:szCs w:val="20"/>
              </w:rPr>
              <w:t>10-19</w:t>
            </w:r>
          </w:p>
          <w:p w14:paraId="00D0D294" w14:textId="77777777" w:rsidR="00701A79" w:rsidRDefault="00701A79" w:rsidP="00FD4EE5">
            <w:pPr>
              <w:autoSpaceDE w:val="0"/>
              <w:autoSpaceDN w:val="0"/>
              <w:adjustRightInd w:val="0"/>
              <w:spacing w:line="276" w:lineRule="auto"/>
              <w:jc w:val="right"/>
              <w:rPr>
                <w:rFonts w:cstheme="minorHAnsi"/>
                <w:sz w:val="20"/>
                <w:szCs w:val="20"/>
              </w:rPr>
            </w:pPr>
            <w:r>
              <w:rPr>
                <w:rFonts w:cstheme="minorHAnsi"/>
                <w:sz w:val="20"/>
                <w:szCs w:val="20"/>
              </w:rPr>
              <w:t>20+</w:t>
            </w:r>
          </w:p>
          <w:p w14:paraId="662B21CC" w14:textId="77777777" w:rsidR="00701A79" w:rsidRPr="00FD4EE5" w:rsidRDefault="00701A79" w:rsidP="00FD4EE5">
            <w:pPr>
              <w:autoSpaceDE w:val="0"/>
              <w:autoSpaceDN w:val="0"/>
              <w:adjustRightInd w:val="0"/>
              <w:spacing w:line="276" w:lineRule="auto"/>
              <w:jc w:val="right"/>
              <w:rPr>
                <w:rFonts w:cstheme="minorHAnsi"/>
                <w:sz w:val="20"/>
                <w:szCs w:val="20"/>
              </w:rPr>
            </w:pPr>
            <w:r>
              <w:rPr>
                <w:rFonts w:cstheme="minorHAnsi"/>
                <w:sz w:val="20"/>
                <w:szCs w:val="20"/>
              </w:rPr>
              <w:t>Unknown</w:t>
            </w:r>
          </w:p>
        </w:tc>
        <w:tc>
          <w:tcPr>
            <w:tcW w:w="1980" w:type="dxa"/>
          </w:tcPr>
          <w:p w14:paraId="1FBC8B7E" w14:textId="77777777" w:rsidR="00230E8F" w:rsidRDefault="00701A79" w:rsidP="00FD4EE5">
            <w:pPr>
              <w:autoSpaceDE w:val="0"/>
              <w:autoSpaceDN w:val="0"/>
              <w:adjustRightInd w:val="0"/>
              <w:spacing w:line="276" w:lineRule="auto"/>
              <w:jc w:val="center"/>
              <w:rPr>
                <w:rFonts w:cstheme="minorHAnsi"/>
                <w:sz w:val="20"/>
                <w:szCs w:val="20"/>
              </w:rPr>
            </w:pPr>
            <w:r>
              <w:rPr>
                <w:rFonts w:cstheme="minorHAnsi"/>
                <w:sz w:val="20"/>
                <w:szCs w:val="20"/>
              </w:rPr>
              <w:t>(median=6.5)</w:t>
            </w:r>
          </w:p>
          <w:p w14:paraId="1F4033CC" w14:textId="77777777" w:rsidR="00701A79" w:rsidRDefault="00701A79" w:rsidP="00FD4EE5">
            <w:pPr>
              <w:autoSpaceDE w:val="0"/>
              <w:autoSpaceDN w:val="0"/>
              <w:adjustRightInd w:val="0"/>
              <w:spacing w:line="276" w:lineRule="auto"/>
              <w:jc w:val="center"/>
              <w:rPr>
                <w:rFonts w:cstheme="minorHAnsi"/>
                <w:sz w:val="20"/>
                <w:szCs w:val="20"/>
              </w:rPr>
            </w:pPr>
            <w:r>
              <w:rPr>
                <w:rFonts w:cstheme="minorHAnsi"/>
                <w:sz w:val="20"/>
                <w:szCs w:val="20"/>
              </w:rPr>
              <w:t>75 (4.8%)</w:t>
            </w:r>
          </w:p>
          <w:p w14:paraId="7D0FD679" w14:textId="77777777" w:rsidR="00701A79" w:rsidRDefault="00701A79" w:rsidP="00FD4EE5">
            <w:pPr>
              <w:autoSpaceDE w:val="0"/>
              <w:autoSpaceDN w:val="0"/>
              <w:adjustRightInd w:val="0"/>
              <w:spacing w:line="276" w:lineRule="auto"/>
              <w:jc w:val="center"/>
              <w:rPr>
                <w:rFonts w:cstheme="minorHAnsi"/>
                <w:sz w:val="20"/>
                <w:szCs w:val="20"/>
              </w:rPr>
            </w:pPr>
            <w:r>
              <w:rPr>
                <w:rFonts w:cstheme="minorHAnsi"/>
                <w:sz w:val="20"/>
                <w:szCs w:val="20"/>
              </w:rPr>
              <w:t>429 (27.2%)</w:t>
            </w:r>
          </w:p>
          <w:p w14:paraId="63A3D717" w14:textId="77777777" w:rsidR="00701A79" w:rsidRDefault="00701A79" w:rsidP="00FD4EE5">
            <w:pPr>
              <w:autoSpaceDE w:val="0"/>
              <w:autoSpaceDN w:val="0"/>
              <w:adjustRightInd w:val="0"/>
              <w:spacing w:line="276" w:lineRule="auto"/>
              <w:jc w:val="center"/>
              <w:rPr>
                <w:rFonts w:cstheme="minorHAnsi"/>
                <w:sz w:val="20"/>
                <w:szCs w:val="20"/>
              </w:rPr>
            </w:pPr>
            <w:r>
              <w:rPr>
                <w:rFonts w:cstheme="minorHAnsi"/>
                <w:sz w:val="20"/>
                <w:szCs w:val="20"/>
              </w:rPr>
              <w:t>378 (24.0%)</w:t>
            </w:r>
          </w:p>
          <w:p w14:paraId="1F7F865E" w14:textId="77777777" w:rsidR="00701A79" w:rsidRDefault="00701A79" w:rsidP="00FD4EE5">
            <w:pPr>
              <w:autoSpaceDE w:val="0"/>
              <w:autoSpaceDN w:val="0"/>
              <w:adjustRightInd w:val="0"/>
              <w:spacing w:line="276" w:lineRule="auto"/>
              <w:jc w:val="center"/>
              <w:rPr>
                <w:rFonts w:cstheme="minorHAnsi"/>
                <w:sz w:val="20"/>
                <w:szCs w:val="20"/>
              </w:rPr>
            </w:pPr>
            <w:r>
              <w:rPr>
                <w:rFonts w:cstheme="minorHAnsi"/>
                <w:sz w:val="20"/>
                <w:szCs w:val="20"/>
              </w:rPr>
              <w:t>318 (20.2%)</w:t>
            </w:r>
          </w:p>
          <w:p w14:paraId="7A528508" w14:textId="77777777" w:rsidR="00701A79" w:rsidRDefault="00701A79" w:rsidP="00FD4EE5">
            <w:pPr>
              <w:autoSpaceDE w:val="0"/>
              <w:autoSpaceDN w:val="0"/>
              <w:adjustRightInd w:val="0"/>
              <w:spacing w:line="276" w:lineRule="auto"/>
              <w:jc w:val="center"/>
              <w:rPr>
                <w:rFonts w:cstheme="minorHAnsi"/>
                <w:sz w:val="20"/>
                <w:szCs w:val="20"/>
              </w:rPr>
            </w:pPr>
            <w:r>
              <w:rPr>
                <w:rFonts w:cstheme="minorHAnsi"/>
                <w:sz w:val="20"/>
                <w:szCs w:val="20"/>
              </w:rPr>
              <w:t>88 (5.6%)</w:t>
            </w:r>
          </w:p>
          <w:p w14:paraId="4AC68FA6" w14:textId="77777777" w:rsidR="00701A79" w:rsidRPr="00FD4EE5" w:rsidRDefault="00701A79" w:rsidP="00FD4EE5">
            <w:pPr>
              <w:autoSpaceDE w:val="0"/>
              <w:autoSpaceDN w:val="0"/>
              <w:adjustRightInd w:val="0"/>
              <w:spacing w:line="276" w:lineRule="auto"/>
              <w:jc w:val="center"/>
              <w:rPr>
                <w:rFonts w:cstheme="minorHAnsi"/>
                <w:sz w:val="20"/>
                <w:szCs w:val="20"/>
              </w:rPr>
            </w:pPr>
            <w:r>
              <w:rPr>
                <w:rFonts w:cstheme="minorHAnsi"/>
                <w:sz w:val="20"/>
                <w:szCs w:val="20"/>
              </w:rPr>
              <w:t>290 (18.4%)</w:t>
            </w:r>
          </w:p>
        </w:tc>
      </w:tr>
      <w:tr w:rsidR="00230E8F" w:rsidRPr="00230E8F" w14:paraId="3633846B" w14:textId="77777777" w:rsidTr="00FD4EE5">
        <w:trPr>
          <w:jc w:val="center"/>
        </w:trPr>
        <w:tc>
          <w:tcPr>
            <w:tcW w:w="2880" w:type="dxa"/>
          </w:tcPr>
          <w:p w14:paraId="0E7D85E5" w14:textId="77777777" w:rsidR="00230E8F" w:rsidRDefault="00526673" w:rsidP="000B752D">
            <w:pPr>
              <w:autoSpaceDE w:val="0"/>
              <w:autoSpaceDN w:val="0"/>
              <w:adjustRightInd w:val="0"/>
              <w:spacing w:line="276" w:lineRule="auto"/>
              <w:rPr>
                <w:rFonts w:cstheme="minorHAnsi"/>
                <w:sz w:val="20"/>
                <w:szCs w:val="20"/>
              </w:rPr>
            </w:pPr>
            <w:r>
              <w:rPr>
                <w:rFonts w:cstheme="minorHAnsi"/>
                <w:sz w:val="20"/>
                <w:szCs w:val="20"/>
              </w:rPr>
              <w:t>Time Since Last on Pease (years)</w:t>
            </w:r>
          </w:p>
          <w:p w14:paraId="00865945" w14:textId="77777777" w:rsidR="00526673" w:rsidRDefault="00526673" w:rsidP="00FD4EE5">
            <w:pPr>
              <w:autoSpaceDE w:val="0"/>
              <w:autoSpaceDN w:val="0"/>
              <w:adjustRightInd w:val="0"/>
              <w:spacing w:line="276" w:lineRule="auto"/>
              <w:jc w:val="right"/>
              <w:rPr>
                <w:rFonts w:cstheme="minorHAnsi"/>
                <w:sz w:val="20"/>
                <w:szCs w:val="20"/>
              </w:rPr>
            </w:pPr>
            <w:r>
              <w:rPr>
                <w:rFonts w:cstheme="minorHAnsi"/>
                <w:sz w:val="20"/>
                <w:szCs w:val="20"/>
              </w:rPr>
              <w:t>&lt;1</w:t>
            </w:r>
          </w:p>
          <w:p w14:paraId="3D1B4C96" w14:textId="77777777" w:rsidR="00526673" w:rsidRDefault="00526673" w:rsidP="00FD4EE5">
            <w:pPr>
              <w:autoSpaceDE w:val="0"/>
              <w:autoSpaceDN w:val="0"/>
              <w:adjustRightInd w:val="0"/>
              <w:spacing w:line="276" w:lineRule="auto"/>
              <w:jc w:val="right"/>
              <w:rPr>
                <w:rFonts w:cstheme="minorHAnsi"/>
                <w:sz w:val="20"/>
                <w:szCs w:val="20"/>
              </w:rPr>
            </w:pPr>
            <w:r>
              <w:rPr>
                <w:rFonts w:cstheme="minorHAnsi"/>
                <w:sz w:val="20"/>
                <w:szCs w:val="20"/>
              </w:rPr>
              <w:t>1-4</w:t>
            </w:r>
          </w:p>
          <w:p w14:paraId="5B55E9E3" w14:textId="77777777" w:rsidR="00526673" w:rsidRDefault="00526673" w:rsidP="00FD4EE5">
            <w:pPr>
              <w:autoSpaceDE w:val="0"/>
              <w:autoSpaceDN w:val="0"/>
              <w:adjustRightInd w:val="0"/>
              <w:spacing w:line="276" w:lineRule="auto"/>
              <w:jc w:val="right"/>
              <w:rPr>
                <w:rFonts w:cstheme="minorHAnsi"/>
                <w:sz w:val="20"/>
                <w:szCs w:val="20"/>
              </w:rPr>
            </w:pPr>
            <w:r>
              <w:rPr>
                <w:rFonts w:cstheme="minorHAnsi"/>
                <w:sz w:val="20"/>
                <w:szCs w:val="20"/>
              </w:rPr>
              <w:t>5-9</w:t>
            </w:r>
          </w:p>
          <w:p w14:paraId="09FA9524" w14:textId="77777777" w:rsidR="00526673" w:rsidRDefault="00526673" w:rsidP="00FD4EE5">
            <w:pPr>
              <w:autoSpaceDE w:val="0"/>
              <w:autoSpaceDN w:val="0"/>
              <w:adjustRightInd w:val="0"/>
              <w:spacing w:line="276" w:lineRule="auto"/>
              <w:jc w:val="right"/>
              <w:rPr>
                <w:rFonts w:cstheme="minorHAnsi"/>
                <w:sz w:val="20"/>
                <w:szCs w:val="20"/>
              </w:rPr>
            </w:pPr>
            <w:r>
              <w:rPr>
                <w:rFonts w:cstheme="minorHAnsi"/>
                <w:sz w:val="20"/>
                <w:szCs w:val="20"/>
              </w:rPr>
              <w:t>10-19</w:t>
            </w:r>
          </w:p>
          <w:p w14:paraId="6D383A3A" w14:textId="77777777" w:rsidR="00526673" w:rsidRDefault="00526673" w:rsidP="00FD4EE5">
            <w:pPr>
              <w:autoSpaceDE w:val="0"/>
              <w:autoSpaceDN w:val="0"/>
              <w:adjustRightInd w:val="0"/>
              <w:spacing w:line="276" w:lineRule="auto"/>
              <w:jc w:val="right"/>
              <w:rPr>
                <w:rFonts w:cstheme="minorHAnsi"/>
                <w:sz w:val="20"/>
                <w:szCs w:val="20"/>
              </w:rPr>
            </w:pPr>
            <w:r>
              <w:rPr>
                <w:rFonts w:cstheme="minorHAnsi"/>
                <w:sz w:val="20"/>
                <w:szCs w:val="20"/>
              </w:rPr>
              <w:t>20+</w:t>
            </w:r>
          </w:p>
          <w:p w14:paraId="211EAD19" w14:textId="77777777" w:rsidR="00526673" w:rsidRPr="00FD4EE5" w:rsidRDefault="00526673" w:rsidP="00FD4EE5">
            <w:pPr>
              <w:autoSpaceDE w:val="0"/>
              <w:autoSpaceDN w:val="0"/>
              <w:adjustRightInd w:val="0"/>
              <w:spacing w:line="276" w:lineRule="auto"/>
              <w:jc w:val="right"/>
              <w:rPr>
                <w:rFonts w:cstheme="minorHAnsi"/>
                <w:sz w:val="20"/>
                <w:szCs w:val="20"/>
              </w:rPr>
            </w:pPr>
            <w:r>
              <w:rPr>
                <w:rFonts w:cstheme="minorHAnsi"/>
                <w:sz w:val="20"/>
                <w:szCs w:val="20"/>
              </w:rPr>
              <w:t>Unknown</w:t>
            </w:r>
          </w:p>
        </w:tc>
        <w:tc>
          <w:tcPr>
            <w:tcW w:w="1980" w:type="dxa"/>
          </w:tcPr>
          <w:p w14:paraId="30E34C75" w14:textId="77777777" w:rsidR="00230E8F" w:rsidRDefault="00526673" w:rsidP="00FD4EE5">
            <w:pPr>
              <w:autoSpaceDE w:val="0"/>
              <w:autoSpaceDN w:val="0"/>
              <w:adjustRightInd w:val="0"/>
              <w:spacing w:line="276" w:lineRule="auto"/>
              <w:jc w:val="center"/>
              <w:rPr>
                <w:rFonts w:cstheme="minorHAnsi"/>
                <w:sz w:val="20"/>
                <w:szCs w:val="20"/>
              </w:rPr>
            </w:pPr>
            <w:r>
              <w:rPr>
                <w:rFonts w:cstheme="minorHAnsi"/>
                <w:sz w:val="20"/>
                <w:szCs w:val="20"/>
              </w:rPr>
              <w:t>(median=0.0)</w:t>
            </w:r>
          </w:p>
          <w:p w14:paraId="1AF8FD12" w14:textId="77777777" w:rsidR="00526673" w:rsidRDefault="00526673" w:rsidP="00FD4EE5">
            <w:pPr>
              <w:autoSpaceDE w:val="0"/>
              <w:autoSpaceDN w:val="0"/>
              <w:adjustRightInd w:val="0"/>
              <w:spacing w:line="276" w:lineRule="auto"/>
              <w:jc w:val="center"/>
              <w:rPr>
                <w:rFonts w:cstheme="minorHAnsi"/>
                <w:sz w:val="20"/>
                <w:szCs w:val="20"/>
              </w:rPr>
            </w:pPr>
            <w:r>
              <w:rPr>
                <w:rFonts w:cstheme="minorHAnsi"/>
                <w:sz w:val="20"/>
                <w:szCs w:val="20"/>
              </w:rPr>
              <w:t>948 (60.1%)</w:t>
            </w:r>
          </w:p>
          <w:p w14:paraId="5D1169D6" w14:textId="77777777" w:rsidR="00526673" w:rsidRDefault="00526673" w:rsidP="00FD4EE5">
            <w:pPr>
              <w:autoSpaceDE w:val="0"/>
              <w:autoSpaceDN w:val="0"/>
              <w:adjustRightInd w:val="0"/>
              <w:spacing w:line="276" w:lineRule="auto"/>
              <w:jc w:val="center"/>
              <w:rPr>
                <w:rFonts w:cstheme="minorHAnsi"/>
                <w:sz w:val="20"/>
                <w:szCs w:val="20"/>
              </w:rPr>
            </w:pPr>
            <w:r>
              <w:rPr>
                <w:rFonts w:cstheme="minorHAnsi"/>
                <w:sz w:val="20"/>
                <w:szCs w:val="20"/>
              </w:rPr>
              <w:t>144 (9.1%)</w:t>
            </w:r>
          </w:p>
          <w:p w14:paraId="00162FD5" w14:textId="77777777" w:rsidR="00526673" w:rsidRDefault="00526673" w:rsidP="00FD4EE5">
            <w:pPr>
              <w:autoSpaceDE w:val="0"/>
              <w:autoSpaceDN w:val="0"/>
              <w:adjustRightInd w:val="0"/>
              <w:spacing w:line="276" w:lineRule="auto"/>
              <w:jc w:val="center"/>
              <w:rPr>
                <w:rFonts w:cstheme="minorHAnsi"/>
                <w:sz w:val="20"/>
                <w:szCs w:val="20"/>
              </w:rPr>
            </w:pPr>
            <w:r>
              <w:rPr>
                <w:rFonts w:cstheme="minorHAnsi"/>
                <w:sz w:val="20"/>
                <w:szCs w:val="20"/>
              </w:rPr>
              <w:t>88 (5.6%)</w:t>
            </w:r>
          </w:p>
          <w:p w14:paraId="6E359FDF" w14:textId="77777777" w:rsidR="00526673" w:rsidRDefault="00526673" w:rsidP="00FD4EE5">
            <w:pPr>
              <w:autoSpaceDE w:val="0"/>
              <w:autoSpaceDN w:val="0"/>
              <w:adjustRightInd w:val="0"/>
              <w:spacing w:line="276" w:lineRule="auto"/>
              <w:jc w:val="center"/>
              <w:rPr>
                <w:rFonts w:cstheme="minorHAnsi"/>
                <w:sz w:val="20"/>
                <w:szCs w:val="20"/>
              </w:rPr>
            </w:pPr>
            <w:r>
              <w:rPr>
                <w:rFonts w:cstheme="minorHAnsi"/>
                <w:sz w:val="20"/>
                <w:szCs w:val="20"/>
              </w:rPr>
              <w:t>74 (4.7%)</w:t>
            </w:r>
          </w:p>
          <w:p w14:paraId="1A430F46" w14:textId="77777777" w:rsidR="00526673" w:rsidRDefault="00526673" w:rsidP="00FD4EE5">
            <w:pPr>
              <w:autoSpaceDE w:val="0"/>
              <w:autoSpaceDN w:val="0"/>
              <w:adjustRightInd w:val="0"/>
              <w:spacing w:line="276" w:lineRule="auto"/>
              <w:jc w:val="center"/>
              <w:rPr>
                <w:rFonts w:cstheme="minorHAnsi"/>
                <w:sz w:val="20"/>
                <w:szCs w:val="20"/>
              </w:rPr>
            </w:pPr>
            <w:r>
              <w:rPr>
                <w:rFonts w:cstheme="minorHAnsi"/>
                <w:sz w:val="20"/>
                <w:szCs w:val="20"/>
              </w:rPr>
              <w:t>34 (2.2%)</w:t>
            </w:r>
          </w:p>
          <w:p w14:paraId="19ADA8DA" w14:textId="77777777" w:rsidR="00526673" w:rsidRPr="00FD4EE5" w:rsidRDefault="00526673" w:rsidP="00FD4EE5">
            <w:pPr>
              <w:autoSpaceDE w:val="0"/>
              <w:autoSpaceDN w:val="0"/>
              <w:adjustRightInd w:val="0"/>
              <w:spacing w:line="276" w:lineRule="auto"/>
              <w:jc w:val="center"/>
              <w:rPr>
                <w:rFonts w:cstheme="minorHAnsi"/>
                <w:sz w:val="20"/>
                <w:szCs w:val="20"/>
              </w:rPr>
            </w:pPr>
            <w:r>
              <w:rPr>
                <w:rFonts w:cstheme="minorHAnsi"/>
                <w:sz w:val="20"/>
                <w:szCs w:val="20"/>
              </w:rPr>
              <w:t>290 (18.4%)</w:t>
            </w:r>
          </w:p>
        </w:tc>
      </w:tr>
      <w:tr w:rsidR="00230E8F" w:rsidRPr="00230E8F" w14:paraId="5A80FD9B" w14:textId="77777777" w:rsidTr="00FD4EE5">
        <w:trPr>
          <w:jc w:val="center"/>
        </w:trPr>
        <w:tc>
          <w:tcPr>
            <w:tcW w:w="2880" w:type="dxa"/>
          </w:tcPr>
          <w:p w14:paraId="716BD2D0" w14:textId="77777777" w:rsidR="00230E8F" w:rsidRPr="00FD4EE5" w:rsidRDefault="00526673" w:rsidP="000B752D">
            <w:pPr>
              <w:autoSpaceDE w:val="0"/>
              <w:autoSpaceDN w:val="0"/>
              <w:adjustRightInd w:val="0"/>
              <w:spacing w:line="276" w:lineRule="auto"/>
              <w:rPr>
                <w:rFonts w:cstheme="minorHAnsi"/>
                <w:sz w:val="20"/>
                <w:szCs w:val="20"/>
              </w:rPr>
            </w:pPr>
            <w:r>
              <w:rPr>
                <w:rFonts w:cstheme="minorHAnsi"/>
                <w:sz w:val="20"/>
                <w:szCs w:val="20"/>
              </w:rPr>
              <w:t>Firefighter (yes)</w:t>
            </w:r>
          </w:p>
        </w:tc>
        <w:tc>
          <w:tcPr>
            <w:tcW w:w="1980" w:type="dxa"/>
          </w:tcPr>
          <w:p w14:paraId="50835C83" w14:textId="77777777" w:rsidR="00230E8F" w:rsidRPr="00FD4EE5" w:rsidRDefault="00526673" w:rsidP="00FD4EE5">
            <w:pPr>
              <w:autoSpaceDE w:val="0"/>
              <w:autoSpaceDN w:val="0"/>
              <w:adjustRightInd w:val="0"/>
              <w:spacing w:line="276" w:lineRule="auto"/>
              <w:jc w:val="center"/>
              <w:rPr>
                <w:rFonts w:cstheme="minorHAnsi"/>
                <w:sz w:val="20"/>
                <w:szCs w:val="20"/>
              </w:rPr>
            </w:pPr>
            <w:r>
              <w:rPr>
                <w:rFonts w:cstheme="minorHAnsi"/>
                <w:sz w:val="20"/>
                <w:szCs w:val="20"/>
              </w:rPr>
              <w:t>98 (6.2%)</w:t>
            </w:r>
          </w:p>
        </w:tc>
      </w:tr>
      <w:tr w:rsidR="00230E8F" w:rsidRPr="00230E8F" w14:paraId="07666CC5" w14:textId="77777777" w:rsidTr="00FD4EE5">
        <w:trPr>
          <w:jc w:val="center"/>
        </w:trPr>
        <w:tc>
          <w:tcPr>
            <w:tcW w:w="2880" w:type="dxa"/>
          </w:tcPr>
          <w:p w14:paraId="218E125B" w14:textId="77777777" w:rsidR="00230E8F" w:rsidRPr="00FD4EE5" w:rsidRDefault="00526673" w:rsidP="000B752D">
            <w:pPr>
              <w:autoSpaceDE w:val="0"/>
              <w:autoSpaceDN w:val="0"/>
              <w:adjustRightInd w:val="0"/>
              <w:spacing w:line="276" w:lineRule="auto"/>
              <w:rPr>
                <w:rFonts w:cstheme="minorHAnsi"/>
                <w:sz w:val="20"/>
                <w:szCs w:val="20"/>
              </w:rPr>
            </w:pPr>
            <w:r>
              <w:rPr>
                <w:rFonts w:cstheme="minorHAnsi"/>
                <w:sz w:val="20"/>
                <w:szCs w:val="20"/>
              </w:rPr>
              <w:t>Abnormal Kidney Function (yes)</w:t>
            </w:r>
          </w:p>
        </w:tc>
        <w:tc>
          <w:tcPr>
            <w:tcW w:w="1980" w:type="dxa"/>
          </w:tcPr>
          <w:p w14:paraId="6262E7E0" w14:textId="77777777" w:rsidR="00230E8F" w:rsidRPr="00FD4EE5" w:rsidRDefault="00526673" w:rsidP="00FD4EE5">
            <w:pPr>
              <w:autoSpaceDE w:val="0"/>
              <w:autoSpaceDN w:val="0"/>
              <w:adjustRightInd w:val="0"/>
              <w:spacing w:line="276" w:lineRule="auto"/>
              <w:jc w:val="center"/>
              <w:rPr>
                <w:rFonts w:cstheme="minorHAnsi"/>
                <w:sz w:val="20"/>
                <w:szCs w:val="20"/>
              </w:rPr>
            </w:pPr>
            <w:r>
              <w:rPr>
                <w:rFonts w:cstheme="minorHAnsi"/>
                <w:sz w:val="20"/>
                <w:szCs w:val="20"/>
              </w:rPr>
              <w:t>22 (1.4%)</w:t>
            </w:r>
          </w:p>
        </w:tc>
      </w:tr>
    </w:tbl>
    <w:p w14:paraId="7F6786B9" w14:textId="77777777" w:rsidR="000B752D" w:rsidRDefault="000B752D" w:rsidP="000B752D">
      <w:pPr>
        <w:autoSpaceDE w:val="0"/>
        <w:autoSpaceDN w:val="0"/>
        <w:adjustRightInd w:val="0"/>
        <w:spacing w:line="276" w:lineRule="auto"/>
        <w:rPr>
          <w:sz w:val="24"/>
          <w:szCs w:val="24"/>
        </w:rPr>
      </w:pPr>
    </w:p>
    <w:p w14:paraId="41A85A26" w14:textId="77777777" w:rsidR="003940E0" w:rsidRPr="006D19AF" w:rsidRDefault="003940E0" w:rsidP="003940E0">
      <w:pPr>
        <w:pStyle w:val="Default"/>
        <w:spacing w:after="120" w:line="276" w:lineRule="auto"/>
      </w:pPr>
      <w:r w:rsidRPr="006D19AF">
        <w:t xml:space="preserve">Out of all participants, 1,171 (74%) reported at least one place of business where they worked or attended childcare on Pease. There were approximately 218 different places of business represented in the testing population, and out of all participants, 404 (26%) identified as working at one of five companies. Out of the 218 companies reported on the questionnaire, 193 (88%) had fewer than 10 persons who participated in the testing program. </w:t>
      </w:r>
    </w:p>
    <w:p w14:paraId="72972FDB" w14:textId="77777777" w:rsidR="003940E0" w:rsidRPr="006D19AF" w:rsidRDefault="003940E0" w:rsidP="003940E0">
      <w:pPr>
        <w:autoSpaceDE w:val="0"/>
        <w:autoSpaceDN w:val="0"/>
        <w:adjustRightInd w:val="0"/>
        <w:spacing w:line="276" w:lineRule="auto"/>
        <w:rPr>
          <w:sz w:val="24"/>
          <w:szCs w:val="24"/>
        </w:rPr>
      </w:pPr>
      <w:r w:rsidRPr="006D19AF">
        <w:rPr>
          <w:sz w:val="24"/>
          <w:szCs w:val="24"/>
        </w:rPr>
        <w:t xml:space="preserve">Out of all participants, 1,540 (98%) reported their town or city of residence. There were 150 towns/cities represented in the testing population, and out of all participants, 691 (44%) reported living in one of five towns/cities. Out of the 150 different towns/cities reported on the questionnaire, 122 (81%) had fewer than 10 individuals per town/city participate in the testing program. There were also 12 different states represented; </w:t>
      </w:r>
      <w:r w:rsidR="00AB4745">
        <w:rPr>
          <w:sz w:val="24"/>
          <w:szCs w:val="24"/>
        </w:rPr>
        <w:t xml:space="preserve">98.4% of participants reported residing in three of those states: </w:t>
      </w:r>
      <w:r w:rsidRPr="006D19AF">
        <w:rPr>
          <w:sz w:val="24"/>
          <w:szCs w:val="24"/>
        </w:rPr>
        <w:t>1,328 (84.2%) reported residing in New Hampshire, 184 (11.7%) reported residing in Maine, and 42 (2.7%) reported residing in Massachusetts.</w:t>
      </w:r>
    </w:p>
    <w:p w14:paraId="2D13CC69" w14:textId="77777777" w:rsidR="00ED2A1D" w:rsidRPr="00223E18" w:rsidRDefault="00465234" w:rsidP="00037D54">
      <w:pPr>
        <w:autoSpaceDE w:val="0"/>
        <w:autoSpaceDN w:val="0"/>
        <w:adjustRightInd w:val="0"/>
        <w:spacing w:line="276" w:lineRule="auto"/>
        <w:rPr>
          <w:sz w:val="24"/>
          <w:szCs w:val="24"/>
        </w:rPr>
      </w:pPr>
      <w:r w:rsidRPr="00FA3D37">
        <w:rPr>
          <w:sz w:val="24"/>
          <w:szCs w:val="24"/>
        </w:rPr>
        <w:t xml:space="preserve">The NH DHHS noted </w:t>
      </w:r>
      <w:r w:rsidR="00E5419B" w:rsidRPr="00FA3D37">
        <w:rPr>
          <w:sz w:val="24"/>
          <w:szCs w:val="24"/>
        </w:rPr>
        <w:t xml:space="preserve">that three different laboratories carried out the analytical assays at different phases of the </w:t>
      </w:r>
      <w:r w:rsidR="00E5419B" w:rsidRPr="006D19AF">
        <w:rPr>
          <w:sz w:val="24"/>
          <w:szCs w:val="24"/>
        </w:rPr>
        <w:t>2015</w:t>
      </w:r>
      <w:r w:rsidR="00CA2B4A">
        <w:rPr>
          <w:sz w:val="24"/>
          <w:szCs w:val="24"/>
        </w:rPr>
        <w:t>-7</w:t>
      </w:r>
      <w:r w:rsidR="00E5419B" w:rsidRPr="006D19AF">
        <w:rPr>
          <w:sz w:val="24"/>
          <w:szCs w:val="24"/>
        </w:rPr>
        <w:t xml:space="preserve"> Pease PFC Blood Testing Program</w:t>
      </w:r>
      <w:r w:rsidR="00C41DB8" w:rsidRPr="00223E18">
        <w:rPr>
          <w:sz w:val="24"/>
          <w:szCs w:val="24"/>
        </w:rPr>
        <w:t xml:space="preserve">. </w:t>
      </w:r>
      <w:r w:rsidR="00ED2A1D" w:rsidRPr="00223E18">
        <w:rPr>
          <w:sz w:val="24"/>
          <w:szCs w:val="24"/>
        </w:rPr>
        <w:t>During the first round, 471 p</w:t>
      </w:r>
      <w:r w:rsidR="004514ED">
        <w:rPr>
          <w:sz w:val="24"/>
          <w:szCs w:val="24"/>
        </w:rPr>
        <w:t>eople had their blood tested</w:t>
      </w:r>
      <w:r w:rsidR="00ED2A1D" w:rsidRPr="00223E18">
        <w:rPr>
          <w:sz w:val="24"/>
          <w:szCs w:val="24"/>
        </w:rPr>
        <w:t xml:space="preserve"> by the CDC laboratory. D</w:t>
      </w:r>
      <w:r w:rsidR="004514ED">
        <w:rPr>
          <w:sz w:val="24"/>
          <w:szCs w:val="24"/>
        </w:rPr>
        <w:t>uring the second round</w:t>
      </w:r>
      <w:r w:rsidR="00ED2A1D" w:rsidRPr="00223E18">
        <w:rPr>
          <w:sz w:val="24"/>
          <w:szCs w:val="24"/>
        </w:rPr>
        <w:t>, 1,107</w:t>
      </w:r>
      <w:r w:rsidR="004514ED">
        <w:rPr>
          <w:sz w:val="24"/>
          <w:szCs w:val="24"/>
        </w:rPr>
        <w:t xml:space="preserve"> people had their blood tested:</w:t>
      </w:r>
      <w:r w:rsidR="00ED2A1D" w:rsidRPr="00223E18">
        <w:rPr>
          <w:sz w:val="24"/>
          <w:szCs w:val="24"/>
        </w:rPr>
        <w:t xml:space="preserve"> CDC performed the first 300 serum analyses, AXYS performed </w:t>
      </w:r>
      <w:r w:rsidR="00C3213E" w:rsidRPr="00223E18">
        <w:rPr>
          <w:sz w:val="24"/>
          <w:szCs w:val="24"/>
        </w:rPr>
        <w:t xml:space="preserve">700 serum analyses, and the CA State Laboratory performed 107 serum analyses. </w:t>
      </w:r>
      <w:r w:rsidR="00C3213E" w:rsidRPr="006D19AF">
        <w:rPr>
          <w:sz w:val="24"/>
          <w:szCs w:val="24"/>
        </w:rPr>
        <w:t>In total, 771 samples (49%) were tested at the CDC laboratory, 700 (44%) were tested at AXYS, and 107 (7%) were tested at the CA State laboratory.</w:t>
      </w:r>
      <w:r w:rsidR="00037D54" w:rsidRPr="006D19AF">
        <w:rPr>
          <w:sz w:val="24"/>
          <w:szCs w:val="24"/>
        </w:rPr>
        <w:t xml:space="preserve"> </w:t>
      </w:r>
      <w:r w:rsidR="00037D54" w:rsidRPr="00FA3D37">
        <w:rPr>
          <w:sz w:val="24"/>
          <w:szCs w:val="24"/>
        </w:rPr>
        <w:t>Each laboratory has its own est</w:t>
      </w:r>
      <w:r w:rsidR="00037D54" w:rsidRPr="00223E18">
        <w:rPr>
          <w:sz w:val="24"/>
          <w:szCs w:val="24"/>
        </w:rPr>
        <w:t>ablished levels of detection (LOD).</w:t>
      </w:r>
    </w:p>
    <w:p w14:paraId="6B95A8B1" w14:textId="77777777" w:rsidR="008340FC" w:rsidRPr="006D19AF" w:rsidRDefault="00C3213E" w:rsidP="00C3213E">
      <w:pPr>
        <w:autoSpaceDE w:val="0"/>
        <w:autoSpaceDN w:val="0"/>
        <w:adjustRightInd w:val="0"/>
        <w:spacing w:line="276" w:lineRule="auto"/>
        <w:rPr>
          <w:sz w:val="24"/>
          <w:szCs w:val="24"/>
        </w:rPr>
      </w:pPr>
      <w:r w:rsidRPr="006D19AF">
        <w:rPr>
          <w:sz w:val="24"/>
          <w:szCs w:val="24"/>
        </w:rPr>
        <w:t>Most serum specimens had detectable levels of PFOS (99.8%), PFOA (99.2%), and PFHxS (94.2%). A majority of participants also had detectable levels of PFNA (85.2%). The remaining PFCs were found in much smaller amounts.</w:t>
      </w:r>
    </w:p>
    <w:p w14:paraId="67757241" w14:textId="77777777" w:rsidR="006266A4" w:rsidRDefault="00556567" w:rsidP="00181F5B">
      <w:pPr>
        <w:autoSpaceDE w:val="0"/>
        <w:autoSpaceDN w:val="0"/>
        <w:adjustRightInd w:val="0"/>
        <w:spacing w:line="276" w:lineRule="auto"/>
        <w:rPr>
          <w:sz w:val="24"/>
          <w:szCs w:val="24"/>
        </w:rPr>
      </w:pPr>
      <w:r w:rsidRPr="00FA3D37">
        <w:rPr>
          <w:sz w:val="24"/>
          <w:szCs w:val="24"/>
          <w:u w:val="single"/>
        </w:rPr>
        <w:t>Respondent Universe</w:t>
      </w:r>
      <w:r w:rsidR="000B752D" w:rsidRPr="00FA3D37">
        <w:rPr>
          <w:sz w:val="24"/>
          <w:szCs w:val="24"/>
          <w:u w:val="single"/>
        </w:rPr>
        <w:t xml:space="preserve"> for the </w:t>
      </w:r>
      <w:r w:rsidR="002D62D9" w:rsidRPr="00FA3D37">
        <w:rPr>
          <w:sz w:val="24"/>
          <w:szCs w:val="24"/>
          <w:u w:val="single"/>
        </w:rPr>
        <w:t>Pease</w:t>
      </w:r>
      <w:r w:rsidR="000B752D" w:rsidRPr="00223E18">
        <w:rPr>
          <w:sz w:val="24"/>
          <w:szCs w:val="24"/>
          <w:u w:val="single"/>
        </w:rPr>
        <w:t xml:space="preserve"> Study</w:t>
      </w:r>
    </w:p>
    <w:p w14:paraId="1FAD0D71" w14:textId="34DE820B" w:rsidR="006C110A" w:rsidRDefault="00796470" w:rsidP="00223E18">
      <w:pPr>
        <w:autoSpaceDE w:val="0"/>
        <w:autoSpaceDN w:val="0"/>
        <w:adjustRightInd w:val="0"/>
        <w:spacing w:line="276" w:lineRule="auto"/>
        <w:rPr>
          <w:sz w:val="24"/>
          <w:szCs w:val="24"/>
        </w:rPr>
      </w:pPr>
      <w:r w:rsidRPr="00223E18">
        <w:rPr>
          <w:sz w:val="24"/>
          <w:szCs w:val="24"/>
        </w:rPr>
        <w:t>The respondent universe wi</w:t>
      </w:r>
      <w:r w:rsidR="00D3506D" w:rsidRPr="00223E18">
        <w:rPr>
          <w:sz w:val="24"/>
          <w:szCs w:val="24"/>
        </w:rPr>
        <w:t>ll continue to build</w:t>
      </w:r>
      <w:r w:rsidR="008340FC" w:rsidRPr="00223E18">
        <w:rPr>
          <w:sz w:val="24"/>
          <w:szCs w:val="24"/>
        </w:rPr>
        <w:t xml:space="preserve"> upon the ex</w:t>
      </w:r>
      <w:r w:rsidR="00D3506D" w:rsidRPr="00223E18">
        <w:rPr>
          <w:sz w:val="24"/>
          <w:szCs w:val="24"/>
        </w:rPr>
        <w:t>isting convenience sample</w:t>
      </w:r>
      <w:r w:rsidR="008340FC" w:rsidRPr="00223E18">
        <w:rPr>
          <w:sz w:val="24"/>
          <w:szCs w:val="24"/>
        </w:rPr>
        <w:t xml:space="preserve"> established</w:t>
      </w:r>
      <w:r w:rsidR="00D3506D" w:rsidRPr="00223E18">
        <w:rPr>
          <w:sz w:val="24"/>
          <w:szCs w:val="24"/>
        </w:rPr>
        <w:t xml:space="preserve"> by</w:t>
      </w:r>
      <w:r w:rsidR="008340FC" w:rsidRPr="00223E18">
        <w:rPr>
          <w:sz w:val="24"/>
          <w:szCs w:val="24"/>
        </w:rPr>
        <w:t xml:space="preserve"> the 2015</w:t>
      </w:r>
      <w:r w:rsidR="000E5398">
        <w:rPr>
          <w:sz w:val="24"/>
          <w:szCs w:val="24"/>
        </w:rPr>
        <w:t>-7</w:t>
      </w:r>
      <w:r w:rsidR="005C1012" w:rsidRPr="00223E18">
        <w:rPr>
          <w:sz w:val="24"/>
          <w:szCs w:val="24"/>
        </w:rPr>
        <w:t xml:space="preserve"> Pease PFC Blood T</w:t>
      </w:r>
      <w:r w:rsidR="00AB6980">
        <w:rPr>
          <w:sz w:val="24"/>
          <w:szCs w:val="24"/>
        </w:rPr>
        <w:t>esting Program (n=1</w:t>
      </w:r>
      <w:r w:rsidR="00C47B6C">
        <w:rPr>
          <w:sz w:val="24"/>
          <w:szCs w:val="24"/>
        </w:rPr>
        <w:t>,836</w:t>
      </w:r>
      <w:r w:rsidR="008340FC" w:rsidRPr="00223E18">
        <w:rPr>
          <w:sz w:val="24"/>
          <w:szCs w:val="24"/>
        </w:rPr>
        <w:t>).</w:t>
      </w:r>
      <w:r w:rsidR="00471FB4" w:rsidRPr="006D19AF">
        <w:rPr>
          <w:rStyle w:val="FootnoteReference"/>
          <w:sz w:val="24"/>
          <w:szCs w:val="24"/>
        </w:rPr>
        <w:footnoteReference w:id="5"/>
      </w:r>
      <w:r w:rsidR="004122B2" w:rsidRPr="00FA3D37">
        <w:rPr>
          <w:sz w:val="24"/>
          <w:szCs w:val="24"/>
        </w:rPr>
        <w:t xml:space="preserve"> </w:t>
      </w:r>
      <w:r w:rsidR="00447799">
        <w:rPr>
          <w:sz w:val="24"/>
          <w:szCs w:val="24"/>
        </w:rPr>
        <w:t>For purposes of estimation of time and cost burden (</w:t>
      </w:r>
      <w:r w:rsidR="00447799">
        <w:rPr>
          <w:b/>
          <w:sz w:val="24"/>
          <w:szCs w:val="24"/>
        </w:rPr>
        <w:t>Section A.12</w:t>
      </w:r>
      <w:r w:rsidR="00447799">
        <w:rPr>
          <w:sz w:val="24"/>
          <w:szCs w:val="24"/>
        </w:rPr>
        <w:t xml:space="preserve">), </w:t>
      </w:r>
      <w:r w:rsidR="00181F5B" w:rsidRPr="00223E18">
        <w:rPr>
          <w:sz w:val="24"/>
          <w:szCs w:val="24"/>
        </w:rPr>
        <w:t xml:space="preserve">ATSDR </w:t>
      </w:r>
      <w:r w:rsidR="00181F5B">
        <w:rPr>
          <w:sz w:val="24"/>
          <w:szCs w:val="24"/>
        </w:rPr>
        <w:t>assumes a</w:t>
      </w:r>
      <w:r w:rsidR="00181F5B" w:rsidRPr="00223E18">
        <w:rPr>
          <w:sz w:val="24"/>
          <w:szCs w:val="24"/>
        </w:rPr>
        <w:t xml:space="preserve"> 95</w:t>
      </w:r>
      <w:r w:rsidR="00AB4745">
        <w:rPr>
          <w:sz w:val="24"/>
          <w:szCs w:val="24"/>
        </w:rPr>
        <w:t>%</w:t>
      </w:r>
      <w:r w:rsidR="00181F5B" w:rsidRPr="00223E18">
        <w:rPr>
          <w:sz w:val="24"/>
          <w:szCs w:val="24"/>
        </w:rPr>
        <w:t xml:space="preserve"> eligibility and </w:t>
      </w:r>
      <w:r w:rsidR="004750FF">
        <w:rPr>
          <w:sz w:val="24"/>
          <w:szCs w:val="24"/>
        </w:rPr>
        <w:t>7</w:t>
      </w:r>
      <w:r w:rsidR="00346B41">
        <w:rPr>
          <w:sz w:val="24"/>
          <w:szCs w:val="24"/>
        </w:rPr>
        <w:t>0%</w:t>
      </w:r>
      <w:r w:rsidR="00181F5B" w:rsidRPr="00223E18">
        <w:rPr>
          <w:sz w:val="24"/>
          <w:szCs w:val="24"/>
        </w:rPr>
        <w:t xml:space="preserve"> response</w:t>
      </w:r>
      <w:r w:rsidR="00447799">
        <w:rPr>
          <w:sz w:val="24"/>
          <w:szCs w:val="24"/>
        </w:rPr>
        <w:t xml:space="preserve"> </w:t>
      </w:r>
      <w:r w:rsidR="00601E4F">
        <w:rPr>
          <w:sz w:val="24"/>
          <w:szCs w:val="24"/>
        </w:rPr>
        <w:t xml:space="preserve">for those who participated in the previous Pease PFC Blood Testing Program. For recruiting those who did not participate in that prior study, we assume an eligibility rate of </w:t>
      </w:r>
      <w:r w:rsidR="00254B4B">
        <w:rPr>
          <w:sz w:val="24"/>
          <w:szCs w:val="24"/>
        </w:rPr>
        <w:t>95</w:t>
      </w:r>
      <w:r w:rsidR="00601E4F">
        <w:rPr>
          <w:sz w:val="24"/>
          <w:szCs w:val="24"/>
        </w:rPr>
        <w:t xml:space="preserve">% and a response rate of </w:t>
      </w:r>
      <w:r w:rsidR="00C47B6C">
        <w:rPr>
          <w:sz w:val="24"/>
          <w:szCs w:val="24"/>
        </w:rPr>
        <w:t>8</w:t>
      </w:r>
      <w:r w:rsidR="00601E4F">
        <w:rPr>
          <w:sz w:val="24"/>
          <w:szCs w:val="24"/>
        </w:rPr>
        <w:t>0%</w:t>
      </w:r>
      <w:r w:rsidR="00181F5B" w:rsidRPr="00FA3D37">
        <w:rPr>
          <w:sz w:val="24"/>
          <w:szCs w:val="24"/>
        </w:rPr>
        <w:t>.</w:t>
      </w:r>
      <w:r w:rsidR="00181F5B">
        <w:rPr>
          <w:sz w:val="24"/>
          <w:szCs w:val="24"/>
        </w:rPr>
        <w:t xml:space="preserve"> </w:t>
      </w:r>
      <w:r w:rsidR="00181F5B" w:rsidRPr="00223E18">
        <w:rPr>
          <w:sz w:val="24"/>
          <w:szCs w:val="24"/>
        </w:rPr>
        <w:t xml:space="preserve">ATSDR will enroll 1,625 participants for </w:t>
      </w:r>
      <w:r w:rsidR="00181F5B">
        <w:rPr>
          <w:sz w:val="24"/>
          <w:szCs w:val="24"/>
        </w:rPr>
        <w:t xml:space="preserve">the </w:t>
      </w:r>
      <w:r w:rsidR="00181F5B" w:rsidRPr="00223E18">
        <w:rPr>
          <w:sz w:val="24"/>
          <w:szCs w:val="24"/>
        </w:rPr>
        <w:t>two separate age</w:t>
      </w:r>
      <w:r w:rsidR="00B64498">
        <w:rPr>
          <w:sz w:val="24"/>
          <w:szCs w:val="24"/>
        </w:rPr>
        <w:t xml:space="preserve"> </w:t>
      </w:r>
      <w:r w:rsidR="00181F5B" w:rsidRPr="00223E18">
        <w:rPr>
          <w:sz w:val="24"/>
          <w:szCs w:val="24"/>
        </w:rPr>
        <w:t>group</w:t>
      </w:r>
      <w:r w:rsidR="00181F5B">
        <w:rPr>
          <w:sz w:val="24"/>
          <w:szCs w:val="24"/>
        </w:rPr>
        <w:t xml:space="preserve"> </w:t>
      </w:r>
      <w:r w:rsidR="00181F5B" w:rsidRPr="00223E18">
        <w:rPr>
          <w:sz w:val="24"/>
          <w:szCs w:val="24"/>
        </w:rPr>
        <w:t>s</w:t>
      </w:r>
      <w:r w:rsidR="00181F5B">
        <w:rPr>
          <w:sz w:val="24"/>
          <w:szCs w:val="24"/>
        </w:rPr>
        <w:t>tudies</w:t>
      </w:r>
      <w:r w:rsidR="00181F5B" w:rsidRPr="00223E18">
        <w:rPr>
          <w:sz w:val="24"/>
          <w:szCs w:val="24"/>
        </w:rPr>
        <w:t xml:space="preserve"> (1,100 adults and 525 children and their parents).</w:t>
      </w:r>
      <w:r w:rsidR="006C110A" w:rsidRPr="00223E18" w:rsidDel="0064219D">
        <w:rPr>
          <w:sz w:val="24"/>
          <w:szCs w:val="24"/>
        </w:rPr>
        <w:t xml:space="preserve"> </w:t>
      </w:r>
    </w:p>
    <w:p w14:paraId="4BDB9265" w14:textId="44611EF3" w:rsidR="00C47B6C" w:rsidRDefault="00F826E5" w:rsidP="00442D95">
      <w:pPr>
        <w:autoSpaceDE w:val="0"/>
        <w:autoSpaceDN w:val="0"/>
        <w:adjustRightInd w:val="0"/>
        <w:spacing w:line="276" w:lineRule="auto"/>
        <w:rPr>
          <w:rFonts w:cstheme="minorHAnsi"/>
          <w:sz w:val="24"/>
          <w:szCs w:val="24"/>
        </w:rPr>
      </w:pPr>
      <w:r w:rsidRPr="00FD4EE5">
        <w:t>Table B.1.2. Estimated Number of Respondents for Pease Study over Three Years</w:t>
      </w:r>
      <w:r w:rsidR="00C1188F" w:rsidRPr="00FD4EE5">
        <w:t>*</w:t>
      </w:r>
    </w:p>
    <w:tbl>
      <w:tblPr>
        <w:tblStyle w:val="TableGrid"/>
        <w:tblW w:w="9352" w:type="dxa"/>
        <w:tblInd w:w="355" w:type="dxa"/>
        <w:tblLayout w:type="fixed"/>
        <w:tblLook w:val="04A0" w:firstRow="1" w:lastRow="0" w:firstColumn="1" w:lastColumn="0" w:noHBand="0" w:noVBand="1"/>
      </w:tblPr>
      <w:tblGrid>
        <w:gridCol w:w="1163"/>
        <w:gridCol w:w="878"/>
        <w:gridCol w:w="878"/>
        <w:gridCol w:w="878"/>
        <w:gridCol w:w="878"/>
        <w:gridCol w:w="977"/>
        <w:gridCol w:w="909"/>
        <w:gridCol w:w="814"/>
        <w:gridCol w:w="991"/>
        <w:gridCol w:w="986"/>
      </w:tblGrid>
      <w:tr w:rsidR="00C47B6C" w:rsidRPr="00223E18" w14:paraId="2FC1E07D" w14:textId="77777777" w:rsidTr="00C47B6C">
        <w:tc>
          <w:tcPr>
            <w:tcW w:w="1163" w:type="dxa"/>
            <w:vAlign w:val="center"/>
          </w:tcPr>
          <w:p w14:paraId="22838D3C" w14:textId="77777777" w:rsidR="00C47B6C" w:rsidRPr="00FD4EE5" w:rsidRDefault="00C47B6C" w:rsidP="00C47B6C">
            <w:pPr>
              <w:autoSpaceDE w:val="0"/>
              <w:autoSpaceDN w:val="0"/>
              <w:adjustRightInd w:val="0"/>
              <w:jc w:val="center"/>
              <w:rPr>
                <w:rFonts w:cstheme="minorHAnsi"/>
                <w:sz w:val="20"/>
                <w:szCs w:val="20"/>
              </w:rPr>
            </w:pPr>
          </w:p>
        </w:tc>
        <w:tc>
          <w:tcPr>
            <w:tcW w:w="7203" w:type="dxa"/>
            <w:gridSpan w:val="8"/>
            <w:vAlign w:val="center"/>
          </w:tcPr>
          <w:p w14:paraId="2BCDEB9F" w14:textId="77777777" w:rsidR="00C47B6C" w:rsidRPr="00223E18" w:rsidRDefault="00C47B6C" w:rsidP="00C47B6C">
            <w:pPr>
              <w:autoSpaceDE w:val="0"/>
              <w:autoSpaceDN w:val="0"/>
              <w:adjustRightInd w:val="0"/>
              <w:jc w:val="center"/>
              <w:rPr>
                <w:rFonts w:cstheme="minorHAnsi"/>
                <w:sz w:val="20"/>
                <w:szCs w:val="20"/>
              </w:rPr>
            </w:pPr>
            <w:r w:rsidRPr="00FD4EE5">
              <w:rPr>
                <w:rFonts w:cstheme="minorHAnsi"/>
                <w:sz w:val="20"/>
                <w:szCs w:val="20"/>
              </w:rPr>
              <w:t xml:space="preserve">Estimated </w:t>
            </w:r>
            <w:r>
              <w:rPr>
                <w:rFonts w:cstheme="minorHAnsi"/>
                <w:sz w:val="20"/>
                <w:szCs w:val="20"/>
              </w:rPr>
              <w:t xml:space="preserve">Respondent </w:t>
            </w:r>
            <w:r w:rsidRPr="00FD4EE5">
              <w:rPr>
                <w:rFonts w:cstheme="minorHAnsi"/>
                <w:sz w:val="20"/>
                <w:szCs w:val="20"/>
              </w:rPr>
              <w:t>Counts</w:t>
            </w:r>
          </w:p>
          <w:p w14:paraId="15D50EC7" w14:textId="77777777" w:rsidR="00C47B6C" w:rsidRDefault="00C47B6C" w:rsidP="00C47B6C">
            <w:pPr>
              <w:autoSpaceDE w:val="0"/>
              <w:autoSpaceDN w:val="0"/>
              <w:adjustRightInd w:val="0"/>
              <w:jc w:val="center"/>
              <w:rPr>
                <w:rFonts w:cstheme="minorHAnsi"/>
                <w:sz w:val="20"/>
                <w:szCs w:val="20"/>
              </w:rPr>
            </w:pPr>
            <w:r w:rsidRPr="00223E18">
              <w:rPr>
                <w:rFonts w:cstheme="minorHAnsi"/>
                <w:sz w:val="20"/>
                <w:szCs w:val="20"/>
              </w:rPr>
              <w:t>(</w:t>
            </w:r>
            <w:r>
              <w:rPr>
                <w:rFonts w:cstheme="minorHAnsi"/>
                <w:sz w:val="20"/>
                <w:szCs w:val="20"/>
              </w:rPr>
              <w:t xml:space="preserve">Wave One </w:t>
            </w:r>
            <w:r w:rsidRPr="00223E18">
              <w:rPr>
                <w:rFonts w:cstheme="minorHAnsi"/>
                <w:sz w:val="20"/>
                <w:szCs w:val="20"/>
              </w:rPr>
              <w:t xml:space="preserve">95% eligibility and </w:t>
            </w:r>
            <w:r>
              <w:rPr>
                <w:rFonts w:cstheme="minorHAnsi"/>
                <w:sz w:val="20"/>
                <w:szCs w:val="20"/>
              </w:rPr>
              <w:t>7</w:t>
            </w:r>
            <w:r w:rsidRPr="00223E18">
              <w:rPr>
                <w:rFonts w:cstheme="minorHAnsi"/>
                <w:sz w:val="20"/>
                <w:szCs w:val="20"/>
              </w:rPr>
              <w:t>0% response rate)</w:t>
            </w:r>
          </w:p>
          <w:p w14:paraId="29A49DDE" w14:textId="77777777" w:rsidR="00C47B6C" w:rsidRPr="00223E18" w:rsidRDefault="00C47B6C" w:rsidP="00C47B6C">
            <w:pPr>
              <w:autoSpaceDE w:val="0"/>
              <w:autoSpaceDN w:val="0"/>
              <w:adjustRightInd w:val="0"/>
              <w:jc w:val="center"/>
              <w:rPr>
                <w:rFonts w:cstheme="minorHAnsi"/>
                <w:sz w:val="20"/>
                <w:szCs w:val="20"/>
              </w:rPr>
            </w:pPr>
            <w:r>
              <w:rPr>
                <w:rFonts w:cstheme="minorHAnsi"/>
                <w:sz w:val="20"/>
                <w:szCs w:val="20"/>
              </w:rPr>
              <w:t>(Wave Two and Wave Three 95% eligibility and 80% response rate)</w:t>
            </w:r>
          </w:p>
        </w:tc>
        <w:tc>
          <w:tcPr>
            <w:tcW w:w="986" w:type="dxa"/>
            <w:vMerge w:val="restart"/>
            <w:vAlign w:val="center"/>
          </w:tcPr>
          <w:p w14:paraId="2B49229E" w14:textId="77777777" w:rsidR="00C47B6C" w:rsidRPr="00223E18" w:rsidRDefault="00C47B6C" w:rsidP="00C47B6C">
            <w:pPr>
              <w:autoSpaceDE w:val="0"/>
              <w:autoSpaceDN w:val="0"/>
              <w:adjustRightInd w:val="0"/>
              <w:jc w:val="center"/>
              <w:rPr>
                <w:rFonts w:cstheme="minorHAnsi"/>
                <w:sz w:val="20"/>
                <w:szCs w:val="20"/>
              </w:rPr>
            </w:pPr>
            <w:r w:rsidRPr="00223E18">
              <w:rPr>
                <w:rFonts w:cstheme="minorHAnsi"/>
                <w:sz w:val="20"/>
                <w:szCs w:val="20"/>
              </w:rPr>
              <w:t>Total</w:t>
            </w:r>
          </w:p>
        </w:tc>
      </w:tr>
      <w:tr w:rsidR="00C47B6C" w:rsidRPr="00A63FF2" w14:paraId="75E66AFE" w14:textId="77777777" w:rsidTr="00C47B6C">
        <w:tc>
          <w:tcPr>
            <w:tcW w:w="1163" w:type="dxa"/>
            <w:vAlign w:val="center"/>
          </w:tcPr>
          <w:p w14:paraId="3BCDF420" w14:textId="77777777" w:rsidR="00C47B6C" w:rsidRPr="00FD4EE5" w:rsidRDefault="00C47B6C" w:rsidP="00C47B6C">
            <w:pPr>
              <w:autoSpaceDE w:val="0"/>
              <w:autoSpaceDN w:val="0"/>
              <w:adjustRightInd w:val="0"/>
              <w:jc w:val="center"/>
              <w:rPr>
                <w:rFonts w:cstheme="minorHAnsi"/>
                <w:sz w:val="20"/>
                <w:szCs w:val="20"/>
              </w:rPr>
            </w:pPr>
          </w:p>
        </w:tc>
        <w:tc>
          <w:tcPr>
            <w:tcW w:w="1756" w:type="dxa"/>
            <w:gridSpan w:val="2"/>
            <w:vAlign w:val="center"/>
          </w:tcPr>
          <w:p w14:paraId="671B4BDC" w14:textId="77777777" w:rsidR="00C47B6C" w:rsidRPr="00FD4EE5" w:rsidRDefault="00C47B6C" w:rsidP="00C47B6C">
            <w:pPr>
              <w:autoSpaceDE w:val="0"/>
              <w:autoSpaceDN w:val="0"/>
              <w:adjustRightInd w:val="0"/>
              <w:jc w:val="center"/>
              <w:rPr>
                <w:rFonts w:cstheme="minorHAnsi"/>
                <w:sz w:val="19"/>
                <w:szCs w:val="19"/>
              </w:rPr>
            </w:pPr>
            <w:r w:rsidRPr="00FD4EE5">
              <w:rPr>
                <w:rFonts w:cstheme="minorHAnsi"/>
                <w:sz w:val="19"/>
                <w:szCs w:val="19"/>
              </w:rPr>
              <w:t>Exposure Group</w:t>
            </w:r>
          </w:p>
          <w:p w14:paraId="1D3A27C4" w14:textId="77777777" w:rsidR="00C47B6C" w:rsidRPr="00FD4EE5" w:rsidRDefault="00C47B6C" w:rsidP="00C47B6C">
            <w:pPr>
              <w:autoSpaceDE w:val="0"/>
              <w:autoSpaceDN w:val="0"/>
              <w:adjustRightInd w:val="0"/>
              <w:jc w:val="center"/>
              <w:rPr>
                <w:rFonts w:cstheme="minorHAnsi"/>
                <w:sz w:val="19"/>
                <w:szCs w:val="19"/>
              </w:rPr>
            </w:pPr>
            <w:r w:rsidRPr="00FD4EE5">
              <w:rPr>
                <w:rFonts w:cstheme="minorHAnsi"/>
                <w:sz w:val="19"/>
                <w:szCs w:val="19"/>
              </w:rPr>
              <w:t xml:space="preserve">Wave </w:t>
            </w:r>
            <w:r>
              <w:rPr>
                <w:rFonts w:cstheme="minorHAnsi"/>
                <w:sz w:val="19"/>
                <w:szCs w:val="19"/>
              </w:rPr>
              <w:t>One‡</w:t>
            </w:r>
          </w:p>
        </w:tc>
        <w:tc>
          <w:tcPr>
            <w:tcW w:w="1756" w:type="dxa"/>
            <w:gridSpan w:val="2"/>
            <w:vAlign w:val="center"/>
          </w:tcPr>
          <w:p w14:paraId="5B1452CF" w14:textId="77777777" w:rsidR="00C47B6C" w:rsidRPr="00FD4EE5" w:rsidRDefault="00C47B6C" w:rsidP="00C47B6C">
            <w:pPr>
              <w:autoSpaceDE w:val="0"/>
              <w:autoSpaceDN w:val="0"/>
              <w:adjustRightInd w:val="0"/>
              <w:jc w:val="center"/>
              <w:rPr>
                <w:rFonts w:cstheme="minorHAnsi"/>
                <w:sz w:val="19"/>
                <w:szCs w:val="19"/>
              </w:rPr>
            </w:pPr>
            <w:r w:rsidRPr="00FD4EE5">
              <w:rPr>
                <w:rFonts w:cstheme="minorHAnsi"/>
                <w:sz w:val="19"/>
                <w:szCs w:val="19"/>
              </w:rPr>
              <w:t>Exposure Group</w:t>
            </w:r>
          </w:p>
          <w:p w14:paraId="35B9A96A" w14:textId="77777777" w:rsidR="00C47B6C" w:rsidRPr="00FD4EE5" w:rsidRDefault="00C47B6C" w:rsidP="00C47B6C">
            <w:pPr>
              <w:autoSpaceDE w:val="0"/>
              <w:autoSpaceDN w:val="0"/>
              <w:adjustRightInd w:val="0"/>
              <w:jc w:val="center"/>
              <w:rPr>
                <w:rFonts w:cstheme="minorHAnsi"/>
                <w:sz w:val="19"/>
                <w:szCs w:val="19"/>
              </w:rPr>
            </w:pPr>
            <w:r w:rsidRPr="00FD4EE5">
              <w:rPr>
                <w:rFonts w:cstheme="minorHAnsi"/>
                <w:sz w:val="19"/>
                <w:szCs w:val="19"/>
              </w:rPr>
              <w:t xml:space="preserve">Wave </w:t>
            </w:r>
            <w:r>
              <w:rPr>
                <w:rFonts w:cstheme="minorHAnsi"/>
                <w:sz w:val="19"/>
                <w:szCs w:val="19"/>
              </w:rPr>
              <w:t>Two</w:t>
            </w:r>
          </w:p>
        </w:tc>
        <w:tc>
          <w:tcPr>
            <w:tcW w:w="977" w:type="dxa"/>
            <w:vMerge w:val="restart"/>
            <w:vAlign w:val="center"/>
          </w:tcPr>
          <w:p w14:paraId="2EA515A9" w14:textId="77777777" w:rsidR="00C47B6C" w:rsidRPr="00FD4EE5" w:rsidRDefault="00C47B6C" w:rsidP="00C47B6C">
            <w:pPr>
              <w:autoSpaceDE w:val="0"/>
              <w:autoSpaceDN w:val="0"/>
              <w:adjustRightInd w:val="0"/>
              <w:jc w:val="center"/>
              <w:rPr>
                <w:rFonts w:cstheme="minorHAnsi"/>
                <w:sz w:val="19"/>
                <w:szCs w:val="19"/>
              </w:rPr>
            </w:pPr>
            <w:r w:rsidRPr="00FD4EE5">
              <w:rPr>
                <w:rFonts w:cstheme="minorHAnsi"/>
                <w:sz w:val="19"/>
                <w:szCs w:val="19"/>
              </w:rPr>
              <w:t>Total Exposure Group</w:t>
            </w:r>
          </w:p>
        </w:tc>
        <w:tc>
          <w:tcPr>
            <w:tcW w:w="1723" w:type="dxa"/>
            <w:gridSpan w:val="2"/>
            <w:vAlign w:val="center"/>
          </w:tcPr>
          <w:p w14:paraId="0E3CB92F" w14:textId="77777777" w:rsidR="00C47B6C" w:rsidRPr="00FD4EE5" w:rsidRDefault="00C47B6C" w:rsidP="00C47B6C">
            <w:pPr>
              <w:autoSpaceDE w:val="0"/>
              <w:autoSpaceDN w:val="0"/>
              <w:adjustRightInd w:val="0"/>
              <w:jc w:val="center"/>
              <w:rPr>
                <w:rFonts w:cstheme="minorHAnsi"/>
                <w:sz w:val="19"/>
                <w:szCs w:val="19"/>
              </w:rPr>
            </w:pPr>
            <w:r w:rsidRPr="00FD4EE5">
              <w:rPr>
                <w:rFonts w:cstheme="minorHAnsi"/>
                <w:sz w:val="19"/>
                <w:szCs w:val="19"/>
              </w:rPr>
              <w:t>Referent Group</w:t>
            </w:r>
          </w:p>
          <w:p w14:paraId="4A98E9CF" w14:textId="77777777" w:rsidR="00C47B6C" w:rsidRPr="00FD4EE5" w:rsidRDefault="00C47B6C" w:rsidP="00C47B6C">
            <w:pPr>
              <w:autoSpaceDE w:val="0"/>
              <w:autoSpaceDN w:val="0"/>
              <w:adjustRightInd w:val="0"/>
              <w:jc w:val="center"/>
              <w:rPr>
                <w:rFonts w:cstheme="minorHAnsi"/>
                <w:sz w:val="19"/>
                <w:szCs w:val="19"/>
              </w:rPr>
            </w:pPr>
            <w:r w:rsidRPr="00FD4EE5">
              <w:rPr>
                <w:rFonts w:cstheme="minorHAnsi"/>
                <w:sz w:val="19"/>
                <w:szCs w:val="19"/>
              </w:rPr>
              <w:t xml:space="preserve">Wave </w:t>
            </w:r>
            <w:r>
              <w:rPr>
                <w:rFonts w:cstheme="minorHAnsi"/>
                <w:sz w:val="19"/>
                <w:szCs w:val="19"/>
              </w:rPr>
              <w:t>Three</w:t>
            </w:r>
          </w:p>
        </w:tc>
        <w:tc>
          <w:tcPr>
            <w:tcW w:w="991" w:type="dxa"/>
            <w:vMerge w:val="restart"/>
            <w:vAlign w:val="center"/>
          </w:tcPr>
          <w:p w14:paraId="674E8AB4" w14:textId="77777777" w:rsidR="00C47B6C" w:rsidRPr="00FD4EE5" w:rsidRDefault="00C47B6C" w:rsidP="00C47B6C">
            <w:pPr>
              <w:autoSpaceDE w:val="0"/>
              <w:autoSpaceDN w:val="0"/>
              <w:adjustRightInd w:val="0"/>
              <w:jc w:val="center"/>
              <w:rPr>
                <w:rFonts w:cstheme="minorHAnsi"/>
                <w:sz w:val="19"/>
                <w:szCs w:val="19"/>
              </w:rPr>
            </w:pPr>
            <w:r w:rsidRPr="00FD4EE5">
              <w:rPr>
                <w:rFonts w:cstheme="minorHAnsi"/>
                <w:sz w:val="19"/>
                <w:szCs w:val="19"/>
              </w:rPr>
              <w:t>Total Referent Group</w:t>
            </w:r>
          </w:p>
        </w:tc>
        <w:tc>
          <w:tcPr>
            <w:tcW w:w="986" w:type="dxa"/>
            <w:vMerge/>
            <w:vAlign w:val="center"/>
          </w:tcPr>
          <w:p w14:paraId="4B2C19CB" w14:textId="77777777" w:rsidR="00C47B6C" w:rsidRPr="00223E18" w:rsidRDefault="00C47B6C" w:rsidP="00C47B6C">
            <w:pPr>
              <w:autoSpaceDE w:val="0"/>
              <w:autoSpaceDN w:val="0"/>
              <w:adjustRightInd w:val="0"/>
              <w:jc w:val="center"/>
              <w:rPr>
                <w:rFonts w:cstheme="minorHAnsi"/>
                <w:sz w:val="20"/>
                <w:szCs w:val="20"/>
              </w:rPr>
            </w:pPr>
          </w:p>
        </w:tc>
      </w:tr>
      <w:tr w:rsidR="00C47B6C" w:rsidRPr="004A6CCB" w14:paraId="00D213C1" w14:textId="77777777" w:rsidTr="00C47B6C">
        <w:tc>
          <w:tcPr>
            <w:tcW w:w="1163" w:type="dxa"/>
            <w:vAlign w:val="center"/>
          </w:tcPr>
          <w:p w14:paraId="23A381D8" w14:textId="77777777" w:rsidR="00C47B6C" w:rsidRPr="00223E18" w:rsidRDefault="00C47B6C" w:rsidP="00C47B6C">
            <w:pPr>
              <w:autoSpaceDE w:val="0"/>
              <w:autoSpaceDN w:val="0"/>
              <w:adjustRightInd w:val="0"/>
              <w:jc w:val="center"/>
              <w:rPr>
                <w:rFonts w:cstheme="minorHAnsi"/>
                <w:sz w:val="20"/>
                <w:szCs w:val="20"/>
              </w:rPr>
            </w:pPr>
          </w:p>
        </w:tc>
        <w:tc>
          <w:tcPr>
            <w:tcW w:w="878" w:type="dxa"/>
            <w:vAlign w:val="center"/>
          </w:tcPr>
          <w:p w14:paraId="52B900C7" w14:textId="77777777" w:rsidR="00C47B6C" w:rsidRPr="00223E18" w:rsidRDefault="00C47B6C" w:rsidP="00C47B6C">
            <w:pPr>
              <w:autoSpaceDE w:val="0"/>
              <w:autoSpaceDN w:val="0"/>
              <w:adjustRightInd w:val="0"/>
              <w:jc w:val="center"/>
              <w:rPr>
                <w:rFonts w:cstheme="minorHAnsi"/>
                <w:sz w:val="20"/>
                <w:szCs w:val="20"/>
              </w:rPr>
            </w:pPr>
            <w:r w:rsidRPr="00223E18">
              <w:rPr>
                <w:rFonts w:cstheme="minorHAnsi"/>
                <w:sz w:val="20"/>
                <w:szCs w:val="20"/>
              </w:rPr>
              <w:t>Adult</w:t>
            </w:r>
          </w:p>
        </w:tc>
        <w:tc>
          <w:tcPr>
            <w:tcW w:w="878" w:type="dxa"/>
            <w:vAlign w:val="center"/>
          </w:tcPr>
          <w:p w14:paraId="1E5FACCF" w14:textId="77777777" w:rsidR="00C47B6C" w:rsidRPr="00223E18" w:rsidRDefault="00C47B6C" w:rsidP="00C47B6C">
            <w:pPr>
              <w:autoSpaceDE w:val="0"/>
              <w:autoSpaceDN w:val="0"/>
              <w:adjustRightInd w:val="0"/>
              <w:jc w:val="center"/>
              <w:rPr>
                <w:rFonts w:cstheme="minorHAnsi"/>
                <w:sz w:val="20"/>
                <w:szCs w:val="20"/>
              </w:rPr>
            </w:pPr>
            <w:r w:rsidRPr="00223E18">
              <w:rPr>
                <w:rFonts w:cstheme="minorHAnsi"/>
                <w:sz w:val="20"/>
                <w:szCs w:val="20"/>
              </w:rPr>
              <w:t>Child</w:t>
            </w:r>
          </w:p>
        </w:tc>
        <w:tc>
          <w:tcPr>
            <w:tcW w:w="878" w:type="dxa"/>
            <w:vAlign w:val="center"/>
          </w:tcPr>
          <w:p w14:paraId="577544DC" w14:textId="77777777" w:rsidR="00C47B6C" w:rsidRPr="00223E18" w:rsidRDefault="00C47B6C" w:rsidP="00C47B6C">
            <w:pPr>
              <w:autoSpaceDE w:val="0"/>
              <w:autoSpaceDN w:val="0"/>
              <w:adjustRightInd w:val="0"/>
              <w:jc w:val="center"/>
              <w:rPr>
                <w:rFonts w:cstheme="minorHAnsi"/>
                <w:sz w:val="20"/>
                <w:szCs w:val="20"/>
              </w:rPr>
            </w:pPr>
            <w:r w:rsidRPr="00223E18">
              <w:rPr>
                <w:rFonts w:cstheme="minorHAnsi"/>
                <w:sz w:val="20"/>
                <w:szCs w:val="20"/>
              </w:rPr>
              <w:t>Adult</w:t>
            </w:r>
          </w:p>
        </w:tc>
        <w:tc>
          <w:tcPr>
            <w:tcW w:w="878" w:type="dxa"/>
            <w:vAlign w:val="center"/>
          </w:tcPr>
          <w:p w14:paraId="48DF8696" w14:textId="77777777" w:rsidR="00C47B6C" w:rsidRPr="00223E18" w:rsidRDefault="00C47B6C" w:rsidP="00C47B6C">
            <w:pPr>
              <w:autoSpaceDE w:val="0"/>
              <w:autoSpaceDN w:val="0"/>
              <w:adjustRightInd w:val="0"/>
              <w:jc w:val="center"/>
              <w:rPr>
                <w:rFonts w:cstheme="minorHAnsi"/>
                <w:sz w:val="20"/>
                <w:szCs w:val="20"/>
              </w:rPr>
            </w:pPr>
            <w:r w:rsidRPr="00223E18">
              <w:rPr>
                <w:rFonts w:cstheme="minorHAnsi"/>
                <w:sz w:val="20"/>
                <w:szCs w:val="20"/>
              </w:rPr>
              <w:t>Child</w:t>
            </w:r>
          </w:p>
        </w:tc>
        <w:tc>
          <w:tcPr>
            <w:tcW w:w="977" w:type="dxa"/>
            <w:vMerge/>
            <w:vAlign w:val="center"/>
          </w:tcPr>
          <w:p w14:paraId="423AFA17" w14:textId="77777777" w:rsidR="00C47B6C" w:rsidRPr="00223E18" w:rsidRDefault="00C47B6C" w:rsidP="00C47B6C">
            <w:pPr>
              <w:autoSpaceDE w:val="0"/>
              <w:autoSpaceDN w:val="0"/>
              <w:adjustRightInd w:val="0"/>
              <w:jc w:val="center"/>
              <w:rPr>
                <w:rFonts w:cstheme="minorHAnsi"/>
                <w:sz w:val="20"/>
                <w:szCs w:val="20"/>
              </w:rPr>
            </w:pPr>
          </w:p>
        </w:tc>
        <w:tc>
          <w:tcPr>
            <w:tcW w:w="909" w:type="dxa"/>
            <w:vAlign w:val="center"/>
          </w:tcPr>
          <w:p w14:paraId="6B9916C6" w14:textId="77777777" w:rsidR="00C47B6C" w:rsidRPr="00223E18" w:rsidRDefault="00C47B6C" w:rsidP="00C47B6C">
            <w:pPr>
              <w:autoSpaceDE w:val="0"/>
              <w:autoSpaceDN w:val="0"/>
              <w:adjustRightInd w:val="0"/>
              <w:jc w:val="center"/>
              <w:rPr>
                <w:rFonts w:cstheme="minorHAnsi"/>
                <w:sz w:val="20"/>
                <w:szCs w:val="20"/>
              </w:rPr>
            </w:pPr>
            <w:r w:rsidRPr="00223E18">
              <w:rPr>
                <w:rFonts w:cstheme="minorHAnsi"/>
                <w:sz w:val="20"/>
                <w:szCs w:val="20"/>
              </w:rPr>
              <w:t>Adult</w:t>
            </w:r>
          </w:p>
        </w:tc>
        <w:tc>
          <w:tcPr>
            <w:tcW w:w="814" w:type="dxa"/>
            <w:vAlign w:val="center"/>
          </w:tcPr>
          <w:p w14:paraId="6B0BA2A3" w14:textId="77777777" w:rsidR="00C47B6C" w:rsidRPr="00223E18" w:rsidRDefault="00C47B6C" w:rsidP="00C47B6C">
            <w:pPr>
              <w:autoSpaceDE w:val="0"/>
              <w:autoSpaceDN w:val="0"/>
              <w:adjustRightInd w:val="0"/>
              <w:jc w:val="center"/>
              <w:rPr>
                <w:rFonts w:cstheme="minorHAnsi"/>
                <w:sz w:val="20"/>
                <w:szCs w:val="20"/>
              </w:rPr>
            </w:pPr>
            <w:r w:rsidRPr="00223E18">
              <w:rPr>
                <w:rFonts w:cstheme="minorHAnsi"/>
                <w:sz w:val="20"/>
                <w:szCs w:val="20"/>
              </w:rPr>
              <w:t>Child</w:t>
            </w:r>
          </w:p>
        </w:tc>
        <w:tc>
          <w:tcPr>
            <w:tcW w:w="991" w:type="dxa"/>
            <w:vMerge/>
            <w:vAlign w:val="center"/>
          </w:tcPr>
          <w:p w14:paraId="386B3908" w14:textId="77777777" w:rsidR="00C47B6C" w:rsidRPr="00223E18" w:rsidRDefault="00C47B6C" w:rsidP="00C47B6C">
            <w:pPr>
              <w:autoSpaceDE w:val="0"/>
              <w:autoSpaceDN w:val="0"/>
              <w:adjustRightInd w:val="0"/>
              <w:jc w:val="center"/>
              <w:rPr>
                <w:rFonts w:cstheme="minorHAnsi"/>
                <w:sz w:val="20"/>
                <w:szCs w:val="20"/>
              </w:rPr>
            </w:pPr>
          </w:p>
        </w:tc>
        <w:tc>
          <w:tcPr>
            <w:tcW w:w="986" w:type="dxa"/>
            <w:vMerge/>
            <w:vAlign w:val="center"/>
          </w:tcPr>
          <w:p w14:paraId="0477BE74" w14:textId="77777777" w:rsidR="00C47B6C" w:rsidRPr="00223E18" w:rsidRDefault="00C47B6C" w:rsidP="00C47B6C">
            <w:pPr>
              <w:autoSpaceDE w:val="0"/>
              <w:autoSpaceDN w:val="0"/>
              <w:adjustRightInd w:val="0"/>
              <w:jc w:val="center"/>
              <w:rPr>
                <w:rFonts w:cstheme="minorHAnsi"/>
                <w:sz w:val="20"/>
                <w:szCs w:val="20"/>
              </w:rPr>
            </w:pPr>
          </w:p>
        </w:tc>
      </w:tr>
      <w:tr w:rsidR="00C47B6C" w:rsidRPr="004A6CCB" w14:paraId="4185503D" w14:textId="77777777" w:rsidTr="00C47B6C">
        <w:tc>
          <w:tcPr>
            <w:tcW w:w="1163" w:type="dxa"/>
            <w:vMerge w:val="restart"/>
            <w:vAlign w:val="center"/>
          </w:tcPr>
          <w:p w14:paraId="164C7BA7" w14:textId="77777777" w:rsidR="00C47B6C" w:rsidRPr="00223E18" w:rsidRDefault="00C47B6C" w:rsidP="00C47B6C">
            <w:pPr>
              <w:autoSpaceDE w:val="0"/>
              <w:autoSpaceDN w:val="0"/>
              <w:adjustRightInd w:val="0"/>
              <w:jc w:val="center"/>
              <w:rPr>
                <w:rFonts w:cstheme="minorHAnsi"/>
                <w:sz w:val="20"/>
                <w:szCs w:val="20"/>
              </w:rPr>
            </w:pPr>
            <w:r w:rsidRPr="00223E18">
              <w:rPr>
                <w:rFonts w:cstheme="minorHAnsi"/>
                <w:sz w:val="20"/>
                <w:szCs w:val="20"/>
              </w:rPr>
              <w:t>No. Screened for Eligibility</w:t>
            </w:r>
          </w:p>
        </w:tc>
        <w:tc>
          <w:tcPr>
            <w:tcW w:w="1756" w:type="dxa"/>
            <w:gridSpan w:val="2"/>
            <w:vAlign w:val="center"/>
          </w:tcPr>
          <w:p w14:paraId="0F30736A" w14:textId="77777777" w:rsidR="00C47B6C" w:rsidRPr="00FD4EE5" w:rsidRDefault="00C47B6C" w:rsidP="00C47B6C">
            <w:pPr>
              <w:autoSpaceDE w:val="0"/>
              <w:autoSpaceDN w:val="0"/>
              <w:adjustRightInd w:val="0"/>
              <w:jc w:val="center"/>
              <w:rPr>
                <w:rFonts w:cstheme="minorHAnsi"/>
                <w:b/>
                <w:sz w:val="20"/>
                <w:szCs w:val="20"/>
              </w:rPr>
            </w:pPr>
            <w:r w:rsidRPr="00FD4EE5">
              <w:rPr>
                <w:rFonts w:cstheme="minorHAnsi"/>
                <w:b/>
                <w:sz w:val="20"/>
                <w:szCs w:val="20"/>
              </w:rPr>
              <w:t>Total=1,</w:t>
            </w:r>
            <w:r>
              <w:rPr>
                <w:rFonts w:cstheme="minorHAnsi"/>
                <w:b/>
                <w:sz w:val="20"/>
                <w:szCs w:val="20"/>
              </w:rPr>
              <w:t>836</w:t>
            </w:r>
          </w:p>
        </w:tc>
        <w:tc>
          <w:tcPr>
            <w:tcW w:w="1756" w:type="dxa"/>
            <w:gridSpan w:val="2"/>
            <w:vAlign w:val="center"/>
          </w:tcPr>
          <w:p w14:paraId="50C85BE5" w14:textId="77777777" w:rsidR="00C47B6C" w:rsidRPr="00694A8F" w:rsidRDefault="00C47B6C" w:rsidP="00C47B6C">
            <w:pPr>
              <w:autoSpaceDE w:val="0"/>
              <w:autoSpaceDN w:val="0"/>
              <w:adjustRightInd w:val="0"/>
              <w:jc w:val="center"/>
              <w:rPr>
                <w:rFonts w:cstheme="minorHAnsi"/>
                <w:i/>
                <w:sz w:val="20"/>
                <w:szCs w:val="20"/>
              </w:rPr>
            </w:pPr>
            <w:r w:rsidRPr="00694A8F">
              <w:rPr>
                <w:rFonts w:cstheme="minorHAnsi"/>
                <w:i/>
                <w:sz w:val="20"/>
                <w:szCs w:val="20"/>
              </w:rPr>
              <w:t>Total=</w:t>
            </w:r>
            <w:r>
              <w:rPr>
                <w:rFonts w:cstheme="minorHAnsi"/>
                <w:i/>
                <w:sz w:val="20"/>
                <w:szCs w:val="20"/>
              </w:rPr>
              <w:t>170</w:t>
            </w:r>
          </w:p>
        </w:tc>
        <w:tc>
          <w:tcPr>
            <w:tcW w:w="977" w:type="dxa"/>
            <w:vMerge w:val="restart"/>
            <w:vAlign w:val="center"/>
          </w:tcPr>
          <w:p w14:paraId="317A5318" w14:textId="77777777" w:rsidR="00C47B6C" w:rsidRPr="00FD4EE5" w:rsidRDefault="00C47B6C" w:rsidP="00C47B6C">
            <w:pPr>
              <w:autoSpaceDE w:val="0"/>
              <w:autoSpaceDN w:val="0"/>
              <w:adjustRightInd w:val="0"/>
              <w:jc w:val="center"/>
              <w:rPr>
                <w:rFonts w:cstheme="minorHAnsi"/>
                <w:i/>
                <w:sz w:val="20"/>
                <w:szCs w:val="20"/>
              </w:rPr>
            </w:pPr>
            <w:r>
              <w:rPr>
                <w:rFonts w:cstheme="minorHAnsi"/>
                <w:i/>
                <w:sz w:val="20"/>
                <w:szCs w:val="20"/>
              </w:rPr>
              <w:t>2,006</w:t>
            </w:r>
          </w:p>
          <w:p w14:paraId="3CD29B48" w14:textId="77777777" w:rsidR="00C47B6C" w:rsidRPr="00FD4EE5" w:rsidRDefault="00C47B6C" w:rsidP="00C47B6C">
            <w:pPr>
              <w:autoSpaceDE w:val="0"/>
              <w:autoSpaceDN w:val="0"/>
              <w:adjustRightInd w:val="0"/>
              <w:jc w:val="center"/>
              <w:rPr>
                <w:rFonts w:cstheme="minorHAnsi"/>
                <w:i/>
                <w:sz w:val="20"/>
                <w:szCs w:val="20"/>
              </w:rPr>
            </w:pPr>
            <w:r w:rsidRPr="00FD4EE5">
              <w:rPr>
                <w:rFonts w:cstheme="minorHAnsi"/>
                <w:i/>
                <w:sz w:val="20"/>
                <w:szCs w:val="20"/>
              </w:rPr>
              <w:t>(</w:t>
            </w:r>
            <w:r>
              <w:rPr>
                <w:rFonts w:cstheme="minorHAnsi"/>
                <w:i/>
                <w:sz w:val="20"/>
                <w:szCs w:val="20"/>
              </w:rPr>
              <w:t>1,491</w:t>
            </w:r>
            <w:r w:rsidRPr="00FD4EE5">
              <w:rPr>
                <w:rFonts w:cstheme="minorHAnsi"/>
                <w:i/>
                <w:sz w:val="20"/>
                <w:szCs w:val="20"/>
              </w:rPr>
              <w:t xml:space="preserve"> adults;</w:t>
            </w:r>
          </w:p>
          <w:p w14:paraId="769BF1A5" w14:textId="77777777" w:rsidR="00C47B6C" w:rsidRPr="00991111" w:rsidRDefault="00C47B6C" w:rsidP="00C47B6C">
            <w:pPr>
              <w:autoSpaceDE w:val="0"/>
              <w:autoSpaceDN w:val="0"/>
              <w:adjustRightInd w:val="0"/>
              <w:jc w:val="center"/>
              <w:rPr>
                <w:rFonts w:cstheme="minorHAnsi"/>
                <w:sz w:val="20"/>
                <w:szCs w:val="20"/>
              </w:rPr>
            </w:pPr>
            <w:r>
              <w:rPr>
                <w:rFonts w:cstheme="minorHAnsi"/>
                <w:i/>
                <w:sz w:val="20"/>
                <w:szCs w:val="20"/>
              </w:rPr>
              <w:t>515</w:t>
            </w:r>
            <w:r w:rsidRPr="00FD4EE5">
              <w:rPr>
                <w:rFonts w:cstheme="minorHAnsi"/>
                <w:i/>
                <w:sz w:val="20"/>
                <w:szCs w:val="20"/>
              </w:rPr>
              <w:t xml:space="preserve"> children)</w:t>
            </w:r>
          </w:p>
        </w:tc>
        <w:tc>
          <w:tcPr>
            <w:tcW w:w="1723" w:type="dxa"/>
            <w:gridSpan w:val="2"/>
            <w:vAlign w:val="center"/>
          </w:tcPr>
          <w:p w14:paraId="579234A3" w14:textId="77777777" w:rsidR="00C47B6C" w:rsidRPr="00FD4EE5" w:rsidRDefault="00C47B6C" w:rsidP="00C47B6C">
            <w:pPr>
              <w:autoSpaceDE w:val="0"/>
              <w:autoSpaceDN w:val="0"/>
              <w:adjustRightInd w:val="0"/>
              <w:jc w:val="center"/>
              <w:rPr>
                <w:rFonts w:cstheme="minorHAnsi"/>
                <w:i/>
                <w:sz w:val="20"/>
                <w:szCs w:val="20"/>
              </w:rPr>
            </w:pPr>
            <w:r w:rsidRPr="00FD4EE5">
              <w:rPr>
                <w:rFonts w:cstheme="minorHAnsi"/>
                <w:i/>
                <w:sz w:val="20"/>
                <w:szCs w:val="20"/>
              </w:rPr>
              <w:t>Total=</w:t>
            </w:r>
            <w:r>
              <w:rPr>
                <w:rFonts w:cstheme="minorHAnsi"/>
                <w:i/>
                <w:sz w:val="20"/>
                <w:szCs w:val="20"/>
              </w:rPr>
              <w:t>362</w:t>
            </w:r>
          </w:p>
        </w:tc>
        <w:tc>
          <w:tcPr>
            <w:tcW w:w="991" w:type="dxa"/>
            <w:vMerge w:val="restart"/>
            <w:vAlign w:val="center"/>
          </w:tcPr>
          <w:p w14:paraId="1EFA280F" w14:textId="77777777" w:rsidR="00C47B6C" w:rsidRPr="00FD4EE5" w:rsidRDefault="00C47B6C" w:rsidP="00C47B6C">
            <w:pPr>
              <w:autoSpaceDE w:val="0"/>
              <w:autoSpaceDN w:val="0"/>
              <w:adjustRightInd w:val="0"/>
              <w:jc w:val="center"/>
              <w:rPr>
                <w:rFonts w:cstheme="minorHAnsi"/>
                <w:i/>
                <w:sz w:val="20"/>
                <w:szCs w:val="20"/>
              </w:rPr>
            </w:pPr>
            <w:r>
              <w:rPr>
                <w:rFonts w:cstheme="minorHAnsi"/>
                <w:i/>
                <w:sz w:val="20"/>
                <w:szCs w:val="20"/>
              </w:rPr>
              <w:t>362</w:t>
            </w:r>
          </w:p>
          <w:p w14:paraId="7DDF8EED" w14:textId="77777777" w:rsidR="00C47B6C" w:rsidRPr="00FD4EE5" w:rsidRDefault="00C47B6C" w:rsidP="00C47B6C">
            <w:pPr>
              <w:autoSpaceDE w:val="0"/>
              <w:autoSpaceDN w:val="0"/>
              <w:adjustRightInd w:val="0"/>
              <w:jc w:val="center"/>
              <w:rPr>
                <w:rFonts w:cstheme="minorHAnsi"/>
                <w:i/>
                <w:sz w:val="20"/>
                <w:szCs w:val="20"/>
              </w:rPr>
            </w:pPr>
            <w:r w:rsidRPr="00FD4EE5">
              <w:rPr>
                <w:rFonts w:cstheme="minorHAnsi"/>
                <w:i/>
                <w:sz w:val="20"/>
                <w:szCs w:val="20"/>
              </w:rPr>
              <w:t>(</w:t>
            </w:r>
            <w:r>
              <w:rPr>
                <w:rFonts w:cstheme="minorHAnsi"/>
                <w:i/>
                <w:sz w:val="20"/>
                <w:szCs w:val="20"/>
              </w:rPr>
              <w:t>132</w:t>
            </w:r>
            <w:r w:rsidRPr="00FD4EE5">
              <w:rPr>
                <w:rFonts w:cstheme="minorHAnsi"/>
                <w:i/>
                <w:sz w:val="20"/>
                <w:szCs w:val="20"/>
              </w:rPr>
              <w:t xml:space="preserve"> adults; </w:t>
            </w:r>
            <w:r>
              <w:rPr>
                <w:rFonts w:cstheme="minorHAnsi"/>
                <w:i/>
                <w:sz w:val="20"/>
                <w:szCs w:val="20"/>
              </w:rPr>
              <w:t>230</w:t>
            </w:r>
            <w:r w:rsidRPr="00FD4EE5">
              <w:rPr>
                <w:rFonts w:cstheme="minorHAnsi"/>
                <w:i/>
                <w:sz w:val="20"/>
                <w:szCs w:val="20"/>
              </w:rPr>
              <w:t xml:space="preserve"> children)</w:t>
            </w:r>
          </w:p>
        </w:tc>
        <w:tc>
          <w:tcPr>
            <w:tcW w:w="986" w:type="dxa"/>
            <w:vMerge w:val="restart"/>
            <w:vAlign w:val="center"/>
          </w:tcPr>
          <w:p w14:paraId="047B253E" w14:textId="77777777" w:rsidR="00C47B6C" w:rsidRPr="00FD4EE5" w:rsidRDefault="00C47B6C" w:rsidP="00C47B6C">
            <w:pPr>
              <w:autoSpaceDE w:val="0"/>
              <w:autoSpaceDN w:val="0"/>
              <w:adjustRightInd w:val="0"/>
              <w:jc w:val="center"/>
              <w:rPr>
                <w:rFonts w:cstheme="minorHAnsi"/>
                <w:i/>
                <w:sz w:val="20"/>
                <w:szCs w:val="20"/>
              </w:rPr>
            </w:pPr>
            <w:r w:rsidRPr="00FD4EE5">
              <w:rPr>
                <w:rFonts w:cstheme="minorHAnsi"/>
                <w:i/>
                <w:sz w:val="20"/>
                <w:szCs w:val="20"/>
              </w:rPr>
              <w:t>2,</w:t>
            </w:r>
            <w:r>
              <w:rPr>
                <w:rFonts w:cstheme="minorHAnsi"/>
                <w:i/>
                <w:sz w:val="20"/>
                <w:szCs w:val="20"/>
              </w:rPr>
              <w:t>428</w:t>
            </w:r>
          </w:p>
          <w:p w14:paraId="03507AD8" w14:textId="77777777" w:rsidR="00C47B6C" w:rsidRPr="00FD4EE5" w:rsidRDefault="00C47B6C" w:rsidP="00C47B6C">
            <w:pPr>
              <w:autoSpaceDE w:val="0"/>
              <w:autoSpaceDN w:val="0"/>
              <w:adjustRightInd w:val="0"/>
              <w:jc w:val="center"/>
              <w:rPr>
                <w:rFonts w:cstheme="minorHAnsi"/>
                <w:i/>
                <w:sz w:val="20"/>
                <w:szCs w:val="20"/>
              </w:rPr>
            </w:pPr>
            <w:r w:rsidRPr="00FD4EE5">
              <w:rPr>
                <w:rFonts w:cstheme="minorHAnsi"/>
                <w:i/>
                <w:sz w:val="20"/>
                <w:szCs w:val="20"/>
              </w:rPr>
              <w:t>(1,</w:t>
            </w:r>
            <w:r>
              <w:rPr>
                <w:rFonts w:cstheme="minorHAnsi"/>
                <w:i/>
                <w:sz w:val="20"/>
                <w:szCs w:val="20"/>
              </w:rPr>
              <w:t>623</w:t>
            </w:r>
            <w:r w:rsidRPr="00FD4EE5">
              <w:rPr>
                <w:rFonts w:cstheme="minorHAnsi"/>
                <w:i/>
                <w:sz w:val="20"/>
                <w:szCs w:val="20"/>
              </w:rPr>
              <w:t xml:space="preserve"> adults; </w:t>
            </w:r>
            <w:r>
              <w:rPr>
                <w:rFonts w:cstheme="minorHAnsi"/>
                <w:i/>
                <w:sz w:val="20"/>
                <w:szCs w:val="20"/>
              </w:rPr>
              <w:t>745</w:t>
            </w:r>
            <w:r w:rsidRPr="00FD4EE5">
              <w:rPr>
                <w:rFonts w:cstheme="minorHAnsi"/>
                <w:i/>
                <w:sz w:val="20"/>
                <w:szCs w:val="20"/>
              </w:rPr>
              <w:t xml:space="preserve"> children)</w:t>
            </w:r>
          </w:p>
        </w:tc>
      </w:tr>
      <w:tr w:rsidR="00C47B6C" w:rsidRPr="004A6CCB" w14:paraId="11C8DE35" w14:textId="77777777" w:rsidTr="00C47B6C">
        <w:tc>
          <w:tcPr>
            <w:tcW w:w="1163" w:type="dxa"/>
            <w:vMerge/>
            <w:vAlign w:val="center"/>
          </w:tcPr>
          <w:p w14:paraId="32640E9A" w14:textId="77777777" w:rsidR="00C47B6C" w:rsidRPr="00FD4EE5" w:rsidRDefault="00C47B6C" w:rsidP="00C47B6C">
            <w:pPr>
              <w:autoSpaceDE w:val="0"/>
              <w:autoSpaceDN w:val="0"/>
              <w:adjustRightInd w:val="0"/>
              <w:jc w:val="center"/>
              <w:rPr>
                <w:rFonts w:cstheme="minorHAnsi"/>
                <w:sz w:val="20"/>
                <w:szCs w:val="20"/>
              </w:rPr>
            </w:pPr>
          </w:p>
        </w:tc>
        <w:tc>
          <w:tcPr>
            <w:tcW w:w="878" w:type="dxa"/>
            <w:vAlign w:val="center"/>
          </w:tcPr>
          <w:p w14:paraId="4390FDA4" w14:textId="77777777" w:rsidR="00C47B6C" w:rsidRPr="00FD4EE5" w:rsidRDefault="00C47B6C" w:rsidP="00C47B6C">
            <w:pPr>
              <w:autoSpaceDE w:val="0"/>
              <w:autoSpaceDN w:val="0"/>
              <w:adjustRightInd w:val="0"/>
              <w:jc w:val="center"/>
              <w:rPr>
                <w:rFonts w:cstheme="minorHAnsi"/>
                <w:i/>
                <w:sz w:val="20"/>
                <w:szCs w:val="20"/>
              </w:rPr>
            </w:pPr>
            <w:r w:rsidRPr="00FD4EE5">
              <w:rPr>
                <w:rFonts w:cstheme="minorHAnsi"/>
                <w:i/>
                <w:sz w:val="20"/>
                <w:szCs w:val="20"/>
              </w:rPr>
              <w:t>1,</w:t>
            </w:r>
            <w:r>
              <w:rPr>
                <w:rFonts w:cstheme="minorHAnsi"/>
                <w:i/>
                <w:sz w:val="20"/>
                <w:szCs w:val="20"/>
              </w:rPr>
              <w:t>403</w:t>
            </w:r>
          </w:p>
        </w:tc>
        <w:tc>
          <w:tcPr>
            <w:tcW w:w="878" w:type="dxa"/>
            <w:vAlign w:val="center"/>
          </w:tcPr>
          <w:p w14:paraId="2C5F524C" w14:textId="77777777" w:rsidR="00C47B6C" w:rsidRPr="00FD4EE5" w:rsidRDefault="00C47B6C" w:rsidP="00C47B6C">
            <w:pPr>
              <w:autoSpaceDE w:val="0"/>
              <w:autoSpaceDN w:val="0"/>
              <w:adjustRightInd w:val="0"/>
              <w:jc w:val="center"/>
              <w:rPr>
                <w:rFonts w:cstheme="minorHAnsi"/>
                <w:i/>
                <w:sz w:val="20"/>
                <w:szCs w:val="20"/>
              </w:rPr>
            </w:pPr>
            <w:r>
              <w:rPr>
                <w:rFonts w:cstheme="minorHAnsi"/>
                <w:i/>
                <w:sz w:val="20"/>
                <w:szCs w:val="20"/>
              </w:rPr>
              <w:t>433</w:t>
            </w:r>
          </w:p>
        </w:tc>
        <w:tc>
          <w:tcPr>
            <w:tcW w:w="878" w:type="dxa"/>
            <w:vAlign w:val="center"/>
          </w:tcPr>
          <w:p w14:paraId="5FE4FFA7" w14:textId="77777777" w:rsidR="00C47B6C" w:rsidRPr="00FD4EE5" w:rsidRDefault="00C47B6C" w:rsidP="00C47B6C">
            <w:pPr>
              <w:autoSpaceDE w:val="0"/>
              <w:autoSpaceDN w:val="0"/>
              <w:adjustRightInd w:val="0"/>
              <w:jc w:val="center"/>
              <w:rPr>
                <w:rFonts w:cstheme="minorHAnsi"/>
                <w:i/>
                <w:sz w:val="20"/>
                <w:szCs w:val="20"/>
              </w:rPr>
            </w:pPr>
            <w:r>
              <w:rPr>
                <w:rFonts w:cstheme="minorHAnsi"/>
                <w:i/>
                <w:sz w:val="20"/>
                <w:szCs w:val="20"/>
              </w:rPr>
              <w:t>88</w:t>
            </w:r>
          </w:p>
        </w:tc>
        <w:tc>
          <w:tcPr>
            <w:tcW w:w="878" w:type="dxa"/>
            <w:vAlign w:val="center"/>
          </w:tcPr>
          <w:p w14:paraId="6F30A5E6" w14:textId="77777777" w:rsidR="00C47B6C" w:rsidRPr="00FD4EE5" w:rsidRDefault="00C47B6C" w:rsidP="00C47B6C">
            <w:pPr>
              <w:autoSpaceDE w:val="0"/>
              <w:autoSpaceDN w:val="0"/>
              <w:adjustRightInd w:val="0"/>
              <w:jc w:val="center"/>
              <w:rPr>
                <w:rFonts w:cstheme="minorHAnsi"/>
                <w:i/>
                <w:sz w:val="20"/>
                <w:szCs w:val="20"/>
              </w:rPr>
            </w:pPr>
            <w:r>
              <w:rPr>
                <w:rFonts w:cstheme="minorHAnsi"/>
                <w:i/>
                <w:sz w:val="20"/>
                <w:szCs w:val="20"/>
              </w:rPr>
              <w:t>82</w:t>
            </w:r>
          </w:p>
        </w:tc>
        <w:tc>
          <w:tcPr>
            <w:tcW w:w="977" w:type="dxa"/>
            <w:vMerge/>
            <w:vAlign w:val="center"/>
          </w:tcPr>
          <w:p w14:paraId="3859488A" w14:textId="77777777" w:rsidR="00C47B6C" w:rsidRPr="00223E18" w:rsidRDefault="00C47B6C" w:rsidP="00C47B6C">
            <w:pPr>
              <w:autoSpaceDE w:val="0"/>
              <w:autoSpaceDN w:val="0"/>
              <w:adjustRightInd w:val="0"/>
              <w:jc w:val="center"/>
              <w:rPr>
                <w:rFonts w:cstheme="minorHAnsi"/>
                <w:sz w:val="20"/>
                <w:szCs w:val="20"/>
              </w:rPr>
            </w:pPr>
          </w:p>
        </w:tc>
        <w:tc>
          <w:tcPr>
            <w:tcW w:w="909" w:type="dxa"/>
            <w:vAlign w:val="center"/>
          </w:tcPr>
          <w:p w14:paraId="5440A3D5" w14:textId="77777777" w:rsidR="00C47B6C" w:rsidRPr="00FD4EE5" w:rsidRDefault="00C47B6C" w:rsidP="00C47B6C">
            <w:pPr>
              <w:autoSpaceDE w:val="0"/>
              <w:autoSpaceDN w:val="0"/>
              <w:adjustRightInd w:val="0"/>
              <w:jc w:val="center"/>
              <w:rPr>
                <w:rFonts w:cstheme="minorHAnsi"/>
                <w:i/>
                <w:sz w:val="20"/>
                <w:szCs w:val="20"/>
              </w:rPr>
            </w:pPr>
            <w:r>
              <w:rPr>
                <w:rFonts w:cstheme="minorHAnsi"/>
                <w:i/>
                <w:sz w:val="20"/>
                <w:szCs w:val="20"/>
              </w:rPr>
              <w:t>132</w:t>
            </w:r>
          </w:p>
        </w:tc>
        <w:tc>
          <w:tcPr>
            <w:tcW w:w="814" w:type="dxa"/>
            <w:vAlign w:val="center"/>
          </w:tcPr>
          <w:p w14:paraId="4EDA0A14" w14:textId="77777777" w:rsidR="00C47B6C" w:rsidRPr="00FD4EE5" w:rsidRDefault="00C47B6C" w:rsidP="00C47B6C">
            <w:pPr>
              <w:autoSpaceDE w:val="0"/>
              <w:autoSpaceDN w:val="0"/>
              <w:adjustRightInd w:val="0"/>
              <w:jc w:val="center"/>
              <w:rPr>
                <w:rFonts w:cstheme="minorHAnsi"/>
                <w:i/>
                <w:sz w:val="20"/>
                <w:szCs w:val="20"/>
              </w:rPr>
            </w:pPr>
            <w:r>
              <w:rPr>
                <w:rFonts w:cstheme="minorHAnsi"/>
                <w:i/>
                <w:sz w:val="20"/>
                <w:szCs w:val="20"/>
              </w:rPr>
              <w:t>230</w:t>
            </w:r>
          </w:p>
        </w:tc>
        <w:tc>
          <w:tcPr>
            <w:tcW w:w="991" w:type="dxa"/>
            <w:vMerge/>
            <w:vAlign w:val="center"/>
          </w:tcPr>
          <w:p w14:paraId="1DC18A18" w14:textId="77777777" w:rsidR="00C47B6C" w:rsidRPr="00223E18" w:rsidRDefault="00C47B6C" w:rsidP="00C47B6C">
            <w:pPr>
              <w:autoSpaceDE w:val="0"/>
              <w:autoSpaceDN w:val="0"/>
              <w:adjustRightInd w:val="0"/>
              <w:jc w:val="center"/>
              <w:rPr>
                <w:rFonts w:cstheme="minorHAnsi"/>
                <w:sz w:val="20"/>
                <w:szCs w:val="20"/>
              </w:rPr>
            </w:pPr>
          </w:p>
        </w:tc>
        <w:tc>
          <w:tcPr>
            <w:tcW w:w="986" w:type="dxa"/>
            <w:vMerge/>
            <w:vAlign w:val="center"/>
          </w:tcPr>
          <w:p w14:paraId="24DB729E" w14:textId="77777777" w:rsidR="00C47B6C" w:rsidRPr="00223E18" w:rsidRDefault="00C47B6C" w:rsidP="00C47B6C">
            <w:pPr>
              <w:autoSpaceDE w:val="0"/>
              <w:autoSpaceDN w:val="0"/>
              <w:adjustRightInd w:val="0"/>
              <w:jc w:val="center"/>
              <w:rPr>
                <w:rFonts w:cstheme="minorHAnsi"/>
                <w:sz w:val="20"/>
                <w:szCs w:val="20"/>
              </w:rPr>
            </w:pPr>
          </w:p>
        </w:tc>
      </w:tr>
      <w:tr w:rsidR="00C47B6C" w:rsidRPr="004A6CCB" w14:paraId="5985DA0F" w14:textId="77777777" w:rsidTr="00C47B6C">
        <w:tc>
          <w:tcPr>
            <w:tcW w:w="1163" w:type="dxa"/>
            <w:vMerge w:val="restart"/>
            <w:vAlign w:val="center"/>
          </w:tcPr>
          <w:p w14:paraId="620163AE" w14:textId="77777777" w:rsidR="00C47B6C" w:rsidRPr="00223E18" w:rsidRDefault="00C47B6C" w:rsidP="00C47B6C">
            <w:pPr>
              <w:autoSpaceDE w:val="0"/>
              <w:autoSpaceDN w:val="0"/>
              <w:adjustRightInd w:val="0"/>
              <w:jc w:val="center"/>
              <w:rPr>
                <w:rFonts w:cstheme="minorHAnsi"/>
                <w:sz w:val="20"/>
                <w:szCs w:val="20"/>
              </w:rPr>
            </w:pPr>
            <w:r w:rsidRPr="00223E18">
              <w:rPr>
                <w:rFonts w:cstheme="minorHAnsi"/>
                <w:sz w:val="20"/>
                <w:szCs w:val="20"/>
              </w:rPr>
              <w:t>No. Eligible and Enrolled</w:t>
            </w:r>
          </w:p>
        </w:tc>
        <w:tc>
          <w:tcPr>
            <w:tcW w:w="1756" w:type="dxa"/>
            <w:gridSpan w:val="2"/>
            <w:vAlign w:val="center"/>
          </w:tcPr>
          <w:p w14:paraId="6A59EE8A" w14:textId="77777777" w:rsidR="00C47B6C" w:rsidRPr="00FD4EE5" w:rsidRDefault="00C47B6C" w:rsidP="00C47B6C">
            <w:pPr>
              <w:autoSpaceDE w:val="0"/>
              <w:autoSpaceDN w:val="0"/>
              <w:adjustRightInd w:val="0"/>
              <w:jc w:val="center"/>
              <w:rPr>
                <w:rFonts w:cstheme="minorHAnsi"/>
                <w:i/>
                <w:sz w:val="20"/>
                <w:szCs w:val="20"/>
              </w:rPr>
            </w:pPr>
            <w:r w:rsidRPr="00FD4EE5">
              <w:rPr>
                <w:rFonts w:cstheme="minorHAnsi"/>
                <w:i/>
                <w:sz w:val="20"/>
                <w:szCs w:val="20"/>
              </w:rPr>
              <w:t>Total=1,</w:t>
            </w:r>
            <w:r>
              <w:rPr>
                <w:rFonts w:cstheme="minorHAnsi"/>
                <w:i/>
                <w:sz w:val="20"/>
                <w:szCs w:val="20"/>
              </w:rPr>
              <w:t>221</w:t>
            </w:r>
          </w:p>
        </w:tc>
        <w:tc>
          <w:tcPr>
            <w:tcW w:w="1756" w:type="dxa"/>
            <w:gridSpan w:val="2"/>
            <w:vAlign w:val="center"/>
          </w:tcPr>
          <w:p w14:paraId="1721064B" w14:textId="77777777" w:rsidR="00C47B6C" w:rsidRPr="00FD4EE5" w:rsidRDefault="00C47B6C" w:rsidP="00C47B6C">
            <w:pPr>
              <w:autoSpaceDE w:val="0"/>
              <w:autoSpaceDN w:val="0"/>
              <w:adjustRightInd w:val="0"/>
              <w:jc w:val="center"/>
              <w:rPr>
                <w:rFonts w:cstheme="minorHAnsi"/>
                <w:i/>
                <w:sz w:val="20"/>
                <w:szCs w:val="20"/>
              </w:rPr>
            </w:pPr>
            <w:r w:rsidRPr="00FD4EE5">
              <w:rPr>
                <w:rFonts w:cstheme="minorHAnsi"/>
                <w:i/>
                <w:sz w:val="20"/>
                <w:szCs w:val="20"/>
              </w:rPr>
              <w:t>Total=</w:t>
            </w:r>
            <w:r>
              <w:rPr>
                <w:rFonts w:cstheme="minorHAnsi"/>
                <w:i/>
                <w:sz w:val="20"/>
                <w:szCs w:val="20"/>
              </w:rPr>
              <w:t>129</w:t>
            </w:r>
          </w:p>
        </w:tc>
        <w:tc>
          <w:tcPr>
            <w:tcW w:w="977" w:type="dxa"/>
            <w:vMerge w:val="restart"/>
            <w:vAlign w:val="center"/>
          </w:tcPr>
          <w:p w14:paraId="68FB1CC6" w14:textId="77777777" w:rsidR="00C47B6C" w:rsidRPr="00FD4EE5" w:rsidRDefault="00C47B6C" w:rsidP="00C47B6C">
            <w:pPr>
              <w:autoSpaceDE w:val="0"/>
              <w:autoSpaceDN w:val="0"/>
              <w:adjustRightInd w:val="0"/>
              <w:jc w:val="center"/>
              <w:rPr>
                <w:rFonts w:cstheme="minorHAnsi"/>
                <w:b/>
                <w:sz w:val="20"/>
                <w:szCs w:val="20"/>
              </w:rPr>
            </w:pPr>
            <w:r w:rsidRPr="00FD4EE5">
              <w:rPr>
                <w:rFonts w:cstheme="minorHAnsi"/>
                <w:b/>
                <w:sz w:val="20"/>
                <w:szCs w:val="20"/>
              </w:rPr>
              <w:t>1,350</w:t>
            </w:r>
          </w:p>
          <w:p w14:paraId="048BB43F" w14:textId="77777777" w:rsidR="00C47B6C" w:rsidRPr="00223E18" w:rsidRDefault="00C47B6C" w:rsidP="00C47B6C">
            <w:pPr>
              <w:autoSpaceDE w:val="0"/>
              <w:autoSpaceDN w:val="0"/>
              <w:adjustRightInd w:val="0"/>
              <w:jc w:val="center"/>
              <w:rPr>
                <w:rFonts w:cstheme="minorHAnsi"/>
                <w:sz w:val="20"/>
                <w:szCs w:val="20"/>
              </w:rPr>
            </w:pPr>
            <w:r w:rsidRPr="00FD4EE5">
              <w:rPr>
                <w:rFonts w:cstheme="minorHAnsi"/>
                <w:b/>
                <w:sz w:val="20"/>
                <w:szCs w:val="20"/>
              </w:rPr>
              <w:t>(1,000 adults; 350 children)</w:t>
            </w:r>
          </w:p>
        </w:tc>
        <w:tc>
          <w:tcPr>
            <w:tcW w:w="1723" w:type="dxa"/>
            <w:gridSpan w:val="2"/>
            <w:vAlign w:val="center"/>
          </w:tcPr>
          <w:p w14:paraId="7E8E7FF8" w14:textId="77777777" w:rsidR="00C47B6C" w:rsidRPr="00FD4EE5" w:rsidRDefault="00C47B6C" w:rsidP="00C47B6C">
            <w:pPr>
              <w:autoSpaceDE w:val="0"/>
              <w:autoSpaceDN w:val="0"/>
              <w:adjustRightInd w:val="0"/>
              <w:jc w:val="center"/>
              <w:rPr>
                <w:rFonts w:cstheme="minorHAnsi"/>
                <w:b/>
                <w:sz w:val="20"/>
                <w:szCs w:val="20"/>
              </w:rPr>
            </w:pPr>
            <w:r w:rsidRPr="00FD4EE5">
              <w:rPr>
                <w:rFonts w:cstheme="minorHAnsi"/>
                <w:b/>
                <w:sz w:val="20"/>
                <w:szCs w:val="20"/>
              </w:rPr>
              <w:t>Total=275</w:t>
            </w:r>
          </w:p>
        </w:tc>
        <w:tc>
          <w:tcPr>
            <w:tcW w:w="991" w:type="dxa"/>
            <w:vMerge w:val="restart"/>
            <w:vAlign w:val="center"/>
          </w:tcPr>
          <w:p w14:paraId="3BD037F1" w14:textId="77777777" w:rsidR="00C47B6C" w:rsidRPr="00FD4EE5" w:rsidRDefault="00C47B6C" w:rsidP="00C47B6C">
            <w:pPr>
              <w:autoSpaceDE w:val="0"/>
              <w:autoSpaceDN w:val="0"/>
              <w:adjustRightInd w:val="0"/>
              <w:jc w:val="center"/>
              <w:rPr>
                <w:rFonts w:cstheme="minorHAnsi"/>
                <w:b/>
                <w:sz w:val="20"/>
                <w:szCs w:val="20"/>
              </w:rPr>
            </w:pPr>
            <w:r w:rsidRPr="00FD4EE5">
              <w:rPr>
                <w:rFonts w:cstheme="minorHAnsi"/>
                <w:b/>
                <w:sz w:val="20"/>
                <w:szCs w:val="20"/>
              </w:rPr>
              <w:t>275</w:t>
            </w:r>
          </w:p>
          <w:p w14:paraId="3DFEF34A" w14:textId="77777777" w:rsidR="00C47B6C" w:rsidRPr="00FD4EE5" w:rsidRDefault="00C47B6C" w:rsidP="00C47B6C">
            <w:pPr>
              <w:autoSpaceDE w:val="0"/>
              <w:autoSpaceDN w:val="0"/>
              <w:adjustRightInd w:val="0"/>
              <w:jc w:val="center"/>
              <w:rPr>
                <w:rFonts w:cstheme="minorHAnsi"/>
                <w:b/>
                <w:sz w:val="20"/>
                <w:szCs w:val="20"/>
              </w:rPr>
            </w:pPr>
            <w:r w:rsidRPr="00FD4EE5">
              <w:rPr>
                <w:rFonts w:cstheme="minorHAnsi"/>
                <w:b/>
                <w:sz w:val="20"/>
                <w:szCs w:val="20"/>
              </w:rPr>
              <w:t>(100 adults; 175 children)</w:t>
            </w:r>
          </w:p>
        </w:tc>
        <w:tc>
          <w:tcPr>
            <w:tcW w:w="986" w:type="dxa"/>
            <w:vMerge w:val="restart"/>
            <w:vAlign w:val="center"/>
          </w:tcPr>
          <w:p w14:paraId="78C83672" w14:textId="77777777" w:rsidR="00C47B6C" w:rsidRPr="00FD4EE5" w:rsidRDefault="00C47B6C" w:rsidP="00C47B6C">
            <w:pPr>
              <w:autoSpaceDE w:val="0"/>
              <w:autoSpaceDN w:val="0"/>
              <w:adjustRightInd w:val="0"/>
              <w:jc w:val="center"/>
              <w:rPr>
                <w:rFonts w:cstheme="minorHAnsi"/>
                <w:b/>
                <w:sz w:val="20"/>
                <w:szCs w:val="20"/>
              </w:rPr>
            </w:pPr>
            <w:r w:rsidRPr="00FD4EE5">
              <w:rPr>
                <w:rFonts w:cstheme="minorHAnsi"/>
                <w:b/>
                <w:sz w:val="20"/>
                <w:szCs w:val="20"/>
              </w:rPr>
              <w:t>1,625</w:t>
            </w:r>
          </w:p>
          <w:p w14:paraId="33DDA814" w14:textId="77777777" w:rsidR="00C47B6C" w:rsidRPr="00FD4EE5" w:rsidRDefault="00C47B6C" w:rsidP="00C47B6C">
            <w:pPr>
              <w:autoSpaceDE w:val="0"/>
              <w:autoSpaceDN w:val="0"/>
              <w:adjustRightInd w:val="0"/>
              <w:jc w:val="center"/>
              <w:rPr>
                <w:rFonts w:cstheme="minorHAnsi"/>
                <w:b/>
                <w:sz w:val="20"/>
                <w:szCs w:val="20"/>
              </w:rPr>
            </w:pPr>
            <w:r w:rsidRPr="00FD4EE5">
              <w:rPr>
                <w:rFonts w:cstheme="minorHAnsi"/>
                <w:b/>
                <w:sz w:val="20"/>
                <w:szCs w:val="20"/>
              </w:rPr>
              <w:t>(1,100 adults; 525 children)</w:t>
            </w:r>
          </w:p>
        </w:tc>
      </w:tr>
      <w:tr w:rsidR="00C47B6C" w:rsidRPr="004A6CCB" w14:paraId="124EE43B" w14:textId="77777777" w:rsidTr="00C47B6C">
        <w:tc>
          <w:tcPr>
            <w:tcW w:w="1163" w:type="dxa"/>
            <w:vMerge/>
            <w:vAlign w:val="center"/>
          </w:tcPr>
          <w:p w14:paraId="7F0B66A2" w14:textId="77777777" w:rsidR="00C47B6C" w:rsidRPr="00FD4EE5" w:rsidRDefault="00C47B6C" w:rsidP="00C47B6C">
            <w:pPr>
              <w:autoSpaceDE w:val="0"/>
              <w:autoSpaceDN w:val="0"/>
              <w:adjustRightInd w:val="0"/>
              <w:jc w:val="center"/>
              <w:rPr>
                <w:rFonts w:cstheme="minorHAnsi"/>
                <w:sz w:val="20"/>
                <w:szCs w:val="20"/>
              </w:rPr>
            </w:pPr>
          </w:p>
        </w:tc>
        <w:tc>
          <w:tcPr>
            <w:tcW w:w="878" w:type="dxa"/>
            <w:vAlign w:val="center"/>
          </w:tcPr>
          <w:p w14:paraId="736D5859" w14:textId="77777777" w:rsidR="00C47B6C" w:rsidRPr="00FD4EE5" w:rsidRDefault="00C47B6C" w:rsidP="00C47B6C">
            <w:pPr>
              <w:autoSpaceDE w:val="0"/>
              <w:autoSpaceDN w:val="0"/>
              <w:adjustRightInd w:val="0"/>
              <w:jc w:val="center"/>
              <w:rPr>
                <w:rFonts w:cstheme="minorHAnsi"/>
                <w:i/>
                <w:sz w:val="20"/>
                <w:szCs w:val="20"/>
              </w:rPr>
            </w:pPr>
            <w:r>
              <w:rPr>
                <w:rFonts w:cstheme="minorHAnsi"/>
                <w:i/>
                <w:sz w:val="20"/>
                <w:szCs w:val="20"/>
              </w:rPr>
              <w:t>933</w:t>
            </w:r>
          </w:p>
        </w:tc>
        <w:tc>
          <w:tcPr>
            <w:tcW w:w="878" w:type="dxa"/>
            <w:vAlign w:val="center"/>
          </w:tcPr>
          <w:p w14:paraId="44E34624" w14:textId="77777777" w:rsidR="00C47B6C" w:rsidRPr="00FD4EE5" w:rsidRDefault="00C47B6C" w:rsidP="00C47B6C">
            <w:pPr>
              <w:autoSpaceDE w:val="0"/>
              <w:autoSpaceDN w:val="0"/>
              <w:adjustRightInd w:val="0"/>
              <w:jc w:val="center"/>
              <w:rPr>
                <w:rFonts w:cstheme="minorHAnsi"/>
                <w:i/>
                <w:sz w:val="20"/>
                <w:szCs w:val="20"/>
              </w:rPr>
            </w:pPr>
            <w:r>
              <w:rPr>
                <w:rFonts w:cstheme="minorHAnsi"/>
                <w:i/>
                <w:sz w:val="20"/>
                <w:szCs w:val="20"/>
              </w:rPr>
              <w:t>288</w:t>
            </w:r>
          </w:p>
        </w:tc>
        <w:tc>
          <w:tcPr>
            <w:tcW w:w="878" w:type="dxa"/>
            <w:vAlign w:val="center"/>
          </w:tcPr>
          <w:p w14:paraId="5E06BE00" w14:textId="77777777" w:rsidR="00C47B6C" w:rsidRPr="00FD4EE5" w:rsidRDefault="00C47B6C" w:rsidP="00C47B6C">
            <w:pPr>
              <w:autoSpaceDE w:val="0"/>
              <w:autoSpaceDN w:val="0"/>
              <w:adjustRightInd w:val="0"/>
              <w:jc w:val="center"/>
              <w:rPr>
                <w:rFonts w:cstheme="minorHAnsi"/>
                <w:i/>
                <w:sz w:val="20"/>
                <w:szCs w:val="20"/>
              </w:rPr>
            </w:pPr>
            <w:r>
              <w:rPr>
                <w:rFonts w:cstheme="minorHAnsi"/>
                <w:i/>
                <w:sz w:val="20"/>
                <w:szCs w:val="20"/>
              </w:rPr>
              <w:t>67</w:t>
            </w:r>
          </w:p>
        </w:tc>
        <w:tc>
          <w:tcPr>
            <w:tcW w:w="878" w:type="dxa"/>
            <w:vAlign w:val="center"/>
          </w:tcPr>
          <w:p w14:paraId="43B3E78F" w14:textId="77777777" w:rsidR="00C47B6C" w:rsidRPr="00FD4EE5" w:rsidRDefault="00C47B6C" w:rsidP="00C47B6C">
            <w:pPr>
              <w:autoSpaceDE w:val="0"/>
              <w:autoSpaceDN w:val="0"/>
              <w:adjustRightInd w:val="0"/>
              <w:jc w:val="center"/>
              <w:rPr>
                <w:rFonts w:cstheme="minorHAnsi"/>
                <w:i/>
                <w:sz w:val="20"/>
                <w:szCs w:val="20"/>
              </w:rPr>
            </w:pPr>
            <w:r>
              <w:rPr>
                <w:rFonts w:cstheme="minorHAnsi"/>
                <w:i/>
                <w:sz w:val="20"/>
                <w:szCs w:val="20"/>
              </w:rPr>
              <w:t>62</w:t>
            </w:r>
          </w:p>
        </w:tc>
        <w:tc>
          <w:tcPr>
            <w:tcW w:w="977" w:type="dxa"/>
            <w:vMerge/>
            <w:vAlign w:val="center"/>
          </w:tcPr>
          <w:p w14:paraId="67C71F74" w14:textId="77777777" w:rsidR="00C47B6C" w:rsidRPr="00223E18" w:rsidRDefault="00C47B6C" w:rsidP="00C47B6C">
            <w:pPr>
              <w:autoSpaceDE w:val="0"/>
              <w:autoSpaceDN w:val="0"/>
              <w:adjustRightInd w:val="0"/>
              <w:jc w:val="center"/>
              <w:rPr>
                <w:rFonts w:cstheme="minorHAnsi"/>
                <w:sz w:val="20"/>
                <w:szCs w:val="20"/>
              </w:rPr>
            </w:pPr>
          </w:p>
        </w:tc>
        <w:tc>
          <w:tcPr>
            <w:tcW w:w="909" w:type="dxa"/>
            <w:vAlign w:val="center"/>
          </w:tcPr>
          <w:p w14:paraId="5D0EA26B" w14:textId="77777777" w:rsidR="00C47B6C" w:rsidRPr="00FD4EE5" w:rsidRDefault="00C47B6C" w:rsidP="00C47B6C">
            <w:pPr>
              <w:autoSpaceDE w:val="0"/>
              <w:autoSpaceDN w:val="0"/>
              <w:adjustRightInd w:val="0"/>
              <w:jc w:val="center"/>
              <w:rPr>
                <w:rFonts w:cstheme="minorHAnsi"/>
                <w:b/>
                <w:sz w:val="20"/>
                <w:szCs w:val="20"/>
              </w:rPr>
            </w:pPr>
            <w:r w:rsidRPr="00FD4EE5">
              <w:rPr>
                <w:rFonts w:cstheme="minorHAnsi"/>
                <w:b/>
                <w:sz w:val="20"/>
                <w:szCs w:val="20"/>
              </w:rPr>
              <w:t>100</w:t>
            </w:r>
          </w:p>
        </w:tc>
        <w:tc>
          <w:tcPr>
            <w:tcW w:w="814" w:type="dxa"/>
            <w:vAlign w:val="center"/>
          </w:tcPr>
          <w:p w14:paraId="1579D7B0" w14:textId="77777777" w:rsidR="00C47B6C" w:rsidRPr="00FD4EE5" w:rsidRDefault="00C47B6C" w:rsidP="00C47B6C">
            <w:pPr>
              <w:autoSpaceDE w:val="0"/>
              <w:autoSpaceDN w:val="0"/>
              <w:adjustRightInd w:val="0"/>
              <w:jc w:val="center"/>
              <w:rPr>
                <w:rFonts w:cstheme="minorHAnsi"/>
                <w:b/>
                <w:sz w:val="20"/>
                <w:szCs w:val="20"/>
              </w:rPr>
            </w:pPr>
            <w:r w:rsidRPr="00FD4EE5">
              <w:rPr>
                <w:rFonts w:cstheme="minorHAnsi"/>
                <w:b/>
                <w:sz w:val="20"/>
                <w:szCs w:val="20"/>
              </w:rPr>
              <w:t>175</w:t>
            </w:r>
          </w:p>
        </w:tc>
        <w:tc>
          <w:tcPr>
            <w:tcW w:w="991" w:type="dxa"/>
            <w:vMerge/>
            <w:vAlign w:val="center"/>
          </w:tcPr>
          <w:p w14:paraId="7E54353A" w14:textId="77777777" w:rsidR="00C47B6C" w:rsidRPr="00223E18" w:rsidRDefault="00C47B6C" w:rsidP="00C47B6C">
            <w:pPr>
              <w:autoSpaceDE w:val="0"/>
              <w:autoSpaceDN w:val="0"/>
              <w:adjustRightInd w:val="0"/>
              <w:jc w:val="center"/>
              <w:rPr>
                <w:rFonts w:cstheme="minorHAnsi"/>
                <w:sz w:val="20"/>
                <w:szCs w:val="20"/>
              </w:rPr>
            </w:pPr>
          </w:p>
        </w:tc>
        <w:tc>
          <w:tcPr>
            <w:tcW w:w="986" w:type="dxa"/>
            <w:vMerge/>
            <w:vAlign w:val="center"/>
          </w:tcPr>
          <w:p w14:paraId="7F8AFE68" w14:textId="77777777" w:rsidR="00C47B6C" w:rsidRPr="00223E18" w:rsidRDefault="00C47B6C" w:rsidP="00C47B6C">
            <w:pPr>
              <w:autoSpaceDE w:val="0"/>
              <w:autoSpaceDN w:val="0"/>
              <w:adjustRightInd w:val="0"/>
              <w:jc w:val="center"/>
              <w:rPr>
                <w:rFonts w:cstheme="minorHAnsi"/>
                <w:sz w:val="20"/>
                <w:szCs w:val="20"/>
              </w:rPr>
            </w:pPr>
          </w:p>
        </w:tc>
      </w:tr>
      <w:tr w:rsidR="00C47B6C" w:rsidRPr="00223E18" w14:paraId="7EE020D0" w14:textId="77777777" w:rsidTr="00C47B6C">
        <w:tc>
          <w:tcPr>
            <w:tcW w:w="9352" w:type="dxa"/>
            <w:gridSpan w:val="10"/>
            <w:vAlign w:val="center"/>
          </w:tcPr>
          <w:p w14:paraId="77965611" w14:textId="77777777" w:rsidR="00C47B6C" w:rsidRDefault="00C47B6C" w:rsidP="00C47B6C">
            <w:pPr>
              <w:autoSpaceDE w:val="0"/>
              <w:autoSpaceDN w:val="0"/>
              <w:adjustRightInd w:val="0"/>
              <w:rPr>
                <w:rFonts w:cstheme="minorHAnsi"/>
                <w:sz w:val="18"/>
                <w:szCs w:val="18"/>
              </w:rPr>
            </w:pPr>
            <w:r w:rsidRPr="007A35B1">
              <w:rPr>
                <w:rFonts w:cstheme="minorHAnsi"/>
                <w:b/>
                <w:sz w:val="18"/>
                <w:szCs w:val="18"/>
              </w:rPr>
              <w:t xml:space="preserve">Bold </w:t>
            </w:r>
            <w:r w:rsidRPr="00087CD5">
              <w:rPr>
                <w:rFonts w:cstheme="minorHAnsi"/>
                <w:sz w:val="18"/>
                <w:szCs w:val="18"/>
              </w:rPr>
              <w:t xml:space="preserve">numbers indicate </w:t>
            </w:r>
            <w:r>
              <w:rPr>
                <w:rFonts w:cstheme="minorHAnsi"/>
                <w:sz w:val="18"/>
                <w:szCs w:val="18"/>
              </w:rPr>
              <w:t xml:space="preserve">fixed </w:t>
            </w:r>
            <w:r w:rsidRPr="00087CD5">
              <w:rPr>
                <w:rFonts w:cstheme="minorHAnsi"/>
                <w:sz w:val="18"/>
                <w:szCs w:val="18"/>
              </w:rPr>
              <w:t>number of cohort members (n=1,</w:t>
            </w:r>
            <w:r>
              <w:rPr>
                <w:rFonts w:cstheme="minorHAnsi"/>
                <w:sz w:val="18"/>
                <w:szCs w:val="18"/>
              </w:rPr>
              <w:t>836=1,578 in 2015 and 258 in 2017</w:t>
            </w:r>
            <w:r w:rsidRPr="00087CD5">
              <w:rPr>
                <w:rFonts w:cstheme="minorHAnsi"/>
                <w:sz w:val="18"/>
                <w:szCs w:val="18"/>
              </w:rPr>
              <w:t>) or target sample sizes to be achieved (n = 1,625 = 1,350 exposed + 275 referent).</w:t>
            </w:r>
            <w:r>
              <w:rPr>
                <w:rFonts w:cstheme="minorHAnsi"/>
                <w:sz w:val="18"/>
                <w:szCs w:val="18"/>
              </w:rPr>
              <w:t xml:space="preserve"> Based on these fixed numbers the remainder of the table was interpolated based on the following assumptions:</w:t>
            </w:r>
          </w:p>
          <w:p w14:paraId="5D70B193" w14:textId="77777777" w:rsidR="00C47B6C" w:rsidRDefault="00C47B6C" w:rsidP="00C47B6C">
            <w:pPr>
              <w:autoSpaceDE w:val="0"/>
              <w:autoSpaceDN w:val="0"/>
              <w:adjustRightInd w:val="0"/>
              <w:rPr>
                <w:rFonts w:cstheme="minorHAnsi"/>
                <w:sz w:val="18"/>
                <w:szCs w:val="18"/>
              </w:rPr>
            </w:pPr>
            <w:r w:rsidRPr="004703FD">
              <w:rPr>
                <w:rFonts w:cstheme="minorHAnsi"/>
                <w:i/>
                <w:sz w:val="18"/>
                <w:szCs w:val="18"/>
              </w:rPr>
              <w:t>Italicized</w:t>
            </w:r>
            <w:r w:rsidRPr="004703FD">
              <w:rPr>
                <w:rFonts w:cstheme="minorHAnsi"/>
                <w:sz w:val="18"/>
                <w:szCs w:val="18"/>
              </w:rPr>
              <w:t xml:space="preserve"> numbers indicate numbers indirectly calculated and interpolated</w:t>
            </w:r>
            <w:r>
              <w:rPr>
                <w:rFonts w:cstheme="minorHAnsi"/>
                <w:sz w:val="18"/>
                <w:szCs w:val="18"/>
              </w:rPr>
              <w:t>. We</w:t>
            </w:r>
            <w:r w:rsidRPr="004703FD">
              <w:rPr>
                <w:rFonts w:cstheme="minorHAnsi"/>
                <w:sz w:val="18"/>
                <w:szCs w:val="18"/>
              </w:rPr>
              <w:t xml:space="preserve"> assum</w:t>
            </w:r>
            <w:r>
              <w:rPr>
                <w:rFonts w:cstheme="minorHAnsi"/>
                <w:sz w:val="18"/>
                <w:szCs w:val="18"/>
              </w:rPr>
              <w:t>e</w:t>
            </w:r>
            <w:r w:rsidRPr="004703FD">
              <w:rPr>
                <w:rFonts w:cstheme="minorHAnsi"/>
                <w:sz w:val="18"/>
                <w:szCs w:val="18"/>
              </w:rPr>
              <w:t xml:space="preserve"> </w:t>
            </w:r>
            <w:r>
              <w:rPr>
                <w:rFonts w:cstheme="minorHAnsi"/>
                <w:sz w:val="18"/>
                <w:szCs w:val="18"/>
              </w:rPr>
              <w:t>the following:</w:t>
            </w:r>
          </w:p>
          <w:p w14:paraId="475947B8" w14:textId="77777777" w:rsidR="00C47B6C" w:rsidRDefault="00C47B6C" w:rsidP="00C47B6C">
            <w:pPr>
              <w:pStyle w:val="ListParagraph"/>
              <w:numPr>
                <w:ilvl w:val="0"/>
                <w:numId w:val="26"/>
              </w:numPr>
              <w:autoSpaceDE w:val="0"/>
              <w:autoSpaceDN w:val="0"/>
              <w:adjustRightInd w:val="0"/>
              <w:rPr>
                <w:rFonts w:cstheme="minorHAnsi"/>
                <w:sz w:val="18"/>
                <w:szCs w:val="18"/>
              </w:rPr>
            </w:pPr>
            <w:r>
              <w:rPr>
                <w:rFonts w:cstheme="minorHAnsi"/>
                <w:sz w:val="18"/>
                <w:szCs w:val="18"/>
              </w:rPr>
              <w:t xml:space="preserve">Wave One: </w:t>
            </w:r>
            <w:r w:rsidRPr="00156D91">
              <w:rPr>
                <w:rFonts w:cstheme="minorHAnsi"/>
                <w:sz w:val="18"/>
                <w:szCs w:val="18"/>
              </w:rPr>
              <w:t>95% eligibility and 70% response</w:t>
            </w:r>
            <w:r>
              <w:rPr>
                <w:rFonts w:cstheme="minorHAnsi"/>
                <w:sz w:val="18"/>
                <w:szCs w:val="18"/>
              </w:rPr>
              <w:t xml:space="preserve"> from the fixed cohort that will require agency recruitment efforts.</w:t>
            </w:r>
          </w:p>
          <w:p w14:paraId="47212639" w14:textId="77777777" w:rsidR="00C47B6C" w:rsidRPr="00156D91" w:rsidRDefault="00C47B6C" w:rsidP="00C47B6C">
            <w:pPr>
              <w:pStyle w:val="ListParagraph"/>
              <w:numPr>
                <w:ilvl w:val="0"/>
                <w:numId w:val="26"/>
              </w:numPr>
              <w:autoSpaceDE w:val="0"/>
              <w:autoSpaceDN w:val="0"/>
              <w:adjustRightInd w:val="0"/>
              <w:rPr>
                <w:rFonts w:cstheme="minorHAnsi"/>
                <w:sz w:val="18"/>
                <w:szCs w:val="18"/>
              </w:rPr>
            </w:pPr>
            <w:r w:rsidRPr="00156D91">
              <w:rPr>
                <w:rFonts w:cstheme="minorHAnsi"/>
                <w:sz w:val="18"/>
                <w:szCs w:val="18"/>
              </w:rPr>
              <w:t>Wave Two</w:t>
            </w:r>
            <w:r>
              <w:rPr>
                <w:rFonts w:cstheme="minorHAnsi"/>
                <w:sz w:val="18"/>
                <w:szCs w:val="18"/>
              </w:rPr>
              <w:t xml:space="preserve"> and Wave Three: </w:t>
            </w:r>
            <w:r w:rsidRPr="0022736E">
              <w:rPr>
                <w:rFonts w:cstheme="minorHAnsi"/>
                <w:sz w:val="18"/>
                <w:szCs w:val="18"/>
              </w:rPr>
              <w:t>W</w:t>
            </w:r>
            <w:r w:rsidRPr="00156D91">
              <w:rPr>
                <w:rFonts w:cstheme="minorHAnsi"/>
                <w:sz w:val="18"/>
                <w:szCs w:val="18"/>
              </w:rPr>
              <w:t xml:space="preserve">e assume </w:t>
            </w:r>
            <w:r>
              <w:rPr>
                <w:rFonts w:cstheme="minorHAnsi"/>
                <w:sz w:val="18"/>
                <w:szCs w:val="18"/>
              </w:rPr>
              <w:t>95%</w:t>
            </w:r>
            <w:r w:rsidRPr="00156D91">
              <w:rPr>
                <w:rFonts w:cstheme="minorHAnsi"/>
                <w:sz w:val="18"/>
                <w:szCs w:val="18"/>
              </w:rPr>
              <w:t xml:space="preserve"> eligibility and </w:t>
            </w:r>
            <w:r>
              <w:rPr>
                <w:rFonts w:cstheme="minorHAnsi"/>
                <w:sz w:val="18"/>
                <w:szCs w:val="18"/>
              </w:rPr>
              <w:t>8</w:t>
            </w:r>
            <w:r w:rsidRPr="00156D91">
              <w:rPr>
                <w:rFonts w:cstheme="minorHAnsi"/>
                <w:sz w:val="18"/>
                <w:szCs w:val="18"/>
              </w:rPr>
              <w:t>0%</w:t>
            </w:r>
            <w:r>
              <w:rPr>
                <w:rFonts w:cstheme="minorHAnsi"/>
                <w:sz w:val="18"/>
                <w:szCs w:val="18"/>
              </w:rPr>
              <w:t xml:space="preserve"> response since these people are already interested and are self-volunteering to take part. They are not part of a statistical sample requiring recruitment</w:t>
            </w:r>
            <w:r w:rsidRPr="00156D91">
              <w:rPr>
                <w:rFonts w:cstheme="minorHAnsi"/>
                <w:sz w:val="18"/>
                <w:szCs w:val="18"/>
              </w:rPr>
              <w:t>.</w:t>
            </w:r>
            <w:r>
              <w:rPr>
                <w:rFonts w:cstheme="minorHAnsi"/>
                <w:sz w:val="18"/>
                <w:szCs w:val="18"/>
              </w:rPr>
              <w:t xml:space="preserve"> We assume that fewer one in five (20%) may change his/her mind after hearing the informed consent information.</w:t>
            </w:r>
          </w:p>
          <w:p w14:paraId="5DC44461" w14:textId="77777777" w:rsidR="00C47B6C" w:rsidRPr="007A35B1" w:rsidRDefault="00C47B6C" w:rsidP="00C47B6C">
            <w:pPr>
              <w:autoSpaceDE w:val="0"/>
              <w:autoSpaceDN w:val="0"/>
              <w:adjustRightInd w:val="0"/>
              <w:rPr>
                <w:rFonts w:cstheme="minorHAnsi"/>
                <w:sz w:val="18"/>
                <w:szCs w:val="18"/>
              </w:rPr>
            </w:pPr>
          </w:p>
          <w:p w14:paraId="4D8017C0" w14:textId="77777777" w:rsidR="00C47B6C" w:rsidRDefault="00C47B6C" w:rsidP="00C47B6C">
            <w:pPr>
              <w:autoSpaceDE w:val="0"/>
              <w:autoSpaceDN w:val="0"/>
              <w:adjustRightInd w:val="0"/>
              <w:rPr>
                <w:rFonts w:cstheme="minorHAnsi"/>
                <w:sz w:val="18"/>
                <w:szCs w:val="18"/>
              </w:rPr>
            </w:pPr>
            <w:r w:rsidRPr="00FD4EE5">
              <w:rPr>
                <w:rFonts w:cstheme="minorHAnsi"/>
                <w:sz w:val="18"/>
                <w:szCs w:val="18"/>
              </w:rPr>
              <w:t>* Estimates align with Table A.12.1 and Table A.12.2 annualized results and with assumptions made in Section A.12.</w:t>
            </w:r>
            <w:r w:rsidRPr="007A35B1">
              <w:rPr>
                <w:rFonts w:cstheme="minorHAnsi"/>
                <w:sz w:val="18"/>
                <w:szCs w:val="18"/>
              </w:rPr>
              <w:t xml:space="preserve"> Enrollment will occur in three waves. Wave One will </w:t>
            </w:r>
            <w:r w:rsidRPr="00087CD5">
              <w:rPr>
                <w:rFonts w:cstheme="minorHAnsi"/>
                <w:sz w:val="18"/>
                <w:szCs w:val="18"/>
              </w:rPr>
              <w:t>first prioritize recruitment of interested and eligible cohort members from the P</w:t>
            </w:r>
            <w:r w:rsidRPr="004703FD">
              <w:rPr>
                <w:rFonts w:cstheme="minorHAnsi"/>
                <w:sz w:val="18"/>
                <w:szCs w:val="18"/>
              </w:rPr>
              <w:t>ease PFC Blood Testing Program. If sample size goals are not met for the exposure group, Wave Two will recruit additional exposed community members who are eligible but did not</w:t>
            </w:r>
            <w:r w:rsidRPr="007A35B1">
              <w:rPr>
                <w:rFonts w:cstheme="minorHAnsi"/>
                <w:sz w:val="18"/>
                <w:szCs w:val="18"/>
              </w:rPr>
              <w:t xml:space="preserve"> enroll in the Pease PFC Blood Testing Program. Wave Three will recruit the referent group.</w:t>
            </w:r>
          </w:p>
          <w:p w14:paraId="461C0AC6" w14:textId="77777777" w:rsidR="00C47B6C" w:rsidRPr="007A35B1" w:rsidRDefault="00C47B6C" w:rsidP="00C47B6C">
            <w:pPr>
              <w:autoSpaceDE w:val="0"/>
              <w:autoSpaceDN w:val="0"/>
              <w:adjustRightInd w:val="0"/>
              <w:rPr>
                <w:rFonts w:cstheme="minorHAnsi"/>
                <w:sz w:val="18"/>
                <w:szCs w:val="18"/>
              </w:rPr>
            </w:pPr>
          </w:p>
          <w:p w14:paraId="3CD62898" w14:textId="77777777" w:rsidR="00C47B6C" w:rsidRPr="00FD4EE5" w:rsidRDefault="00C47B6C" w:rsidP="00C47B6C">
            <w:pPr>
              <w:autoSpaceDE w:val="0"/>
              <w:autoSpaceDN w:val="0"/>
              <w:adjustRightInd w:val="0"/>
              <w:rPr>
                <w:rFonts w:cstheme="minorHAnsi"/>
                <w:sz w:val="19"/>
                <w:szCs w:val="19"/>
              </w:rPr>
            </w:pPr>
            <w:r w:rsidRPr="00FD4EE5">
              <w:rPr>
                <w:rFonts w:cstheme="minorHAnsi"/>
                <w:sz w:val="18"/>
                <w:szCs w:val="18"/>
              </w:rPr>
              <w:t xml:space="preserve">‡ Wave One adult and child estimates are generalized from Table B.1.1, by assuming equal distribution across ages within each age sub-total and adding 4 years to each age. For example, a child who is Age 0 in 2015 is eligible at Age 4 in 2019. The 164 children in the 3-5 year age group in 2015 are assumed to be evenly distributed as 54 3-year olds, 55 4-year olds, and 55 5-year olds, who would now be 7, 8, and 9 year olds in 2019. We use the same method for the 31 individuals in the 12-19 year age group to estimate the number of children in 2015 who will be adults 18 years and older in 2019. We distribute the 31 as follows: 3 12-year olds and 4 13-year olds in 2015 would be classified as children 16 and 17 years old in 2019. This would yield 373 Wave One children and 1,205 Wave One adults to be screened. Therefore, all 1,578 </w:t>
            </w:r>
            <w:r>
              <w:rPr>
                <w:rFonts w:cstheme="minorHAnsi"/>
                <w:sz w:val="18"/>
                <w:szCs w:val="18"/>
              </w:rPr>
              <w:t xml:space="preserve">from 2015 </w:t>
            </w:r>
            <w:r w:rsidRPr="00FD4EE5">
              <w:rPr>
                <w:rFonts w:cstheme="minorHAnsi"/>
                <w:sz w:val="18"/>
                <w:szCs w:val="18"/>
              </w:rPr>
              <w:t>are assumed to be age-eligible for the Pease Study and would be screened for additional eligibility criteria and willingness to participate.</w:t>
            </w:r>
            <w:r>
              <w:rPr>
                <w:rFonts w:cstheme="minorHAnsi"/>
                <w:sz w:val="18"/>
                <w:szCs w:val="18"/>
              </w:rPr>
              <w:t xml:space="preserve"> </w:t>
            </w:r>
            <w:r w:rsidRPr="00843CDA">
              <w:rPr>
                <w:rFonts w:cstheme="minorHAnsi"/>
                <w:sz w:val="18"/>
                <w:szCs w:val="18"/>
              </w:rPr>
              <w:t>Since the demographics for the 258 cohort members are not reported by the NH DHHS,</w:t>
            </w:r>
            <w:r>
              <w:rPr>
                <w:rStyle w:val="FootnoteReference"/>
                <w:rFonts w:cstheme="minorHAnsi"/>
                <w:sz w:val="18"/>
                <w:szCs w:val="18"/>
              </w:rPr>
              <w:footnoteReference w:id="6"/>
            </w:r>
            <w:r>
              <w:rPr>
                <w:rFonts w:cstheme="minorHAnsi"/>
                <w:sz w:val="18"/>
                <w:szCs w:val="18"/>
              </w:rPr>
              <w:t xml:space="preserve"> we assume the same proportion</w:t>
            </w:r>
            <w:r w:rsidRPr="00843CDA">
              <w:rPr>
                <w:rFonts w:cstheme="minorHAnsi"/>
                <w:sz w:val="18"/>
                <w:szCs w:val="18"/>
              </w:rPr>
              <w:t xml:space="preserve"> of adults to children as reported for the 2015 cohort (76.4% adults and 23.6% children), which results in 1,403 adults and 433 children screened for eligibility</w:t>
            </w:r>
            <w:r>
              <w:rPr>
                <w:rFonts w:cstheme="minorHAnsi"/>
                <w:sz w:val="18"/>
                <w:szCs w:val="18"/>
              </w:rPr>
              <w:t>, or 1,836 screened for eligibility in all.</w:t>
            </w:r>
          </w:p>
        </w:tc>
      </w:tr>
    </w:tbl>
    <w:p w14:paraId="4B34ECA2" w14:textId="77777777" w:rsidR="00C47B6C" w:rsidRPr="00F826E5" w:rsidRDefault="00C47B6C" w:rsidP="00442D95">
      <w:pPr>
        <w:autoSpaceDE w:val="0"/>
        <w:autoSpaceDN w:val="0"/>
        <w:adjustRightInd w:val="0"/>
        <w:spacing w:line="276" w:lineRule="auto"/>
        <w:rPr>
          <w:rFonts w:cstheme="minorHAnsi"/>
          <w:sz w:val="24"/>
          <w:szCs w:val="24"/>
        </w:rPr>
      </w:pPr>
    </w:p>
    <w:p w14:paraId="035E2A42" w14:textId="77777777" w:rsidR="00181F5B" w:rsidRPr="001B3451" w:rsidRDefault="00181F5B" w:rsidP="00181F5B">
      <w:pPr>
        <w:autoSpaceDE w:val="0"/>
        <w:autoSpaceDN w:val="0"/>
        <w:adjustRightInd w:val="0"/>
        <w:spacing w:line="276" w:lineRule="auto"/>
        <w:rPr>
          <w:b/>
          <w:sz w:val="24"/>
        </w:rPr>
      </w:pPr>
      <w:r w:rsidRPr="00223E18">
        <w:rPr>
          <w:sz w:val="24"/>
          <w:szCs w:val="24"/>
        </w:rPr>
        <w:t xml:space="preserve">ATSDR assumes that the Pease Study populations will be very similar </w:t>
      </w:r>
      <w:r w:rsidR="006D19AF">
        <w:rPr>
          <w:sz w:val="24"/>
          <w:szCs w:val="24"/>
        </w:rPr>
        <w:t xml:space="preserve">in </w:t>
      </w:r>
      <w:r w:rsidRPr="00223E18">
        <w:rPr>
          <w:sz w:val="24"/>
          <w:szCs w:val="24"/>
        </w:rPr>
        <w:t>demogra</w:t>
      </w:r>
      <w:r w:rsidR="006D19AF">
        <w:rPr>
          <w:sz w:val="24"/>
          <w:szCs w:val="24"/>
        </w:rPr>
        <w:t>phics</w:t>
      </w:r>
      <w:r w:rsidRPr="00223E18">
        <w:rPr>
          <w:sz w:val="24"/>
          <w:szCs w:val="24"/>
        </w:rPr>
        <w:t xml:space="preserve"> to the 2015 Pease PFC Blood Testing Program</w:t>
      </w:r>
      <w:r w:rsidR="003B6D54">
        <w:rPr>
          <w:sz w:val="24"/>
          <w:szCs w:val="24"/>
        </w:rPr>
        <w:t xml:space="preserve"> (</w:t>
      </w:r>
      <w:r w:rsidR="003B6D54">
        <w:rPr>
          <w:b/>
          <w:sz w:val="24"/>
          <w:szCs w:val="24"/>
        </w:rPr>
        <w:t>Table B.1.1</w:t>
      </w:r>
      <w:r w:rsidR="003B6D54">
        <w:rPr>
          <w:sz w:val="24"/>
          <w:szCs w:val="24"/>
        </w:rPr>
        <w:t>)</w:t>
      </w:r>
      <w:r w:rsidRPr="00223E18">
        <w:rPr>
          <w:sz w:val="24"/>
          <w:szCs w:val="24"/>
        </w:rPr>
        <w:t xml:space="preserve">; however, eligibility criteria will be slightly different for the purposes of this research (see </w:t>
      </w:r>
      <w:r w:rsidRPr="00223E18">
        <w:rPr>
          <w:b/>
          <w:sz w:val="24"/>
          <w:szCs w:val="24"/>
        </w:rPr>
        <w:t>Pease Study Protocol Section 3.2</w:t>
      </w:r>
      <w:r>
        <w:rPr>
          <w:b/>
          <w:sz w:val="24"/>
          <w:szCs w:val="24"/>
        </w:rPr>
        <w:t xml:space="preserve"> </w:t>
      </w:r>
      <w:r>
        <w:rPr>
          <w:sz w:val="24"/>
          <w:szCs w:val="24"/>
        </w:rPr>
        <w:t>and description below</w:t>
      </w:r>
      <w:r w:rsidRPr="00223E18">
        <w:rPr>
          <w:sz w:val="24"/>
          <w:szCs w:val="24"/>
        </w:rPr>
        <w:t>).</w:t>
      </w:r>
    </w:p>
    <w:p w14:paraId="4E87CD77" w14:textId="77777777" w:rsidR="004A6CCB" w:rsidRPr="00E427A1" w:rsidRDefault="00E427A1" w:rsidP="004A6CCB">
      <w:pPr>
        <w:autoSpaceDE w:val="0"/>
        <w:autoSpaceDN w:val="0"/>
        <w:adjustRightInd w:val="0"/>
        <w:spacing w:line="276" w:lineRule="auto"/>
        <w:rPr>
          <w:rFonts w:cstheme="minorHAnsi"/>
          <w:sz w:val="24"/>
          <w:szCs w:val="24"/>
        </w:rPr>
      </w:pPr>
      <w:r>
        <w:rPr>
          <w:rFonts w:cstheme="minorHAnsi"/>
          <w:sz w:val="24"/>
          <w:szCs w:val="24"/>
        </w:rPr>
        <w:t>Adult Eligibility</w:t>
      </w:r>
      <w:r w:rsidR="002E778A">
        <w:rPr>
          <w:rFonts w:cstheme="minorHAnsi"/>
          <w:sz w:val="24"/>
          <w:szCs w:val="24"/>
        </w:rPr>
        <w:t>: A</w:t>
      </w:r>
      <w:r w:rsidR="004A6CCB" w:rsidRPr="00223E18">
        <w:rPr>
          <w:rFonts w:cstheme="minorHAnsi"/>
          <w:sz w:val="24"/>
          <w:szCs w:val="24"/>
        </w:rPr>
        <w:t xml:space="preserve">dults will be 18 years or older at enrollment. </w:t>
      </w:r>
      <w:r w:rsidR="004A6CCB" w:rsidRPr="00223E18">
        <w:rPr>
          <w:sz w:val="24"/>
          <w:szCs w:val="24"/>
        </w:rPr>
        <w:t>To restrict this study to drinking water exposures, any adult occupationally exposed to PFAS will not be eligible for the study (i.e. ever firefighters or in chemical manufacture). This restriction applies to both the exposure and the referent group.</w:t>
      </w:r>
    </w:p>
    <w:p w14:paraId="4AE21D81" w14:textId="77777777" w:rsidR="00556567" w:rsidRPr="00A97246" w:rsidRDefault="00E427A1" w:rsidP="00556567">
      <w:pPr>
        <w:autoSpaceDE w:val="0"/>
        <w:autoSpaceDN w:val="0"/>
        <w:adjustRightInd w:val="0"/>
        <w:spacing w:line="276" w:lineRule="auto"/>
        <w:rPr>
          <w:rFonts w:cs="ITCFranklinGothicStd-Book"/>
          <w:sz w:val="24"/>
          <w:szCs w:val="24"/>
        </w:rPr>
      </w:pPr>
      <w:r>
        <w:rPr>
          <w:rFonts w:cstheme="minorHAnsi"/>
          <w:sz w:val="24"/>
          <w:szCs w:val="24"/>
        </w:rPr>
        <w:t xml:space="preserve">Child Eligibility: </w:t>
      </w:r>
      <w:r w:rsidR="002E778A">
        <w:rPr>
          <w:rFonts w:cstheme="minorHAnsi"/>
          <w:sz w:val="24"/>
          <w:szCs w:val="24"/>
        </w:rPr>
        <w:t>C</w:t>
      </w:r>
      <w:r w:rsidR="00A97246" w:rsidRPr="00A97246">
        <w:rPr>
          <w:rFonts w:cstheme="minorHAnsi"/>
          <w:sz w:val="24"/>
          <w:szCs w:val="24"/>
        </w:rPr>
        <w:t xml:space="preserve">hildren will be 4-17 years of age at enrollment. </w:t>
      </w:r>
      <w:r w:rsidR="00A97246" w:rsidRPr="00A97246">
        <w:rPr>
          <w:sz w:val="24"/>
          <w:szCs w:val="24"/>
        </w:rPr>
        <w:t>Ideally</w:t>
      </w:r>
      <w:r w:rsidR="00077F2F">
        <w:rPr>
          <w:sz w:val="24"/>
          <w:szCs w:val="24"/>
        </w:rPr>
        <w:t xml:space="preserve"> for the child study</w:t>
      </w:r>
      <w:r w:rsidR="00A97246" w:rsidRPr="00A97246">
        <w:rPr>
          <w:sz w:val="24"/>
          <w:szCs w:val="24"/>
        </w:rPr>
        <w:t>, the parent should be the mother, who can best answer some survey questions about the child’s exposures and about the mother’s pregnancy and breastfeeding history. A parent can enroll with more than one child. In this case, ATSDR will enroll each child separately along with his or her parent. Parents, if eligible, may also enroll in the adult study.</w:t>
      </w:r>
      <w:r w:rsidR="006733C6">
        <w:rPr>
          <w:sz w:val="24"/>
          <w:szCs w:val="24"/>
        </w:rPr>
        <w:t xml:space="preserve"> C</w:t>
      </w:r>
      <w:r w:rsidR="00556567" w:rsidRPr="00BB45FF">
        <w:rPr>
          <w:sz w:val="24"/>
          <w:szCs w:val="24"/>
        </w:rPr>
        <w:t>hildren whose birth mothers were occupationally exposed will not be eligible. This restriction applies to both the exposure and the referent group.</w:t>
      </w:r>
    </w:p>
    <w:p w14:paraId="5F92BE72" w14:textId="77777777" w:rsidR="00A97246" w:rsidRPr="00BB45FF" w:rsidRDefault="00E427A1" w:rsidP="00A97246">
      <w:pPr>
        <w:rPr>
          <w:sz w:val="24"/>
          <w:szCs w:val="24"/>
        </w:rPr>
      </w:pPr>
      <w:r>
        <w:rPr>
          <w:sz w:val="24"/>
          <w:szCs w:val="24"/>
        </w:rPr>
        <w:t xml:space="preserve">Exposure Group Eligibility (Adults and Children): </w:t>
      </w:r>
      <w:r w:rsidR="00A97246" w:rsidRPr="00A97246">
        <w:rPr>
          <w:sz w:val="24"/>
          <w:szCs w:val="24"/>
        </w:rPr>
        <w:t>For the exposure group</w:t>
      </w:r>
      <w:r w:rsidR="006733C6">
        <w:rPr>
          <w:sz w:val="24"/>
          <w:szCs w:val="24"/>
        </w:rPr>
        <w:t>s</w:t>
      </w:r>
      <w:r w:rsidR="00A97246" w:rsidRPr="00A97246">
        <w:rPr>
          <w:sz w:val="24"/>
          <w:szCs w:val="24"/>
        </w:rPr>
        <w:t xml:space="preserve"> (n=1,350</w:t>
      </w:r>
      <w:r w:rsidR="006733C6">
        <w:rPr>
          <w:sz w:val="24"/>
          <w:szCs w:val="24"/>
        </w:rPr>
        <w:t xml:space="preserve"> total</w:t>
      </w:r>
      <w:r w:rsidR="00A97246" w:rsidRPr="00A97246">
        <w:rPr>
          <w:sz w:val="24"/>
          <w:szCs w:val="24"/>
        </w:rPr>
        <w:t>), ATSDR will enroll 1,000 adults and 350 children. Eligible participants had to work at, live on, or attend childcare</w:t>
      </w:r>
      <w:r w:rsidR="00A97246" w:rsidRPr="00BB45FF">
        <w:rPr>
          <w:sz w:val="24"/>
          <w:szCs w:val="24"/>
        </w:rPr>
        <w:t xml:space="preserve"> at the former Pease Air Force Base or the Pease International Tradeport, or live in a nearby home that was served by a PFAS-contaminated private well. Drinking water exposures must have occurred at some time between 2004 and May 2014, after which remediation of the public water supply occurred.</w:t>
      </w:r>
    </w:p>
    <w:p w14:paraId="1BA0FA6D" w14:textId="77736BB1" w:rsidR="00A97246" w:rsidRPr="00BB45FF" w:rsidRDefault="00E427A1" w:rsidP="00A97246">
      <w:pPr>
        <w:rPr>
          <w:sz w:val="24"/>
          <w:szCs w:val="24"/>
        </w:rPr>
      </w:pPr>
      <w:r>
        <w:rPr>
          <w:sz w:val="24"/>
          <w:szCs w:val="24"/>
        </w:rPr>
        <w:t xml:space="preserve">Referent Group Eligibility (Adults and Children): </w:t>
      </w:r>
      <w:r w:rsidR="00A97246" w:rsidRPr="00BB45FF">
        <w:rPr>
          <w:sz w:val="24"/>
          <w:szCs w:val="24"/>
        </w:rPr>
        <w:t>For the referent group</w:t>
      </w:r>
      <w:r w:rsidR="006733C6">
        <w:rPr>
          <w:sz w:val="24"/>
          <w:szCs w:val="24"/>
        </w:rPr>
        <w:t>s</w:t>
      </w:r>
      <w:r w:rsidR="00A97246" w:rsidRPr="00BB45FF">
        <w:rPr>
          <w:sz w:val="24"/>
          <w:szCs w:val="24"/>
        </w:rPr>
        <w:t xml:space="preserve"> (n=275</w:t>
      </w:r>
      <w:r w:rsidR="006733C6">
        <w:rPr>
          <w:sz w:val="24"/>
          <w:szCs w:val="24"/>
        </w:rPr>
        <w:t xml:space="preserve"> total</w:t>
      </w:r>
      <w:r w:rsidR="00A97246" w:rsidRPr="00BB45FF">
        <w:rPr>
          <w:sz w:val="24"/>
          <w:szCs w:val="24"/>
        </w:rPr>
        <w:t>), ATSDR will enroll 100 adults and 175 child</w:t>
      </w:r>
      <w:r w:rsidR="00A97246">
        <w:rPr>
          <w:sz w:val="24"/>
          <w:szCs w:val="24"/>
        </w:rPr>
        <w:t xml:space="preserve">ren. </w:t>
      </w:r>
      <w:r w:rsidR="00A97246" w:rsidRPr="00BB45FF">
        <w:rPr>
          <w:sz w:val="24"/>
          <w:szCs w:val="24"/>
        </w:rPr>
        <w:t>Eligible participants, never exposed to PFAS-contaminated drinking water from Pease, will come from other areas of Portsmouth, NH.  Birth mothers of referent children likewise must never have had PFAS drinking water exposure.</w:t>
      </w:r>
      <w:r w:rsidR="00EF7DB9">
        <w:rPr>
          <w:sz w:val="24"/>
          <w:szCs w:val="24"/>
        </w:rPr>
        <w:t xml:space="preserve"> See </w:t>
      </w:r>
      <w:r w:rsidR="00EF7DB9" w:rsidRPr="00442D95">
        <w:rPr>
          <w:b/>
          <w:sz w:val="24"/>
          <w:szCs w:val="24"/>
        </w:rPr>
        <w:t>Attachments 6c and 7c</w:t>
      </w:r>
      <w:r w:rsidR="00EF7DB9">
        <w:rPr>
          <w:sz w:val="24"/>
          <w:szCs w:val="24"/>
        </w:rPr>
        <w:t xml:space="preserve">. </w:t>
      </w:r>
    </w:p>
    <w:p w14:paraId="09B3E75E" w14:textId="77777777" w:rsidR="003543B6" w:rsidRDefault="00556567" w:rsidP="00FD4EE5">
      <w:pPr>
        <w:autoSpaceDE w:val="0"/>
        <w:autoSpaceDN w:val="0"/>
        <w:adjustRightInd w:val="0"/>
        <w:spacing w:line="276" w:lineRule="auto"/>
        <w:rPr>
          <w:rFonts w:cstheme="minorHAnsi"/>
          <w:sz w:val="24"/>
          <w:szCs w:val="24"/>
        </w:rPr>
      </w:pPr>
      <w:r>
        <w:rPr>
          <w:rFonts w:cstheme="minorHAnsi"/>
          <w:sz w:val="24"/>
          <w:szCs w:val="24"/>
          <w:u w:val="single"/>
        </w:rPr>
        <w:t>Sampling Methods</w:t>
      </w:r>
    </w:p>
    <w:p w14:paraId="55BFA45D" w14:textId="77777777" w:rsidR="00C95F8E" w:rsidRDefault="00CE4431" w:rsidP="00FD4EE5">
      <w:pPr>
        <w:autoSpaceDE w:val="0"/>
        <w:autoSpaceDN w:val="0"/>
        <w:adjustRightInd w:val="0"/>
        <w:spacing w:line="276" w:lineRule="auto"/>
        <w:rPr>
          <w:sz w:val="24"/>
          <w:szCs w:val="24"/>
        </w:rPr>
      </w:pPr>
      <w:r>
        <w:rPr>
          <w:rFonts w:cstheme="minorHAnsi"/>
          <w:sz w:val="24"/>
          <w:szCs w:val="24"/>
        </w:rPr>
        <w:t>Recruitment methods</w:t>
      </w:r>
      <w:r w:rsidR="004119B1">
        <w:rPr>
          <w:rFonts w:cstheme="minorHAnsi"/>
          <w:sz w:val="24"/>
          <w:szCs w:val="24"/>
        </w:rPr>
        <w:t>,</w:t>
      </w:r>
      <w:r>
        <w:rPr>
          <w:rFonts w:cstheme="minorHAnsi"/>
          <w:sz w:val="24"/>
          <w:szCs w:val="24"/>
        </w:rPr>
        <w:t xml:space="preserve"> described in the </w:t>
      </w:r>
      <w:r>
        <w:rPr>
          <w:rFonts w:cstheme="minorHAnsi"/>
          <w:b/>
          <w:sz w:val="24"/>
          <w:szCs w:val="24"/>
        </w:rPr>
        <w:t>Pease Study Protocol Section 3.5</w:t>
      </w:r>
      <w:r w:rsidR="004119B1">
        <w:rPr>
          <w:rFonts w:cstheme="minorHAnsi"/>
          <w:b/>
          <w:sz w:val="24"/>
          <w:szCs w:val="24"/>
        </w:rPr>
        <w:t>,</w:t>
      </w:r>
      <w:r w:rsidR="00814DFD">
        <w:rPr>
          <w:rFonts w:cstheme="minorHAnsi"/>
          <w:sz w:val="24"/>
          <w:szCs w:val="24"/>
        </w:rPr>
        <w:t xml:space="preserve"> will not involve</w:t>
      </w:r>
      <w:r w:rsidR="009700C5">
        <w:rPr>
          <w:rFonts w:cstheme="minorHAnsi"/>
          <w:sz w:val="24"/>
          <w:szCs w:val="24"/>
        </w:rPr>
        <w:t xml:space="preserve"> statistical methods.</w:t>
      </w:r>
      <w:r w:rsidR="004119B1">
        <w:rPr>
          <w:sz w:val="24"/>
          <w:szCs w:val="24"/>
        </w:rPr>
        <w:t xml:space="preserve"> </w:t>
      </w:r>
      <w:r>
        <w:rPr>
          <w:sz w:val="24"/>
          <w:szCs w:val="24"/>
        </w:rPr>
        <w:t xml:space="preserve">Trained study staff </w:t>
      </w:r>
      <w:r w:rsidR="0023410B">
        <w:rPr>
          <w:sz w:val="24"/>
          <w:szCs w:val="24"/>
        </w:rPr>
        <w:t xml:space="preserve">and contractors </w:t>
      </w:r>
      <w:r>
        <w:rPr>
          <w:sz w:val="24"/>
          <w:szCs w:val="24"/>
        </w:rPr>
        <w:t xml:space="preserve">from </w:t>
      </w:r>
      <w:r w:rsidR="004C72B0" w:rsidRPr="00BB45FF">
        <w:rPr>
          <w:sz w:val="24"/>
          <w:szCs w:val="24"/>
        </w:rPr>
        <w:t xml:space="preserve">ATSDR will recruit, screen for eligibility, and enroll </w:t>
      </w:r>
      <w:r w:rsidR="00B01893">
        <w:rPr>
          <w:sz w:val="24"/>
          <w:szCs w:val="24"/>
        </w:rPr>
        <w:t>a convenience sample of participants</w:t>
      </w:r>
      <w:r w:rsidR="00182F2E">
        <w:rPr>
          <w:sz w:val="24"/>
          <w:szCs w:val="24"/>
        </w:rPr>
        <w:t xml:space="preserve"> </w:t>
      </w:r>
      <w:r w:rsidR="004C72B0" w:rsidRPr="00BB45FF">
        <w:rPr>
          <w:sz w:val="24"/>
          <w:szCs w:val="24"/>
        </w:rPr>
        <w:t>in three waves.</w:t>
      </w:r>
      <w:r w:rsidR="00FC7228">
        <w:rPr>
          <w:sz w:val="24"/>
          <w:szCs w:val="24"/>
        </w:rPr>
        <w:t xml:space="preserve"> </w:t>
      </w:r>
    </w:p>
    <w:p w14:paraId="34116BDD" w14:textId="77777777" w:rsidR="008820DB" w:rsidRDefault="00FF0C66" w:rsidP="001B3451">
      <w:pPr>
        <w:autoSpaceDE w:val="0"/>
        <w:autoSpaceDN w:val="0"/>
        <w:adjustRightInd w:val="0"/>
        <w:spacing w:line="276" w:lineRule="auto"/>
        <w:rPr>
          <w:sz w:val="24"/>
          <w:szCs w:val="24"/>
        </w:rPr>
      </w:pPr>
      <w:r>
        <w:rPr>
          <w:sz w:val="24"/>
          <w:szCs w:val="24"/>
        </w:rPr>
        <w:t>To set</w:t>
      </w:r>
      <w:r w:rsidR="0075797C">
        <w:rPr>
          <w:sz w:val="24"/>
          <w:szCs w:val="24"/>
        </w:rPr>
        <w:t xml:space="preserve"> up the operational procedure</w:t>
      </w:r>
      <w:r w:rsidR="00274C59">
        <w:rPr>
          <w:sz w:val="24"/>
          <w:szCs w:val="24"/>
        </w:rPr>
        <w:t>s</w:t>
      </w:r>
      <w:r>
        <w:rPr>
          <w:sz w:val="24"/>
          <w:szCs w:val="24"/>
        </w:rPr>
        <w:t xml:space="preserve"> needed</w:t>
      </w:r>
      <w:r w:rsidR="00274C59">
        <w:rPr>
          <w:sz w:val="24"/>
          <w:szCs w:val="24"/>
        </w:rPr>
        <w:t xml:space="preserve"> to </w:t>
      </w:r>
      <w:r w:rsidR="00FC7228">
        <w:rPr>
          <w:sz w:val="24"/>
          <w:szCs w:val="24"/>
        </w:rPr>
        <w:t>ach</w:t>
      </w:r>
      <w:r w:rsidR="00274C59">
        <w:rPr>
          <w:sz w:val="24"/>
          <w:szCs w:val="24"/>
        </w:rPr>
        <w:t>ieve</w:t>
      </w:r>
      <w:r>
        <w:rPr>
          <w:sz w:val="24"/>
          <w:szCs w:val="24"/>
        </w:rPr>
        <w:t xml:space="preserve"> recruitment goals, </w:t>
      </w:r>
      <w:r w:rsidR="00274C59">
        <w:rPr>
          <w:sz w:val="24"/>
          <w:szCs w:val="24"/>
        </w:rPr>
        <w:t>ATS</w:t>
      </w:r>
      <w:r w:rsidR="0075797C">
        <w:rPr>
          <w:sz w:val="24"/>
          <w:szCs w:val="24"/>
        </w:rPr>
        <w:t>DR is planning</w:t>
      </w:r>
      <w:r w:rsidR="00274C59">
        <w:rPr>
          <w:sz w:val="24"/>
          <w:szCs w:val="24"/>
        </w:rPr>
        <w:t xml:space="preserve"> for the possibility that not all of the past participants of the 2015 Pease PFC Blood Testing Program will enroll in the exposure group.</w:t>
      </w:r>
      <w:r w:rsidR="007F47AA">
        <w:rPr>
          <w:sz w:val="24"/>
          <w:szCs w:val="24"/>
        </w:rPr>
        <w:t xml:space="preserve"> </w:t>
      </w:r>
      <w:r w:rsidR="007F47AA">
        <w:rPr>
          <w:b/>
          <w:sz w:val="24"/>
          <w:szCs w:val="24"/>
        </w:rPr>
        <w:t>Table B.1.2</w:t>
      </w:r>
      <w:r w:rsidR="007F47AA">
        <w:rPr>
          <w:sz w:val="24"/>
          <w:szCs w:val="24"/>
        </w:rPr>
        <w:t xml:space="preserve"> shows the estimated </w:t>
      </w:r>
      <w:r w:rsidR="00C84199">
        <w:rPr>
          <w:sz w:val="24"/>
          <w:szCs w:val="24"/>
        </w:rPr>
        <w:t xml:space="preserve">totals and </w:t>
      </w:r>
      <w:r w:rsidR="007F47AA">
        <w:rPr>
          <w:sz w:val="24"/>
          <w:szCs w:val="24"/>
        </w:rPr>
        <w:t>counts of</w:t>
      </w:r>
      <w:r w:rsidR="00532F55">
        <w:rPr>
          <w:sz w:val="24"/>
          <w:szCs w:val="24"/>
        </w:rPr>
        <w:t xml:space="preserve"> adults and children requir</w:t>
      </w:r>
      <w:r w:rsidR="007F47AA">
        <w:rPr>
          <w:sz w:val="24"/>
          <w:szCs w:val="24"/>
        </w:rPr>
        <w:t>ed to achieve the stated sample size goals.</w:t>
      </w:r>
    </w:p>
    <w:p w14:paraId="1B63BC3A" w14:textId="38F3E888" w:rsidR="008820DB" w:rsidRDefault="00C95F8E" w:rsidP="008820DB">
      <w:pPr>
        <w:pStyle w:val="ListParagraph"/>
        <w:numPr>
          <w:ilvl w:val="0"/>
          <w:numId w:val="17"/>
        </w:numPr>
        <w:rPr>
          <w:sz w:val="24"/>
          <w:szCs w:val="24"/>
        </w:rPr>
      </w:pPr>
      <w:r>
        <w:rPr>
          <w:sz w:val="24"/>
          <w:szCs w:val="24"/>
        </w:rPr>
        <w:t xml:space="preserve">In </w:t>
      </w:r>
      <w:r w:rsidR="00370044">
        <w:rPr>
          <w:sz w:val="24"/>
          <w:szCs w:val="24"/>
        </w:rPr>
        <w:t>Wave One</w:t>
      </w:r>
      <w:r>
        <w:rPr>
          <w:sz w:val="24"/>
          <w:szCs w:val="24"/>
        </w:rPr>
        <w:t>,</w:t>
      </w:r>
      <w:r w:rsidR="00370044">
        <w:rPr>
          <w:sz w:val="24"/>
          <w:szCs w:val="24"/>
        </w:rPr>
        <w:t xml:space="preserve"> </w:t>
      </w:r>
      <w:r w:rsidRPr="008820DB">
        <w:rPr>
          <w:sz w:val="24"/>
          <w:szCs w:val="24"/>
        </w:rPr>
        <w:t>NH DHHS will assist ATSDR by sending out letters of invitation to its former blood testing program participants (</w:t>
      </w:r>
      <w:r w:rsidRPr="008820DB">
        <w:rPr>
          <w:b/>
          <w:sz w:val="24"/>
          <w:szCs w:val="24"/>
        </w:rPr>
        <w:t>Attachments 6a&amp;6b</w:t>
      </w:r>
      <w:r w:rsidRPr="008820DB">
        <w:rPr>
          <w:sz w:val="24"/>
          <w:szCs w:val="24"/>
        </w:rPr>
        <w:t xml:space="preserve">). </w:t>
      </w:r>
      <w:r w:rsidR="006D48B6" w:rsidRPr="008820DB">
        <w:rPr>
          <w:sz w:val="24"/>
          <w:szCs w:val="24"/>
        </w:rPr>
        <w:t xml:space="preserve">ATSDR </w:t>
      </w:r>
      <w:r w:rsidR="006D48B6">
        <w:rPr>
          <w:sz w:val="24"/>
          <w:szCs w:val="24"/>
        </w:rPr>
        <w:t xml:space="preserve">assumes that all </w:t>
      </w:r>
      <w:r w:rsidR="00C47B6C">
        <w:rPr>
          <w:sz w:val="24"/>
          <w:szCs w:val="24"/>
        </w:rPr>
        <w:t>1,836</w:t>
      </w:r>
      <w:r w:rsidR="006D48B6">
        <w:rPr>
          <w:sz w:val="24"/>
          <w:szCs w:val="24"/>
        </w:rPr>
        <w:t xml:space="preserve"> cohort members of the Pease PFC Blood Testing Program will be screened for eligibility (</w:t>
      </w:r>
      <w:r w:rsidR="006D48B6">
        <w:rPr>
          <w:b/>
          <w:sz w:val="24"/>
          <w:szCs w:val="24"/>
        </w:rPr>
        <w:t>Attachment 6c</w:t>
      </w:r>
      <w:r w:rsidR="006D48B6" w:rsidRPr="008572F4">
        <w:rPr>
          <w:sz w:val="24"/>
          <w:szCs w:val="24"/>
        </w:rPr>
        <w:t>)</w:t>
      </w:r>
      <w:r w:rsidR="006D48B6">
        <w:rPr>
          <w:sz w:val="24"/>
          <w:szCs w:val="24"/>
        </w:rPr>
        <w:t xml:space="preserve">. </w:t>
      </w:r>
      <w:r w:rsidR="00370044">
        <w:rPr>
          <w:sz w:val="24"/>
          <w:szCs w:val="24"/>
        </w:rPr>
        <w:t xml:space="preserve">Thus, ATSDR </w:t>
      </w:r>
      <w:r w:rsidR="004C72B0" w:rsidRPr="008820DB">
        <w:rPr>
          <w:sz w:val="24"/>
          <w:szCs w:val="24"/>
        </w:rPr>
        <w:t xml:space="preserve">estimates that </w:t>
      </w:r>
      <w:r w:rsidR="00AE77C5">
        <w:rPr>
          <w:sz w:val="24"/>
          <w:szCs w:val="24"/>
        </w:rPr>
        <w:t>90.4</w:t>
      </w:r>
      <w:r w:rsidR="004C72B0" w:rsidRPr="008820DB">
        <w:rPr>
          <w:sz w:val="24"/>
          <w:szCs w:val="24"/>
        </w:rPr>
        <w:t xml:space="preserve"> percent of the exposure group will be </w:t>
      </w:r>
      <w:r>
        <w:rPr>
          <w:sz w:val="24"/>
          <w:szCs w:val="24"/>
        </w:rPr>
        <w:t xml:space="preserve">screened and </w:t>
      </w:r>
      <w:r w:rsidR="004C72B0" w:rsidRPr="008820DB">
        <w:rPr>
          <w:sz w:val="24"/>
          <w:szCs w:val="24"/>
        </w:rPr>
        <w:t>enrolled in Wa</w:t>
      </w:r>
      <w:r w:rsidR="00556567" w:rsidRPr="008820DB">
        <w:rPr>
          <w:sz w:val="24"/>
          <w:szCs w:val="24"/>
        </w:rPr>
        <w:t>ve One (n</w:t>
      </w:r>
      <w:r w:rsidR="001D3392">
        <w:rPr>
          <w:sz w:val="24"/>
          <w:szCs w:val="24"/>
        </w:rPr>
        <w:t>=1,</w:t>
      </w:r>
      <w:r w:rsidR="00AE77C5">
        <w:rPr>
          <w:sz w:val="24"/>
          <w:szCs w:val="24"/>
        </w:rPr>
        <w:t>221</w:t>
      </w:r>
      <w:r w:rsidR="001A458D">
        <w:rPr>
          <w:sz w:val="24"/>
          <w:szCs w:val="24"/>
        </w:rPr>
        <w:t>=9</w:t>
      </w:r>
      <w:r w:rsidR="00AE77C5">
        <w:rPr>
          <w:sz w:val="24"/>
          <w:szCs w:val="24"/>
        </w:rPr>
        <w:t>33</w:t>
      </w:r>
      <w:r w:rsidR="001A458D">
        <w:rPr>
          <w:sz w:val="24"/>
          <w:szCs w:val="24"/>
        </w:rPr>
        <w:t xml:space="preserve"> adults + 28</w:t>
      </w:r>
      <w:r w:rsidR="00AE77C5">
        <w:rPr>
          <w:sz w:val="24"/>
          <w:szCs w:val="24"/>
        </w:rPr>
        <w:t>8</w:t>
      </w:r>
      <w:r w:rsidR="001A458D">
        <w:rPr>
          <w:sz w:val="24"/>
          <w:szCs w:val="24"/>
        </w:rPr>
        <w:t xml:space="preserve"> children</w:t>
      </w:r>
      <w:r w:rsidR="001D3392">
        <w:rPr>
          <w:sz w:val="24"/>
          <w:szCs w:val="24"/>
        </w:rPr>
        <w:t>; %=</w:t>
      </w:r>
      <w:r w:rsidR="00370044">
        <w:rPr>
          <w:sz w:val="24"/>
          <w:szCs w:val="24"/>
        </w:rPr>
        <w:t>1,</w:t>
      </w:r>
      <w:r w:rsidR="00AE77C5">
        <w:rPr>
          <w:sz w:val="24"/>
          <w:szCs w:val="24"/>
        </w:rPr>
        <w:t>221</w:t>
      </w:r>
      <w:r w:rsidR="00370044">
        <w:rPr>
          <w:sz w:val="24"/>
          <w:szCs w:val="24"/>
        </w:rPr>
        <w:t>/</w:t>
      </w:r>
      <w:r w:rsidR="00FC7228">
        <w:rPr>
          <w:sz w:val="24"/>
          <w:szCs w:val="24"/>
        </w:rPr>
        <w:t>1,350*100</w:t>
      </w:r>
      <w:r w:rsidR="004C72B0" w:rsidRPr="008820DB">
        <w:rPr>
          <w:sz w:val="24"/>
          <w:szCs w:val="24"/>
        </w:rPr>
        <w:t>), that is, will be past participants of the 2015</w:t>
      </w:r>
      <w:r w:rsidR="006F3136">
        <w:rPr>
          <w:sz w:val="24"/>
          <w:szCs w:val="24"/>
        </w:rPr>
        <w:t>-7</w:t>
      </w:r>
      <w:r w:rsidR="004C72B0" w:rsidRPr="008820DB">
        <w:rPr>
          <w:sz w:val="24"/>
          <w:szCs w:val="24"/>
        </w:rPr>
        <w:t xml:space="preserve"> </w:t>
      </w:r>
      <w:r w:rsidR="00C73BA0">
        <w:rPr>
          <w:sz w:val="24"/>
          <w:szCs w:val="24"/>
        </w:rPr>
        <w:t>Pease PFC</w:t>
      </w:r>
      <w:r w:rsidR="004C72B0" w:rsidRPr="008820DB">
        <w:rPr>
          <w:sz w:val="24"/>
          <w:szCs w:val="24"/>
        </w:rPr>
        <w:t xml:space="preserve"> </w:t>
      </w:r>
      <w:r w:rsidR="00C73BA0">
        <w:rPr>
          <w:sz w:val="24"/>
          <w:szCs w:val="24"/>
        </w:rPr>
        <w:t>B</w:t>
      </w:r>
      <w:r w:rsidR="004C72B0" w:rsidRPr="008820DB">
        <w:rPr>
          <w:sz w:val="24"/>
          <w:szCs w:val="24"/>
        </w:rPr>
        <w:t xml:space="preserve">lood </w:t>
      </w:r>
      <w:r w:rsidR="00C73BA0">
        <w:rPr>
          <w:sz w:val="24"/>
          <w:szCs w:val="24"/>
        </w:rPr>
        <w:t>T</w:t>
      </w:r>
      <w:r w:rsidR="004C72B0" w:rsidRPr="008820DB">
        <w:rPr>
          <w:sz w:val="24"/>
          <w:szCs w:val="24"/>
        </w:rPr>
        <w:t xml:space="preserve">esting </w:t>
      </w:r>
      <w:r w:rsidR="00C73BA0">
        <w:rPr>
          <w:sz w:val="24"/>
          <w:szCs w:val="24"/>
        </w:rPr>
        <w:t>P</w:t>
      </w:r>
      <w:r w:rsidR="004C72B0" w:rsidRPr="008820DB">
        <w:rPr>
          <w:sz w:val="24"/>
          <w:szCs w:val="24"/>
        </w:rPr>
        <w:t>rogram</w:t>
      </w:r>
      <w:r w:rsidR="004C72B0" w:rsidRPr="00C95F8E">
        <w:rPr>
          <w:sz w:val="24"/>
          <w:szCs w:val="24"/>
        </w:rPr>
        <w:t>.</w:t>
      </w:r>
      <w:r w:rsidR="004C72B0" w:rsidRPr="008820DB">
        <w:rPr>
          <w:sz w:val="24"/>
          <w:szCs w:val="24"/>
        </w:rPr>
        <w:t xml:space="preserve"> </w:t>
      </w:r>
    </w:p>
    <w:p w14:paraId="5C38C6B9" w14:textId="77777777" w:rsidR="002C7E5B" w:rsidRPr="008820DB" w:rsidRDefault="00C95F8E" w:rsidP="002C7E5B">
      <w:pPr>
        <w:pStyle w:val="ListParagraph"/>
        <w:numPr>
          <w:ilvl w:val="0"/>
          <w:numId w:val="17"/>
        </w:numPr>
        <w:rPr>
          <w:sz w:val="24"/>
          <w:szCs w:val="24"/>
        </w:rPr>
      </w:pPr>
      <w:r>
        <w:rPr>
          <w:sz w:val="24"/>
          <w:szCs w:val="24"/>
        </w:rPr>
        <w:t xml:space="preserve">In </w:t>
      </w:r>
      <w:r w:rsidR="002C7E5B" w:rsidRPr="008820DB">
        <w:rPr>
          <w:sz w:val="24"/>
          <w:szCs w:val="24"/>
        </w:rPr>
        <w:t>Wave Two and Wave Three</w:t>
      </w:r>
      <w:r>
        <w:rPr>
          <w:sz w:val="24"/>
          <w:szCs w:val="24"/>
        </w:rPr>
        <w:t>, r</w:t>
      </w:r>
      <w:r w:rsidR="002C7E5B" w:rsidRPr="008820DB">
        <w:rPr>
          <w:sz w:val="24"/>
          <w:szCs w:val="24"/>
        </w:rPr>
        <w:t xml:space="preserve">ecruits will </w:t>
      </w:r>
      <w:r w:rsidR="00370044">
        <w:rPr>
          <w:sz w:val="24"/>
          <w:szCs w:val="24"/>
        </w:rPr>
        <w:t>be instructed</w:t>
      </w:r>
      <w:r w:rsidR="002C7E5B" w:rsidRPr="008820DB">
        <w:rPr>
          <w:sz w:val="24"/>
          <w:szCs w:val="24"/>
        </w:rPr>
        <w:t xml:space="preserve"> to volunteer after ATSDR opens those waves to enrollment</w:t>
      </w:r>
      <w:r w:rsidR="00EF5D43">
        <w:rPr>
          <w:sz w:val="24"/>
          <w:szCs w:val="24"/>
        </w:rPr>
        <w:t xml:space="preserve"> in recruitment flyers</w:t>
      </w:r>
      <w:r w:rsidR="006D48B6">
        <w:rPr>
          <w:sz w:val="24"/>
          <w:szCs w:val="24"/>
        </w:rPr>
        <w:t xml:space="preserve"> (</w:t>
      </w:r>
      <w:r w:rsidR="006D48B6">
        <w:rPr>
          <w:b/>
          <w:sz w:val="24"/>
          <w:szCs w:val="24"/>
        </w:rPr>
        <w:t>Attachments 7a,7b,7d&amp;7e</w:t>
      </w:r>
      <w:r w:rsidR="006D48B6">
        <w:rPr>
          <w:sz w:val="24"/>
          <w:szCs w:val="24"/>
        </w:rPr>
        <w:t>)</w:t>
      </w:r>
      <w:r w:rsidR="002C7E5B" w:rsidRPr="008820DB">
        <w:rPr>
          <w:sz w:val="24"/>
          <w:szCs w:val="24"/>
        </w:rPr>
        <w:t>.</w:t>
      </w:r>
    </w:p>
    <w:p w14:paraId="092C9641" w14:textId="77777777" w:rsidR="008820DB" w:rsidRDefault="00274C59" w:rsidP="00100637">
      <w:pPr>
        <w:pStyle w:val="ListParagraph"/>
        <w:numPr>
          <w:ilvl w:val="1"/>
          <w:numId w:val="17"/>
        </w:numPr>
        <w:rPr>
          <w:sz w:val="24"/>
          <w:szCs w:val="24"/>
        </w:rPr>
      </w:pPr>
      <w:r>
        <w:rPr>
          <w:sz w:val="24"/>
          <w:szCs w:val="24"/>
        </w:rPr>
        <w:t xml:space="preserve">Wave Two Enrollment: </w:t>
      </w:r>
      <w:r w:rsidR="004C72B0" w:rsidRPr="008820DB">
        <w:rPr>
          <w:sz w:val="24"/>
          <w:szCs w:val="24"/>
        </w:rPr>
        <w:t>To achieve the desired sample size</w:t>
      </w:r>
      <w:r>
        <w:rPr>
          <w:sz w:val="24"/>
          <w:szCs w:val="24"/>
        </w:rPr>
        <w:t xml:space="preserve"> for the exposure group</w:t>
      </w:r>
      <w:r w:rsidR="004C72B0" w:rsidRPr="008820DB">
        <w:rPr>
          <w:sz w:val="24"/>
          <w:szCs w:val="24"/>
        </w:rPr>
        <w:t xml:space="preserve">, </w:t>
      </w:r>
      <w:r w:rsidR="006D48B6">
        <w:rPr>
          <w:sz w:val="24"/>
          <w:szCs w:val="24"/>
        </w:rPr>
        <w:t xml:space="preserve">ATSDR will screen and recruit </w:t>
      </w:r>
      <w:r w:rsidR="003C2158">
        <w:rPr>
          <w:sz w:val="24"/>
          <w:szCs w:val="24"/>
        </w:rPr>
        <w:t xml:space="preserve">additional </w:t>
      </w:r>
      <w:r w:rsidR="006D48B6" w:rsidRPr="008820DB">
        <w:rPr>
          <w:sz w:val="24"/>
          <w:szCs w:val="24"/>
        </w:rPr>
        <w:t xml:space="preserve">people who </w:t>
      </w:r>
      <w:r w:rsidR="003D59CF">
        <w:rPr>
          <w:sz w:val="24"/>
          <w:szCs w:val="24"/>
        </w:rPr>
        <w:t>were</w:t>
      </w:r>
      <w:r w:rsidR="006D48B6">
        <w:rPr>
          <w:sz w:val="24"/>
          <w:szCs w:val="24"/>
        </w:rPr>
        <w:t xml:space="preserve"> el</w:t>
      </w:r>
      <w:r w:rsidR="00E0015A">
        <w:rPr>
          <w:sz w:val="24"/>
          <w:szCs w:val="24"/>
        </w:rPr>
        <w:t xml:space="preserve">igible for the Pease PFC Blood </w:t>
      </w:r>
      <w:r w:rsidR="008D31BF">
        <w:rPr>
          <w:sz w:val="24"/>
          <w:szCs w:val="24"/>
        </w:rPr>
        <w:t>T</w:t>
      </w:r>
      <w:r w:rsidR="006D48B6">
        <w:rPr>
          <w:sz w:val="24"/>
          <w:szCs w:val="24"/>
        </w:rPr>
        <w:t>esting Program</w:t>
      </w:r>
      <w:r w:rsidR="006D48B6" w:rsidRPr="008820DB">
        <w:rPr>
          <w:sz w:val="24"/>
          <w:szCs w:val="24"/>
        </w:rPr>
        <w:t xml:space="preserve"> but did not take part</w:t>
      </w:r>
      <w:r w:rsidR="006D48B6">
        <w:rPr>
          <w:sz w:val="24"/>
          <w:szCs w:val="24"/>
        </w:rPr>
        <w:t xml:space="preserve"> </w:t>
      </w:r>
      <w:r w:rsidR="006D48B6" w:rsidRPr="008820DB">
        <w:rPr>
          <w:sz w:val="24"/>
          <w:szCs w:val="24"/>
        </w:rPr>
        <w:t>(</w:t>
      </w:r>
      <w:r w:rsidR="006D48B6">
        <w:rPr>
          <w:b/>
          <w:sz w:val="24"/>
          <w:szCs w:val="24"/>
        </w:rPr>
        <w:t>Attachment 7c</w:t>
      </w:r>
      <w:r w:rsidR="006D48B6">
        <w:rPr>
          <w:sz w:val="24"/>
          <w:szCs w:val="24"/>
        </w:rPr>
        <w:t>)</w:t>
      </w:r>
      <w:r w:rsidR="006D48B6" w:rsidRPr="008820DB">
        <w:rPr>
          <w:sz w:val="24"/>
          <w:szCs w:val="24"/>
        </w:rPr>
        <w:t>.</w:t>
      </w:r>
    </w:p>
    <w:p w14:paraId="0E8CF66F" w14:textId="073C2F58" w:rsidR="00175596" w:rsidRDefault="00175596" w:rsidP="00175596">
      <w:pPr>
        <w:pStyle w:val="ListParagraph"/>
        <w:numPr>
          <w:ilvl w:val="2"/>
          <w:numId w:val="17"/>
        </w:numPr>
        <w:rPr>
          <w:sz w:val="24"/>
          <w:szCs w:val="24"/>
        </w:rPr>
      </w:pPr>
      <w:r w:rsidRPr="00BB45FF">
        <w:rPr>
          <w:sz w:val="24"/>
          <w:szCs w:val="24"/>
        </w:rPr>
        <w:t xml:space="preserve">ATSDR </w:t>
      </w:r>
      <w:r w:rsidR="00EF5D43">
        <w:rPr>
          <w:sz w:val="24"/>
          <w:szCs w:val="24"/>
        </w:rPr>
        <w:t xml:space="preserve">estimates it </w:t>
      </w:r>
      <w:r w:rsidRPr="00BB45FF">
        <w:rPr>
          <w:sz w:val="24"/>
          <w:szCs w:val="24"/>
        </w:rPr>
        <w:t xml:space="preserve">will screen at least </w:t>
      </w:r>
      <w:r w:rsidR="00EF5D43">
        <w:rPr>
          <w:sz w:val="24"/>
          <w:szCs w:val="24"/>
        </w:rPr>
        <w:t>1</w:t>
      </w:r>
      <w:r w:rsidR="00A91DE3">
        <w:rPr>
          <w:sz w:val="24"/>
          <w:szCs w:val="24"/>
        </w:rPr>
        <w:t>70</w:t>
      </w:r>
      <w:r>
        <w:rPr>
          <w:sz w:val="24"/>
          <w:szCs w:val="24"/>
        </w:rPr>
        <w:t xml:space="preserve"> exposed people in Wave Two to get </w:t>
      </w:r>
      <w:r w:rsidR="00EF5D43">
        <w:rPr>
          <w:sz w:val="24"/>
          <w:szCs w:val="24"/>
        </w:rPr>
        <w:t>1</w:t>
      </w:r>
      <w:r w:rsidR="00A91DE3">
        <w:rPr>
          <w:sz w:val="24"/>
          <w:szCs w:val="24"/>
        </w:rPr>
        <w:t>29</w:t>
      </w:r>
      <w:r>
        <w:rPr>
          <w:sz w:val="24"/>
          <w:szCs w:val="24"/>
        </w:rPr>
        <w:t xml:space="preserve"> eligible</w:t>
      </w:r>
      <w:r w:rsidR="002532D7">
        <w:rPr>
          <w:sz w:val="24"/>
          <w:szCs w:val="24"/>
        </w:rPr>
        <w:t xml:space="preserve"> (</w:t>
      </w:r>
      <w:r w:rsidR="00A91DE3">
        <w:rPr>
          <w:sz w:val="24"/>
          <w:szCs w:val="24"/>
        </w:rPr>
        <w:t>67</w:t>
      </w:r>
      <w:r w:rsidR="002532D7">
        <w:rPr>
          <w:sz w:val="24"/>
          <w:szCs w:val="24"/>
        </w:rPr>
        <w:t xml:space="preserve"> adults and 6</w:t>
      </w:r>
      <w:r w:rsidR="00A91DE3">
        <w:rPr>
          <w:sz w:val="24"/>
          <w:szCs w:val="24"/>
        </w:rPr>
        <w:t>2</w:t>
      </w:r>
      <w:r w:rsidR="002532D7">
        <w:rPr>
          <w:sz w:val="24"/>
          <w:szCs w:val="24"/>
        </w:rPr>
        <w:t xml:space="preserve"> children)</w:t>
      </w:r>
      <w:r>
        <w:rPr>
          <w:sz w:val="24"/>
          <w:szCs w:val="24"/>
        </w:rPr>
        <w:t>.</w:t>
      </w:r>
    </w:p>
    <w:p w14:paraId="50D6CA5A" w14:textId="77777777" w:rsidR="00175596" w:rsidRDefault="00D62184" w:rsidP="00175596">
      <w:pPr>
        <w:pStyle w:val="ListParagraph"/>
        <w:numPr>
          <w:ilvl w:val="1"/>
          <w:numId w:val="17"/>
        </w:numPr>
        <w:rPr>
          <w:sz w:val="24"/>
          <w:szCs w:val="24"/>
        </w:rPr>
      </w:pPr>
      <w:r>
        <w:rPr>
          <w:sz w:val="24"/>
          <w:szCs w:val="24"/>
        </w:rPr>
        <w:t xml:space="preserve">Wave Three Enrollment: </w:t>
      </w:r>
      <w:r w:rsidR="004C72B0" w:rsidRPr="008820DB">
        <w:rPr>
          <w:sz w:val="24"/>
          <w:szCs w:val="24"/>
        </w:rPr>
        <w:t>The referent group will be recruited in Wave Thre</w:t>
      </w:r>
      <w:r w:rsidR="00556567" w:rsidRPr="008820DB">
        <w:rPr>
          <w:sz w:val="24"/>
          <w:szCs w:val="24"/>
        </w:rPr>
        <w:t>e</w:t>
      </w:r>
      <w:r w:rsidR="004C72B0" w:rsidRPr="008820DB">
        <w:rPr>
          <w:sz w:val="24"/>
          <w:szCs w:val="24"/>
        </w:rPr>
        <w:t>, which can occur concurrently with Wave One and Wave Two (</w:t>
      </w:r>
      <w:r w:rsidR="004C72B0" w:rsidRPr="008820DB">
        <w:rPr>
          <w:b/>
          <w:sz w:val="24"/>
          <w:szCs w:val="24"/>
        </w:rPr>
        <w:t>Attachment</w:t>
      </w:r>
      <w:r w:rsidR="00EF5D43">
        <w:rPr>
          <w:b/>
          <w:sz w:val="24"/>
          <w:szCs w:val="24"/>
        </w:rPr>
        <w:t xml:space="preserve"> 7c</w:t>
      </w:r>
      <w:r w:rsidR="00175596">
        <w:rPr>
          <w:sz w:val="24"/>
          <w:szCs w:val="24"/>
        </w:rPr>
        <w:t>).</w:t>
      </w:r>
    </w:p>
    <w:p w14:paraId="5B1DCA37" w14:textId="10319598" w:rsidR="00556567" w:rsidRPr="00175596" w:rsidRDefault="00175596" w:rsidP="00175596">
      <w:pPr>
        <w:pStyle w:val="ListParagraph"/>
        <w:numPr>
          <w:ilvl w:val="2"/>
          <w:numId w:val="17"/>
        </w:numPr>
        <w:rPr>
          <w:sz w:val="24"/>
          <w:szCs w:val="24"/>
        </w:rPr>
      </w:pPr>
      <w:r>
        <w:rPr>
          <w:sz w:val="24"/>
          <w:szCs w:val="24"/>
        </w:rPr>
        <w:t>ATSDR will screen</w:t>
      </w:r>
      <w:r w:rsidR="004C72B0" w:rsidRPr="00175596">
        <w:rPr>
          <w:sz w:val="24"/>
          <w:szCs w:val="24"/>
        </w:rPr>
        <w:t xml:space="preserve"> at least </w:t>
      </w:r>
      <w:r w:rsidR="00D62184">
        <w:rPr>
          <w:sz w:val="24"/>
          <w:szCs w:val="24"/>
        </w:rPr>
        <w:t>362</w:t>
      </w:r>
      <w:r w:rsidR="004C72B0" w:rsidRPr="00175596">
        <w:rPr>
          <w:sz w:val="24"/>
          <w:szCs w:val="24"/>
        </w:rPr>
        <w:t xml:space="preserve"> une</w:t>
      </w:r>
      <w:r w:rsidR="00F71108" w:rsidRPr="00175596">
        <w:rPr>
          <w:sz w:val="24"/>
          <w:szCs w:val="24"/>
        </w:rPr>
        <w:t xml:space="preserve">xposed people </w:t>
      </w:r>
      <w:r w:rsidR="00A91DE3">
        <w:rPr>
          <w:sz w:val="24"/>
          <w:szCs w:val="24"/>
        </w:rPr>
        <w:t xml:space="preserve">(132 adults and 230 children) </w:t>
      </w:r>
      <w:r w:rsidR="00F71108" w:rsidRPr="00175596">
        <w:rPr>
          <w:sz w:val="24"/>
          <w:szCs w:val="24"/>
        </w:rPr>
        <w:t>in Wave Three</w:t>
      </w:r>
      <w:r w:rsidR="00BE15D8" w:rsidRPr="00175596">
        <w:rPr>
          <w:sz w:val="24"/>
          <w:szCs w:val="24"/>
        </w:rPr>
        <w:t xml:space="preserve"> to get 275 eligible</w:t>
      </w:r>
      <w:r w:rsidR="00E011EE">
        <w:rPr>
          <w:sz w:val="24"/>
          <w:szCs w:val="24"/>
        </w:rPr>
        <w:t xml:space="preserve"> (100 adults and 175 children)</w:t>
      </w:r>
      <w:r w:rsidR="004C72B0" w:rsidRPr="00175596">
        <w:rPr>
          <w:sz w:val="24"/>
          <w:szCs w:val="24"/>
        </w:rPr>
        <w:t>.</w:t>
      </w:r>
    </w:p>
    <w:p w14:paraId="20E392EC" w14:textId="77777777" w:rsidR="00CE4431" w:rsidRDefault="00CE4431" w:rsidP="004C72B0">
      <w:pPr>
        <w:autoSpaceDE w:val="0"/>
        <w:autoSpaceDN w:val="0"/>
        <w:adjustRightInd w:val="0"/>
        <w:spacing w:line="276" w:lineRule="auto"/>
        <w:rPr>
          <w:sz w:val="24"/>
          <w:szCs w:val="24"/>
        </w:rPr>
      </w:pPr>
      <w:r>
        <w:rPr>
          <w:sz w:val="24"/>
          <w:szCs w:val="24"/>
        </w:rPr>
        <w:t>Steps in screening are:</w:t>
      </w:r>
    </w:p>
    <w:p w14:paraId="558833A3" w14:textId="77777777" w:rsidR="00CE4431" w:rsidRDefault="00CE4431" w:rsidP="00CE4431">
      <w:pPr>
        <w:pStyle w:val="ListParagraph"/>
        <w:numPr>
          <w:ilvl w:val="0"/>
          <w:numId w:val="18"/>
        </w:numPr>
        <w:autoSpaceDE w:val="0"/>
        <w:autoSpaceDN w:val="0"/>
        <w:adjustRightInd w:val="0"/>
        <w:spacing w:line="276" w:lineRule="auto"/>
        <w:rPr>
          <w:sz w:val="24"/>
          <w:szCs w:val="24"/>
        </w:rPr>
      </w:pPr>
      <w:r>
        <w:rPr>
          <w:sz w:val="24"/>
          <w:szCs w:val="24"/>
        </w:rPr>
        <w:t>Administer the eligibility screening scripts</w:t>
      </w:r>
      <w:r w:rsidR="005E1ED1">
        <w:rPr>
          <w:sz w:val="24"/>
          <w:szCs w:val="24"/>
        </w:rPr>
        <w:t xml:space="preserve"> and schedule appointments</w:t>
      </w:r>
      <w:r>
        <w:rPr>
          <w:sz w:val="24"/>
          <w:szCs w:val="24"/>
        </w:rPr>
        <w:t xml:space="preserve"> (</w:t>
      </w:r>
      <w:r>
        <w:rPr>
          <w:b/>
          <w:sz w:val="24"/>
          <w:szCs w:val="24"/>
        </w:rPr>
        <w:t>Attachments 6c&amp;7c</w:t>
      </w:r>
      <w:r>
        <w:rPr>
          <w:sz w:val="24"/>
          <w:szCs w:val="24"/>
        </w:rPr>
        <w:t>).</w:t>
      </w:r>
    </w:p>
    <w:p w14:paraId="6531CE20" w14:textId="77777777" w:rsidR="00CE4431" w:rsidRDefault="005E1ED1" w:rsidP="00CE4431">
      <w:pPr>
        <w:pStyle w:val="ListParagraph"/>
        <w:numPr>
          <w:ilvl w:val="0"/>
          <w:numId w:val="18"/>
        </w:numPr>
        <w:autoSpaceDE w:val="0"/>
        <w:autoSpaceDN w:val="0"/>
        <w:adjustRightInd w:val="0"/>
        <w:spacing w:line="276" w:lineRule="auto"/>
        <w:rPr>
          <w:sz w:val="24"/>
          <w:szCs w:val="24"/>
        </w:rPr>
      </w:pPr>
      <w:r>
        <w:rPr>
          <w:sz w:val="24"/>
          <w:szCs w:val="24"/>
        </w:rPr>
        <w:t>Begin tracking the recruitment process</w:t>
      </w:r>
      <w:r w:rsidR="00CE4431">
        <w:rPr>
          <w:sz w:val="24"/>
          <w:szCs w:val="24"/>
        </w:rPr>
        <w:t xml:space="preserve"> (</w:t>
      </w:r>
      <w:r w:rsidR="00CE4431">
        <w:rPr>
          <w:b/>
          <w:sz w:val="24"/>
          <w:szCs w:val="24"/>
        </w:rPr>
        <w:t>Attachment 8</w:t>
      </w:r>
      <w:r w:rsidR="00CE4431">
        <w:rPr>
          <w:sz w:val="24"/>
          <w:szCs w:val="24"/>
        </w:rPr>
        <w:t>).</w:t>
      </w:r>
    </w:p>
    <w:p w14:paraId="42BDA0A1" w14:textId="77777777" w:rsidR="00CE4431" w:rsidRDefault="005E1ED1" w:rsidP="00CE4431">
      <w:pPr>
        <w:pStyle w:val="ListParagraph"/>
        <w:numPr>
          <w:ilvl w:val="0"/>
          <w:numId w:val="18"/>
        </w:numPr>
        <w:autoSpaceDE w:val="0"/>
        <w:autoSpaceDN w:val="0"/>
        <w:adjustRightInd w:val="0"/>
        <w:spacing w:line="276" w:lineRule="auto"/>
        <w:rPr>
          <w:sz w:val="24"/>
          <w:szCs w:val="24"/>
        </w:rPr>
      </w:pPr>
      <w:r>
        <w:rPr>
          <w:sz w:val="24"/>
          <w:szCs w:val="24"/>
        </w:rPr>
        <w:t>Mail out appointment packets (</w:t>
      </w:r>
      <w:r>
        <w:rPr>
          <w:b/>
          <w:sz w:val="24"/>
          <w:szCs w:val="24"/>
        </w:rPr>
        <w:t>Attachment 9</w:t>
      </w:r>
      <w:r w:rsidR="00582EB8">
        <w:rPr>
          <w:sz w:val="24"/>
          <w:szCs w:val="24"/>
        </w:rPr>
        <w:t>), which will contain</w:t>
      </w:r>
      <w:r w:rsidR="0006476E">
        <w:rPr>
          <w:sz w:val="24"/>
          <w:szCs w:val="24"/>
        </w:rPr>
        <w:t xml:space="preserve"> the following documents to keep</w:t>
      </w:r>
      <w:r w:rsidR="00C86CD9">
        <w:rPr>
          <w:sz w:val="24"/>
          <w:szCs w:val="24"/>
        </w:rPr>
        <w:t xml:space="preserve"> and read before their appointments</w:t>
      </w:r>
      <w:r w:rsidR="00582EB8">
        <w:rPr>
          <w:sz w:val="24"/>
          <w:szCs w:val="24"/>
        </w:rPr>
        <w:t>:</w:t>
      </w:r>
    </w:p>
    <w:p w14:paraId="7FC815C1" w14:textId="77777777" w:rsidR="00582EB8" w:rsidRPr="00582EB8" w:rsidRDefault="00582EB8" w:rsidP="00582EB8">
      <w:pPr>
        <w:pStyle w:val="ListParagraph"/>
        <w:numPr>
          <w:ilvl w:val="1"/>
          <w:numId w:val="18"/>
        </w:numPr>
        <w:autoSpaceDE w:val="0"/>
        <w:autoSpaceDN w:val="0"/>
        <w:adjustRightInd w:val="0"/>
        <w:spacing w:after="0" w:line="276" w:lineRule="auto"/>
        <w:contextualSpacing w:val="0"/>
        <w:rPr>
          <w:sz w:val="24"/>
          <w:szCs w:val="24"/>
        </w:rPr>
      </w:pPr>
      <w:r w:rsidRPr="00582EB8">
        <w:rPr>
          <w:sz w:val="24"/>
          <w:szCs w:val="24"/>
        </w:rPr>
        <w:t>Appointment reminder cards (</w:t>
      </w:r>
      <w:r w:rsidRPr="00582EB8">
        <w:rPr>
          <w:b/>
          <w:sz w:val="24"/>
          <w:szCs w:val="24"/>
        </w:rPr>
        <w:t>Attachment 9a</w:t>
      </w:r>
      <w:r w:rsidRPr="00582EB8">
        <w:rPr>
          <w:sz w:val="24"/>
          <w:szCs w:val="24"/>
        </w:rPr>
        <w:t>),</w:t>
      </w:r>
      <w:r w:rsidR="00C86CD9">
        <w:rPr>
          <w:sz w:val="24"/>
          <w:szCs w:val="24"/>
        </w:rPr>
        <w:t xml:space="preserve"> with instructions on how to prepare for the appointment</w:t>
      </w:r>
    </w:p>
    <w:p w14:paraId="39F78214" w14:textId="77777777" w:rsidR="00582EB8" w:rsidRDefault="00582EB8" w:rsidP="00582EB8">
      <w:pPr>
        <w:pStyle w:val="ListParagraph"/>
        <w:numPr>
          <w:ilvl w:val="1"/>
          <w:numId w:val="18"/>
        </w:numPr>
        <w:autoSpaceDE w:val="0"/>
        <w:autoSpaceDN w:val="0"/>
        <w:adjustRightInd w:val="0"/>
        <w:spacing w:after="0" w:line="276" w:lineRule="auto"/>
        <w:contextualSpacing w:val="0"/>
        <w:rPr>
          <w:sz w:val="24"/>
          <w:szCs w:val="24"/>
        </w:rPr>
      </w:pPr>
      <w:r w:rsidRPr="00582EB8">
        <w:rPr>
          <w:sz w:val="24"/>
          <w:szCs w:val="24"/>
        </w:rPr>
        <w:t>Informed consent packets (</w:t>
      </w:r>
      <w:r w:rsidRPr="00582EB8">
        <w:rPr>
          <w:b/>
          <w:sz w:val="24"/>
          <w:szCs w:val="24"/>
        </w:rPr>
        <w:t>Attachment 9b</w:t>
      </w:r>
      <w:r w:rsidRPr="00582EB8">
        <w:rPr>
          <w:sz w:val="24"/>
          <w:szCs w:val="24"/>
        </w:rPr>
        <w:t>),</w:t>
      </w:r>
    </w:p>
    <w:p w14:paraId="67460192" w14:textId="77777777" w:rsidR="00582EB8" w:rsidRPr="00582EB8" w:rsidRDefault="00582EB8" w:rsidP="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Privacy Act Statement</w:t>
      </w:r>
      <w:r>
        <w:rPr>
          <w:rFonts w:cstheme="minorHAnsi"/>
          <w:sz w:val="24"/>
          <w:szCs w:val="24"/>
        </w:rPr>
        <w:t xml:space="preserve"> (</w:t>
      </w:r>
      <w:r w:rsidRPr="00582EB8">
        <w:rPr>
          <w:rFonts w:cstheme="minorHAnsi"/>
          <w:b/>
          <w:sz w:val="24"/>
          <w:szCs w:val="24"/>
        </w:rPr>
        <w:t>Attachment 9b1</w:t>
      </w:r>
      <w:r w:rsidRPr="00582EB8">
        <w:rPr>
          <w:rFonts w:cstheme="minorHAnsi"/>
          <w:sz w:val="24"/>
          <w:szCs w:val="24"/>
        </w:rPr>
        <w:t>)</w:t>
      </w:r>
    </w:p>
    <w:p w14:paraId="03B722BF" w14:textId="77777777" w:rsidR="00582EB8" w:rsidRPr="00582EB8" w:rsidRDefault="00582EB8" w:rsidP="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Parental Permission and Child Assent Forms</w:t>
      </w:r>
      <w:r>
        <w:rPr>
          <w:rFonts w:cstheme="minorHAnsi"/>
          <w:sz w:val="24"/>
          <w:szCs w:val="24"/>
        </w:rPr>
        <w:t xml:space="preserve"> (</w:t>
      </w:r>
      <w:r w:rsidRPr="00582EB8">
        <w:rPr>
          <w:rFonts w:cstheme="minorHAnsi"/>
          <w:b/>
          <w:sz w:val="24"/>
          <w:szCs w:val="24"/>
        </w:rPr>
        <w:t>Attachment 9b2</w:t>
      </w:r>
      <w:r>
        <w:rPr>
          <w:rFonts w:cstheme="minorHAnsi"/>
          <w:sz w:val="24"/>
          <w:szCs w:val="24"/>
        </w:rPr>
        <w:t>)</w:t>
      </w:r>
    </w:p>
    <w:p w14:paraId="23BCB1A9" w14:textId="77777777" w:rsidR="00582EB8" w:rsidRPr="00582EB8" w:rsidRDefault="00582EB8" w:rsidP="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Parental Consent to Release Student Information</w:t>
      </w:r>
      <w:r>
        <w:rPr>
          <w:rFonts w:cstheme="minorHAnsi"/>
          <w:sz w:val="24"/>
          <w:szCs w:val="24"/>
        </w:rPr>
        <w:t xml:space="preserve"> (</w:t>
      </w:r>
      <w:r w:rsidRPr="00582EB8">
        <w:rPr>
          <w:rFonts w:cstheme="minorHAnsi"/>
          <w:b/>
          <w:sz w:val="24"/>
          <w:szCs w:val="24"/>
        </w:rPr>
        <w:t>Attachment 9b3</w:t>
      </w:r>
      <w:r>
        <w:rPr>
          <w:rFonts w:cstheme="minorHAnsi"/>
          <w:sz w:val="24"/>
          <w:szCs w:val="24"/>
        </w:rPr>
        <w:t>)</w:t>
      </w:r>
    </w:p>
    <w:p w14:paraId="18F863AF" w14:textId="77777777" w:rsidR="00582EB8" w:rsidRPr="00582EB8" w:rsidRDefault="00582EB8" w:rsidP="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Adult Consent Form</w:t>
      </w:r>
      <w:r>
        <w:rPr>
          <w:rFonts w:cstheme="minorHAnsi"/>
          <w:sz w:val="24"/>
          <w:szCs w:val="24"/>
        </w:rPr>
        <w:t xml:space="preserve"> (</w:t>
      </w:r>
      <w:r w:rsidRPr="00582EB8">
        <w:rPr>
          <w:rFonts w:cstheme="minorHAnsi"/>
          <w:b/>
          <w:sz w:val="24"/>
          <w:szCs w:val="24"/>
        </w:rPr>
        <w:t>Attachment 9b4</w:t>
      </w:r>
      <w:r>
        <w:rPr>
          <w:rFonts w:cstheme="minorHAnsi"/>
          <w:sz w:val="24"/>
          <w:szCs w:val="24"/>
        </w:rPr>
        <w:t>)</w:t>
      </w:r>
    </w:p>
    <w:p w14:paraId="0C14E866" w14:textId="77777777" w:rsidR="0006476E" w:rsidRPr="0006476E" w:rsidRDefault="00582EB8" w:rsidP="0006476E">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Parent/Child/Adult Permission for Medical Record Abstraction</w:t>
      </w:r>
      <w:r w:rsidR="0006476E">
        <w:rPr>
          <w:rFonts w:cstheme="minorHAnsi"/>
          <w:sz w:val="24"/>
          <w:szCs w:val="24"/>
        </w:rPr>
        <w:t xml:space="preserve"> (</w:t>
      </w:r>
      <w:r w:rsidR="0006476E" w:rsidRPr="0006476E">
        <w:rPr>
          <w:rFonts w:cstheme="minorHAnsi"/>
          <w:b/>
          <w:sz w:val="24"/>
          <w:szCs w:val="24"/>
        </w:rPr>
        <w:t>Attachment 9b5</w:t>
      </w:r>
      <w:r w:rsidR="0006476E">
        <w:rPr>
          <w:rFonts w:cstheme="minorHAnsi"/>
          <w:sz w:val="24"/>
          <w:szCs w:val="24"/>
        </w:rPr>
        <w:t>)</w:t>
      </w:r>
    </w:p>
    <w:p w14:paraId="192450E5" w14:textId="77777777" w:rsidR="00582EB8" w:rsidRPr="0006476E" w:rsidRDefault="00582EB8" w:rsidP="0006476E">
      <w:pPr>
        <w:pStyle w:val="ListParagraph"/>
        <w:numPr>
          <w:ilvl w:val="1"/>
          <w:numId w:val="18"/>
        </w:numPr>
        <w:autoSpaceDE w:val="0"/>
        <w:autoSpaceDN w:val="0"/>
        <w:adjustRightInd w:val="0"/>
        <w:spacing w:after="0" w:line="276" w:lineRule="auto"/>
        <w:contextualSpacing w:val="0"/>
        <w:rPr>
          <w:sz w:val="24"/>
          <w:szCs w:val="24"/>
        </w:rPr>
      </w:pPr>
      <w:r w:rsidRPr="0006476E">
        <w:rPr>
          <w:rFonts w:cstheme="minorHAnsi"/>
          <w:sz w:val="24"/>
          <w:szCs w:val="24"/>
        </w:rPr>
        <w:t>Study Fact Sheet</w:t>
      </w:r>
      <w:r w:rsidR="0006476E">
        <w:rPr>
          <w:rFonts w:cstheme="minorHAnsi"/>
          <w:sz w:val="24"/>
          <w:szCs w:val="24"/>
        </w:rPr>
        <w:t xml:space="preserve"> (</w:t>
      </w:r>
      <w:r w:rsidR="0006476E" w:rsidRPr="0006476E">
        <w:rPr>
          <w:rFonts w:cstheme="minorHAnsi"/>
          <w:b/>
          <w:sz w:val="24"/>
          <w:szCs w:val="24"/>
        </w:rPr>
        <w:t>Attachment 9c</w:t>
      </w:r>
      <w:r w:rsidR="0006476E">
        <w:rPr>
          <w:rFonts w:cstheme="minorHAnsi"/>
          <w:sz w:val="24"/>
          <w:szCs w:val="24"/>
        </w:rPr>
        <w:t>)</w:t>
      </w:r>
    </w:p>
    <w:p w14:paraId="214031BE" w14:textId="77777777" w:rsidR="005E1ED1" w:rsidRDefault="00582EB8" w:rsidP="00582EB8">
      <w:pPr>
        <w:pStyle w:val="ListParagraph"/>
        <w:numPr>
          <w:ilvl w:val="0"/>
          <w:numId w:val="18"/>
        </w:numPr>
        <w:autoSpaceDE w:val="0"/>
        <w:autoSpaceDN w:val="0"/>
        <w:adjustRightInd w:val="0"/>
        <w:spacing w:after="0" w:line="276" w:lineRule="auto"/>
        <w:contextualSpacing w:val="0"/>
        <w:rPr>
          <w:sz w:val="24"/>
          <w:szCs w:val="24"/>
        </w:rPr>
      </w:pPr>
      <w:r w:rsidRPr="00582EB8">
        <w:rPr>
          <w:sz w:val="24"/>
          <w:szCs w:val="24"/>
        </w:rPr>
        <w:t>Encourage participation</w:t>
      </w:r>
      <w:r w:rsidR="005E1ED1">
        <w:rPr>
          <w:sz w:val="24"/>
          <w:szCs w:val="24"/>
        </w:rPr>
        <w:t xml:space="preserve"> with appointment reminder calls (</w:t>
      </w:r>
      <w:r w:rsidR="005E1ED1">
        <w:rPr>
          <w:b/>
          <w:sz w:val="24"/>
          <w:szCs w:val="24"/>
        </w:rPr>
        <w:t>Attachments 10&amp;11</w:t>
      </w:r>
      <w:r w:rsidR="005E1ED1">
        <w:rPr>
          <w:sz w:val="24"/>
          <w:szCs w:val="24"/>
        </w:rPr>
        <w:t>).</w:t>
      </w:r>
    </w:p>
    <w:p w14:paraId="36C1039E" w14:textId="77777777" w:rsidR="003543B6" w:rsidRDefault="003543B6" w:rsidP="00FD4EE5">
      <w:pPr>
        <w:autoSpaceDE w:val="0"/>
        <w:autoSpaceDN w:val="0"/>
        <w:adjustRightInd w:val="0"/>
        <w:spacing w:after="0" w:line="276" w:lineRule="auto"/>
        <w:rPr>
          <w:sz w:val="24"/>
          <w:szCs w:val="24"/>
        </w:rPr>
      </w:pPr>
    </w:p>
    <w:p w14:paraId="25B483B7" w14:textId="77777777" w:rsidR="003543B6" w:rsidRDefault="003543B6" w:rsidP="003543B6">
      <w:pPr>
        <w:autoSpaceDE w:val="0"/>
        <w:autoSpaceDN w:val="0"/>
        <w:adjustRightInd w:val="0"/>
        <w:spacing w:line="276" w:lineRule="auto"/>
        <w:rPr>
          <w:rFonts w:cstheme="minorHAnsi"/>
          <w:sz w:val="24"/>
          <w:szCs w:val="24"/>
        </w:rPr>
      </w:pPr>
      <w:r>
        <w:rPr>
          <w:rFonts w:cstheme="minorHAnsi"/>
          <w:sz w:val="24"/>
          <w:szCs w:val="24"/>
          <w:u w:val="single"/>
        </w:rPr>
        <w:t>Sample Size Justification</w:t>
      </w:r>
    </w:p>
    <w:p w14:paraId="56D4BA99" w14:textId="3049E4CE" w:rsidR="009E00F6" w:rsidRDefault="009E00F6" w:rsidP="00FD4EE5">
      <w:pPr>
        <w:rPr>
          <w:sz w:val="24"/>
          <w:szCs w:val="24"/>
        </w:rPr>
      </w:pPr>
      <w:r w:rsidRPr="00100637">
        <w:rPr>
          <w:sz w:val="24"/>
          <w:szCs w:val="24"/>
        </w:rPr>
        <w:t xml:space="preserve">The </w:t>
      </w:r>
      <w:r w:rsidR="002C1E4A">
        <w:rPr>
          <w:sz w:val="24"/>
          <w:szCs w:val="24"/>
        </w:rPr>
        <w:t>power</w:t>
      </w:r>
      <w:r w:rsidR="009762E4">
        <w:rPr>
          <w:sz w:val="24"/>
          <w:szCs w:val="24"/>
        </w:rPr>
        <w:t xml:space="preserve"> calculations </w:t>
      </w:r>
      <w:r w:rsidR="00073DF1">
        <w:rPr>
          <w:sz w:val="24"/>
          <w:szCs w:val="24"/>
        </w:rPr>
        <w:t xml:space="preserve">specifically </w:t>
      </w:r>
      <w:r w:rsidR="009762E4">
        <w:rPr>
          <w:sz w:val="24"/>
          <w:szCs w:val="24"/>
        </w:rPr>
        <w:t>for</w:t>
      </w:r>
      <w:r>
        <w:rPr>
          <w:sz w:val="24"/>
          <w:szCs w:val="24"/>
        </w:rPr>
        <w:t xml:space="preserve"> </w:t>
      </w:r>
      <w:r w:rsidRPr="00100637">
        <w:rPr>
          <w:sz w:val="24"/>
          <w:szCs w:val="24"/>
        </w:rPr>
        <w:t xml:space="preserve">the </w:t>
      </w:r>
      <w:r w:rsidRPr="00100637">
        <w:rPr>
          <w:b/>
          <w:sz w:val="24"/>
          <w:szCs w:val="24"/>
        </w:rPr>
        <w:t xml:space="preserve">Pease Study Protocol </w:t>
      </w:r>
      <w:r w:rsidR="009762E4">
        <w:rPr>
          <w:sz w:val="24"/>
          <w:szCs w:val="24"/>
        </w:rPr>
        <w:t xml:space="preserve">is found in detail in </w:t>
      </w:r>
      <w:r w:rsidRPr="00100637">
        <w:rPr>
          <w:b/>
          <w:sz w:val="24"/>
          <w:szCs w:val="24"/>
        </w:rPr>
        <w:t xml:space="preserve">Section 3.3 </w:t>
      </w:r>
      <w:r w:rsidRPr="00100637">
        <w:rPr>
          <w:sz w:val="24"/>
          <w:szCs w:val="24"/>
        </w:rPr>
        <w:t xml:space="preserve">and </w:t>
      </w:r>
      <w:r w:rsidRPr="00100637">
        <w:rPr>
          <w:rFonts w:cs="ITCFranklinGothicStd-Book"/>
          <w:b/>
          <w:sz w:val="24"/>
          <w:szCs w:val="24"/>
        </w:rPr>
        <w:t>Attachment 4</w:t>
      </w:r>
      <w:r w:rsidR="00D82E9E">
        <w:rPr>
          <w:sz w:val="24"/>
          <w:szCs w:val="24"/>
        </w:rPr>
        <w:t>.</w:t>
      </w:r>
      <w:r w:rsidRPr="00100637">
        <w:rPr>
          <w:sz w:val="24"/>
          <w:szCs w:val="24"/>
        </w:rPr>
        <w:t xml:space="preserve"> A summary is presented here.</w:t>
      </w:r>
    </w:p>
    <w:p w14:paraId="3A075587" w14:textId="77777777" w:rsidR="00AB31E7" w:rsidRPr="00FD4EE5" w:rsidRDefault="00AB31E7" w:rsidP="00FD4EE5">
      <w:pPr>
        <w:rPr>
          <w:sz w:val="24"/>
          <w:szCs w:val="24"/>
        </w:rPr>
      </w:pPr>
      <w:r w:rsidRPr="00FD4EE5">
        <w:rPr>
          <w:sz w:val="24"/>
          <w:szCs w:val="24"/>
        </w:rPr>
        <w:t>Adult Study</w:t>
      </w:r>
    </w:p>
    <w:p w14:paraId="4668DCA2" w14:textId="0885D37C" w:rsidR="009547B2" w:rsidRPr="00A26C47" w:rsidRDefault="009547B2" w:rsidP="00FD4EE5">
      <w:pPr>
        <w:rPr>
          <w:rFonts w:cstheme="minorHAnsi"/>
          <w:sz w:val="24"/>
          <w:szCs w:val="24"/>
        </w:rPr>
      </w:pPr>
      <w:r w:rsidRPr="00FD4EE5">
        <w:rPr>
          <w:rFonts w:cstheme="minorHAnsi"/>
          <w:b/>
          <w:sz w:val="24"/>
          <w:szCs w:val="24"/>
        </w:rPr>
        <w:t>Table B.1.</w:t>
      </w:r>
      <w:r w:rsidR="00AB31E7" w:rsidRPr="00AB31E7">
        <w:rPr>
          <w:rFonts w:cstheme="minorHAnsi"/>
          <w:b/>
          <w:sz w:val="24"/>
          <w:szCs w:val="24"/>
        </w:rPr>
        <w:t>3</w:t>
      </w:r>
      <w:r w:rsidRPr="00FD4EE5">
        <w:rPr>
          <w:rFonts w:cstheme="minorHAnsi"/>
          <w:sz w:val="24"/>
          <w:szCs w:val="24"/>
        </w:rPr>
        <w:t xml:space="preserve"> presents </w:t>
      </w:r>
      <w:r w:rsidR="002C1E4A">
        <w:rPr>
          <w:rFonts w:cstheme="minorHAnsi"/>
          <w:sz w:val="24"/>
          <w:szCs w:val="24"/>
        </w:rPr>
        <w:t>minimum detectable difference</w:t>
      </w:r>
      <w:r w:rsidRPr="00FD4EE5">
        <w:rPr>
          <w:rFonts w:cstheme="minorHAnsi"/>
          <w:sz w:val="24"/>
          <w:szCs w:val="24"/>
        </w:rPr>
        <w:t xml:space="preserve"> calculations assuming </w:t>
      </w:r>
      <w:r w:rsidR="00527CB9" w:rsidRPr="00AB31E7">
        <w:rPr>
          <w:rFonts w:cstheme="minorHAnsi"/>
          <w:sz w:val="24"/>
          <w:szCs w:val="24"/>
        </w:rPr>
        <w:t xml:space="preserve">that </w:t>
      </w:r>
      <w:r w:rsidRPr="00FD4EE5">
        <w:rPr>
          <w:rFonts w:cstheme="minorHAnsi"/>
          <w:sz w:val="24"/>
          <w:szCs w:val="24"/>
        </w:rPr>
        <w:t xml:space="preserve">1,000 adults from Pease and 100 referent adults </w:t>
      </w:r>
      <w:r w:rsidRPr="00AB31E7">
        <w:rPr>
          <w:rFonts w:cstheme="minorHAnsi"/>
          <w:sz w:val="24"/>
          <w:szCs w:val="24"/>
        </w:rPr>
        <w:t>will</w:t>
      </w:r>
      <w:r w:rsidRPr="009547B2">
        <w:rPr>
          <w:rFonts w:cstheme="minorHAnsi"/>
          <w:sz w:val="24"/>
          <w:szCs w:val="24"/>
        </w:rPr>
        <w:t xml:space="preserve"> participate in the study</w:t>
      </w:r>
      <w:r w:rsidR="002233A6">
        <w:rPr>
          <w:rFonts w:cstheme="minorHAnsi"/>
          <w:sz w:val="24"/>
          <w:szCs w:val="24"/>
        </w:rPr>
        <w:t xml:space="preserve"> (</w:t>
      </w:r>
      <w:r w:rsidR="002233A6" w:rsidRPr="00FD4EE5">
        <w:rPr>
          <w:rFonts w:cstheme="minorHAnsi"/>
          <w:b/>
          <w:sz w:val="24"/>
          <w:szCs w:val="24"/>
        </w:rPr>
        <w:t>Attachment 4</w:t>
      </w:r>
      <w:r w:rsidR="002233A6">
        <w:rPr>
          <w:rFonts w:cstheme="minorHAnsi"/>
          <w:sz w:val="24"/>
          <w:szCs w:val="24"/>
        </w:rPr>
        <w:t>)</w:t>
      </w:r>
      <w:r w:rsidRPr="009547B2">
        <w:rPr>
          <w:rFonts w:cstheme="minorHAnsi"/>
          <w:sz w:val="24"/>
          <w:szCs w:val="24"/>
        </w:rPr>
        <w:t xml:space="preserve">. </w:t>
      </w:r>
      <w:r w:rsidRPr="00FD4EE5">
        <w:rPr>
          <w:rFonts w:cstheme="minorHAnsi"/>
          <w:sz w:val="24"/>
          <w:szCs w:val="24"/>
        </w:rPr>
        <w:t>The calculations also assume a type 1 error of .05 and a type 2 error of .20. There is sufficient power to detect mean differences in total cholesterol, uric acid, and ALT based on estimated from other epidemiological studies.  For categorical outcomes such as hyperuricemia and hypertension, ORs below 2.0 are detectable.  For health outcomes such as hypercholesterolemia, thyroid disease, elevated liver enzymes, cardiovascular disease and osteoarthritis, ORs between 2.0 and 3.0 are detectable</w:t>
      </w:r>
      <w:r w:rsidR="002C1E4A">
        <w:rPr>
          <w:rFonts w:cstheme="minorHAnsi"/>
          <w:sz w:val="24"/>
          <w:szCs w:val="24"/>
        </w:rPr>
        <w:t>, though these ORs are larger than those typically documented to be statistically significant in most environmental epidemiology studies</w:t>
      </w:r>
      <w:r w:rsidRPr="00FD4EE5">
        <w:rPr>
          <w:rFonts w:cstheme="minorHAnsi"/>
          <w:sz w:val="24"/>
          <w:szCs w:val="24"/>
        </w:rPr>
        <w:t xml:space="preserve">.  In addition, several epidemiological studies of adults exposed to PFAS that reported robust statistical associations with these health outcomes had similar or smaller sample sizes, e.g., NHANES studies (Nelson 2010, Wen 2013), a C8 longitudinal study (Fitz-Simon 2013), a C8 immune study </w:t>
      </w:r>
      <w:r w:rsidRPr="00A26C47">
        <w:rPr>
          <w:rFonts w:cstheme="minorHAnsi"/>
          <w:sz w:val="24"/>
          <w:szCs w:val="24"/>
        </w:rPr>
        <w:t xml:space="preserve">(Looker 2014), and studies in China (Fu 2014) and Korea (Ji 2012).  </w:t>
      </w:r>
    </w:p>
    <w:p w14:paraId="3FE4FC5B" w14:textId="77777777" w:rsidR="009547B2" w:rsidRPr="00C72E8E" w:rsidRDefault="009547B2" w:rsidP="00A26C47">
      <w:pPr>
        <w:spacing w:line="240" w:lineRule="auto"/>
        <w:rPr>
          <w:rFonts w:cstheme="minorHAnsi"/>
          <w:b/>
        </w:rPr>
      </w:pPr>
      <w:r w:rsidRPr="00A26C47">
        <w:rPr>
          <w:rFonts w:cstheme="minorHAnsi"/>
        </w:rPr>
        <w:t>Table B.1.</w:t>
      </w:r>
      <w:r w:rsidR="00AB31E7">
        <w:rPr>
          <w:rFonts w:cstheme="minorHAnsi"/>
        </w:rPr>
        <w:t>3</w:t>
      </w:r>
      <w:r w:rsidRPr="00A26C47">
        <w:rPr>
          <w:rFonts w:cstheme="minorHAnsi"/>
        </w:rPr>
        <w:t>.</w:t>
      </w:r>
      <w:r w:rsidRPr="00C72E8E">
        <w:rPr>
          <w:rFonts w:cstheme="minorHAnsi"/>
          <w:b/>
        </w:rPr>
        <w:t xml:space="preserve">  </w:t>
      </w:r>
      <w:r w:rsidR="00906A63">
        <w:rPr>
          <w:rFonts w:cstheme="minorHAnsi"/>
        </w:rPr>
        <w:t>Minimum Detectable Effects for Pease Adult Study of 1,000 Exposed and 100 R</w:t>
      </w:r>
      <w:r w:rsidRPr="00C72E8E">
        <w:rPr>
          <w:rFonts w:cstheme="minorHAnsi"/>
        </w:rPr>
        <w:t>eferents.</w:t>
      </w:r>
    </w:p>
    <w:tbl>
      <w:tblPr>
        <w:tblStyle w:val="TableGrid"/>
        <w:tblW w:w="0" w:type="auto"/>
        <w:jc w:val="center"/>
        <w:tblLook w:val="04A0" w:firstRow="1" w:lastRow="0" w:firstColumn="1" w:lastColumn="0" w:noHBand="0" w:noVBand="1"/>
      </w:tblPr>
      <w:tblGrid>
        <w:gridCol w:w="3213"/>
        <w:gridCol w:w="2542"/>
      </w:tblGrid>
      <w:tr w:rsidR="009547B2" w:rsidRPr="00C72E8E" w14:paraId="7A7776DA" w14:textId="77777777" w:rsidTr="007863ED">
        <w:trPr>
          <w:jc w:val="center"/>
        </w:trPr>
        <w:tc>
          <w:tcPr>
            <w:tcW w:w="3213" w:type="dxa"/>
            <w:tcBorders>
              <w:bottom w:val="single" w:sz="18" w:space="0" w:color="auto"/>
            </w:tcBorders>
          </w:tcPr>
          <w:p w14:paraId="4EB2102A" w14:textId="77777777" w:rsidR="009547B2" w:rsidRPr="00A26C47" w:rsidRDefault="009547B2" w:rsidP="00A26C47">
            <w:pPr>
              <w:spacing w:before="40" w:after="40"/>
              <w:rPr>
                <w:rFonts w:cstheme="minorHAnsi"/>
                <w:b/>
                <w:sz w:val="20"/>
                <w:szCs w:val="20"/>
              </w:rPr>
            </w:pPr>
            <w:r w:rsidRPr="00A26C47">
              <w:rPr>
                <w:rFonts w:cstheme="minorHAnsi"/>
                <w:b/>
                <w:sz w:val="20"/>
                <w:szCs w:val="20"/>
              </w:rPr>
              <w:t>Endpoint</w:t>
            </w:r>
          </w:p>
        </w:tc>
        <w:tc>
          <w:tcPr>
            <w:tcW w:w="2542" w:type="dxa"/>
            <w:tcBorders>
              <w:bottom w:val="single" w:sz="18" w:space="0" w:color="auto"/>
            </w:tcBorders>
          </w:tcPr>
          <w:p w14:paraId="202304AF" w14:textId="77777777" w:rsidR="009547B2" w:rsidRPr="00A26C47" w:rsidRDefault="009547B2" w:rsidP="00A26C47">
            <w:pPr>
              <w:spacing w:before="40" w:after="40"/>
              <w:rPr>
                <w:rFonts w:cstheme="minorHAnsi"/>
                <w:b/>
                <w:sz w:val="20"/>
                <w:szCs w:val="20"/>
              </w:rPr>
            </w:pPr>
            <w:r w:rsidRPr="00A26C47">
              <w:rPr>
                <w:rFonts w:cstheme="minorHAnsi"/>
                <w:b/>
                <w:sz w:val="20"/>
                <w:szCs w:val="20"/>
              </w:rPr>
              <w:t>α = .05, β=.20</w:t>
            </w:r>
          </w:p>
        </w:tc>
      </w:tr>
      <w:tr w:rsidR="009547B2" w:rsidRPr="00C72E8E" w14:paraId="57CD53BB" w14:textId="77777777" w:rsidTr="007863ED">
        <w:trPr>
          <w:jc w:val="center"/>
        </w:trPr>
        <w:tc>
          <w:tcPr>
            <w:tcW w:w="3213" w:type="dxa"/>
          </w:tcPr>
          <w:p w14:paraId="54177BC3" w14:textId="77777777" w:rsidR="009547B2" w:rsidRPr="00A26C47" w:rsidRDefault="009547B2" w:rsidP="00A26C47">
            <w:pPr>
              <w:spacing w:before="40" w:after="40"/>
              <w:rPr>
                <w:rFonts w:cstheme="minorHAnsi"/>
                <w:sz w:val="20"/>
                <w:szCs w:val="20"/>
              </w:rPr>
            </w:pPr>
            <w:r w:rsidRPr="00A26C47">
              <w:rPr>
                <w:rFonts w:cstheme="minorHAnsi"/>
                <w:sz w:val="20"/>
                <w:szCs w:val="20"/>
              </w:rPr>
              <w:t>Mean difference in:</w:t>
            </w:r>
          </w:p>
        </w:tc>
        <w:tc>
          <w:tcPr>
            <w:tcW w:w="2542" w:type="dxa"/>
          </w:tcPr>
          <w:p w14:paraId="23F3B757" w14:textId="77777777" w:rsidR="009547B2" w:rsidRPr="00A26C47" w:rsidRDefault="009547B2" w:rsidP="00A26C47">
            <w:pPr>
              <w:spacing w:before="40" w:after="40"/>
              <w:rPr>
                <w:rFonts w:cstheme="minorHAnsi"/>
                <w:sz w:val="20"/>
                <w:szCs w:val="20"/>
              </w:rPr>
            </w:pPr>
          </w:p>
        </w:tc>
      </w:tr>
      <w:tr w:rsidR="009547B2" w:rsidRPr="00C72E8E" w14:paraId="574E56FB" w14:textId="77777777" w:rsidTr="007863ED">
        <w:trPr>
          <w:jc w:val="center"/>
        </w:trPr>
        <w:tc>
          <w:tcPr>
            <w:tcW w:w="3213" w:type="dxa"/>
          </w:tcPr>
          <w:p w14:paraId="7B11FF94" w14:textId="77777777" w:rsidR="009547B2" w:rsidRPr="00A26C47" w:rsidRDefault="009547B2" w:rsidP="00FD4EE5">
            <w:pPr>
              <w:spacing w:before="40" w:after="40"/>
              <w:ind w:firstLine="252"/>
              <w:rPr>
                <w:rFonts w:cstheme="minorHAnsi"/>
                <w:sz w:val="20"/>
                <w:szCs w:val="20"/>
              </w:rPr>
            </w:pPr>
            <w:r w:rsidRPr="00A26C47">
              <w:rPr>
                <w:rFonts w:cstheme="minorHAnsi"/>
                <w:sz w:val="20"/>
                <w:szCs w:val="20"/>
              </w:rPr>
              <w:t xml:space="preserve">Total cholesterol </w:t>
            </w:r>
          </w:p>
        </w:tc>
        <w:tc>
          <w:tcPr>
            <w:tcW w:w="2542" w:type="dxa"/>
          </w:tcPr>
          <w:p w14:paraId="7C86B803" w14:textId="77777777" w:rsidR="009547B2" w:rsidRPr="00A26C47" w:rsidRDefault="009547B2" w:rsidP="00A26C47">
            <w:pPr>
              <w:spacing w:before="40" w:after="40"/>
              <w:rPr>
                <w:rFonts w:cstheme="minorHAnsi"/>
                <w:sz w:val="20"/>
                <w:szCs w:val="20"/>
              </w:rPr>
            </w:pPr>
            <w:r w:rsidRPr="00A26C47">
              <w:rPr>
                <w:rFonts w:cstheme="minorHAnsi"/>
                <w:sz w:val="20"/>
                <w:szCs w:val="20"/>
              </w:rPr>
              <w:t>12.4 mg/dL</w:t>
            </w:r>
          </w:p>
        </w:tc>
      </w:tr>
      <w:tr w:rsidR="009547B2" w:rsidRPr="00C72E8E" w14:paraId="391F95BD" w14:textId="77777777" w:rsidTr="007863ED">
        <w:trPr>
          <w:jc w:val="center"/>
        </w:trPr>
        <w:tc>
          <w:tcPr>
            <w:tcW w:w="3213" w:type="dxa"/>
          </w:tcPr>
          <w:p w14:paraId="736BB9D1" w14:textId="77777777" w:rsidR="009547B2" w:rsidRPr="00A26C47" w:rsidRDefault="009547B2" w:rsidP="00FD4EE5">
            <w:pPr>
              <w:spacing w:before="40" w:after="40"/>
              <w:ind w:firstLine="252"/>
              <w:rPr>
                <w:rFonts w:cstheme="minorHAnsi"/>
                <w:sz w:val="20"/>
                <w:szCs w:val="20"/>
              </w:rPr>
            </w:pPr>
            <w:r w:rsidRPr="00A26C47">
              <w:rPr>
                <w:rFonts w:cstheme="minorHAnsi"/>
                <w:sz w:val="20"/>
                <w:szCs w:val="20"/>
              </w:rPr>
              <w:t xml:space="preserve">Uric acid </w:t>
            </w:r>
          </w:p>
        </w:tc>
        <w:tc>
          <w:tcPr>
            <w:tcW w:w="2542" w:type="dxa"/>
          </w:tcPr>
          <w:p w14:paraId="06C47094" w14:textId="77777777" w:rsidR="009547B2" w:rsidRPr="00A26C47" w:rsidRDefault="009547B2" w:rsidP="00A26C47">
            <w:pPr>
              <w:spacing w:before="40" w:after="40"/>
              <w:rPr>
                <w:rFonts w:cstheme="minorHAnsi"/>
                <w:sz w:val="20"/>
                <w:szCs w:val="20"/>
              </w:rPr>
            </w:pPr>
            <w:r w:rsidRPr="00A26C47">
              <w:rPr>
                <w:rFonts w:cstheme="minorHAnsi"/>
                <w:sz w:val="20"/>
                <w:szCs w:val="20"/>
              </w:rPr>
              <w:t>0.46 mg/dL</w:t>
            </w:r>
          </w:p>
        </w:tc>
      </w:tr>
      <w:tr w:rsidR="009547B2" w:rsidRPr="00C72E8E" w14:paraId="01404DFB" w14:textId="77777777" w:rsidTr="007863ED">
        <w:trPr>
          <w:jc w:val="center"/>
        </w:trPr>
        <w:tc>
          <w:tcPr>
            <w:tcW w:w="3213" w:type="dxa"/>
          </w:tcPr>
          <w:p w14:paraId="0BC04170" w14:textId="77777777" w:rsidR="009547B2" w:rsidRPr="00A26C47" w:rsidRDefault="009547B2" w:rsidP="00FD4EE5">
            <w:pPr>
              <w:spacing w:before="40" w:after="40"/>
              <w:ind w:firstLine="252"/>
              <w:rPr>
                <w:rFonts w:cstheme="minorHAnsi"/>
                <w:sz w:val="20"/>
                <w:szCs w:val="20"/>
              </w:rPr>
            </w:pPr>
            <w:r w:rsidRPr="00A26C47">
              <w:rPr>
                <w:rFonts w:cstheme="minorHAnsi"/>
                <w:sz w:val="20"/>
                <w:szCs w:val="20"/>
              </w:rPr>
              <w:t xml:space="preserve">ALT </w:t>
            </w:r>
          </w:p>
        </w:tc>
        <w:tc>
          <w:tcPr>
            <w:tcW w:w="2542" w:type="dxa"/>
          </w:tcPr>
          <w:p w14:paraId="699B2DFE" w14:textId="77777777" w:rsidR="009547B2" w:rsidRPr="00A26C47" w:rsidRDefault="009547B2" w:rsidP="00A26C47">
            <w:pPr>
              <w:spacing w:before="40" w:after="40"/>
              <w:rPr>
                <w:rFonts w:cstheme="minorHAnsi"/>
                <w:sz w:val="20"/>
                <w:szCs w:val="20"/>
              </w:rPr>
            </w:pPr>
            <w:r w:rsidRPr="00A26C47">
              <w:rPr>
                <w:rFonts w:cstheme="minorHAnsi"/>
                <w:sz w:val="20"/>
                <w:szCs w:val="20"/>
              </w:rPr>
              <w:t>5.92 IU/L</w:t>
            </w:r>
          </w:p>
        </w:tc>
      </w:tr>
      <w:tr w:rsidR="009547B2" w:rsidRPr="00C72E8E" w14:paraId="1BFDAC12" w14:textId="77777777" w:rsidTr="007863ED">
        <w:trPr>
          <w:jc w:val="center"/>
        </w:trPr>
        <w:tc>
          <w:tcPr>
            <w:tcW w:w="3213" w:type="dxa"/>
          </w:tcPr>
          <w:p w14:paraId="1AFC4E75" w14:textId="77777777" w:rsidR="009547B2" w:rsidRPr="00A26C47" w:rsidRDefault="009547B2" w:rsidP="00FD4EE5">
            <w:pPr>
              <w:spacing w:before="40" w:after="40"/>
              <w:ind w:firstLine="252"/>
              <w:rPr>
                <w:rFonts w:cstheme="minorHAnsi"/>
                <w:sz w:val="20"/>
                <w:szCs w:val="20"/>
              </w:rPr>
            </w:pPr>
            <w:r w:rsidRPr="00A26C47">
              <w:rPr>
                <w:rFonts w:cstheme="minorHAnsi"/>
                <w:sz w:val="20"/>
                <w:szCs w:val="20"/>
              </w:rPr>
              <w:t xml:space="preserve">Uric acid (mean difference) </w:t>
            </w:r>
          </w:p>
        </w:tc>
        <w:tc>
          <w:tcPr>
            <w:tcW w:w="2542" w:type="dxa"/>
          </w:tcPr>
          <w:p w14:paraId="5C5AA1CA" w14:textId="77777777" w:rsidR="009547B2" w:rsidRPr="00A26C47" w:rsidRDefault="009547B2" w:rsidP="00A26C47">
            <w:pPr>
              <w:spacing w:before="40" w:after="40"/>
              <w:rPr>
                <w:rFonts w:cstheme="minorHAnsi"/>
                <w:sz w:val="20"/>
                <w:szCs w:val="20"/>
              </w:rPr>
            </w:pPr>
            <w:r w:rsidRPr="00A26C47">
              <w:rPr>
                <w:rFonts w:cstheme="minorHAnsi"/>
                <w:sz w:val="20"/>
                <w:szCs w:val="20"/>
              </w:rPr>
              <w:t>0.46 mg/dL</w:t>
            </w:r>
          </w:p>
        </w:tc>
      </w:tr>
      <w:tr w:rsidR="009547B2" w:rsidRPr="00C72E8E" w14:paraId="23D8489F" w14:textId="77777777" w:rsidTr="007863ED">
        <w:trPr>
          <w:jc w:val="center"/>
        </w:trPr>
        <w:tc>
          <w:tcPr>
            <w:tcW w:w="3213" w:type="dxa"/>
          </w:tcPr>
          <w:p w14:paraId="6DBEFD10" w14:textId="77777777" w:rsidR="009547B2" w:rsidRPr="00A26C47" w:rsidRDefault="009547B2" w:rsidP="00A26C47">
            <w:pPr>
              <w:spacing w:before="40" w:after="40"/>
              <w:rPr>
                <w:rFonts w:cstheme="minorHAnsi"/>
                <w:sz w:val="4"/>
                <w:szCs w:val="4"/>
              </w:rPr>
            </w:pPr>
          </w:p>
        </w:tc>
        <w:tc>
          <w:tcPr>
            <w:tcW w:w="2542" w:type="dxa"/>
          </w:tcPr>
          <w:p w14:paraId="52FF3670" w14:textId="77777777" w:rsidR="009547B2" w:rsidRPr="00A26C47" w:rsidRDefault="009547B2" w:rsidP="00A26C47">
            <w:pPr>
              <w:spacing w:before="40" w:after="40"/>
              <w:rPr>
                <w:rFonts w:cstheme="minorHAnsi"/>
                <w:sz w:val="4"/>
                <w:szCs w:val="4"/>
              </w:rPr>
            </w:pPr>
          </w:p>
        </w:tc>
      </w:tr>
      <w:tr w:rsidR="009547B2" w:rsidRPr="00C72E8E" w14:paraId="6346CC22" w14:textId="77777777" w:rsidTr="007863ED">
        <w:trPr>
          <w:jc w:val="center"/>
        </w:trPr>
        <w:tc>
          <w:tcPr>
            <w:tcW w:w="3213" w:type="dxa"/>
          </w:tcPr>
          <w:p w14:paraId="3B66BEC0" w14:textId="77777777" w:rsidR="009547B2" w:rsidRPr="00A26C47" w:rsidRDefault="009547B2" w:rsidP="00A26C47">
            <w:pPr>
              <w:spacing w:before="40" w:after="40"/>
              <w:rPr>
                <w:rFonts w:cstheme="minorHAnsi"/>
                <w:sz w:val="20"/>
                <w:szCs w:val="20"/>
              </w:rPr>
            </w:pPr>
            <w:r w:rsidRPr="00A26C47">
              <w:rPr>
                <w:rFonts w:cstheme="minorHAnsi"/>
                <w:sz w:val="20"/>
                <w:szCs w:val="20"/>
              </w:rPr>
              <w:t>Odd Ratios (OR)</w:t>
            </w:r>
            <w:r w:rsidR="00864F2A">
              <w:rPr>
                <w:rFonts w:cstheme="minorHAnsi"/>
                <w:sz w:val="20"/>
                <w:szCs w:val="20"/>
              </w:rPr>
              <w:t xml:space="preserve"> for</w:t>
            </w:r>
            <w:r w:rsidR="00682D76">
              <w:rPr>
                <w:rFonts w:cstheme="minorHAnsi"/>
                <w:sz w:val="20"/>
                <w:szCs w:val="20"/>
              </w:rPr>
              <w:t>:</w:t>
            </w:r>
          </w:p>
        </w:tc>
        <w:tc>
          <w:tcPr>
            <w:tcW w:w="2542" w:type="dxa"/>
          </w:tcPr>
          <w:p w14:paraId="6FB08E0F" w14:textId="77777777" w:rsidR="009547B2" w:rsidRPr="00A26C47" w:rsidRDefault="009547B2" w:rsidP="00A26C47">
            <w:pPr>
              <w:spacing w:before="40" w:after="40"/>
              <w:rPr>
                <w:rFonts w:cstheme="minorHAnsi"/>
                <w:sz w:val="20"/>
                <w:szCs w:val="20"/>
              </w:rPr>
            </w:pPr>
          </w:p>
        </w:tc>
      </w:tr>
      <w:tr w:rsidR="009547B2" w:rsidRPr="00C72E8E" w14:paraId="6743161C" w14:textId="77777777" w:rsidTr="007863ED">
        <w:trPr>
          <w:jc w:val="center"/>
        </w:trPr>
        <w:tc>
          <w:tcPr>
            <w:tcW w:w="3213" w:type="dxa"/>
          </w:tcPr>
          <w:p w14:paraId="2E1229C4" w14:textId="77777777" w:rsidR="009547B2" w:rsidRPr="00A26C47" w:rsidRDefault="009547B2" w:rsidP="00FD4EE5">
            <w:pPr>
              <w:spacing w:before="40" w:after="40"/>
              <w:ind w:left="342" w:hanging="90"/>
              <w:rPr>
                <w:rFonts w:cstheme="minorHAnsi"/>
                <w:sz w:val="20"/>
                <w:szCs w:val="20"/>
              </w:rPr>
            </w:pPr>
            <w:r w:rsidRPr="00A26C47">
              <w:rPr>
                <w:rFonts w:cstheme="minorHAnsi"/>
                <w:sz w:val="20"/>
                <w:szCs w:val="20"/>
              </w:rPr>
              <w:t>Hyperuricemia</w:t>
            </w:r>
          </w:p>
        </w:tc>
        <w:tc>
          <w:tcPr>
            <w:tcW w:w="2542" w:type="dxa"/>
          </w:tcPr>
          <w:p w14:paraId="09D90FE2" w14:textId="77777777" w:rsidR="009547B2" w:rsidRPr="00A26C47" w:rsidRDefault="009547B2" w:rsidP="00A26C47">
            <w:pPr>
              <w:spacing w:before="40" w:after="40"/>
              <w:rPr>
                <w:rFonts w:cstheme="minorHAnsi"/>
                <w:sz w:val="20"/>
                <w:szCs w:val="20"/>
              </w:rPr>
            </w:pPr>
            <w:r w:rsidRPr="00A26C47">
              <w:rPr>
                <w:rFonts w:cstheme="minorHAnsi"/>
                <w:sz w:val="20"/>
                <w:szCs w:val="20"/>
              </w:rPr>
              <w:t>OR=1.96</w:t>
            </w:r>
          </w:p>
        </w:tc>
      </w:tr>
      <w:tr w:rsidR="009547B2" w:rsidRPr="00C72E8E" w14:paraId="6FCD41EF" w14:textId="77777777" w:rsidTr="007863ED">
        <w:trPr>
          <w:jc w:val="center"/>
        </w:trPr>
        <w:tc>
          <w:tcPr>
            <w:tcW w:w="3213" w:type="dxa"/>
          </w:tcPr>
          <w:p w14:paraId="13B4152E" w14:textId="77777777" w:rsidR="009547B2" w:rsidRPr="00A26C47" w:rsidRDefault="009547B2" w:rsidP="00FD4EE5">
            <w:pPr>
              <w:spacing w:before="40" w:after="40"/>
              <w:ind w:left="342" w:hanging="90"/>
              <w:rPr>
                <w:rFonts w:cstheme="minorHAnsi"/>
                <w:sz w:val="20"/>
                <w:szCs w:val="20"/>
              </w:rPr>
            </w:pPr>
            <w:r w:rsidRPr="00A26C47">
              <w:rPr>
                <w:rFonts w:cstheme="minorHAnsi"/>
                <w:sz w:val="20"/>
                <w:szCs w:val="20"/>
              </w:rPr>
              <w:t>Elevated GGT (&gt;55 IU/L, men; &gt;38 IU/L, women)</w:t>
            </w:r>
          </w:p>
        </w:tc>
        <w:tc>
          <w:tcPr>
            <w:tcW w:w="2542" w:type="dxa"/>
          </w:tcPr>
          <w:p w14:paraId="7E9D337D" w14:textId="77777777" w:rsidR="009547B2" w:rsidRPr="00A26C47" w:rsidRDefault="009547B2" w:rsidP="00A26C47">
            <w:pPr>
              <w:spacing w:before="40" w:after="40"/>
              <w:rPr>
                <w:rFonts w:cstheme="minorHAnsi"/>
                <w:sz w:val="20"/>
                <w:szCs w:val="20"/>
              </w:rPr>
            </w:pPr>
            <w:r w:rsidRPr="00A26C47">
              <w:rPr>
                <w:rFonts w:cstheme="minorHAnsi"/>
                <w:sz w:val="20"/>
                <w:szCs w:val="20"/>
              </w:rPr>
              <w:t>OR=2.26</w:t>
            </w:r>
          </w:p>
        </w:tc>
      </w:tr>
      <w:tr w:rsidR="009547B2" w:rsidRPr="00C72E8E" w14:paraId="6382127E" w14:textId="77777777" w:rsidTr="007863ED">
        <w:trPr>
          <w:jc w:val="center"/>
        </w:trPr>
        <w:tc>
          <w:tcPr>
            <w:tcW w:w="3213" w:type="dxa"/>
          </w:tcPr>
          <w:p w14:paraId="30677406" w14:textId="77777777" w:rsidR="009547B2" w:rsidRPr="00A26C47" w:rsidRDefault="009547B2" w:rsidP="00FD4EE5">
            <w:pPr>
              <w:spacing w:before="40" w:after="40"/>
              <w:ind w:left="342" w:hanging="90"/>
              <w:rPr>
                <w:rFonts w:cstheme="minorHAnsi"/>
                <w:sz w:val="20"/>
                <w:szCs w:val="20"/>
              </w:rPr>
            </w:pPr>
            <w:r w:rsidRPr="00A26C47">
              <w:rPr>
                <w:rFonts w:cstheme="minorHAnsi"/>
                <w:sz w:val="20"/>
                <w:szCs w:val="20"/>
              </w:rPr>
              <w:t>Hypercholesterolemia</w:t>
            </w:r>
          </w:p>
        </w:tc>
        <w:tc>
          <w:tcPr>
            <w:tcW w:w="2542" w:type="dxa"/>
          </w:tcPr>
          <w:p w14:paraId="0BDAC9F2" w14:textId="77777777" w:rsidR="009547B2" w:rsidRPr="00A26C47" w:rsidRDefault="009547B2" w:rsidP="00A26C47">
            <w:pPr>
              <w:spacing w:before="40" w:after="40"/>
              <w:rPr>
                <w:rFonts w:cstheme="minorHAnsi"/>
                <w:sz w:val="20"/>
                <w:szCs w:val="20"/>
              </w:rPr>
            </w:pPr>
            <w:r w:rsidRPr="00A26C47">
              <w:rPr>
                <w:rFonts w:cstheme="minorHAnsi"/>
                <w:sz w:val="20"/>
                <w:szCs w:val="20"/>
              </w:rPr>
              <w:t>OR=2.21</w:t>
            </w:r>
          </w:p>
        </w:tc>
      </w:tr>
      <w:tr w:rsidR="009547B2" w:rsidRPr="00C72E8E" w14:paraId="5841B55E" w14:textId="77777777" w:rsidTr="007863ED">
        <w:trPr>
          <w:jc w:val="center"/>
        </w:trPr>
        <w:tc>
          <w:tcPr>
            <w:tcW w:w="3213" w:type="dxa"/>
          </w:tcPr>
          <w:p w14:paraId="100C53DA" w14:textId="77777777" w:rsidR="009547B2" w:rsidRPr="00A26C47" w:rsidRDefault="009547B2" w:rsidP="00FD4EE5">
            <w:pPr>
              <w:spacing w:before="40" w:after="40"/>
              <w:ind w:left="342" w:hanging="90"/>
              <w:rPr>
                <w:rFonts w:cstheme="minorHAnsi"/>
                <w:sz w:val="20"/>
                <w:szCs w:val="20"/>
              </w:rPr>
            </w:pPr>
            <w:r w:rsidRPr="00A26C47">
              <w:rPr>
                <w:rFonts w:cstheme="minorHAnsi"/>
                <w:sz w:val="20"/>
                <w:szCs w:val="20"/>
              </w:rPr>
              <w:t>Thyroid disease</w:t>
            </w:r>
          </w:p>
        </w:tc>
        <w:tc>
          <w:tcPr>
            <w:tcW w:w="2542" w:type="dxa"/>
          </w:tcPr>
          <w:p w14:paraId="43F99123" w14:textId="77777777" w:rsidR="009547B2" w:rsidRPr="00A26C47" w:rsidRDefault="009547B2" w:rsidP="00A26C47">
            <w:pPr>
              <w:spacing w:before="40" w:after="40"/>
              <w:rPr>
                <w:rFonts w:cstheme="minorHAnsi"/>
                <w:sz w:val="20"/>
                <w:szCs w:val="20"/>
              </w:rPr>
            </w:pPr>
            <w:r w:rsidRPr="00A26C47">
              <w:rPr>
                <w:rFonts w:cstheme="minorHAnsi"/>
                <w:sz w:val="20"/>
                <w:szCs w:val="20"/>
              </w:rPr>
              <w:t>OR=3.03</w:t>
            </w:r>
          </w:p>
        </w:tc>
      </w:tr>
      <w:tr w:rsidR="009547B2" w:rsidRPr="00C72E8E" w14:paraId="25735BA7" w14:textId="77777777" w:rsidTr="007863ED">
        <w:trPr>
          <w:jc w:val="center"/>
        </w:trPr>
        <w:tc>
          <w:tcPr>
            <w:tcW w:w="3213" w:type="dxa"/>
          </w:tcPr>
          <w:p w14:paraId="6BD7C631" w14:textId="77777777" w:rsidR="009547B2" w:rsidRPr="00A26C47" w:rsidRDefault="009547B2" w:rsidP="00FD4EE5">
            <w:pPr>
              <w:spacing w:before="40" w:after="40"/>
              <w:ind w:left="342" w:hanging="90"/>
              <w:rPr>
                <w:rFonts w:cstheme="minorHAnsi"/>
                <w:sz w:val="20"/>
                <w:szCs w:val="20"/>
              </w:rPr>
            </w:pPr>
            <w:r w:rsidRPr="00A26C47">
              <w:rPr>
                <w:rFonts w:cstheme="minorHAnsi"/>
                <w:sz w:val="20"/>
                <w:szCs w:val="20"/>
              </w:rPr>
              <w:t>Elevated ALT (&gt;45 IU/L, men; &gt;34 IU/L, women)</w:t>
            </w:r>
          </w:p>
        </w:tc>
        <w:tc>
          <w:tcPr>
            <w:tcW w:w="2542" w:type="dxa"/>
          </w:tcPr>
          <w:p w14:paraId="4FDB26FB" w14:textId="77777777" w:rsidR="009547B2" w:rsidRPr="00A26C47" w:rsidRDefault="009547B2" w:rsidP="00A26C47">
            <w:pPr>
              <w:spacing w:before="40" w:after="40"/>
              <w:rPr>
                <w:rFonts w:cstheme="minorHAnsi"/>
                <w:sz w:val="20"/>
                <w:szCs w:val="20"/>
              </w:rPr>
            </w:pPr>
            <w:r w:rsidRPr="00A26C47">
              <w:rPr>
                <w:rFonts w:cstheme="minorHAnsi"/>
                <w:sz w:val="20"/>
                <w:szCs w:val="20"/>
              </w:rPr>
              <w:t>OR=2.43</w:t>
            </w:r>
          </w:p>
        </w:tc>
      </w:tr>
      <w:tr w:rsidR="009547B2" w:rsidRPr="00C72E8E" w14:paraId="2F52E1F4" w14:textId="77777777" w:rsidTr="007863ED">
        <w:trPr>
          <w:jc w:val="center"/>
        </w:trPr>
        <w:tc>
          <w:tcPr>
            <w:tcW w:w="3213" w:type="dxa"/>
          </w:tcPr>
          <w:p w14:paraId="558FE1CB" w14:textId="77777777" w:rsidR="009547B2" w:rsidRPr="00A26C47" w:rsidRDefault="009547B2" w:rsidP="00FD4EE5">
            <w:pPr>
              <w:spacing w:before="40" w:after="40"/>
              <w:ind w:left="342" w:hanging="90"/>
              <w:rPr>
                <w:rFonts w:cstheme="minorHAnsi"/>
                <w:sz w:val="20"/>
                <w:szCs w:val="20"/>
              </w:rPr>
            </w:pPr>
            <w:r w:rsidRPr="00A26C47">
              <w:rPr>
                <w:rFonts w:cstheme="minorHAnsi"/>
                <w:sz w:val="20"/>
                <w:szCs w:val="20"/>
              </w:rPr>
              <w:t>Cardiovascular disease</w:t>
            </w:r>
          </w:p>
        </w:tc>
        <w:tc>
          <w:tcPr>
            <w:tcW w:w="2542" w:type="dxa"/>
          </w:tcPr>
          <w:p w14:paraId="0BD61792" w14:textId="77777777" w:rsidR="009547B2" w:rsidRPr="00A26C47" w:rsidRDefault="009547B2" w:rsidP="00A26C47">
            <w:pPr>
              <w:spacing w:before="40" w:after="40"/>
              <w:rPr>
                <w:rFonts w:cstheme="minorHAnsi"/>
                <w:sz w:val="20"/>
                <w:szCs w:val="20"/>
              </w:rPr>
            </w:pPr>
            <w:r w:rsidRPr="00A26C47">
              <w:rPr>
                <w:rFonts w:cstheme="minorHAnsi"/>
                <w:sz w:val="20"/>
                <w:szCs w:val="20"/>
              </w:rPr>
              <w:t>OR=2.31</w:t>
            </w:r>
          </w:p>
        </w:tc>
      </w:tr>
      <w:tr w:rsidR="009547B2" w:rsidRPr="00C72E8E" w14:paraId="52C2547A" w14:textId="77777777" w:rsidTr="007863ED">
        <w:trPr>
          <w:jc w:val="center"/>
        </w:trPr>
        <w:tc>
          <w:tcPr>
            <w:tcW w:w="3213" w:type="dxa"/>
          </w:tcPr>
          <w:p w14:paraId="19B32409" w14:textId="77777777" w:rsidR="009547B2" w:rsidRPr="00A26C47" w:rsidRDefault="009547B2" w:rsidP="00FD4EE5">
            <w:pPr>
              <w:spacing w:before="40" w:after="40"/>
              <w:ind w:left="342" w:hanging="90"/>
              <w:rPr>
                <w:rFonts w:cstheme="minorHAnsi"/>
                <w:sz w:val="20"/>
                <w:szCs w:val="20"/>
              </w:rPr>
            </w:pPr>
            <w:r w:rsidRPr="00A26C47">
              <w:rPr>
                <w:rFonts w:cstheme="minorHAnsi"/>
                <w:sz w:val="20"/>
                <w:szCs w:val="20"/>
              </w:rPr>
              <w:t>Hypertension</w:t>
            </w:r>
          </w:p>
        </w:tc>
        <w:tc>
          <w:tcPr>
            <w:tcW w:w="2542" w:type="dxa"/>
          </w:tcPr>
          <w:p w14:paraId="087A314F" w14:textId="77777777" w:rsidR="009547B2" w:rsidRPr="00A26C47" w:rsidRDefault="009547B2" w:rsidP="00A26C47">
            <w:pPr>
              <w:spacing w:before="40" w:after="40"/>
              <w:rPr>
                <w:rFonts w:cstheme="minorHAnsi"/>
                <w:sz w:val="20"/>
                <w:szCs w:val="20"/>
              </w:rPr>
            </w:pPr>
            <w:r w:rsidRPr="00A26C47">
              <w:rPr>
                <w:rFonts w:cstheme="minorHAnsi"/>
                <w:sz w:val="20"/>
                <w:szCs w:val="20"/>
              </w:rPr>
              <w:t>OR=1.83</w:t>
            </w:r>
          </w:p>
        </w:tc>
      </w:tr>
      <w:tr w:rsidR="009547B2" w:rsidRPr="00C72E8E" w14:paraId="476FD02E" w14:textId="77777777" w:rsidTr="007863ED">
        <w:trPr>
          <w:jc w:val="center"/>
        </w:trPr>
        <w:tc>
          <w:tcPr>
            <w:tcW w:w="3213" w:type="dxa"/>
          </w:tcPr>
          <w:p w14:paraId="042FAFAE" w14:textId="77777777" w:rsidR="009547B2" w:rsidRPr="00A26C47" w:rsidRDefault="009547B2" w:rsidP="00FD4EE5">
            <w:pPr>
              <w:spacing w:before="40" w:after="40"/>
              <w:ind w:left="342" w:hanging="90"/>
              <w:rPr>
                <w:rFonts w:cstheme="minorHAnsi"/>
                <w:sz w:val="20"/>
                <w:szCs w:val="20"/>
              </w:rPr>
            </w:pPr>
            <w:r w:rsidRPr="00A26C47">
              <w:rPr>
                <w:rFonts w:cstheme="minorHAnsi"/>
                <w:sz w:val="20"/>
                <w:szCs w:val="20"/>
              </w:rPr>
              <w:t>Thyroid disease</w:t>
            </w:r>
          </w:p>
        </w:tc>
        <w:tc>
          <w:tcPr>
            <w:tcW w:w="2542" w:type="dxa"/>
          </w:tcPr>
          <w:p w14:paraId="34735425" w14:textId="77777777" w:rsidR="009547B2" w:rsidRPr="00A26C47" w:rsidRDefault="009547B2" w:rsidP="00A26C47">
            <w:pPr>
              <w:spacing w:before="40" w:after="40"/>
              <w:rPr>
                <w:rFonts w:cstheme="minorHAnsi"/>
                <w:sz w:val="20"/>
                <w:szCs w:val="20"/>
              </w:rPr>
            </w:pPr>
            <w:r w:rsidRPr="00A26C47">
              <w:rPr>
                <w:rFonts w:cstheme="minorHAnsi"/>
                <w:sz w:val="20"/>
                <w:szCs w:val="20"/>
              </w:rPr>
              <w:t>OR=3.03</w:t>
            </w:r>
          </w:p>
        </w:tc>
      </w:tr>
      <w:tr w:rsidR="009547B2" w:rsidRPr="00C72E8E" w14:paraId="7F181613" w14:textId="77777777" w:rsidTr="007863ED">
        <w:trPr>
          <w:jc w:val="center"/>
        </w:trPr>
        <w:tc>
          <w:tcPr>
            <w:tcW w:w="3213" w:type="dxa"/>
          </w:tcPr>
          <w:p w14:paraId="27924C27" w14:textId="77777777" w:rsidR="009547B2" w:rsidRPr="003865A9" w:rsidRDefault="009547B2" w:rsidP="00FD4EE5">
            <w:pPr>
              <w:spacing w:before="40" w:after="40"/>
              <w:ind w:left="342" w:hanging="90"/>
              <w:rPr>
                <w:rFonts w:cstheme="minorHAnsi"/>
                <w:sz w:val="20"/>
                <w:szCs w:val="20"/>
              </w:rPr>
            </w:pPr>
            <w:r w:rsidRPr="003865A9">
              <w:rPr>
                <w:rFonts w:cstheme="minorHAnsi"/>
                <w:sz w:val="20"/>
                <w:szCs w:val="20"/>
              </w:rPr>
              <w:t>Osteoarthritis</w:t>
            </w:r>
          </w:p>
        </w:tc>
        <w:tc>
          <w:tcPr>
            <w:tcW w:w="2542" w:type="dxa"/>
          </w:tcPr>
          <w:p w14:paraId="32804D09" w14:textId="77777777" w:rsidR="009547B2" w:rsidRPr="003865A9" w:rsidRDefault="009547B2" w:rsidP="003865A9">
            <w:pPr>
              <w:spacing w:before="40" w:after="40"/>
              <w:rPr>
                <w:rFonts w:cstheme="minorHAnsi"/>
                <w:sz w:val="20"/>
                <w:szCs w:val="20"/>
              </w:rPr>
            </w:pPr>
            <w:r w:rsidRPr="003865A9">
              <w:rPr>
                <w:rFonts w:cstheme="minorHAnsi"/>
                <w:sz w:val="20"/>
                <w:szCs w:val="20"/>
              </w:rPr>
              <w:t>OR=2.83</w:t>
            </w:r>
          </w:p>
        </w:tc>
      </w:tr>
      <w:tr w:rsidR="00A26C47" w:rsidRPr="00C72E8E" w14:paraId="158BDC89" w14:textId="77777777" w:rsidTr="007863ED">
        <w:trPr>
          <w:jc w:val="center"/>
        </w:trPr>
        <w:tc>
          <w:tcPr>
            <w:tcW w:w="3213" w:type="dxa"/>
          </w:tcPr>
          <w:p w14:paraId="5A13E5DD" w14:textId="77777777" w:rsidR="00A26C47" w:rsidRPr="00A26C47" w:rsidRDefault="00A26C47" w:rsidP="00FD4EE5">
            <w:pPr>
              <w:spacing w:before="40" w:after="40"/>
              <w:ind w:left="342" w:hanging="90"/>
              <w:rPr>
                <w:rFonts w:cstheme="minorHAnsi"/>
                <w:sz w:val="4"/>
                <w:szCs w:val="4"/>
              </w:rPr>
            </w:pPr>
          </w:p>
        </w:tc>
        <w:tc>
          <w:tcPr>
            <w:tcW w:w="2542" w:type="dxa"/>
          </w:tcPr>
          <w:p w14:paraId="48663F01" w14:textId="77777777" w:rsidR="00A26C47" w:rsidRPr="00A26C47" w:rsidRDefault="00A26C47" w:rsidP="00A26C47">
            <w:pPr>
              <w:spacing w:before="40" w:after="40"/>
              <w:rPr>
                <w:rFonts w:cstheme="minorHAnsi"/>
                <w:sz w:val="4"/>
                <w:szCs w:val="4"/>
              </w:rPr>
            </w:pPr>
          </w:p>
        </w:tc>
      </w:tr>
      <w:tr w:rsidR="009547B2" w:rsidRPr="00C72E8E" w14:paraId="19BD6992" w14:textId="77777777" w:rsidTr="007863ED">
        <w:trPr>
          <w:jc w:val="center"/>
        </w:trPr>
        <w:tc>
          <w:tcPr>
            <w:tcW w:w="3213" w:type="dxa"/>
          </w:tcPr>
          <w:p w14:paraId="31983F13" w14:textId="77777777" w:rsidR="009547B2" w:rsidRPr="00A26C47" w:rsidRDefault="009547B2" w:rsidP="00FD4EE5">
            <w:pPr>
              <w:spacing w:before="40" w:after="40"/>
              <w:ind w:left="342" w:hanging="90"/>
              <w:rPr>
                <w:rFonts w:cstheme="minorHAnsi"/>
                <w:sz w:val="20"/>
                <w:szCs w:val="20"/>
              </w:rPr>
            </w:pPr>
            <w:r w:rsidRPr="00A26C47">
              <w:rPr>
                <w:rFonts w:cstheme="minorHAnsi"/>
                <w:sz w:val="20"/>
                <w:szCs w:val="20"/>
              </w:rPr>
              <w:t>Osteoporosis</w:t>
            </w:r>
          </w:p>
        </w:tc>
        <w:tc>
          <w:tcPr>
            <w:tcW w:w="2542" w:type="dxa"/>
          </w:tcPr>
          <w:p w14:paraId="38B8846F" w14:textId="77777777" w:rsidR="009547B2" w:rsidRPr="00A26C47" w:rsidRDefault="009547B2" w:rsidP="00A26C47">
            <w:pPr>
              <w:spacing w:before="40" w:after="40"/>
              <w:rPr>
                <w:rFonts w:cstheme="minorHAnsi"/>
                <w:sz w:val="20"/>
                <w:szCs w:val="20"/>
              </w:rPr>
            </w:pPr>
            <w:r w:rsidRPr="00A26C47">
              <w:rPr>
                <w:rFonts w:cstheme="minorHAnsi"/>
                <w:sz w:val="20"/>
                <w:szCs w:val="20"/>
              </w:rPr>
              <w:t>OR=3.44</w:t>
            </w:r>
          </w:p>
        </w:tc>
      </w:tr>
      <w:tr w:rsidR="009547B2" w:rsidRPr="00C72E8E" w14:paraId="1EE3AA94" w14:textId="77777777" w:rsidTr="007863ED">
        <w:trPr>
          <w:jc w:val="center"/>
        </w:trPr>
        <w:tc>
          <w:tcPr>
            <w:tcW w:w="3213" w:type="dxa"/>
          </w:tcPr>
          <w:p w14:paraId="1287D850" w14:textId="77777777" w:rsidR="009547B2" w:rsidRPr="00A26C47" w:rsidRDefault="009547B2" w:rsidP="00FD4EE5">
            <w:pPr>
              <w:spacing w:before="40" w:after="40"/>
              <w:ind w:left="342" w:hanging="90"/>
              <w:rPr>
                <w:rFonts w:cstheme="minorHAnsi"/>
                <w:sz w:val="20"/>
                <w:szCs w:val="20"/>
              </w:rPr>
            </w:pPr>
            <w:r w:rsidRPr="00A26C47">
              <w:rPr>
                <w:rFonts w:cstheme="minorHAnsi"/>
                <w:sz w:val="20"/>
                <w:szCs w:val="20"/>
              </w:rPr>
              <w:t>Rheumatoid arthritis</w:t>
            </w:r>
          </w:p>
        </w:tc>
        <w:tc>
          <w:tcPr>
            <w:tcW w:w="2542" w:type="dxa"/>
          </w:tcPr>
          <w:p w14:paraId="0082397A" w14:textId="77777777" w:rsidR="009547B2" w:rsidRPr="00A26C47" w:rsidRDefault="009547B2" w:rsidP="00A26C47">
            <w:pPr>
              <w:spacing w:before="40" w:after="40"/>
              <w:rPr>
                <w:rFonts w:cstheme="minorHAnsi"/>
                <w:sz w:val="20"/>
                <w:szCs w:val="20"/>
              </w:rPr>
            </w:pPr>
            <w:r w:rsidRPr="00A26C47">
              <w:rPr>
                <w:rFonts w:cstheme="minorHAnsi"/>
                <w:sz w:val="20"/>
                <w:szCs w:val="20"/>
              </w:rPr>
              <w:t>OR=4.65</w:t>
            </w:r>
          </w:p>
        </w:tc>
      </w:tr>
      <w:tr w:rsidR="009547B2" w:rsidRPr="00C72E8E" w14:paraId="0ADE4AE8" w14:textId="77777777" w:rsidTr="007863ED">
        <w:trPr>
          <w:jc w:val="center"/>
        </w:trPr>
        <w:tc>
          <w:tcPr>
            <w:tcW w:w="3213" w:type="dxa"/>
          </w:tcPr>
          <w:p w14:paraId="1F13BE85" w14:textId="77777777" w:rsidR="009547B2" w:rsidRPr="00A26C47" w:rsidRDefault="009547B2" w:rsidP="00FD4EE5">
            <w:pPr>
              <w:spacing w:before="40" w:after="40"/>
              <w:ind w:left="342" w:hanging="90"/>
              <w:rPr>
                <w:rFonts w:cstheme="minorHAnsi"/>
                <w:sz w:val="20"/>
                <w:szCs w:val="20"/>
              </w:rPr>
            </w:pPr>
            <w:r w:rsidRPr="00A26C47">
              <w:rPr>
                <w:rFonts w:cstheme="minorHAnsi"/>
                <w:sz w:val="20"/>
                <w:szCs w:val="20"/>
              </w:rPr>
              <w:t>Ulcerative colitis</w:t>
            </w:r>
          </w:p>
        </w:tc>
        <w:tc>
          <w:tcPr>
            <w:tcW w:w="2542" w:type="dxa"/>
          </w:tcPr>
          <w:p w14:paraId="5380AF9F" w14:textId="77777777" w:rsidR="009547B2" w:rsidRPr="00A26C47" w:rsidRDefault="009547B2" w:rsidP="00A26C47">
            <w:pPr>
              <w:spacing w:before="40" w:after="40"/>
              <w:rPr>
                <w:rFonts w:cstheme="minorHAnsi"/>
                <w:sz w:val="20"/>
                <w:szCs w:val="20"/>
              </w:rPr>
            </w:pPr>
            <w:r w:rsidRPr="00A26C47">
              <w:rPr>
                <w:rFonts w:cstheme="minorHAnsi"/>
                <w:sz w:val="20"/>
                <w:szCs w:val="20"/>
              </w:rPr>
              <w:t>OR= 8.0</w:t>
            </w:r>
          </w:p>
        </w:tc>
      </w:tr>
      <w:tr w:rsidR="00F836F1" w:rsidRPr="00C72E8E" w14:paraId="63C047B0" w14:textId="77777777" w:rsidTr="00F836F1">
        <w:trPr>
          <w:jc w:val="center"/>
        </w:trPr>
        <w:tc>
          <w:tcPr>
            <w:tcW w:w="5755" w:type="dxa"/>
            <w:gridSpan w:val="2"/>
          </w:tcPr>
          <w:p w14:paraId="0CEC63E0" w14:textId="77777777" w:rsidR="00F836F1" w:rsidRPr="00A26C47" w:rsidRDefault="00F836F1" w:rsidP="00F836F1">
            <w:pPr>
              <w:spacing w:before="40" w:after="40"/>
              <w:rPr>
                <w:rFonts w:cstheme="minorHAnsi"/>
                <w:sz w:val="20"/>
                <w:szCs w:val="20"/>
              </w:rPr>
            </w:pPr>
            <w:r>
              <w:rPr>
                <w:rFonts w:cstheme="minorHAnsi"/>
                <w:sz w:val="20"/>
                <w:szCs w:val="20"/>
              </w:rPr>
              <w:t>Based on Protocol Attachment 4 Table 2.</w:t>
            </w:r>
          </w:p>
        </w:tc>
      </w:tr>
    </w:tbl>
    <w:p w14:paraId="628B176F" w14:textId="77777777" w:rsidR="009547B2" w:rsidRDefault="009547B2" w:rsidP="009547B2"/>
    <w:p w14:paraId="0D0ED7C4" w14:textId="77777777" w:rsidR="00AB31E7" w:rsidRPr="00FD4EE5" w:rsidRDefault="00AB31E7" w:rsidP="009547B2">
      <w:pPr>
        <w:rPr>
          <w:sz w:val="24"/>
          <w:szCs w:val="24"/>
        </w:rPr>
      </w:pPr>
      <w:r w:rsidRPr="008803A0">
        <w:rPr>
          <w:sz w:val="24"/>
          <w:szCs w:val="24"/>
        </w:rPr>
        <w:t>Child Study</w:t>
      </w:r>
    </w:p>
    <w:p w14:paraId="0D7836E6" w14:textId="7B0964B7" w:rsidR="00596011" w:rsidRPr="00FD4EE5" w:rsidRDefault="002C1E4A" w:rsidP="00596011">
      <w:pPr>
        <w:rPr>
          <w:rFonts w:cstheme="minorHAnsi"/>
          <w:sz w:val="24"/>
          <w:szCs w:val="24"/>
        </w:rPr>
      </w:pPr>
      <w:r>
        <w:rPr>
          <w:rFonts w:cstheme="minorHAnsi"/>
          <w:sz w:val="24"/>
          <w:szCs w:val="24"/>
        </w:rPr>
        <w:t>Minimum detectable differences were</w:t>
      </w:r>
      <w:r w:rsidR="00596011" w:rsidRPr="00FD4EE5">
        <w:rPr>
          <w:rFonts w:cstheme="minorHAnsi"/>
          <w:sz w:val="24"/>
          <w:szCs w:val="24"/>
        </w:rPr>
        <w:t xml:space="preserve"> calculat</w:t>
      </w:r>
      <w:r>
        <w:rPr>
          <w:rFonts w:cstheme="minorHAnsi"/>
          <w:sz w:val="24"/>
          <w:szCs w:val="24"/>
        </w:rPr>
        <w:t>ed</w:t>
      </w:r>
      <w:r w:rsidR="00596011" w:rsidRPr="00FD4EE5">
        <w:rPr>
          <w:rFonts w:cstheme="minorHAnsi"/>
          <w:sz w:val="24"/>
          <w:szCs w:val="24"/>
        </w:rPr>
        <w:t xml:space="preserve"> with type 1 (“α error”) set at .05 and type 2 error (“β error) set at .20. Sample sizes per stratum group were calculated. It was considered important that a study have a total sample size so that exposures could be categorized into tertiles (i.e., reference level, medium level, and high level) or quartiles (i.e., reference level, low, medium and high) (</w:t>
      </w:r>
      <w:r w:rsidR="00596011" w:rsidRPr="00FD4EE5">
        <w:rPr>
          <w:rFonts w:cstheme="minorHAnsi"/>
          <w:b/>
          <w:sz w:val="24"/>
          <w:szCs w:val="24"/>
        </w:rPr>
        <w:t>Attachment 4</w:t>
      </w:r>
      <w:r w:rsidR="00596011" w:rsidRPr="00FD4EE5">
        <w:rPr>
          <w:rFonts w:cstheme="minorHAnsi"/>
          <w:sz w:val="24"/>
          <w:szCs w:val="24"/>
        </w:rPr>
        <w:t>).</w:t>
      </w:r>
    </w:p>
    <w:p w14:paraId="57DECDF9" w14:textId="77777777" w:rsidR="00596011" w:rsidRPr="00FD4EE5" w:rsidRDefault="00596011" w:rsidP="00596011">
      <w:pPr>
        <w:rPr>
          <w:rFonts w:cstheme="minorHAnsi"/>
          <w:sz w:val="24"/>
          <w:szCs w:val="24"/>
        </w:rPr>
      </w:pPr>
      <w:r w:rsidRPr="00FD4EE5">
        <w:rPr>
          <w:rFonts w:cstheme="minorHAnsi"/>
          <w:sz w:val="24"/>
          <w:szCs w:val="24"/>
        </w:rPr>
        <w:t xml:space="preserve">Studies were selected that were considered the most representative of U.S. populations exposed via drinking water to PFOA, PFOS and/or PFHxS as a result of the migration of these PFAS chemicals into ground water or surface water sources from the use of aqueous film forming foam (AFFF). The PFAS serum results from the Pease </w:t>
      </w:r>
      <w:r w:rsidR="00CC2C7A">
        <w:rPr>
          <w:rFonts w:cstheme="minorHAnsi"/>
          <w:sz w:val="24"/>
          <w:szCs w:val="24"/>
        </w:rPr>
        <w:t>PFC Blood Testing Program</w:t>
      </w:r>
      <w:r w:rsidRPr="00FD4EE5">
        <w:rPr>
          <w:rFonts w:cstheme="minorHAnsi"/>
          <w:sz w:val="24"/>
          <w:szCs w:val="24"/>
        </w:rPr>
        <w:t xml:space="preserve"> were used as representative PFAS serum levels.  </w:t>
      </w:r>
    </w:p>
    <w:p w14:paraId="1990C10C" w14:textId="3269CC39" w:rsidR="00596011" w:rsidRPr="00FD4EE5" w:rsidRDefault="00596011" w:rsidP="00596011">
      <w:pPr>
        <w:rPr>
          <w:rFonts w:cstheme="minorHAnsi"/>
          <w:sz w:val="24"/>
          <w:szCs w:val="24"/>
        </w:rPr>
      </w:pPr>
      <w:r w:rsidRPr="00FD4EE5">
        <w:rPr>
          <w:rFonts w:cstheme="minorHAnsi"/>
          <w:sz w:val="24"/>
          <w:szCs w:val="24"/>
        </w:rPr>
        <w:t xml:space="preserve">Studies conducted using NHANES data had PFOA and PFHxS serum levels similar to or lower than those observed at Pease. Therefore the PFOS, PFOA and PFHxS results in the NHANES studies were used in many of the </w:t>
      </w:r>
      <w:r w:rsidR="002C1E4A">
        <w:rPr>
          <w:rFonts w:cstheme="minorHAnsi"/>
          <w:sz w:val="24"/>
          <w:szCs w:val="24"/>
        </w:rPr>
        <w:t>minimum detectable difference</w:t>
      </w:r>
      <w:r w:rsidRPr="00FD4EE5">
        <w:rPr>
          <w:rFonts w:cstheme="minorHAnsi"/>
          <w:sz w:val="24"/>
          <w:szCs w:val="24"/>
        </w:rPr>
        <w:t xml:space="preserve"> calculations. For those outcomes not included in NHANES studies, the C8 studies were used.  Where applicable studies from Taiwan or other major industrialized countries were also used. </w:t>
      </w:r>
    </w:p>
    <w:p w14:paraId="614A98F0" w14:textId="77777777" w:rsidR="00AB31E7" w:rsidRPr="00FD4EE5" w:rsidRDefault="00AB31E7" w:rsidP="00FD4EE5">
      <w:pPr>
        <w:autoSpaceDE w:val="0"/>
        <w:autoSpaceDN w:val="0"/>
        <w:adjustRightInd w:val="0"/>
        <w:spacing w:after="0" w:line="276" w:lineRule="auto"/>
        <w:rPr>
          <w:sz w:val="24"/>
          <w:szCs w:val="24"/>
        </w:rPr>
      </w:pPr>
    </w:p>
    <w:p w14:paraId="05DA1625" w14:textId="77777777" w:rsidR="00906A63" w:rsidRPr="00C72E8E" w:rsidRDefault="00165227" w:rsidP="00906A63">
      <w:pPr>
        <w:spacing w:line="240" w:lineRule="auto"/>
        <w:rPr>
          <w:rFonts w:cstheme="minorHAnsi"/>
          <w:b/>
        </w:rPr>
      </w:pPr>
      <w:bookmarkStart w:id="5" w:name="_Toc4777325"/>
      <w:r>
        <w:rPr>
          <w:rFonts w:cstheme="minorHAnsi"/>
        </w:rPr>
        <w:t>Table B.1.</w:t>
      </w:r>
      <w:r w:rsidR="00596011">
        <w:rPr>
          <w:rFonts w:cstheme="minorHAnsi"/>
        </w:rPr>
        <w:t>4</w:t>
      </w:r>
      <w:r w:rsidR="00906A63" w:rsidRPr="00850941">
        <w:rPr>
          <w:rFonts w:cstheme="minorHAnsi"/>
        </w:rPr>
        <w:t>.</w:t>
      </w:r>
      <w:r w:rsidR="00906A63" w:rsidRPr="00C72E8E">
        <w:rPr>
          <w:rFonts w:cstheme="minorHAnsi"/>
          <w:b/>
        </w:rPr>
        <w:t xml:space="preserve">  </w:t>
      </w:r>
      <w:r w:rsidR="00A57FD4">
        <w:rPr>
          <w:rFonts w:cstheme="minorHAnsi"/>
        </w:rPr>
        <w:t>Minimum D</w:t>
      </w:r>
      <w:r w:rsidR="00906A63" w:rsidRPr="00C72E8E">
        <w:rPr>
          <w:rFonts w:cstheme="minorHAnsi"/>
        </w:rPr>
        <w:t>ete</w:t>
      </w:r>
      <w:r w:rsidR="00A57FD4">
        <w:rPr>
          <w:rFonts w:cstheme="minorHAnsi"/>
        </w:rPr>
        <w:t>ctable Effects for Pease C</w:t>
      </w:r>
      <w:r w:rsidR="00906A63">
        <w:rPr>
          <w:rFonts w:cstheme="minorHAnsi"/>
        </w:rPr>
        <w:t>hild</w:t>
      </w:r>
      <w:r w:rsidR="00A57FD4">
        <w:rPr>
          <w:rFonts w:cstheme="minorHAnsi"/>
        </w:rPr>
        <w:t xml:space="preserve"> Study of 350 Exposed and 175 R</w:t>
      </w:r>
      <w:r w:rsidR="00906A63" w:rsidRPr="00C72E8E">
        <w:rPr>
          <w:rFonts w:cstheme="minorHAnsi"/>
        </w:rPr>
        <w:t>eferents.</w:t>
      </w:r>
    </w:p>
    <w:tbl>
      <w:tblPr>
        <w:tblStyle w:val="TableGrid"/>
        <w:tblW w:w="0" w:type="auto"/>
        <w:tblInd w:w="1388" w:type="dxa"/>
        <w:tblLook w:val="04A0" w:firstRow="1" w:lastRow="0" w:firstColumn="1" w:lastColumn="0" w:noHBand="0" w:noVBand="1"/>
      </w:tblPr>
      <w:tblGrid>
        <w:gridCol w:w="3623"/>
        <w:gridCol w:w="2942"/>
      </w:tblGrid>
      <w:tr w:rsidR="00A57FD4" w:rsidRPr="00A57FD4" w14:paraId="506CB438" w14:textId="77777777" w:rsidTr="00BC25EA">
        <w:tc>
          <w:tcPr>
            <w:tcW w:w="3623" w:type="dxa"/>
            <w:tcBorders>
              <w:bottom w:val="single" w:sz="18" w:space="0" w:color="auto"/>
            </w:tcBorders>
          </w:tcPr>
          <w:p w14:paraId="1A902C96" w14:textId="77777777" w:rsidR="00A57FD4" w:rsidRPr="00FD4EE5" w:rsidRDefault="00A57FD4" w:rsidP="00FD4EE5">
            <w:pPr>
              <w:spacing w:before="40" w:after="40"/>
              <w:rPr>
                <w:rFonts w:cstheme="minorHAnsi"/>
                <w:b/>
                <w:sz w:val="20"/>
                <w:szCs w:val="20"/>
              </w:rPr>
            </w:pPr>
            <w:r w:rsidRPr="00FD4EE5">
              <w:rPr>
                <w:rFonts w:cstheme="minorHAnsi"/>
                <w:b/>
                <w:sz w:val="20"/>
                <w:szCs w:val="20"/>
              </w:rPr>
              <w:t>Endpoint</w:t>
            </w:r>
          </w:p>
        </w:tc>
        <w:tc>
          <w:tcPr>
            <w:tcW w:w="2942" w:type="dxa"/>
            <w:tcBorders>
              <w:bottom w:val="single" w:sz="18" w:space="0" w:color="auto"/>
            </w:tcBorders>
          </w:tcPr>
          <w:p w14:paraId="280B313D" w14:textId="77777777" w:rsidR="00A57FD4" w:rsidRPr="00FD4EE5" w:rsidRDefault="00A57FD4" w:rsidP="00FD4EE5">
            <w:pPr>
              <w:spacing w:before="40" w:after="40"/>
              <w:rPr>
                <w:rFonts w:cstheme="minorHAnsi"/>
                <w:b/>
                <w:sz w:val="20"/>
                <w:szCs w:val="20"/>
              </w:rPr>
            </w:pPr>
            <w:r w:rsidRPr="00FD4EE5">
              <w:rPr>
                <w:rFonts w:cstheme="minorHAnsi"/>
                <w:b/>
                <w:sz w:val="20"/>
                <w:szCs w:val="20"/>
              </w:rPr>
              <w:t>α = .05, β=.20</w:t>
            </w:r>
          </w:p>
        </w:tc>
      </w:tr>
      <w:tr w:rsidR="00A57FD4" w:rsidRPr="00A57FD4" w14:paraId="4D45F509" w14:textId="77777777" w:rsidTr="00BC25EA">
        <w:tc>
          <w:tcPr>
            <w:tcW w:w="3623" w:type="dxa"/>
            <w:tcBorders>
              <w:top w:val="single" w:sz="4" w:space="0" w:color="auto"/>
              <w:left w:val="single" w:sz="4" w:space="0" w:color="auto"/>
              <w:bottom w:val="single" w:sz="4" w:space="0" w:color="auto"/>
              <w:right w:val="single" w:sz="4" w:space="0" w:color="auto"/>
            </w:tcBorders>
          </w:tcPr>
          <w:p w14:paraId="754AB7FC" w14:textId="77777777" w:rsidR="00A57FD4" w:rsidRPr="00FD4EE5" w:rsidRDefault="00A57FD4" w:rsidP="00FD4EE5">
            <w:pPr>
              <w:spacing w:before="40" w:after="40"/>
              <w:rPr>
                <w:rFonts w:cstheme="minorHAnsi"/>
                <w:sz w:val="20"/>
                <w:szCs w:val="20"/>
              </w:rPr>
            </w:pPr>
            <w:r w:rsidRPr="00FD4EE5">
              <w:rPr>
                <w:rFonts w:cstheme="minorHAnsi"/>
                <w:sz w:val="20"/>
                <w:szCs w:val="20"/>
              </w:rPr>
              <w:t>Mean difference</w:t>
            </w:r>
            <w:r>
              <w:rPr>
                <w:rFonts w:cstheme="minorHAnsi"/>
                <w:sz w:val="20"/>
                <w:szCs w:val="20"/>
              </w:rPr>
              <w:t xml:space="preserve"> in</w:t>
            </w:r>
            <w:r w:rsidRPr="00FD4EE5">
              <w:rPr>
                <w:rFonts w:cstheme="minorHAnsi"/>
                <w:sz w:val="20"/>
                <w:szCs w:val="20"/>
              </w:rPr>
              <w:t>:</w:t>
            </w:r>
          </w:p>
        </w:tc>
        <w:tc>
          <w:tcPr>
            <w:tcW w:w="2942" w:type="dxa"/>
            <w:tcBorders>
              <w:top w:val="single" w:sz="4" w:space="0" w:color="auto"/>
              <w:left w:val="single" w:sz="4" w:space="0" w:color="auto"/>
              <w:bottom w:val="single" w:sz="4" w:space="0" w:color="auto"/>
              <w:right w:val="single" w:sz="4" w:space="0" w:color="auto"/>
            </w:tcBorders>
          </w:tcPr>
          <w:p w14:paraId="4E81311D" w14:textId="77777777" w:rsidR="00A57FD4" w:rsidRPr="00FD4EE5" w:rsidRDefault="00A57FD4" w:rsidP="00FD4EE5">
            <w:pPr>
              <w:spacing w:before="40" w:after="40"/>
              <w:rPr>
                <w:rFonts w:cstheme="minorHAnsi"/>
                <w:sz w:val="20"/>
                <w:szCs w:val="20"/>
              </w:rPr>
            </w:pPr>
          </w:p>
        </w:tc>
      </w:tr>
      <w:tr w:rsidR="00A57FD4" w:rsidRPr="00A57FD4" w14:paraId="3D0AFC7E" w14:textId="77777777" w:rsidTr="00BC25EA">
        <w:tc>
          <w:tcPr>
            <w:tcW w:w="3623" w:type="dxa"/>
            <w:tcBorders>
              <w:top w:val="single" w:sz="4" w:space="0" w:color="auto"/>
              <w:left w:val="single" w:sz="4" w:space="0" w:color="auto"/>
              <w:bottom w:val="single" w:sz="4" w:space="0" w:color="auto"/>
              <w:right w:val="single" w:sz="4" w:space="0" w:color="auto"/>
            </w:tcBorders>
          </w:tcPr>
          <w:p w14:paraId="0FD62966" w14:textId="77777777" w:rsidR="00A57FD4" w:rsidRPr="00FD4EE5" w:rsidRDefault="00A57FD4" w:rsidP="00FD4EE5">
            <w:pPr>
              <w:spacing w:before="40" w:after="40"/>
              <w:ind w:firstLine="385"/>
              <w:rPr>
                <w:rFonts w:cstheme="minorHAnsi"/>
                <w:sz w:val="20"/>
                <w:szCs w:val="20"/>
              </w:rPr>
            </w:pPr>
            <w:r w:rsidRPr="00FD4EE5">
              <w:rPr>
                <w:rFonts w:cstheme="minorHAnsi"/>
                <w:sz w:val="20"/>
                <w:szCs w:val="20"/>
              </w:rPr>
              <w:t>Total cholesterol</w:t>
            </w:r>
          </w:p>
        </w:tc>
        <w:tc>
          <w:tcPr>
            <w:tcW w:w="2942" w:type="dxa"/>
            <w:tcBorders>
              <w:top w:val="single" w:sz="4" w:space="0" w:color="auto"/>
              <w:left w:val="single" w:sz="4" w:space="0" w:color="auto"/>
              <w:bottom w:val="single" w:sz="4" w:space="0" w:color="auto"/>
              <w:right w:val="single" w:sz="4" w:space="0" w:color="auto"/>
            </w:tcBorders>
          </w:tcPr>
          <w:p w14:paraId="25FEDA57" w14:textId="77777777" w:rsidR="00A57FD4" w:rsidRPr="00FD4EE5" w:rsidRDefault="00A57FD4" w:rsidP="00FD4EE5">
            <w:pPr>
              <w:spacing w:before="40" w:after="40"/>
              <w:rPr>
                <w:rFonts w:cstheme="minorHAnsi"/>
                <w:sz w:val="20"/>
                <w:szCs w:val="20"/>
              </w:rPr>
            </w:pPr>
            <w:r w:rsidRPr="00FD4EE5">
              <w:rPr>
                <w:rFonts w:cstheme="minorHAnsi"/>
                <w:sz w:val="20"/>
                <w:szCs w:val="20"/>
              </w:rPr>
              <w:t>9.8 mg/dL</w:t>
            </w:r>
          </w:p>
        </w:tc>
      </w:tr>
      <w:tr w:rsidR="00A57FD4" w:rsidRPr="00A57FD4" w14:paraId="6AD7634E" w14:textId="77777777" w:rsidTr="00BC25EA">
        <w:tc>
          <w:tcPr>
            <w:tcW w:w="3623" w:type="dxa"/>
            <w:tcBorders>
              <w:top w:val="single" w:sz="4" w:space="0" w:color="auto"/>
            </w:tcBorders>
          </w:tcPr>
          <w:p w14:paraId="69855326" w14:textId="77777777" w:rsidR="00A57FD4" w:rsidRPr="00FD4EE5" w:rsidRDefault="00A57FD4" w:rsidP="00FD4EE5">
            <w:pPr>
              <w:spacing w:before="40" w:after="40"/>
              <w:ind w:firstLine="385"/>
              <w:rPr>
                <w:rFonts w:cstheme="minorHAnsi"/>
                <w:sz w:val="20"/>
                <w:szCs w:val="20"/>
              </w:rPr>
            </w:pPr>
            <w:r w:rsidRPr="00FD4EE5">
              <w:rPr>
                <w:rFonts w:cstheme="minorHAnsi"/>
                <w:sz w:val="20"/>
                <w:szCs w:val="20"/>
              </w:rPr>
              <w:t>Uric acid</w:t>
            </w:r>
          </w:p>
        </w:tc>
        <w:tc>
          <w:tcPr>
            <w:tcW w:w="2942" w:type="dxa"/>
            <w:tcBorders>
              <w:top w:val="single" w:sz="4" w:space="0" w:color="auto"/>
            </w:tcBorders>
          </w:tcPr>
          <w:p w14:paraId="3AD3CFCB" w14:textId="77777777" w:rsidR="00A57FD4" w:rsidRPr="00FD4EE5" w:rsidRDefault="00A57FD4" w:rsidP="00FD4EE5">
            <w:pPr>
              <w:spacing w:before="40" w:after="40"/>
              <w:rPr>
                <w:rFonts w:cstheme="minorHAnsi"/>
                <w:sz w:val="20"/>
                <w:szCs w:val="20"/>
              </w:rPr>
            </w:pPr>
            <w:r w:rsidRPr="00FD4EE5">
              <w:rPr>
                <w:rFonts w:cstheme="minorHAnsi"/>
                <w:sz w:val="20"/>
                <w:szCs w:val="20"/>
              </w:rPr>
              <w:t>0.40 mg/dL</w:t>
            </w:r>
          </w:p>
        </w:tc>
      </w:tr>
      <w:tr w:rsidR="00A57FD4" w:rsidRPr="00A57FD4" w14:paraId="05968CB0" w14:textId="77777777" w:rsidTr="00BC25EA">
        <w:tc>
          <w:tcPr>
            <w:tcW w:w="3623" w:type="dxa"/>
          </w:tcPr>
          <w:p w14:paraId="640988E4" w14:textId="77777777" w:rsidR="00A57FD4" w:rsidRPr="00FD4EE5" w:rsidRDefault="00A57FD4" w:rsidP="00FD4EE5">
            <w:pPr>
              <w:spacing w:before="40" w:after="40"/>
              <w:ind w:firstLine="385"/>
              <w:rPr>
                <w:rFonts w:cstheme="minorHAnsi"/>
                <w:sz w:val="20"/>
                <w:szCs w:val="20"/>
              </w:rPr>
            </w:pPr>
            <w:r w:rsidRPr="00FD4EE5">
              <w:rPr>
                <w:rFonts w:cstheme="minorHAnsi"/>
                <w:sz w:val="20"/>
                <w:szCs w:val="20"/>
              </w:rPr>
              <w:t xml:space="preserve">eGFR </w:t>
            </w:r>
          </w:p>
        </w:tc>
        <w:tc>
          <w:tcPr>
            <w:tcW w:w="2942" w:type="dxa"/>
          </w:tcPr>
          <w:p w14:paraId="5CD57FD9" w14:textId="77777777" w:rsidR="00A57FD4" w:rsidRPr="00FD4EE5" w:rsidRDefault="00A57FD4" w:rsidP="00FD4EE5">
            <w:pPr>
              <w:spacing w:before="40" w:after="40"/>
              <w:rPr>
                <w:rFonts w:cstheme="minorHAnsi"/>
                <w:sz w:val="20"/>
                <w:szCs w:val="20"/>
              </w:rPr>
            </w:pPr>
            <w:r w:rsidRPr="00FD4EE5">
              <w:rPr>
                <w:rFonts w:cstheme="minorHAnsi"/>
                <w:sz w:val="20"/>
                <w:szCs w:val="20"/>
              </w:rPr>
              <w:t>9.3 mL/min/1.73 m</w:t>
            </w:r>
            <w:r w:rsidRPr="00FD4EE5">
              <w:rPr>
                <w:rFonts w:cstheme="minorHAnsi"/>
                <w:sz w:val="20"/>
                <w:szCs w:val="20"/>
                <w:vertAlign w:val="superscript"/>
              </w:rPr>
              <w:t>2</w:t>
            </w:r>
          </w:p>
        </w:tc>
      </w:tr>
      <w:tr w:rsidR="00A57FD4" w:rsidRPr="00A57FD4" w14:paraId="5D0231C4" w14:textId="77777777" w:rsidTr="00BC25EA">
        <w:tc>
          <w:tcPr>
            <w:tcW w:w="3623" w:type="dxa"/>
          </w:tcPr>
          <w:p w14:paraId="7BA00224" w14:textId="77777777" w:rsidR="00A57FD4" w:rsidRPr="00FD4EE5" w:rsidRDefault="00A57FD4" w:rsidP="00FD4EE5">
            <w:pPr>
              <w:spacing w:before="40" w:after="40"/>
              <w:ind w:firstLine="385"/>
              <w:rPr>
                <w:rFonts w:cstheme="minorHAnsi"/>
                <w:sz w:val="20"/>
                <w:szCs w:val="20"/>
              </w:rPr>
            </w:pPr>
            <w:r w:rsidRPr="00FD4EE5">
              <w:rPr>
                <w:rFonts w:cstheme="minorHAnsi"/>
                <w:sz w:val="20"/>
                <w:szCs w:val="20"/>
              </w:rPr>
              <w:t>IGF – 1</w:t>
            </w:r>
          </w:p>
        </w:tc>
        <w:tc>
          <w:tcPr>
            <w:tcW w:w="2942" w:type="dxa"/>
          </w:tcPr>
          <w:p w14:paraId="447F26D9" w14:textId="77777777" w:rsidR="00A57FD4" w:rsidRPr="00FD4EE5" w:rsidRDefault="00A57FD4" w:rsidP="00FD4EE5">
            <w:pPr>
              <w:spacing w:before="40" w:after="40"/>
              <w:rPr>
                <w:rFonts w:cstheme="minorHAnsi"/>
                <w:sz w:val="20"/>
                <w:szCs w:val="20"/>
              </w:rPr>
            </w:pPr>
            <w:r w:rsidRPr="00FD4EE5">
              <w:rPr>
                <w:rFonts w:cstheme="minorHAnsi"/>
                <w:sz w:val="20"/>
                <w:szCs w:val="20"/>
              </w:rPr>
              <w:t>22.5 ng/mL</w:t>
            </w:r>
          </w:p>
        </w:tc>
      </w:tr>
      <w:tr w:rsidR="00A57FD4" w:rsidRPr="00A57FD4" w14:paraId="1C27C8C0" w14:textId="77777777" w:rsidTr="00BC25EA">
        <w:tc>
          <w:tcPr>
            <w:tcW w:w="3623" w:type="dxa"/>
          </w:tcPr>
          <w:p w14:paraId="383C0B5D" w14:textId="77777777" w:rsidR="00A57FD4" w:rsidRPr="00FD4EE5" w:rsidRDefault="00A57FD4" w:rsidP="00FD4EE5">
            <w:pPr>
              <w:spacing w:before="40" w:after="40"/>
              <w:ind w:firstLine="385"/>
              <w:rPr>
                <w:rFonts w:cstheme="minorHAnsi"/>
                <w:sz w:val="20"/>
                <w:szCs w:val="20"/>
              </w:rPr>
            </w:pPr>
            <w:r w:rsidRPr="00FD4EE5">
              <w:rPr>
                <w:rFonts w:cstheme="minorHAnsi"/>
                <w:sz w:val="20"/>
                <w:szCs w:val="20"/>
              </w:rPr>
              <w:t>TT</w:t>
            </w:r>
            <w:r w:rsidRPr="00FD4EE5">
              <w:rPr>
                <w:rFonts w:cstheme="minorHAnsi"/>
                <w:sz w:val="20"/>
                <w:szCs w:val="20"/>
                <w:vertAlign w:val="subscript"/>
              </w:rPr>
              <w:t>4</w:t>
            </w:r>
          </w:p>
        </w:tc>
        <w:tc>
          <w:tcPr>
            <w:tcW w:w="2942" w:type="dxa"/>
          </w:tcPr>
          <w:p w14:paraId="728CBC7C" w14:textId="77777777" w:rsidR="00A57FD4" w:rsidRPr="00FD4EE5" w:rsidRDefault="00A57FD4" w:rsidP="00FD4EE5">
            <w:pPr>
              <w:spacing w:before="40" w:after="40"/>
              <w:rPr>
                <w:rFonts w:cstheme="minorHAnsi"/>
                <w:sz w:val="20"/>
                <w:szCs w:val="20"/>
              </w:rPr>
            </w:pPr>
            <w:r w:rsidRPr="00FD4EE5">
              <w:rPr>
                <w:rFonts w:cstheme="minorHAnsi"/>
                <w:sz w:val="20"/>
                <w:szCs w:val="20"/>
              </w:rPr>
              <w:t>0.37 µg/dL*</w:t>
            </w:r>
          </w:p>
        </w:tc>
      </w:tr>
      <w:tr w:rsidR="00A57FD4" w:rsidRPr="00A57FD4" w14:paraId="7C342F8B" w14:textId="77777777" w:rsidTr="00BC25EA">
        <w:tc>
          <w:tcPr>
            <w:tcW w:w="3623" w:type="dxa"/>
          </w:tcPr>
          <w:p w14:paraId="3D4D3036" w14:textId="77777777" w:rsidR="00A57FD4" w:rsidRPr="00FD4EE5" w:rsidRDefault="00A57FD4" w:rsidP="00FD4EE5">
            <w:pPr>
              <w:spacing w:before="40" w:after="40"/>
              <w:ind w:firstLine="385"/>
              <w:rPr>
                <w:rFonts w:cstheme="minorHAnsi"/>
                <w:sz w:val="20"/>
                <w:szCs w:val="20"/>
                <w:vertAlign w:val="superscript"/>
              </w:rPr>
            </w:pPr>
            <w:r w:rsidRPr="00FD4EE5">
              <w:rPr>
                <w:rFonts w:cstheme="minorHAnsi"/>
                <w:sz w:val="20"/>
                <w:szCs w:val="20"/>
              </w:rPr>
              <w:t>Wechsler Full Scale IQ</w:t>
            </w:r>
          </w:p>
        </w:tc>
        <w:tc>
          <w:tcPr>
            <w:tcW w:w="2942" w:type="dxa"/>
          </w:tcPr>
          <w:p w14:paraId="553F65E0" w14:textId="77777777" w:rsidR="00A57FD4" w:rsidRPr="00FD4EE5" w:rsidRDefault="00A57FD4" w:rsidP="00FD4EE5">
            <w:pPr>
              <w:spacing w:before="40" w:after="40"/>
              <w:rPr>
                <w:rFonts w:cstheme="minorHAnsi"/>
                <w:sz w:val="20"/>
                <w:szCs w:val="20"/>
              </w:rPr>
            </w:pPr>
            <w:r w:rsidRPr="00FD4EE5">
              <w:rPr>
                <w:rFonts w:cstheme="minorHAnsi"/>
                <w:sz w:val="20"/>
                <w:szCs w:val="20"/>
              </w:rPr>
              <w:t>3.4 points*</w:t>
            </w:r>
          </w:p>
        </w:tc>
      </w:tr>
      <w:tr w:rsidR="00A57FD4" w:rsidRPr="00A57FD4" w14:paraId="217A9511" w14:textId="77777777" w:rsidTr="00BC25EA">
        <w:tc>
          <w:tcPr>
            <w:tcW w:w="3623" w:type="dxa"/>
          </w:tcPr>
          <w:p w14:paraId="7910DA48" w14:textId="77777777" w:rsidR="00A57FD4" w:rsidRPr="00FD4EE5" w:rsidRDefault="00A57FD4" w:rsidP="00FD4EE5">
            <w:pPr>
              <w:spacing w:before="40" w:after="40"/>
              <w:rPr>
                <w:rFonts w:cstheme="minorHAnsi"/>
                <w:sz w:val="6"/>
                <w:szCs w:val="6"/>
              </w:rPr>
            </w:pPr>
          </w:p>
        </w:tc>
        <w:tc>
          <w:tcPr>
            <w:tcW w:w="2942" w:type="dxa"/>
          </w:tcPr>
          <w:p w14:paraId="169306DA" w14:textId="77777777" w:rsidR="00A57FD4" w:rsidRPr="00FD4EE5" w:rsidRDefault="00A57FD4" w:rsidP="00FD4EE5">
            <w:pPr>
              <w:spacing w:before="40" w:after="40"/>
              <w:rPr>
                <w:rFonts w:cstheme="minorHAnsi"/>
                <w:sz w:val="6"/>
                <w:szCs w:val="6"/>
              </w:rPr>
            </w:pPr>
          </w:p>
        </w:tc>
      </w:tr>
      <w:tr w:rsidR="00A57FD4" w:rsidRPr="00A57FD4" w14:paraId="2E9F71BF" w14:textId="77777777" w:rsidTr="00BC25EA">
        <w:tc>
          <w:tcPr>
            <w:tcW w:w="3623" w:type="dxa"/>
          </w:tcPr>
          <w:p w14:paraId="76B565AB" w14:textId="77777777" w:rsidR="00A57FD4" w:rsidRPr="00FD4EE5" w:rsidRDefault="00A57FD4" w:rsidP="00FD4EE5">
            <w:pPr>
              <w:spacing w:before="40" w:after="40"/>
              <w:rPr>
                <w:rFonts w:cstheme="minorHAnsi"/>
                <w:sz w:val="20"/>
                <w:szCs w:val="20"/>
              </w:rPr>
            </w:pPr>
            <w:r w:rsidRPr="00FD4EE5">
              <w:rPr>
                <w:rFonts w:cstheme="minorHAnsi"/>
                <w:sz w:val="20"/>
                <w:szCs w:val="20"/>
              </w:rPr>
              <w:t>Odds Ratio (OR)</w:t>
            </w:r>
            <w:r>
              <w:rPr>
                <w:rFonts w:cstheme="minorHAnsi"/>
                <w:sz w:val="20"/>
                <w:szCs w:val="20"/>
              </w:rPr>
              <w:t xml:space="preserve"> for:</w:t>
            </w:r>
          </w:p>
        </w:tc>
        <w:tc>
          <w:tcPr>
            <w:tcW w:w="2942" w:type="dxa"/>
          </w:tcPr>
          <w:p w14:paraId="280A4FAD" w14:textId="77777777" w:rsidR="00A57FD4" w:rsidRPr="00FD4EE5" w:rsidRDefault="00A57FD4" w:rsidP="00FD4EE5">
            <w:pPr>
              <w:spacing w:before="40" w:after="40"/>
              <w:rPr>
                <w:rFonts w:cstheme="minorHAnsi"/>
                <w:sz w:val="20"/>
                <w:szCs w:val="20"/>
              </w:rPr>
            </w:pPr>
          </w:p>
        </w:tc>
      </w:tr>
      <w:tr w:rsidR="00A57FD4" w:rsidRPr="00A57FD4" w14:paraId="04D2E68C" w14:textId="77777777" w:rsidTr="00BC25EA">
        <w:tc>
          <w:tcPr>
            <w:tcW w:w="3623" w:type="dxa"/>
          </w:tcPr>
          <w:p w14:paraId="35DB7452" w14:textId="77777777" w:rsidR="00A57FD4" w:rsidRPr="00FD4EE5" w:rsidRDefault="00A57FD4" w:rsidP="00FD4EE5">
            <w:pPr>
              <w:spacing w:before="40" w:after="40"/>
              <w:ind w:firstLine="385"/>
              <w:rPr>
                <w:rFonts w:cstheme="minorHAnsi"/>
                <w:sz w:val="20"/>
                <w:szCs w:val="20"/>
              </w:rPr>
            </w:pPr>
            <w:r w:rsidRPr="00FD4EE5">
              <w:rPr>
                <w:rFonts w:cstheme="minorHAnsi"/>
                <w:sz w:val="20"/>
                <w:szCs w:val="20"/>
              </w:rPr>
              <w:t xml:space="preserve">Hypercholesterolemia </w:t>
            </w:r>
          </w:p>
        </w:tc>
        <w:tc>
          <w:tcPr>
            <w:tcW w:w="2942" w:type="dxa"/>
          </w:tcPr>
          <w:p w14:paraId="3F0A2FA7" w14:textId="77777777" w:rsidR="00A57FD4" w:rsidRPr="00FD4EE5" w:rsidRDefault="00A57FD4" w:rsidP="00FD4EE5">
            <w:pPr>
              <w:spacing w:before="40" w:after="40"/>
              <w:rPr>
                <w:rFonts w:cstheme="minorHAnsi"/>
                <w:sz w:val="20"/>
                <w:szCs w:val="20"/>
              </w:rPr>
            </w:pPr>
            <w:r w:rsidRPr="00FD4EE5">
              <w:rPr>
                <w:rFonts w:cstheme="minorHAnsi"/>
                <w:sz w:val="20"/>
                <w:szCs w:val="20"/>
              </w:rPr>
              <w:t>OR = 2.00</w:t>
            </w:r>
          </w:p>
        </w:tc>
      </w:tr>
      <w:tr w:rsidR="00A57FD4" w:rsidRPr="00A57FD4" w14:paraId="4E1D5A0F" w14:textId="77777777" w:rsidTr="00BC25EA">
        <w:tc>
          <w:tcPr>
            <w:tcW w:w="3623" w:type="dxa"/>
          </w:tcPr>
          <w:p w14:paraId="29E34A46" w14:textId="77777777" w:rsidR="00A57FD4" w:rsidRPr="00FD4EE5" w:rsidRDefault="00A57FD4" w:rsidP="00FD4EE5">
            <w:pPr>
              <w:spacing w:before="40" w:after="40"/>
              <w:ind w:firstLine="385"/>
              <w:rPr>
                <w:rFonts w:cstheme="minorHAnsi"/>
                <w:sz w:val="20"/>
                <w:szCs w:val="20"/>
              </w:rPr>
            </w:pPr>
            <w:r w:rsidRPr="00FD4EE5">
              <w:rPr>
                <w:rFonts w:cstheme="minorHAnsi"/>
                <w:sz w:val="20"/>
                <w:szCs w:val="20"/>
              </w:rPr>
              <w:t>Hypertension</w:t>
            </w:r>
          </w:p>
        </w:tc>
        <w:tc>
          <w:tcPr>
            <w:tcW w:w="2942" w:type="dxa"/>
          </w:tcPr>
          <w:p w14:paraId="0FA528DD" w14:textId="77777777" w:rsidR="00A57FD4" w:rsidRPr="00FD4EE5" w:rsidRDefault="00A57FD4" w:rsidP="00FD4EE5">
            <w:pPr>
              <w:spacing w:before="40" w:after="40"/>
              <w:rPr>
                <w:rFonts w:cstheme="minorHAnsi"/>
                <w:sz w:val="20"/>
                <w:szCs w:val="20"/>
              </w:rPr>
            </w:pPr>
            <w:r w:rsidRPr="00FD4EE5">
              <w:rPr>
                <w:rFonts w:cstheme="minorHAnsi"/>
                <w:sz w:val="20"/>
                <w:szCs w:val="20"/>
              </w:rPr>
              <w:t>OR = 2.12</w:t>
            </w:r>
          </w:p>
        </w:tc>
      </w:tr>
      <w:tr w:rsidR="00A57FD4" w:rsidRPr="00A57FD4" w14:paraId="77CA9537" w14:textId="77777777" w:rsidTr="00BC25EA">
        <w:tc>
          <w:tcPr>
            <w:tcW w:w="3623" w:type="dxa"/>
          </w:tcPr>
          <w:p w14:paraId="5714DEFE" w14:textId="77777777" w:rsidR="00A57FD4" w:rsidRPr="00FD4EE5" w:rsidRDefault="00A57FD4" w:rsidP="00FD4EE5">
            <w:pPr>
              <w:spacing w:before="40" w:after="40"/>
              <w:ind w:firstLine="385"/>
              <w:rPr>
                <w:rFonts w:cstheme="minorHAnsi"/>
                <w:sz w:val="20"/>
                <w:szCs w:val="20"/>
              </w:rPr>
            </w:pPr>
            <w:r w:rsidRPr="00FD4EE5">
              <w:rPr>
                <w:rFonts w:cstheme="minorHAnsi"/>
                <w:sz w:val="20"/>
                <w:szCs w:val="20"/>
              </w:rPr>
              <w:t>Overweight/Obese</w:t>
            </w:r>
          </w:p>
        </w:tc>
        <w:tc>
          <w:tcPr>
            <w:tcW w:w="2942" w:type="dxa"/>
          </w:tcPr>
          <w:p w14:paraId="56BBA58A" w14:textId="77777777" w:rsidR="00A57FD4" w:rsidRPr="00FD4EE5" w:rsidRDefault="00A57FD4" w:rsidP="00FD4EE5">
            <w:pPr>
              <w:spacing w:before="40" w:after="40"/>
              <w:rPr>
                <w:rFonts w:cstheme="minorHAnsi"/>
                <w:sz w:val="20"/>
                <w:szCs w:val="20"/>
              </w:rPr>
            </w:pPr>
            <w:r w:rsidRPr="00FD4EE5">
              <w:rPr>
                <w:rFonts w:cstheme="minorHAnsi"/>
                <w:sz w:val="20"/>
                <w:szCs w:val="20"/>
              </w:rPr>
              <w:t>OR = 2.18</w:t>
            </w:r>
          </w:p>
        </w:tc>
      </w:tr>
      <w:tr w:rsidR="00A57FD4" w:rsidRPr="00A57FD4" w14:paraId="18441CC8" w14:textId="77777777" w:rsidTr="00BC25EA">
        <w:tc>
          <w:tcPr>
            <w:tcW w:w="3623" w:type="dxa"/>
          </w:tcPr>
          <w:p w14:paraId="31CB6960" w14:textId="77777777" w:rsidR="00A57FD4" w:rsidRPr="00FD4EE5" w:rsidRDefault="00A57FD4" w:rsidP="00FD4EE5">
            <w:pPr>
              <w:spacing w:before="40" w:after="40"/>
              <w:ind w:firstLine="385"/>
              <w:rPr>
                <w:rFonts w:cstheme="minorHAnsi"/>
                <w:sz w:val="20"/>
                <w:szCs w:val="20"/>
              </w:rPr>
            </w:pPr>
            <w:r w:rsidRPr="00FD4EE5">
              <w:rPr>
                <w:rFonts w:cstheme="minorHAnsi"/>
                <w:sz w:val="20"/>
                <w:szCs w:val="20"/>
              </w:rPr>
              <w:t>Hyperuricemia</w:t>
            </w:r>
          </w:p>
        </w:tc>
        <w:tc>
          <w:tcPr>
            <w:tcW w:w="2942" w:type="dxa"/>
          </w:tcPr>
          <w:p w14:paraId="63964E3B" w14:textId="77777777" w:rsidR="00A57FD4" w:rsidRPr="00FD4EE5" w:rsidRDefault="00A57FD4" w:rsidP="00FD4EE5">
            <w:pPr>
              <w:spacing w:before="40" w:after="40"/>
              <w:rPr>
                <w:rFonts w:cstheme="minorHAnsi"/>
                <w:sz w:val="20"/>
                <w:szCs w:val="20"/>
              </w:rPr>
            </w:pPr>
            <w:r w:rsidRPr="00FD4EE5">
              <w:rPr>
                <w:rFonts w:cstheme="minorHAnsi"/>
                <w:sz w:val="20"/>
                <w:szCs w:val="20"/>
              </w:rPr>
              <w:t>OR = 2.30</w:t>
            </w:r>
          </w:p>
        </w:tc>
      </w:tr>
      <w:tr w:rsidR="00A57FD4" w:rsidRPr="00A57FD4" w14:paraId="6E6FFA29" w14:textId="77777777" w:rsidTr="00BC25EA">
        <w:tc>
          <w:tcPr>
            <w:tcW w:w="3623" w:type="dxa"/>
          </w:tcPr>
          <w:p w14:paraId="0810D4FD" w14:textId="77777777" w:rsidR="00A57FD4" w:rsidRPr="00FD4EE5" w:rsidRDefault="00A57FD4" w:rsidP="00FD4EE5">
            <w:pPr>
              <w:spacing w:before="40" w:after="40"/>
              <w:ind w:firstLine="385"/>
              <w:rPr>
                <w:rFonts w:cstheme="minorHAnsi"/>
                <w:sz w:val="20"/>
                <w:szCs w:val="20"/>
              </w:rPr>
            </w:pPr>
            <w:r w:rsidRPr="00FD4EE5">
              <w:rPr>
                <w:rFonts w:cstheme="minorHAnsi"/>
                <w:sz w:val="20"/>
                <w:szCs w:val="20"/>
              </w:rPr>
              <w:t>ADHD</w:t>
            </w:r>
            <w:r w:rsidRPr="00FD4EE5">
              <w:rPr>
                <w:rFonts w:cstheme="minorHAnsi"/>
                <w:sz w:val="20"/>
                <w:szCs w:val="20"/>
                <w:vertAlign w:val="superscript"/>
              </w:rPr>
              <w:t>¶</w:t>
            </w:r>
          </w:p>
        </w:tc>
        <w:tc>
          <w:tcPr>
            <w:tcW w:w="2942" w:type="dxa"/>
          </w:tcPr>
          <w:p w14:paraId="08C7A775" w14:textId="77777777" w:rsidR="00A57FD4" w:rsidRPr="00FD4EE5" w:rsidRDefault="00A57FD4" w:rsidP="00FD4EE5">
            <w:pPr>
              <w:spacing w:before="40" w:after="40"/>
              <w:rPr>
                <w:rFonts w:cstheme="minorHAnsi"/>
                <w:sz w:val="20"/>
                <w:szCs w:val="20"/>
              </w:rPr>
            </w:pPr>
            <w:r w:rsidRPr="00FD4EE5">
              <w:rPr>
                <w:rFonts w:cstheme="minorHAnsi"/>
                <w:sz w:val="20"/>
                <w:szCs w:val="20"/>
              </w:rPr>
              <w:t>OR = 2.47</w:t>
            </w:r>
          </w:p>
        </w:tc>
      </w:tr>
      <w:tr w:rsidR="00A57FD4" w:rsidRPr="00A57FD4" w14:paraId="5C07CA27" w14:textId="77777777" w:rsidTr="00BC25EA">
        <w:tc>
          <w:tcPr>
            <w:tcW w:w="3623" w:type="dxa"/>
          </w:tcPr>
          <w:p w14:paraId="58DCDBBF" w14:textId="77777777" w:rsidR="00A57FD4" w:rsidRPr="00FD4EE5" w:rsidRDefault="00A57FD4" w:rsidP="00FD4EE5">
            <w:pPr>
              <w:spacing w:before="40" w:after="40"/>
              <w:ind w:firstLine="385"/>
              <w:rPr>
                <w:rFonts w:cstheme="minorHAnsi"/>
                <w:sz w:val="20"/>
                <w:szCs w:val="20"/>
              </w:rPr>
            </w:pPr>
            <w:r w:rsidRPr="00FD4EE5">
              <w:rPr>
                <w:rFonts w:cstheme="minorHAnsi"/>
                <w:sz w:val="20"/>
                <w:szCs w:val="20"/>
              </w:rPr>
              <w:t>Asthma</w:t>
            </w:r>
          </w:p>
        </w:tc>
        <w:tc>
          <w:tcPr>
            <w:tcW w:w="2942" w:type="dxa"/>
          </w:tcPr>
          <w:p w14:paraId="2BE71B1C" w14:textId="77777777" w:rsidR="00A57FD4" w:rsidRPr="00FD4EE5" w:rsidRDefault="00A57FD4" w:rsidP="00FD4EE5">
            <w:pPr>
              <w:spacing w:before="40" w:after="40"/>
              <w:rPr>
                <w:rFonts w:cstheme="minorHAnsi"/>
                <w:sz w:val="20"/>
                <w:szCs w:val="20"/>
              </w:rPr>
            </w:pPr>
            <w:r w:rsidRPr="00FD4EE5">
              <w:rPr>
                <w:rFonts w:cstheme="minorHAnsi"/>
                <w:sz w:val="20"/>
                <w:szCs w:val="20"/>
              </w:rPr>
              <w:t>OR = 2.56</w:t>
            </w:r>
          </w:p>
        </w:tc>
      </w:tr>
      <w:tr w:rsidR="00A57FD4" w:rsidRPr="00A57FD4" w14:paraId="06D55D0A" w14:textId="77777777" w:rsidTr="00BC25EA">
        <w:tc>
          <w:tcPr>
            <w:tcW w:w="3623" w:type="dxa"/>
          </w:tcPr>
          <w:p w14:paraId="31E310DC" w14:textId="77777777" w:rsidR="00A57FD4" w:rsidRPr="00043BFE" w:rsidRDefault="00A57FD4" w:rsidP="00043BFE">
            <w:pPr>
              <w:spacing w:before="40" w:after="40"/>
              <w:ind w:firstLine="385"/>
              <w:rPr>
                <w:rFonts w:cstheme="minorHAnsi"/>
                <w:sz w:val="20"/>
                <w:szCs w:val="20"/>
              </w:rPr>
            </w:pPr>
            <w:r w:rsidRPr="00043BFE">
              <w:rPr>
                <w:rFonts w:cstheme="minorHAnsi"/>
                <w:sz w:val="20"/>
                <w:szCs w:val="20"/>
              </w:rPr>
              <w:t>Atopic dermatitis</w:t>
            </w:r>
          </w:p>
        </w:tc>
        <w:tc>
          <w:tcPr>
            <w:tcW w:w="2942" w:type="dxa"/>
          </w:tcPr>
          <w:p w14:paraId="6F0AA7D4" w14:textId="77777777" w:rsidR="00A57FD4" w:rsidRPr="00043BFE" w:rsidRDefault="00A57FD4" w:rsidP="00043BFE">
            <w:pPr>
              <w:spacing w:before="40" w:after="40"/>
              <w:rPr>
                <w:rFonts w:cstheme="minorHAnsi"/>
                <w:sz w:val="20"/>
                <w:szCs w:val="20"/>
              </w:rPr>
            </w:pPr>
            <w:r w:rsidRPr="00043BFE">
              <w:rPr>
                <w:rFonts w:cstheme="minorHAnsi"/>
                <w:sz w:val="20"/>
                <w:szCs w:val="20"/>
              </w:rPr>
              <w:t>OR = 2.49</w:t>
            </w:r>
          </w:p>
        </w:tc>
      </w:tr>
    </w:tbl>
    <w:p w14:paraId="425F0733" w14:textId="77777777" w:rsidR="00B45002" w:rsidRPr="00E707C0" w:rsidRDefault="00D33AE3" w:rsidP="00E36E73">
      <w:pPr>
        <w:pStyle w:val="Heading1"/>
        <w:pBdr>
          <w:bottom w:val="none" w:sz="0" w:space="0" w:color="auto"/>
        </w:pBdr>
        <w:spacing w:before="480"/>
        <w:rPr>
          <w:rFonts w:ascii="Cambria" w:hAnsi="Cambria"/>
          <w:color w:val="auto"/>
        </w:rPr>
      </w:pPr>
      <w:bookmarkStart w:id="6" w:name="_Toc532227531"/>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5"/>
      <w:bookmarkEnd w:id="6"/>
    </w:p>
    <w:p w14:paraId="52A3FCB4" w14:textId="77777777" w:rsidR="00EA6E06" w:rsidRPr="00E707C0" w:rsidRDefault="00EA6E06" w:rsidP="00EA6E06"/>
    <w:p w14:paraId="782262AC" w14:textId="77777777" w:rsidR="00CE4431" w:rsidRDefault="00611853" w:rsidP="00611853">
      <w:pPr>
        <w:autoSpaceDE w:val="0"/>
        <w:autoSpaceDN w:val="0"/>
        <w:adjustRightInd w:val="0"/>
        <w:spacing w:line="276" w:lineRule="auto"/>
        <w:rPr>
          <w:rFonts w:cs="ITCFranklinGothicStd-Book"/>
          <w:sz w:val="24"/>
          <w:szCs w:val="24"/>
        </w:rPr>
      </w:pPr>
      <w:r>
        <w:rPr>
          <w:rFonts w:cs="ITCFranklinGothicStd-Book"/>
          <w:sz w:val="24"/>
          <w:szCs w:val="24"/>
        </w:rPr>
        <w:t>At the appointment, e</w:t>
      </w:r>
      <w:r w:rsidR="00CE4431">
        <w:rPr>
          <w:rFonts w:cs="ITCFranklinGothicStd-Book"/>
          <w:sz w:val="24"/>
          <w:szCs w:val="24"/>
        </w:rPr>
        <w:t xml:space="preserve">nrollment </w:t>
      </w:r>
      <w:r w:rsidR="00EE47D1">
        <w:rPr>
          <w:rFonts w:cs="ITCFranklinGothicStd-Book"/>
          <w:sz w:val="24"/>
          <w:szCs w:val="24"/>
        </w:rPr>
        <w:t xml:space="preserve">and data collection </w:t>
      </w:r>
      <w:r w:rsidR="00CE4431">
        <w:rPr>
          <w:rFonts w:cs="ITCFranklinGothicStd-Book"/>
          <w:sz w:val="24"/>
          <w:szCs w:val="24"/>
        </w:rPr>
        <w:t xml:space="preserve">procedures are described in the </w:t>
      </w:r>
      <w:r w:rsidR="00CE4431">
        <w:rPr>
          <w:rFonts w:cs="ITCFranklinGothicStd-Book"/>
          <w:b/>
          <w:sz w:val="24"/>
          <w:szCs w:val="24"/>
        </w:rPr>
        <w:t>Pease Study Protocol Section 3.5.3</w:t>
      </w:r>
      <w:r w:rsidR="00EE47D1">
        <w:rPr>
          <w:rFonts w:cs="ITCFranklinGothicStd-Book"/>
          <w:sz w:val="24"/>
          <w:szCs w:val="24"/>
        </w:rPr>
        <w:t xml:space="preserve">, </w:t>
      </w:r>
      <w:r w:rsidR="00EE47D1">
        <w:rPr>
          <w:rFonts w:cs="ITCFranklinGothicStd-Book"/>
          <w:b/>
          <w:sz w:val="24"/>
          <w:szCs w:val="24"/>
        </w:rPr>
        <w:t>Section 3.6</w:t>
      </w:r>
      <w:r w:rsidR="00EE47D1">
        <w:rPr>
          <w:rFonts w:cs="ITCFranklinGothicStd-Book"/>
          <w:sz w:val="24"/>
          <w:szCs w:val="24"/>
        </w:rPr>
        <w:t>, and in the Manual of Procedures</w:t>
      </w:r>
      <w:r w:rsidR="0069074E">
        <w:rPr>
          <w:rFonts w:cs="ITCFranklinGothicStd-Book"/>
          <w:sz w:val="24"/>
          <w:szCs w:val="24"/>
        </w:rPr>
        <w:t xml:space="preserve"> for staff and contractor training</w:t>
      </w:r>
      <w:r w:rsidR="00EE47D1">
        <w:rPr>
          <w:rFonts w:cs="ITCFranklinGothicStd-Book"/>
          <w:sz w:val="24"/>
          <w:szCs w:val="24"/>
        </w:rPr>
        <w:t xml:space="preserve"> (</w:t>
      </w:r>
      <w:r w:rsidR="00EE47D1">
        <w:rPr>
          <w:rFonts w:cs="ITCFranklinGothicStd-Book"/>
          <w:b/>
          <w:sz w:val="24"/>
          <w:szCs w:val="24"/>
        </w:rPr>
        <w:t>Attachment</w:t>
      </w:r>
      <w:r w:rsidR="00EE47D1" w:rsidRPr="00EE47D1">
        <w:rPr>
          <w:rFonts w:cs="ITCFranklinGothicStd-Book"/>
          <w:b/>
          <w:sz w:val="24"/>
          <w:szCs w:val="24"/>
        </w:rPr>
        <w:t xml:space="preserve"> 14</w:t>
      </w:r>
      <w:r w:rsidR="00EE47D1">
        <w:rPr>
          <w:rFonts w:cs="ITCFranklinGothicStd-Book"/>
          <w:sz w:val="24"/>
          <w:szCs w:val="24"/>
        </w:rPr>
        <w:t xml:space="preserve">). </w:t>
      </w:r>
      <w:r w:rsidR="00CE4431" w:rsidRPr="00EE47D1">
        <w:rPr>
          <w:rFonts w:cs="ITCFranklinGothicStd-Book"/>
          <w:sz w:val="24"/>
          <w:szCs w:val="24"/>
        </w:rPr>
        <w:t>Steps</w:t>
      </w:r>
      <w:r w:rsidR="00CE4431">
        <w:rPr>
          <w:rFonts w:cs="ITCFranklinGothicStd-Book"/>
          <w:sz w:val="24"/>
          <w:szCs w:val="24"/>
        </w:rPr>
        <w:t xml:space="preserve"> in enrollment are:</w:t>
      </w:r>
    </w:p>
    <w:p w14:paraId="5A306628" w14:textId="77777777" w:rsidR="00611853" w:rsidRDefault="00611853"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Administration of informed consent, parental permission, and child assent (</w:t>
      </w:r>
      <w:r>
        <w:rPr>
          <w:rFonts w:cs="ITCFranklinGothicStd-Book"/>
          <w:b/>
          <w:sz w:val="24"/>
          <w:szCs w:val="24"/>
        </w:rPr>
        <w:t>Attachment 9b</w:t>
      </w:r>
      <w:r>
        <w:rPr>
          <w:rFonts w:cs="ITCFranklinGothicStd-Book"/>
          <w:sz w:val="24"/>
          <w:szCs w:val="24"/>
        </w:rPr>
        <w:t>).</w:t>
      </w:r>
    </w:p>
    <w:p w14:paraId="0DCBE82C" w14:textId="77777777" w:rsidR="00611853" w:rsidRDefault="00611853"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Update participant contact information, if needed (</w:t>
      </w:r>
      <w:r>
        <w:rPr>
          <w:rFonts w:cs="ITCFranklinGothicStd-Book"/>
          <w:b/>
          <w:sz w:val="24"/>
          <w:szCs w:val="24"/>
        </w:rPr>
        <w:t xml:space="preserve">Attachment </w:t>
      </w:r>
      <w:r w:rsidR="00EE47D1">
        <w:rPr>
          <w:rFonts w:cs="ITCFranklinGothicStd-Book"/>
          <w:b/>
          <w:sz w:val="24"/>
          <w:szCs w:val="24"/>
        </w:rPr>
        <w:t>12</w:t>
      </w:r>
      <w:r w:rsidR="00EE47D1">
        <w:rPr>
          <w:rFonts w:cs="ITCFranklinGothicStd-Book"/>
          <w:sz w:val="24"/>
          <w:szCs w:val="24"/>
        </w:rPr>
        <w:t>).</w:t>
      </w:r>
    </w:p>
    <w:p w14:paraId="62969914" w14:textId="77777777" w:rsidR="00EE47D1" w:rsidRDefault="00EE47D1"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Record participant medication list (</w:t>
      </w:r>
      <w:r>
        <w:rPr>
          <w:rFonts w:cs="ITCFranklinGothicStd-Book"/>
          <w:b/>
          <w:sz w:val="24"/>
          <w:szCs w:val="24"/>
        </w:rPr>
        <w:t>Attachment 13</w:t>
      </w:r>
      <w:r>
        <w:rPr>
          <w:rFonts w:cs="ITCFranklinGothicStd-Book"/>
          <w:sz w:val="24"/>
          <w:szCs w:val="24"/>
        </w:rPr>
        <w:t>).</w:t>
      </w:r>
    </w:p>
    <w:p w14:paraId="467B7DD7" w14:textId="77777777" w:rsidR="00611853" w:rsidRDefault="00611853"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 xml:space="preserve">Take body </w:t>
      </w:r>
      <w:r w:rsidR="00EE47D1">
        <w:rPr>
          <w:rFonts w:cs="ITCFranklinGothicStd-Book"/>
          <w:sz w:val="24"/>
          <w:szCs w:val="24"/>
        </w:rPr>
        <w:t>and blood pressure measures</w:t>
      </w:r>
      <w:r>
        <w:rPr>
          <w:rFonts w:cs="ITCFranklinGothicStd-Book"/>
          <w:sz w:val="24"/>
          <w:szCs w:val="24"/>
        </w:rPr>
        <w:t xml:space="preserve"> (</w:t>
      </w:r>
      <w:r>
        <w:rPr>
          <w:rFonts w:cs="ITCFranklinGothicStd-Book"/>
          <w:b/>
          <w:sz w:val="24"/>
          <w:szCs w:val="24"/>
        </w:rPr>
        <w:t>Attachment 15</w:t>
      </w:r>
      <w:r>
        <w:rPr>
          <w:rFonts w:cs="ITCFranklinGothicStd-Book"/>
          <w:sz w:val="24"/>
          <w:szCs w:val="24"/>
        </w:rPr>
        <w:t>).</w:t>
      </w:r>
    </w:p>
    <w:p w14:paraId="0A977853" w14:textId="77777777" w:rsidR="00EE47D1" w:rsidRDefault="00EE47D1"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Collect blood and urine biospecimens (</w:t>
      </w:r>
      <w:r>
        <w:rPr>
          <w:rFonts w:cs="ITCFranklinGothicStd-Book"/>
          <w:b/>
          <w:sz w:val="24"/>
          <w:szCs w:val="24"/>
        </w:rPr>
        <w:t>Attachment 16</w:t>
      </w:r>
      <w:r>
        <w:rPr>
          <w:rFonts w:cs="ITCFranklinGothicStd-Book"/>
          <w:sz w:val="24"/>
          <w:szCs w:val="24"/>
        </w:rPr>
        <w:t>).</w:t>
      </w:r>
    </w:p>
    <w:p w14:paraId="6FEFCC1C" w14:textId="77777777" w:rsidR="00EE47D1" w:rsidRDefault="00EE47D1"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Administer questionnaire (</w:t>
      </w:r>
      <w:r>
        <w:rPr>
          <w:rFonts w:cs="ITCFranklinGothicStd-Book"/>
          <w:b/>
          <w:sz w:val="24"/>
          <w:szCs w:val="24"/>
        </w:rPr>
        <w:t>Attachment 17,</w:t>
      </w:r>
      <w:r w:rsidR="00716A35">
        <w:rPr>
          <w:rFonts w:cs="ITCFranklinGothicStd-Book"/>
          <w:b/>
          <w:sz w:val="24"/>
          <w:szCs w:val="24"/>
        </w:rPr>
        <w:t xml:space="preserve"> </w:t>
      </w:r>
      <w:r>
        <w:rPr>
          <w:rFonts w:cs="ITCFranklinGothicStd-Book"/>
          <w:b/>
          <w:sz w:val="24"/>
          <w:szCs w:val="24"/>
        </w:rPr>
        <w:t>17a,</w:t>
      </w:r>
      <w:r w:rsidR="00716A35">
        <w:rPr>
          <w:rFonts w:cs="ITCFranklinGothicStd-Book"/>
          <w:b/>
          <w:sz w:val="24"/>
          <w:szCs w:val="24"/>
        </w:rPr>
        <w:t xml:space="preserve"> </w:t>
      </w:r>
      <w:r>
        <w:rPr>
          <w:rFonts w:cs="ITCFranklinGothicStd-Book"/>
          <w:b/>
          <w:sz w:val="24"/>
          <w:szCs w:val="24"/>
        </w:rPr>
        <w:t>18</w:t>
      </w:r>
      <w:r>
        <w:rPr>
          <w:rFonts w:cs="ITCFranklinGothicStd-Book"/>
          <w:sz w:val="24"/>
          <w:szCs w:val="24"/>
        </w:rPr>
        <w:t>).</w:t>
      </w:r>
    </w:p>
    <w:p w14:paraId="5D7644B5" w14:textId="77777777" w:rsidR="00EE47D1" w:rsidRDefault="00EE47D1" w:rsidP="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(For children and parents) Administer the neurobehavioral test battery (</w:t>
      </w:r>
      <w:r>
        <w:rPr>
          <w:rFonts w:cs="ITCFranklinGothicStd-Book"/>
          <w:b/>
          <w:sz w:val="24"/>
          <w:szCs w:val="24"/>
        </w:rPr>
        <w:t>Attachment 20</w:t>
      </w:r>
      <w:r>
        <w:rPr>
          <w:rFonts w:cs="ITCFranklinGothicStd-Book"/>
          <w:sz w:val="24"/>
          <w:szCs w:val="24"/>
        </w:rPr>
        <w:t>).</w:t>
      </w:r>
    </w:p>
    <w:p w14:paraId="1D36BB62" w14:textId="77777777" w:rsidR="003E4957" w:rsidRDefault="00EE47D1" w:rsidP="00CE4431">
      <w:pPr>
        <w:autoSpaceDE w:val="0"/>
        <w:autoSpaceDN w:val="0"/>
        <w:adjustRightInd w:val="0"/>
        <w:spacing w:line="276" w:lineRule="auto"/>
        <w:rPr>
          <w:rFonts w:cs="ITCFranklinGothicStd-Book"/>
          <w:sz w:val="24"/>
          <w:szCs w:val="24"/>
        </w:rPr>
      </w:pPr>
      <w:r>
        <w:rPr>
          <w:rFonts w:cs="ITCFranklinGothicStd-Book"/>
          <w:sz w:val="24"/>
          <w:szCs w:val="24"/>
        </w:rPr>
        <w:t>After the appointment, ATSDR will seek</w:t>
      </w:r>
      <w:r w:rsidR="003E4957">
        <w:rPr>
          <w:rFonts w:cs="ITCFranklinGothicStd-Book"/>
          <w:sz w:val="24"/>
          <w:szCs w:val="24"/>
        </w:rPr>
        <w:t xml:space="preserve">: </w:t>
      </w:r>
    </w:p>
    <w:p w14:paraId="57BF5A18" w14:textId="77777777" w:rsidR="003E4957" w:rsidRDefault="003E4957" w:rsidP="003E4957">
      <w:pPr>
        <w:pStyle w:val="ListParagraph"/>
        <w:numPr>
          <w:ilvl w:val="0"/>
          <w:numId w:val="20"/>
        </w:numPr>
        <w:autoSpaceDE w:val="0"/>
        <w:autoSpaceDN w:val="0"/>
        <w:adjustRightInd w:val="0"/>
        <w:spacing w:line="276" w:lineRule="auto"/>
        <w:rPr>
          <w:rFonts w:cs="ITCFranklinGothicStd-Book"/>
          <w:sz w:val="24"/>
          <w:szCs w:val="24"/>
        </w:rPr>
      </w:pPr>
      <w:r>
        <w:rPr>
          <w:rFonts w:cs="ITCFranklinGothicStd-Book"/>
          <w:sz w:val="24"/>
          <w:szCs w:val="24"/>
        </w:rPr>
        <w:t>M</w:t>
      </w:r>
      <w:r w:rsidR="00EE47D1" w:rsidRPr="003E4957">
        <w:rPr>
          <w:rFonts w:cs="ITCFranklinGothicStd-Book"/>
          <w:sz w:val="24"/>
          <w:szCs w:val="24"/>
        </w:rPr>
        <w:t>edical record verification for self-reported conditions noted in the questionnaire (</w:t>
      </w:r>
      <w:r w:rsidR="00EE47D1" w:rsidRPr="003E4957">
        <w:rPr>
          <w:rFonts w:cs="ITCFranklinGothicStd-Book"/>
          <w:b/>
          <w:sz w:val="24"/>
          <w:szCs w:val="24"/>
        </w:rPr>
        <w:t xml:space="preserve">Attachment </w:t>
      </w:r>
      <w:r w:rsidR="0069074E" w:rsidRPr="003E4957">
        <w:rPr>
          <w:rFonts w:cs="ITCFranklinGothicStd-Book"/>
          <w:b/>
          <w:sz w:val="24"/>
          <w:szCs w:val="24"/>
        </w:rPr>
        <w:t>19,</w:t>
      </w:r>
      <w:r w:rsidR="00716A35">
        <w:rPr>
          <w:rFonts w:cs="ITCFranklinGothicStd-Book"/>
          <w:b/>
          <w:sz w:val="24"/>
          <w:szCs w:val="24"/>
        </w:rPr>
        <w:t xml:space="preserve"> </w:t>
      </w:r>
      <w:r w:rsidR="0069074E" w:rsidRPr="003E4957">
        <w:rPr>
          <w:rFonts w:cs="ITCFranklinGothicStd-Book"/>
          <w:b/>
          <w:sz w:val="24"/>
          <w:szCs w:val="24"/>
        </w:rPr>
        <w:t>19a,</w:t>
      </w:r>
      <w:r w:rsidR="00716A35">
        <w:rPr>
          <w:rFonts w:cs="ITCFranklinGothicStd-Book"/>
          <w:b/>
          <w:sz w:val="24"/>
          <w:szCs w:val="24"/>
        </w:rPr>
        <w:t xml:space="preserve"> </w:t>
      </w:r>
      <w:r w:rsidR="0069074E" w:rsidRPr="003E4957">
        <w:rPr>
          <w:rFonts w:cs="ITCFranklinGothicStd-Book"/>
          <w:b/>
          <w:sz w:val="24"/>
          <w:szCs w:val="24"/>
        </w:rPr>
        <w:t>19b</w:t>
      </w:r>
      <w:r>
        <w:rPr>
          <w:rFonts w:cs="ITCFranklinGothicStd-Book"/>
          <w:sz w:val="24"/>
          <w:szCs w:val="24"/>
        </w:rPr>
        <w:t xml:space="preserve">). </w:t>
      </w:r>
    </w:p>
    <w:p w14:paraId="62F02D19" w14:textId="59186A18" w:rsidR="00CE4431" w:rsidRPr="003E4957" w:rsidRDefault="003E4957" w:rsidP="003E4957">
      <w:pPr>
        <w:pStyle w:val="ListParagraph"/>
        <w:numPr>
          <w:ilvl w:val="0"/>
          <w:numId w:val="20"/>
        </w:numPr>
        <w:autoSpaceDE w:val="0"/>
        <w:autoSpaceDN w:val="0"/>
        <w:adjustRightInd w:val="0"/>
        <w:spacing w:line="276" w:lineRule="auto"/>
        <w:rPr>
          <w:rFonts w:cs="ITCFranklinGothicStd-Book"/>
          <w:sz w:val="24"/>
          <w:szCs w:val="24"/>
        </w:rPr>
      </w:pPr>
      <w:r>
        <w:rPr>
          <w:rFonts w:cs="ITCFranklinGothicStd-Book"/>
          <w:sz w:val="24"/>
          <w:szCs w:val="24"/>
        </w:rPr>
        <w:t>Education record verification to compare to the</w:t>
      </w:r>
      <w:r w:rsidR="0069074E" w:rsidRPr="003E4957">
        <w:rPr>
          <w:rFonts w:cs="ITCFranklinGothicStd-Book"/>
          <w:sz w:val="24"/>
          <w:szCs w:val="24"/>
        </w:rPr>
        <w:t xml:space="preserve"> results of the children’s neurobehavioral assessments</w:t>
      </w:r>
      <w:r>
        <w:rPr>
          <w:rFonts w:cs="ITCFranklinGothicStd-Book"/>
          <w:sz w:val="24"/>
          <w:szCs w:val="24"/>
        </w:rPr>
        <w:t xml:space="preserve"> and their parents’ assessments</w:t>
      </w:r>
      <w:r w:rsidR="00B352E0">
        <w:rPr>
          <w:rFonts w:cs="ITCFranklinGothicStd-Book"/>
          <w:sz w:val="24"/>
          <w:szCs w:val="24"/>
        </w:rPr>
        <w:t xml:space="preserve"> of their children</w:t>
      </w:r>
      <w:r w:rsidR="0069074E" w:rsidRPr="003E4957">
        <w:rPr>
          <w:rFonts w:cs="ITCFranklinGothicStd-Book"/>
          <w:sz w:val="24"/>
          <w:szCs w:val="24"/>
        </w:rPr>
        <w:t xml:space="preserve"> (</w:t>
      </w:r>
      <w:r w:rsidR="0069074E" w:rsidRPr="003E4957">
        <w:rPr>
          <w:rFonts w:cs="ITCFranklinGothicStd-Book"/>
          <w:b/>
          <w:sz w:val="24"/>
          <w:szCs w:val="24"/>
        </w:rPr>
        <w:t>Attachment 20b</w:t>
      </w:r>
      <w:r w:rsidR="00D527CB">
        <w:rPr>
          <w:rFonts w:cs="ITCFranklinGothicStd-Book"/>
          <w:b/>
          <w:sz w:val="24"/>
          <w:szCs w:val="24"/>
        </w:rPr>
        <w:t>, 20c</w:t>
      </w:r>
      <w:r w:rsidR="0069074E" w:rsidRPr="003E4957">
        <w:rPr>
          <w:rFonts w:cs="ITCFranklinGothicStd-Book"/>
          <w:sz w:val="24"/>
          <w:szCs w:val="24"/>
        </w:rPr>
        <w:t>).</w:t>
      </w:r>
    </w:p>
    <w:p w14:paraId="32FF04E1" w14:textId="77777777" w:rsidR="00B45002" w:rsidRPr="00E707C0" w:rsidRDefault="00D33AE3" w:rsidP="008D0F27">
      <w:pPr>
        <w:pStyle w:val="Heading1"/>
        <w:pBdr>
          <w:bottom w:val="none" w:sz="0" w:space="0" w:color="auto"/>
        </w:pBdr>
        <w:rPr>
          <w:rFonts w:ascii="Cambria" w:hAnsi="Cambria"/>
          <w:color w:val="auto"/>
        </w:rPr>
      </w:pPr>
      <w:bookmarkStart w:id="7" w:name="_Toc4777326"/>
      <w:bookmarkStart w:id="8" w:name="_Toc532227532"/>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823A90">
        <w:rPr>
          <w:rFonts w:ascii="Cambria" w:hAnsi="Cambria"/>
          <w:color w:val="auto"/>
        </w:rPr>
        <w:t>n-r</w:t>
      </w:r>
      <w:r w:rsidR="00B45002" w:rsidRPr="00E707C0">
        <w:rPr>
          <w:rFonts w:ascii="Cambria" w:hAnsi="Cambria"/>
          <w:color w:val="auto"/>
        </w:rPr>
        <w:t>esponse</w:t>
      </w:r>
      <w:bookmarkEnd w:id="7"/>
      <w:bookmarkEnd w:id="8"/>
    </w:p>
    <w:p w14:paraId="7C6AFBAF" w14:textId="77777777" w:rsidR="00D0744A" w:rsidRPr="00E707C0" w:rsidRDefault="00D0744A" w:rsidP="00E632AF">
      <w:pPr>
        <w:spacing w:line="240" w:lineRule="auto"/>
        <w:rPr>
          <w:sz w:val="24"/>
          <w:szCs w:val="24"/>
        </w:rPr>
      </w:pPr>
    </w:p>
    <w:p w14:paraId="2F466183" w14:textId="77777777" w:rsidR="000B2EDE" w:rsidRPr="00467DA7" w:rsidRDefault="00467DA7" w:rsidP="000B2EDE">
      <w:pPr>
        <w:autoSpaceDE w:val="0"/>
        <w:autoSpaceDN w:val="0"/>
        <w:adjustRightInd w:val="0"/>
        <w:spacing w:line="276" w:lineRule="auto"/>
        <w:rPr>
          <w:rFonts w:cs="ITCFranklinGothicStd-Book"/>
          <w:sz w:val="24"/>
          <w:szCs w:val="24"/>
        </w:rPr>
      </w:pPr>
      <w:r>
        <w:rPr>
          <w:rFonts w:cs="ITCFranklinGothicStd-Book"/>
          <w:sz w:val="24"/>
          <w:szCs w:val="24"/>
        </w:rPr>
        <w:t xml:space="preserve">The </w:t>
      </w:r>
      <w:r>
        <w:rPr>
          <w:rFonts w:cs="ITCFranklinGothicStd-Book"/>
          <w:b/>
          <w:sz w:val="24"/>
          <w:szCs w:val="24"/>
        </w:rPr>
        <w:t>Pease Study Protocol Section 3.2.1</w:t>
      </w:r>
      <w:r>
        <w:rPr>
          <w:rFonts w:cs="ITCFranklinGothicStd-Book"/>
          <w:sz w:val="24"/>
          <w:szCs w:val="24"/>
        </w:rPr>
        <w:t xml:space="preserve"> describes the estimated number of eligible childre</w:t>
      </w:r>
      <w:r w:rsidR="00C86CD9">
        <w:rPr>
          <w:rFonts w:cs="ITCFranklinGothicStd-Book"/>
          <w:sz w:val="24"/>
          <w:szCs w:val="24"/>
        </w:rPr>
        <w:t>n and assumptions about</w:t>
      </w:r>
      <w:r>
        <w:rPr>
          <w:rFonts w:cs="ITCFranklinGothicStd-Book"/>
          <w:sz w:val="24"/>
          <w:szCs w:val="24"/>
        </w:rPr>
        <w:t xml:space="preserve"> participation rates</w:t>
      </w:r>
      <w:r w:rsidR="00C86CD9">
        <w:rPr>
          <w:rFonts w:cs="ITCFranklinGothicStd-Book"/>
          <w:sz w:val="24"/>
          <w:szCs w:val="24"/>
        </w:rPr>
        <w:t xml:space="preserve"> needed to achieve statistical goals</w:t>
      </w:r>
      <w:r>
        <w:rPr>
          <w:rFonts w:cs="ITCFranklinGothicStd-Book"/>
          <w:sz w:val="24"/>
          <w:szCs w:val="24"/>
        </w:rPr>
        <w:t>:</w:t>
      </w:r>
    </w:p>
    <w:p w14:paraId="3A1798A9" w14:textId="77777777" w:rsidR="00C86CD9" w:rsidRDefault="00467DA7" w:rsidP="00467DA7">
      <w:pPr>
        <w:spacing w:line="276" w:lineRule="auto"/>
        <w:ind w:left="720"/>
        <w:jc w:val="both"/>
        <w:rPr>
          <w:sz w:val="24"/>
          <w:szCs w:val="24"/>
        </w:rPr>
      </w:pPr>
      <w:r>
        <w:rPr>
          <w:sz w:val="24"/>
          <w:szCs w:val="24"/>
        </w:rPr>
        <w:t>“</w:t>
      </w:r>
      <w:r w:rsidRPr="00467DA7">
        <w:rPr>
          <w:sz w:val="24"/>
          <w:szCs w:val="24"/>
        </w:rPr>
        <w:t xml:space="preserve">Assuming that a minimum of about 500 children attended the two day-care centers at Pease before June 2014 and would be aged 4–17 years in 2018, we would require a participation rate of about 70% to recruit 350 Pease children into the study. Such a participation rate is possible given the high visibility of the study, strong interest in the community, and the commitment of the Pease CAP and associated organizations to conduct outreach for the study. </w:t>
      </w:r>
    </w:p>
    <w:p w14:paraId="36485C78" w14:textId="77777777" w:rsidR="00467DA7" w:rsidRDefault="00467DA7" w:rsidP="00467DA7">
      <w:pPr>
        <w:spacing w:line="276" w:lineRule="auto"/>
        <w:ind w:left="720"/>
        <w:jc w:val="both"/>
        <w:rPr>
          <w:sz w:val="24"/>
          <w:szCs w:val="24"/>
        </w:rPr>
      </w:pPr>
      <w:r w:rsidRPr="00467DA7">
        <w:rPr>
          <w:sz w:val="24"/>
          <w:szCs w:val="24"/>
        </w:rPr>
        <w:t>It would also be feasible to recruit at least 175 children in the same age range from the schools in Portsmouth, NH, who were unexposed to the PFAS-contaminated drinking water at the Pease Tradeport and whose parents did not work at the Pease Tradeport or have occupational exposures to PFAS.</w:t>
      </w:r>
      <w:r>
        <w:rPr>
          <w:sz w:val="24"/>
          <w:szCs w:val="24"/>
        </w:rPr>
        <w:t>”</w:t>
      </w:r>
    </w:p>
    <w:p w14:paraId="11102F9A" w14:textId="77777777" w:rsidR="00467DA7" w:rsidRPr="008053F4" w:rsidRDefault="00467DA7" w:rsidP="008053F4">
      <w:pPr>
        <w:autoSpaceDE w:val="0"/>
        <w:autoSpaceDN w:val="0"/>
        <w:adjustRightInd w:val="0"/>
        <w:spacing w:line="276" w:lineRule="auto"/>
        <w:rPr>
          <w:rFonts w:cs="ITCFranklinGothicStd-Book"/>
          <w:sz w:val="24"/>
          <w:szCs w:val="24"/>
        </w:rPr>
      </w:pPr>
      <w:r>
        <w:rPr>
          <w:rFonts w:cs="ITCFranklinGothicStd-Book"/>
          <w:sz w:val="24"/>
          <w:szCs w:val="24"/>
        </w:rPr>
        <w:t xml:space="preserve">The </w:t>
      </w:r>
      <w:r>
        <w:rPr>
          <w:rFonts w:cs="ITCFranklinGothicStd-Book"/>
          <w:b/>
          <w:sz w:val="24"/>
          <w:szCs w:val="24"/>
        </w:rPr>
        <w:t>Pease Study Protocol Section 3.2.2</w:t>
      </w:r>
      <w:r>
        <w:rPr>
          <w:rFonts w:cs="ITCFranklinGothicStd-Book"/>
          <w:sz w:val="24"/>
          <w:szCs w:val="24"/>
        </w:rPr>
        <w:t xml:space="preserve"> describes the estimated number of eligible adults and assumptions </w:t>
      </w:r>
      <w:r w:rsidR="00C86CD9">
        <w:rPr>
          <w:rFonts w:cs="ITCFranklinGothicStd-Book"/>
          <w:sz w:val="24"/>
          <w:szCs w:val="24"/>
        </w:rPr>
        <w:t>about participation rates needed to achieve statistical goals</w:t>
      </w:r>
      <w:r>
        <w:rPr>
          <w:rFonts w:cs="ITCFranklinGothicStd-Book"/>
          <w:sz w:val="24"/>
          <w:szCs w:val="24"/>
        </w:rPr>
        <w:t>:</w:t>
      </w:r>
    </w:p>
    <w:p w14:paraId="34FEEFC7" w14:textId="77777777" w:rsidR="00467DA7" w:rsidRPr="00467DA7" w:rsidRDefault="00467DA7" w:rsidP="00467DA7">
      <w:pPr>
        <w:spacing w:line="276" w:lineRule="auto"/>
        <w:ind w:left="720"/>
        <w:jc w:val="both"/>
        <w:rPr>
          <w:rFonts w:cstheme="minorHAnsi"/>
          <w:bCs/>
          <w:iCs/>
          <w:color w:val="000000"/>
          <w:sz w:val="24"/>
          <w:szCs w:val="24"/>
        </w:rPr>
      </w:pPr>
      <w:r>
        <w:rPr>
          <w:rFonts w:cstheme="minorHAnsi"/>
          <w:bCs/>
          <w:iCs/>
          <w:color w:val="000000"/>
          <w:sz w:val="24"/>
          <w:szCs w:val="24"/>
        </w:rPr>
        <w:t>“</w:t>
      </w:r>
      <w:r w:rsidRPr="00467DA7">
        <w:rPr>
          <w:rFonts w:cstheme="minorHAnsi"/>
          <w:bCs/>
          <w:iCs/>
          <w:color w:val="000000"/>
          <w:sz w:val="24"/>
          <w:szCs w:val="24"/>
        </w:rPr>
        <w:t xml:space="preserve">Apart from the occupational exposure exclusion, the study will recruit adults who participated in the </w:t>
      </w:r>
      <w:r w:rsidR="009002FA" w:rsidRPr="00E36E73">
        <w:rPr>
          <w:sz w:val="24"/>
        </w:rPr>
        <w:t xml:space="preserve">Pease </w:t>
      </w:r>
      <w:r w:rsidR="009002FA">
        <w:rPr>
          <w:rFonts w:cs="ITCFranklinGothicStd-Book"/>
          <w:sz w:val="24"/>
          <w:szCs w:val="24"/>
        </w:rPr>
        <w:t>PFC Blood Testing Program</w:t>
      </w:r>
      <w:r w:rsidRPr="00467DA7">
        <w:rPr>
          <w:rFonts w:cstheme="minorHAnsi"/>
          <w:bCs/>
          <w:iCs/>
          <w:color w:val="000000"/>
          <w:sz w:val="24"/>
          <w:szCs w:val="24"/>
        </w:rPr>
        <w:t xml:space="preserve">. Adults who did not participate in </w:t>
      </w:r>
      <w:r w:rsidR="009002FA">
        <w:rPr>
          <w:rFonts w:cstheme="minorHAnsi"/>
          <w:bCs/>
          <w:iCs/>
          <w:color w:val="000000"/>
          <w:sz w:val="24"/>
          <w:szCs w:val="24"/>
        </w:rPr>
        <w:t xml:space="preserve">the </w:t>
      </w:r>
      <w:r w:rsidRPr="00467DA7">
        <w:rPr>
          <w:rFonts w:cstheme="minorHAnsi"/>
          <w:bCs/>
          <w:iCs/>
          <w:color w:val="000000"/>
          <w:sz w:val="24"/>
          <w:szCs w:val="24"/>
        </w:rPr>
        <w:t xml:space="preserve">biomonitoring program but meet eligibility criteria could also enroll in the current study in order to meet sample size requirements.  About 1,430 adults have participated in this program.  A participation rate of 70% would result in a sample size of about 1,000.  In addition, for some of the outcomes of interest, e.g., serum level of total cholesterol, hyperuricemia, and cardiovascular disease, a sample size of 1,000 would be sufficient for PFAS serum levels categorized into quartiles.  </w:t>
      </w:r>
    </w:p>
    <w:p w14:paraId="33416E0D" w14:textId="77777777" w:rsidR="00467DA7" w:rsidRPr="00C15DBE" w:rsidRDefault="00467DA7" w:rsidP="00C15DBE">
      <w:pPr>
        <w:spacing w:line="276" w:lineRule="auto"/>
        <w:ind w:left="720"/>
        <w:jc w:val="both"/>
        <w:rPr>
          <w:color w:val="000000"/>
          <w:sz w:val="24"/>
          <w:szCs w:val="24"/>
        </w:rPr>
      </w:pPr>
      <w:r w:rsidRPr="00467DA7">
        <w:rPr>
          <w:rFonts w:cstheme="minorHAnsi"/>
          <w:bCs/>
          <w:iCs/>
          <w:color w:val="000000"/>
          <w:sz w:val="24"/>
          <w:szCs w:val="24"/>
        </w:rPr>
        <w:t>The study will recruit a comparison population of 100 adults, unexposed to the contaminated drinking water at Pease, consisting of adults aged ≥ 18 years, taking into account the age distribution of the adults who participated in th</w:t>
      </w:r>
      <w:r>
        <w:rPr>
          <w:rFonts w:cstheme="minorHAnsi"/>
          <w:bCs/>
          <w:iCs/>
          <w:color w:val="000000"/>
          <w:sz w:val="24"/>
          <w:szCs w:val="24"/>
        </w:rPr>
        <w:t xml:space="preserve">e </w:t>
      </w:r>
      <w:r w:rsidR="009002FA" w:rsidRPr="00E36E73">
        <w:rPr>
          <w:sz w:val="24"/>
        </w:rPr>
        <w:t xml:space="preserve">Pease </w:t>
      </w:r>
      <w:r w:rsidR="009002FA">
        <w:rPr>
          <w:rFonts w:cs="ITCFranklinGothicStd-Book"/>
          <w:sz w:val="24"/>
          <w:szCs w:val="24"/>
        </w:rPr>
        <w:t>PFC Blood Testing Program</w:t>
      </w:r>
      <w:r w:rsidRPr="00C15DBE">
        <w:rPr>
          <w:rFonts w:cstheme="minorHAnsi"/>
          <w:bCs/>
          <w:iCs/>
          <w:color w:val="000000"/>
          <w:sz w:val="24"/>
          <w:szCs w:val="24"/>
        </w:rPr>
        <w:t>.”</w:t>
      </w:r>
    </w:p>
    <w:p w14:paraId="7027AA82" w14:textId="77777777" w:rsidR="0052147A" w:rsidRDefault="00467DA7" w:rsidP="00C15DBE">
      <w:pPr>
        <w:spacing w:line="276" w:lineRule="auto"/>
        <w:jc w:val="both"/>
        <w:rPr>
          <w:rFonts w:cstheme="minorHAnsi"/>
          <w:bCs/>
          <w:iCs/>
          <w:color w:val="000000"/>
          <w:sz w:val="24"/>
          <w:szCs w:val="24"/>
        </w:rPr>
      </w:pPr>
      <w:r w:rsidRPr="00C15DBE">
        <w:rPr>
          <w:sz w:val="24"/>
          <w:szCs w:val="24"/>
        </w:rPr>
        <w:t>In order to maximize participation</w:t>
      </w:r>
      <w:r w:rsidR="00C15DBE" w:rsidRPr="00C15DBE">
        <w:rPr>
          <w:sz w:val="24"/>
          <w:szCs w:val="24"/>
        </w:rPr>
        <w:t xml:space="preserve"> in the Pease Study</w:t>
      </w:r>
      <w:r w:rsidR="008053F4">
        <w:rPr>
          <w:sz w:val="24"/>
          <w:szCs w:val="24"/>
        </w:rPr>
        <w:t>,</w:t>
      </w:r>
      <w:r w:rsidR="00C15DBE" w:rsidRPr="00C15DBE">
        <w:rPr>
          <w:sz w:val="24"/>
          <w:szCs w:val="24"/>
        </w:rPr>
        <w:t xml:space="preserve"> ATSDR will</w:t>
      </w:r>
      <w:r w:rsidR="00C15DBE" w:rsidRPr="00C15DBE">
        <w:rPr>
          <w:rFonts w:cstheme="minorHAnsi"/>
          <w:bCs/>
          <w:iCs/>
          <w:color w:val="000000"/>
          <w:sz w:val="24"/>
          <w:szCs w:val="24"/>
        </w:rPr>
        <w:t xml:space="preserve"> provide the flexibility to schedule or re-schedule office or home visits within the study period</w:t>
      </w:r>
      <w:r w:rsidR="008053F4">
        <w:rPr>
          <w:rFonts w:cstheme="minorHAnsi"/>
          <w:bCs/>
          <w:iCs/>
          <w:color w:val="000000"/>
          <w:sz w:val="24"/>
          <w:szCs w:val="24"/>
        </w:rPr>
        <w:t xml:space="preserve"> </w:t>
      </w:r>
      <w:r w:rsidR="008053F4" w:rsidRPr="00C15DBE">
        <w:rPr>
          <w:sz w:val="24"/>
          <w:szCs w:val="24"/>
        </w:rPr>
        <w:t>(</w:t>
      </w:r>
      <w:r w:rsidR="008053F4" w:rsidRPr="00C15DBE">
        <w:rPr>
          <w:b/>
          <w:sz w:val="24"/>
          <w:szCs w:val="24"/>
        </w:rPr>
        <w:t>Pease Study Protocol Section 3.5.3</w:t>
      </w:r>
      <w:r w:rsidR="008053F4">
        <w:rPr>
          <w:sz w:val="24"/>
          <w:szCs w:val="24"/>
        </w:rPr>
        <w:t>)</w:t>
      </w:r>
      <w:r w:rsidR="00C15DBE" w:rsidRPr="00C15DBE">
        <w:rPr>
          <w:rFonts w:cstheme="minorHAnsi"/>
          <w:bCs/>
          <w:iCs/>
          <w:color w:val="000000"/>
          <w:sz w:val="24"/>
          <w:szCs w:val="24"/>
        </w:rPr>
        <w:t xml:space="preserve">. </w:t>
      </w:r>
    </w:p>
    <w:p w14:paraId="3CC52980" w14:textId="77777777" w:rsidR="0052147A" w:rsidRPr="0052147A" w:rsidRDefault="00C15DBE" w:rsidP="0052147A">
      <w:pPr>
        <w:pStyle w:val="ListParagraph"/>
        <w:numPr>
          <w:ilvl w:val="0"/>
          <w:numId w:val="21"/>
        </w:numPr>
        <w:spacing w:line="276" w:lineRule="auto"/>
        <w:jc w:val="both"/>
        <w:rPr>
          <w:sz w:val="24"/>
          <w:szCs w:val="24"/>
        </w:rPr>
      </w:pPr>
      <w:r w:rsidRPr="0052147A">
        <w:rPr>
          <w:rFonts w:cstheme="minorHAnsi"/>
          <w:bCs/>
          <w:iCs/>
          <w:color w:val="000000"/>
          <w:sz w:val="24"/>
          <w:szCs w:val="24"/>
        </w:rPr>
        <w:t xml:space="preserve">Interested recruits who are unable or unwilling to come to the study office, will be offered an in-home appointment by trained study staff to complete the study. Interested recruits who request or require a home interview, blood draw, and urine collection, must reside within a one-hour drive from </w:t>
      </w:r>
      <w:r w:rsidR="0052147A">
        <w:rPr>
          <w:rFonts w:cstheme="minorHAnsi"/>
          <w:sz w:val="24"/>
          <w:szCs w:val="24"/>
        </w:rPr>
        <w:t>the study office.</w:t>
      </w:r>
    </w:p>
    <w:p w14:paraId="72D5D91B" w14:textId="77777777" w:rsidR="0052147A" w:rsidRPr="0052147A" w:rsidRDefault="00C15DBE" w:rsidP="0052147A">
      <w:pPr>
        <w:pStyle w:val="ListParagraph"/>
        <w:numPr>
          <w:ilvl w:val="0"/>
          <w:numId w:val="21"/>
        </w:numPr>
        <w:spacing w:line="276" w:lineRule="auto"/>
        <w:jc w:val="both"/>
        <w:rPr>
          <w:sz w:val="24"/>
          <w:szCs w:val="24"/>
        </w:rPr>
      </w:pPr>
      <w:r w:rsidRPr="0052147A">
        <w:rPr>
          <w:rFonts w:cstheme="minorHAnsi"/>
          <w:bCs/>
          <w:iCs/>
          <w:color w:val="000000"/>
          <w:sz w:val="24"/>
          <w:szCs w:val="24"/>
        </w:rPr>
        <w:t>Study staff will give the interested recruit a reminder telephone call one to two days before the scheduled appointment (</w:t>
      </w:r>
      <w:r w:rsidRPr="0052147A">
        <w:rPr>
          <w:rFonts w:cstheme="minorHAnsi"/>
          <w:b/>
          <w:bCs/>
          <w:iCs/>
          <w:color w:val="000000"/>
          <w:sz w:val="24"/>
          <w:szCs w:val="24"/>
        </w:rPr>
        <w:t>Attachment 10</w:t>
      </w:r>
      <w:r w:rsidR="0052147A">
        <w:rPr>
          <w:rFonts w:cstheme="minorHAnsi"/>
          <w:bCs/>
          <w:iCs/>
          <w:color w:val="000000"/>
          <w:sz w:val="24"/>
          <w:szCs w:val="24"/>
        </w:rPr>
        <w:t>).</w:t>
      </w:r>
    </w:p>
    <w:p w14:paraId="10F6D733" w14:textId="7560017E" w:rsidR="00467DA7" w:rsidRPr="00D1313D" w:rsidRDefault="00C15DBE" w:rsidP="0052147A">
      <w:pPr>
        <w:pStyle w:val="ListParagraph"/>
        <w:numPr>
          <w:ilvl w:val="1"/>
          <w:numId w:val="21"/>
        </w:numPr>
        <w:spacing w:line="276" w:lineRule="auto"/>
        <w:jc w:val="both"/>
        <w:rPr>
          <w:sz w:val="24"/>
          <w:szCs w:val="24"/>
        </w:rPr>
      </w:pPr>
      <w:r w:rsidRPr="0052147A">
        <w:rPr>
          <w:rFonts w:cstheme="minorHAnsi"/>
          <w:sz w:val="24"/>
          <w:szCs w:val="24"/>
        </w:rPr>
        <w:t xml:space="preserve">The study staff will make up to five contact attempts to an </w:t>
      </w:r>
      <w:r w:rsidRPr="0052147A">
        <w:rPr>
          <w:rFonts w:cstheme="minorHAnsi"/>
          <w:bCs/>
          <w:iCs/>
          <w:color w:val="000000"/>
          <w:sz w:val="24"/>
          <w:szCs w:val="24"/>
        </w:rPr>
        <w:t>interested recruit</w:t>
      </w:r>
      <w:r w:rsidRPr="0052147A">
        <w:rPr>
          <w:rFonts w:cstheme="minorHAnsi"/>
          <w:sz w:val="24"/>
          <w:szCs w:val="24"/>
        </w:rPr>
        <w:t xml:space="preserve"> who misses an appointment in order to reschedule the appointment and maximize the number of completed appointments (</w:t>
      </w:r>
      <w:r w:rsidRPr="0052147A">
        <w:rPr>
          <w:rFonts w:cstheme="minorHAnsi"/>
          <w:b/>
          <w:bCs/>
          <w:iCs/>
          <w:sz w:val="24"/>
          <w:szCs w:val="24"/>
        </w:rPr>
        <w:t>Attachment 11</w:t>
      </w:r>
      <w:r w:rsidRPr="0052147A">
        <w:rPr>
          <w:rFonts w:cstheme="minorHAnsi"/>
          <w:bCs/>
          <w:iCs/>
          <w:sz w:val="24"/>
          <w:szCs w:val="24"/>
        </w:rPr>
        <w:t>).</w:t>
      </w:r>
    </w:p>
    <w:p w14:paraId="7F262E57" w14:textId="418CEF84" w:rsidR="00D1313D" w:rsidRPr="00D1313D" w:rsidRDefault="00D1313D" w:rsidP="00D1313D">
      <w:pPr>
        <w:spacing w:line="276" w:lineRule="auto"/>
        <w:jc w:val="both"/>
        <w:rPr>
          <w:sz w:val="24"/>
          <w:szCs w:val="24"/>
        </w:rPr>
      </w:pPr>
      <w:r>
        <w:rPr>
          <w:sz w:val="24"/>
          <w:szCs w:val="24"/>
        </w:rPr>
        <w:t>When the data are collected, ATSDR will perform non-response bias analyses.</w:t>
      </w:r>
    </w:p>
    <w:p w14:paraId="68AA72B4" w14:textId="77777777" w:rsidR="00B45002" w:rsidRPr="00E707C0" w:rsidRDefault="00D33AE3" w:rsidP="008D0F27">
      <w:pPr>
        <w:pStyle w:val="Heading1"/>
        <w:pBdr>
          <w:bottom w:val="none" w:sz="0" w:space="0" w:color="auto"/>
        </w:pBdr>
        <w:rPr>
          <w:rFonts w:ascii="Cambria" w:hAnsi="Cambria"/>
          <w:color w:val="auto"/>
        </w:rPr>
      </w:pPr>
      <w:bookmarkStart w:id="9" w:name="_Toc4777327"/>
      <w:bookmarkStart w:id="10" w:name="_Toc532227533"/>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9"/>
      <w:bookmarkEnd w:id="10"/>
    </w:p>
    <w:p w14:paraId="6DFF3F8D" w14:textId="77777777" w:rsidR="00BD2639" w:rsidRPr="00E707C0" w:rsidRDefault="00BD2639" w:rsidP="001C121D">
      <w:pPr>
        <w:spacing w:line="240" w:lineRule="auto"/>
      </w:pPr>
    </w:p>
    <w:p w14:paraId="7435EE18" w14:textId="77777777" w:rsidR="00B50B01" w:rsidRPr="005044EF" w:rsidRDefault="00B50B01" w:rsidP="00C15DBE">
      <w:pPr>
        <w:autoSpaceDE w:val="0"/>
        <w:autoSpaceDN w:val="0"/>
        <w:adjustRightInd w:val="0"/>
        <w:spacing w:line="276" w:lineRule="auto"/>
        <w:rPr>
          <w:rFonts w:cs="ITCFranklinGothicStd-Book"/>
          <w:sz w:val="24"/>
          <w:szCs w:val="24"/>
        </w:rPr>
      </w:pPr>
      <w:r>
        <w:rPr>
          <w:sz w:val="24"/>
          <w:szCs w:val="24"/>
        </w:rPr>
        <w:t>T</w:t>
      </w:r>
      <w:r w:rsidRPr="00A97246">
        <w:rPr>
          <w:sz w:val="24"/>
          <w:szCs w:val="24"/>
        </w:rPr>
        <w:t xml:space="preserve">he </w:t>
      </w:r>
      <w:r w:rsidRPr="00A97246">
        <w:rPr>
          <w:b/>
          <w:sz w:val="24"/>
          <w:szCs w:val="24"/>
        </w:rPr>
        <w:t>Pease Study Protocol</w:t>
      </w:r>
      <w:r>
        <w:rPr>
          <w:sz w:val="24"/>
          <w:szCs w:val="24"/>
        </w:rPr>
        <w:t xml:space="preserve"> will serve as the proof of concept research </w:t>
      </w:r>
      <w:r w:rsidR="002B3B93">
        <w:rPr>
          <w:sz w:val="24"/>
          <w:szCs w:val="24"/>
        </w:rPr>
        <w:t xml:space="preserve">study. </w:t>
      </w:r>
      <w:r w:rsidR="006106B8">
        <w:rPr>
          <w:rFonts w:cstheme="minorHAnsi"/>
          <w:sz w:val="24"/>
          <w:szCs w:val="24"/>
        </w:rPr>
        <w:t>One of t</w:t>
      </w:r>
      <w:r w:rsidR="002B3B93" w:rsidRPr="003A551F">
        <w:rPr>
          <w:rFonts w:cstheme="minorHAnsi"/>
          <w:sz w:val="24"/>
          <w:szCs w:val="24"/>
        </w:rPr>
        <w:t>he main</w:t>
      </w:r>
      <w:r w:rsidR="006106B8">
        <w:rPr>
          <w:rFonts w:cstheme="minorHAnsi"/>
          <w:sz w:val="24"/>
          <w:szCs w:val="24"/>
        </w:rPr>
        <w:t xml:space="preserve"> goals of the research study is to</w:t>
      </w:r>
      <w:r w:rsidR="002B3B93" w:rsidRPr="003A551F">
        <w:rPr>
          <w:rFonts w:cstheme="minorHAnsi"/>
          <w:sz w:val="24"/>
          <w:szCs w:val="24"/>
        </w:rPr>
        <w:t xml:space="preserve"> evaluate the study procedures and methods to identify any issues that need to be addressed before</w:t>
      </w:r>
      <w:r w:rsidR="002B3B93" w:rsidRPr="00A75C00">
        <w:rPr>
          <w:rFonts w:cstheme="minorHAnsi"/>
          <w:sz w:val="24"/>
          <w:szCs w:val="24"/>
        </w:rPr>
        <w:t xml:space="preserve"> embarking on a mul</w:t>
      </w:r>
      <w:r w:rsidR="006106B8">
        <w:rPr>
          <w:rFonts w:cstheme="minorHAnsi"/>
          <w:sz w:val="24"/>
          <w:szCs w:val="24"/>
        </w:rPr>
        <w:t>ti-site study</w:t>
      </w:r>
      <w:r w:rsidR="002B3B93" w:rsidRPr="005044EF">
        <w:rPr>
          <w:rFonts w:cstheme="minorHAnsi"/>
          <w:sz w:val="24"/>
          <w:szCs w:val="24"/>
        </w:rPr>
        <w:t>.</w:t>
      </w:r>
    </w:p>
    <w:p w14:paraId="53FC01E2" w14:textId="77777777" w:rsidR="006106B8" w:rsidRDefault="002B3B93" w:rsidP="00C15DBE">
      <w:pPr>
        <w:autoSpaceDE w:val="0"/>
        <w:autoSpaceDN w:val="0"/>
        <w:adjustRightInd w:val="0"/>
        <w:spacing w:line="276" w:lineRule="auto"/>
        <w:rPr>
          <w:rFonts w:cs="ITCFranklinGothicStd-Book"/>
          <w:sz w:val="24"/>
          <w:szCs w:val="24"/>
        </w:rPr>
      </w:pPr>
      <w:r w:rsidRPr="005044EF">
        <w:rPr>
          <w:rFonts w:cs="ITCFranklinGothicStd-Book"/>
          <w:sz w:val="24"/>
          <w:szCs w:val="24"/>
        </w:rPr>
        <w:t>ATSDR will use the proof of concept study experience to</w:t>
      </w:r>
      <w:r w:rsidR="00006EDD" w:rsidRPr="005044EF">
        <w:rPr>
          <w:rFonts w:cs="ITCFranklinGothicStd-Book"/>
          <w:sz w:val="24"/>
          <w:szCs w:val="24"/>
        </w:rPr>
        <w:t xml:space="preserve"> refi</w:t>
      </w:r>
      <w:r w:rsidRPr="005044EF">
        <w:rPr>
          <w:rFonts w:cs="ITCFranklinGothicStd-Book"/>
          <w:sz w:val="24"/>
          <w:szCs w:val="24"/>
        </w:rPr>
        <w:t>ne questions,</w:t>
      </w:r>
      <w:r w:rsidR="00BD2639" w:rsidRPr="005044EF">
        <w:rPr>
          <w:rFonts w:cs="ITCFranklinGothicStd-Book"/>
          <w:sz w:val="24"/>
          <w:szCs w:val="24"/>
        </w:rPr>
        <w:t xml:space="preserve"> minimize burden</w:t>
      </w:r>
      <w:r w:rsidRPr="005044EF">
        <w:rPr>
          <w:rFonts w:cs="ITCFranklinGothicStd-Book"/>
          <w:sz w:val="24"/>
          <w:szCs w:val="24"/>
        </w:rPr>
        <w:t>,</w:t>
      </w:r>
      <w:r w:rsidR="00BD2639" w:rsidRPr="005044EF">
        <w:rPr>
          <w:rFonts w:cs="ITCFranklinGothicStd-Book"/>
          <w:sz w:val="24"/>
          <w:szCs w:val="24"/>
        </w:rPr>
        <w:t xml:space="preserve"> and improve utility. </w:t>
      </w:r>
      <w:r w:rsidRPr="005044EF">
        <w:rPr>
          <w:rFonts w:cs="ITCFranklinGothicStd-Book"/>
          <w:sz w:val="24"/>
          <w:szCs w:val="24"/>
        </w:rPr>
        <w:t>Some of the</w:t>
      </w:r>
      <w:r w:rsidR="00BD2639" w:rsidRPr="005044EF">
        <w:rPr>
          <w:rFonts w:cs="ITCFranklinGothicStd-Book"/>
          <w:sz w:val="24"/>
          <w:szCs w:val="24"/>
        </w:rPr>
        <w:t xml:space="preserve"> proposed data/information collect</w:t>
      </w:r>
      <w:r w:rsidRPr="005044EF">
        <w:rPr>
          <w:rFonts w:cs="ITCFranklinGothicStd-Book"/>
          <w:sz w:val="24"/>
          <w:szCs w:val="24"/>
        </w:rPr>
        <w:t xml:space="preserve">ion instruments have been based on those </w:t>
      </w:r>
      <w:r w:rsidR="005044EF" w:rsidRPr="005044EF">
        <w:rPr>
          <w:rFonts w:cs="ITCFranklinGothicStd-Book"/>
          <w:sz w:val="24"/>
          <w:szCs w:val="24"/>
        </w:rPr>
        <w:t xml:space="preserve">successfully used </w:t>
      </w:r>
      <w:r w:rsidRPr="005044EF">
        <w:rPr>
          <w:rFonts w:cs="ITCFranklinGothicStd-Book"/>
          <w:sz w:val="24"/>
          <w:szCs w:val="24"/>
        </w:rPr>
        <w:t xml:space="preserve">in the </w:t>
      </w:r>
      <w:r w:rsidR="005044EF">
        <w:rPr>
          <w:rFonts w:cs="ITCFranklinGothicStd-Book"/>
          <w:sz w:val="24"/>
          <w:szCs w:val="24"/>
        </w:rPr>
        <w:t>“</w:t>
      </w:r>
      <w:r w:rsidRPr="005044EF">
        <w:rPr>
          <w:rFonts w:cs="ITCFranklinGothicStd-Book"/>
          <w:sz w:val="24"/>
          <w:szCs w:val="24"/>
        </w:rPr>
        <w:t>Anniston Community Health Survey: Follow up and Dioxin Analyses (ACHS-II)</w:t>
      </w:r>
      <w:r w:rsidR="005044EF">
        <w:rPr>
          <w:rFonts w:cs="ITCFranklinGothicStd-Book"/>
          <w:sz w:val="24"/>
          <w:szCs w:val="24"/>
        </w:rPr>
        <w:t>”</w:t>
      </w:r>
      <w:r w:rsidRPr="005044EF">
        <w:rPr>
          <w:rFonts w:cs="ITCFranklinGothicStd-Book"/>
          <w:sz w:val="24"/>
          <w:szCs w:val="24"/>
        </w:rPr>
        <w:t xml:space="preserve"> (OMB Control No. 0923-0049; discontinued 11/12/2015) (</w:t>
      </w:r>
      <w:r w:rsidR="005044EF" w:rsidRPr="005044EF">
        <w:rPr>
          <w:rFonts w:cs="ITCFranklinGothicStd-Book"/>
          <w:b/>
          <w:sz w:val="24"/>
          <w:szCs w:val="24"/>
        </w:rPr>
        <w:t>Attachments 12, 13, 15, 16</w:t>
      </w:r>
      <w:r w:rsidR="005044EF" w:rsidRPr="005044EF">
        <w:rPr>
          <w:rFonts w:cs="ITCFranklinGothicStd-Book"/>
          <w:sz w:val="24"/>
          <w:szCs w:val="24"/>
        </w:rPr>
        <w:t>).</w:t>
      </w:r>
      <w:r w:rsidR="005044EF">
        <w:rPr>
          <w:rFonts w:cs="ITCFranklinGothicStd-Book"/>
          <w:sz w:val="24"/>
          <w:szCs w:val="24"/>
        </w:rPr>
        <w:t xml:space="preserve"> </w:t>
      </w:r>
    </w:p>
    <w:p w14:paraId="05E11BFD" w14:textId="7EB3B21D" w:rsidR="00BD2639" w:rsidRDefault="005044EF" w:rsidP="00C15DBE">
      <w:pPr>
        <w:autoSpaceDE w:val="0"/>
        <w:autoSpaceDN w:val="0"/>
        <w:adjustRightInd w:val="0"/>
        <w:spacing w:line="276" w:lineRule="auto"/>
        <w:rPr>
          <w:sz w:val="24"/>
          <w:szCs w:val="24"/>
        </w:rPr>
      </w:pPr>
      <w:r>
        <w:rPr>
          <w:rFonts w:cs="ITCFranklinGothicStd-Book"/>
          <w:sz w:val="24"/>
          <w:szCs w:val="24"/>
        </w:rPr>
        <w:t>The Pease Study questionnaires (</w:t>
      </w:r>
      <w:r>
        <w:rPr>
          <w:rFonts w:cs="ITCFranklinGothicStd-Book"/>
          <w:b/>
          <w:sz w:val="24"/>
          <w:szCs w:val="24"/>
        </w:rPr>
        <w:t>Attachments 17, 17a, 18</w:t>
      </w:r>
      <w:r>
        <w:rPr>
          <w:rFonts w:cs="ITCFranklinGothicStd-Book"/>
          <w:sz w:val="24"/>
          <w:szCs w:val="24"/>
        </w:rPr>
        <w:t xml:space="preserve">) were developed specifically for </w:t>
      </w:r>
      <w:r w:rsidR="006106B8">
        <w:rPr>
          <w:rFonts w:cs="ITCFranklinGothicStd-Book"/>
          <w:sz w:val="24"/>
          <w:szCs w:val="24"/>
        </w:rPr>
        <w:t xml:space="preserve">the unique </w:t>
      </w:r>
      <w:r>
        <w:rPr>
          <w:rFonts w:cs="ITCFranklinGothicStd-Book"/>
          <w:sz w:val="24"/>
          <w:szCs w:val="24"/>
        </w:rPr>
        <w:t>PFAS exposure scenarios at Pease; therefore, ATSDR will use this</w:t>
      </w:r>
      <w:r w:rsidR="00056243">
        <w:rPr>
          <w:rFonts w:cs="ITCFranklinGothicStd-Book"/>
          <w:sz w:val="24"/>
          <w:szCs w:val="24"/>
        </w:rPr>
        <w:t xml:space="preserve"> proof of concept</w:t>
      </w:r>
      <w:r>
        <w:rPr>
          <w:rFonts w:cs="ITCFranklinGothicStd-Book"/>
          <w:sz w:val="24"/>
          <w:szCs w:val="24"/>
        </w:rPr>
        <w:t xml:space="preserve"> experience to see if questionnaire </w:t>
      </w:r>
      <w:r w:rsidR="00056243">
        <w:rPr>
          <w:rFonts w:cs="ITCFranklinGothicStd-Book"/>
          <w:sz w:val="24"/>
          <w:szCs w:val="24"/>
        </w:rPr>
        <w:t>refinement will be recommended for the multi-site protocol. Additionally, eligibility screeners (</w:t>
      </w:r>
      <w:r w:rsidR="00056243">
        <w:rPr>
          <w:rFonts w:cs="ITCFranklinGothicStd-Book"/>
          <w:b/>
          <w:sz w:val="24"/>
          <w:szCs w:val="24"/>
        </w:rPr>
        <w:t>Attachments</w:t>
      </w:r>
      <w:r w:rsidR="00056243">
        <w:rPr>
          <w:b/>
          <w:sz w:val="24"/>
          <w:szCs w:val="24"/>
        </w:rPr>
        <w:t xml:space="preserve"> 6c, 7c</w:t>
      </w:r>
      <w:r w:rsidR="00056243">
        <w:rPr>
          <w:sz w:val="24"/>
          <w:szCs w:val="24"/>
        </w:rPr>
        <w:t xml:space="preserve">), </w:t>
      </w:r>
      <w:r w:rsidR="00056243" w:rsidRPr="00056243">
        <w:rPr>
          <w:sz w:val="24"/>
          <w:szCs w:val="24"/>
        </w:rPr>
        <w:t xml:space="preserve">medical records </w:t>
      </w:r>
      <w:r w:rsidR="00FD68E5">
        <w:rPr>
          <w:sz w:val="24"/>
          <w:szCs w:val="24"/>
        </w:rPr>
        <w:t xml:space="preserve">request and </w:t>
      </w:r>
      <w:r w:rsidR="00056243" w:rsidRPr="00056243">
        <w:rPr>
          <w:sz w:val="24"/>
          <w:szCs w:val="24"/>
        </w:rPr>
        <w:t>abstraction forms (</w:t>
      </w:r>
      <w:r w:rsidR="00056243">
        <w:rPr>
          <w:b/>
          <w:sz w:val="24"/>
          <w:szCs w:val="24"/>
        </w:rPr>
        <w:t xml:space="preserve">Attachments </w:t>
      </w:r>
      <w:r w:rsidR="00FD68E5">
        <w:rPr>
          <w:b/>
          <w:sz w:val="24"/>
          <w:szCs w:val="24"/>
        </w:rPr>
        <w:t xml:space="preserve">19, </w:t>
      </w:r>
      <w:r w:rsidR="00056243">
        <w:rPr>
          <w:b/>
          <w:sz w:val="24"/>
          <w:szCs w:val="24"/>
        </w:rPr>
        <w:t>19a, 19b</w:t>
      </w:r>
      <w:r w:rsidR="00056243">
        <w:rPr>
          <w:sz w:val="24"/>
          <w:szCs w:val="24"/>
        </w:rPr>
        <w:t>), and</w:t>
      </w:r>
      <w:r w:rsidR="00CC05B0">
        <w:rPr>
          <w:sz w:val="24"/>
          <w:szCs w:val="24"/>
        </w:rPr>
        <w:t xml:space="preserve"> the school records </w:t>
      </w:r>
      <w:r w:rsidR="00FD68E5">
        <w:rPr>
          <w:sz w:val="24"/>
          <w:szCs w:val="24"/>
        </w:rPr>
        <w:t xml:space="preserve">request and </w:t>
      </w:r>
      <w:r w:rsidR="00CC05B0">
        <w:rPr>
          <w:sz w:val="24"/>
          <w:szCs w:val="24"/>
        </w:rPr>
        <w:t>abstraction form</w:t>
      </w:r>
      <w:r w:rsidR="00056243">
        <w:rPr>
          <w:b/>
          <w:sz w:val="24"/>
          <w:szCs w:val="24"/>
        </w:rPr>
        <w:t xml:space="preserve"> </w:t>
      </w:r>
      <w:r w:rsidR="00CC05B0">
        <w:rPr>
          <w:sz w:val="24"/>
          <w:szCs w:val="24"/>
        </w:rPr>
        <w:t>(</w:t>
      </w:r>
      <w:r w:rsidR="00CC05B0">
        <w:rPr>
          <w:b/>
          <w:sz w:val="24"/>
          <w:szCs w:val="24"/>
        </w:rPr>
        <w:t>Attachment</w:t>
      </w:r>
      <w:r w:rsidR="00FD68E5">
        <w:rPr>
          <w:b/>
          <w:sz w:val="24"/>
          <w:szCs w:val="24"/>
        </w:rPr>
        <w:t>s</w:t>
      </w:r>
      <w:r w:rsidR="00CC05B0">
        <w:rPr>
          <w:b/>
          <w:sz w:val="24"/>
          <w:szCs w:val="24"/>
        </w:rPr>
        <w:t xml:space="preserve"> </w:t>
      </w:r>
      <w:r w:rsidR="00056243">
        <w:rPr>
          <w:b/>
          <w:sz w:val="24"/>
          <w:szCs w:val="24"/>
        </w:rPr>
        <w:t>20b</w:t>
      </w:r>
      <w:r w:rsidR="00FD68E5">
        <w:rPr>
          <w:b/>
          <w:sz w:val="24"/>
          <w:szCs w:val="24"/>
        </w:rPr>
        <w:t>, 20c</w:t>
      </w:r>
      <w:r w:rsidR="006106B8">
        <w:rPr>
          <w:sz w:val="24"/>
          <w:szCs w:val="24"/>
        </w:rPr>
        <w:t>) are new forms to be tested for ease of use and utility.</w:t>
      </w:r>
    </w:p>
    <w:p w14:paraId="27FB6711" w14:textId="77777777" w:rsidR="00DC57CC" w:rsidRPr="00E707C0" w:rsidRDefault="00D33AE3" w:rsidP="008D0F27">
      <w:pPr>
        <w:pStyle w:val="Heading1"/>
        <w:pBdr>
          <w:bottom w:val="none" w:sz="0" w:space="0" w:color="auto"/>
        </w:pBdr>
        <w:rPr>
          <w:rFonts w:ascii="Cambria" w:hAnsi="Cambria"/>
          <w:color w:val="auto"/>
        </w:rPr>
      </w:pPr>
      <w:bookmarkStart w:id="11" w:name="_Toc4777328"/>
      <w:bookmarkStart w:id="12" w:name="_Toc532227534"/>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11"/>
      <w:bookmarkEnd w:id="12"/>
    </w:p>
    <w:p w14:paraId="72ADCCD1" w14:textId="77777777" w:rsidR="007F0E10" w:rsidRDefault="007F0E10" w:rsidP="007F0E10">
      <w:pPr>
        <w:autoSpaceDE w:val="0"/>
        <w:autoSpaceDN w:val="0"/>
        <w:adjustRightInd w:val="0"/>
        <w:spacing w:after="0" w:line="240" w:lineRule="auto"/>
        <w:jc w:val="both"/>
        <w:rPr>
          <w:rFonts w:cstheme="minorHAnsi"/>
          <w:b/>
          <w:sz w:val="24"/>
          <w:szCs w:val="24"/>
        </w:rPr>
      </w:pPr>
    </w:p>
    <w:p w14:paraId="10975F5F" w14:textId="77777777" w:rsidR="007F0E10" w:rsidRPr="007F0E10" w:rsidRDefault="009700C5" w:rsidP="007F0E10">
      <w:pPr>
        <w:autoSpaceDE w:val="0"/>
        <w:autoSpaceDN w:val="0"/>
        <w:adjustRightInd w:val="0"/>
        <w:spacing w:after="0" w:line="240" w:lineRule="auto"/>
        <w:jc w:val="both"/>
        <w:rPr>
          <w:rFonts w:cstheme="minorHAnsi"/>
          <w:sz w:val="24"/>
          <w:szCs w:val="24"/>
        </w:rPr>
      </w:pPr>
      <w:r>
        <w:rPr>
          <w:rFonts w:cstheme="minorHAnsi"/>
          <w:sz w:val="24"/>
          <w:szCs w:val="24"/>
        </w:rPr>
        <w:t xml:space="preserve">Table B.5.1. </w:t>
      </w:r>
      <w:r w:rsidR="0031214F">
        <w:rPr>
          <w:rFonts w:cstheme="minorHAnsi"/>
          <w:sz w:val="24"/>
          <w:szCs w:val="24"/>
        </w:rPr>
        <w:t>Personnel Consulted</w:t>
      </w:r>
      <w:r w:rsidR="00E410B4">
        <w:rPr>
          <w:rFonts w:cstheme="minorHAnsi"/>
          <w:sz w:val="24"/>
          <w:szCs w:val="24"/>
        </w:rPr>
        <w:t xml:space="preserve"> on Statistical Design</w:t>
      </w:r>
    </w:p>
    <w:p w14:paraId="1A32734A" w14:textId="77777777" w:rsidR="007F0E10" w:rsidRPr="007F0E10" w:rsidRDefault="007F0E10" w:rsidP="007F0E10">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00"/>
        <w:gridCol w:w="1260"/>
        <w:gridCol w:w="1530"/>
        <w:gridCol w:w="2430"/>
      </w:tblGrid>
      <w:tr w:rsidR="007F0E10" w:rsidRPr="00D20211" w14:paraId="7DF4B370" w14:textId="77777777" w:rsidTr="009700C5">
        <w:tc>
          <w:tcPr>
            <w:tcW w:w="2340" w:type="dxa"/>
            <w:tcBorders>
              <w:top w:val="single" w:sz="8" w:space="0" w:color="auto"/>
              <w:left w:val="nil"/>
              <w:bottom w:val="single" w:sz="8" w:space="0" w:color="auto"/>
              <w:right w:val="nil"/>
            </w:tcBorders>
            <w:shd w:val="clear" w:color="auto" w:fill="auto"/>
          </w:tcPr>
          <w:p w14:paraId="1C7DA511"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Name</w:t>
            </w:r>
          </w:p>
        </w:tc>
        <w:tc>
          <w:tcPr>
            <w:tcW w:w="1800" w:type="dxa"/>
            <w:tcBorders>
              <w:top w:val="single" w:sz="8" w:space="0" w:color="auto"/>
              <w:left w:val="nil"/>
              <w:bottom w:val="single" w:sz="8" w:space="0" w:color="auto"/>
              <w:right w:val="nil"/>
            </w:tcBorders>
            <w:shd w:val="clear" w:color="auto" w:fill="auto"/>
          </w:tcPr>
          <w:p w14:paraId="1B324615"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Title</w:t>
            </w:r>
          </w:p>
        </w:tc>
        <w:tc>
          <w:tcPr>
            <w:tcW w:w="1260" w:type="dxa"/>
            <w:tcBorders>
              <w:top w:val="single" w:sz="8" w:space="0" w:color="auto"/>
              <w:left w:val="nil"/>
              <w:bottom w:val="single" w:sz="8" w:space="0" w:color="auto"/>
              <w:right w:val="nil"/>
            </w:tcBorders>
            <w:shd w:val="clear" w:color="auto" w:fill="auto"/>
          </w:tcPr>
          <w:p w14:paraId="72B7635A"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Affiliation</w:t>
            </w:r>
          </w:p>
        </w:tc>
        <w:tc>
          <w:tcPr>
            <w:tcW w:w="1530" w:type="dxa"/>
            <w:tcBorders>
              <w:top w:val="single" w:sz="8" w:space="0" w:color="auto"/>
              <w:left w:val="nil"/>
              <w:bottom w:val="single" w:sz="8" w:space="0" w:color="auto"/>
              <w:right w:val="nil"/>
            </w:tcBorders>
            <w:shd w:val="clear" w:color="auto" w:fill="auto"/>
          </w:tcPr>
          <w:p w14:paraId="006B57BB"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sz="8" w:space="0" w:color="auto"/>
              <w:left w:val="nil"/>
              <w:bottom w:val="single" w:sz="8" w:space="0" w:color="auto"/>
              <w:right w:val="nil"/>
            </w:tcBorders>
            <w:shd w:val="clear" w:color="auto" w:fill="auto"/>
          </w:tcPr>
          <w:p w14:paraId="311140EE"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Email</w:t>
            </w:r>
          </w:p>
        </w:tc>
      </w:tr>
      <w:tr w:rsidR="007F0E10" w:rsidRPr="00D20211" w14:paraId="7C38B130" w14:textId="77777777" w:rsidTr="00AE70E7">
        <w:tc>
          <w:tcPr>
            <w:tcW w:w="9360" w:type="dxa"/>
            <w:gridSpan w:val="5"/>
            <w:tcBorders>
              <w:top w:val="single" w:sz="8" w:space="0" w:color="auto"/>
              <w:left w:val="nil"/>
              <w:bottom w:val="single" w:sz="8" w:space="0" w:color="auto"/>
              <w:right w:val="nil"/>
            </w:tcBorders>
            <w:shd w:val="clear" w:color="auto" w:fill="auto"/>
            <w:vAlign w:val="center"/>
          </w:tcPr>
          <w:p w14:paraId="2F94D83F" w14:textId="77777777" w:rsidR="007F0E10" w:rsidRPr="00D20211" w:rsidRDefault="00E410B4" w:rsidP="00AE70E7">
            <w:pPr>
              <w:autoSpaceDE w:val="0"/>
              <w:autoSpaceDN w:val="0"/>
              <w:adjustRightInd w:val="0"/>
              <w:spacing w:after="0" w:line="240" w:lineRule="auto"/>
              <w:jc w:val="both"/>
              <w:rPr>
                <w:rFonts w:cstheme="minorHAnsi"/>
                <w:i/>
                <w:sz w:val="20"/>
                <w:szCs w:val="20"/>
              </w:rPr>
            </w:pPr>
            <w:r>
              <w:rPr>
                <w:rFonts w:cstheme="minorHAnsi"/>
                <w:i/>
                <w:sz w:val="20"/>
                <w:szCs w:val="20"/>
              </w:rPr>
              <w:t>FEDERAL AGENCY</w:t>
            </w:r>
          </w:p>
        </w:tc>
      </w:tr>
      <w:tr w:rsidR="00E410B4" w:rsidRPr="00D20211" w14:paraId="195B7CBC" w14:textId="77777777" w:rsidTr="009700C5">
        <w:tc>
          <w:tcPr>
            <w:tcW w:w="2340" w:type="dxa"/>
            <w:tcBorders>
              <w:top w:val="single" w:sz="8" w:space="0" w:color="auto"/>
              <w:left w:val="nil"/>
              <w:bottom w:val="single" w:sz="8" w:space="0" w:color="auto"/>
              <w:right w:val="nil"/>
            </w:tcBorders>
            <w:shd w:val="clear" w:color="auto" w:fill="auto"/>
            <w:vAlign w:val="center"/>
          </w:tcPr>
          <w:p w14:paraId="25F28982" w14:textId="77777777" w:rsidR="00E410B4" w:rsidRPr="004F7094" w:rsidRDefault="009700C5" w:rsidP="00E410B4">
            <w:pPr>
              <w:autoSpaceDE w:val="0"/>
              <w:autoSpaceDN w:val="0"/>
              <w:adjustRightInd w:val="0"/>
              <w:spacing w:after="0" w:line="240" w:lineRule="auto"/>
              <w:jc w:val="both"/>
              <w:rPr>
                <w:rFonts w:cstheme="minorHAnsi"/>
                <w:sz w:val="20"/>
                <w:szCs w:val="20"/>
              </w:rPr>
            </w:pPr>
            <w:r w:rsidRPr="004F7094">
              <w:rPr>
                <w:rFonts w:cstheme="minorHAnsi"/>
                <w:sz w:val="20"/>
                <w:szCs w:val="20"/>
              </w:rPr>
              <w:t>Marian Pavuk</w:t>
            </w:r>
            <w:r w:rsidR="00E410B4" w:rsidRPr="004F7094">
              <w:rPr>
                <w:rFonts w:cstheme="minorHAnsi"/>
                <w:sz w:val="20"/>
                <w:szCs w:val="20"/>
              </w:rPr>
              <w:t xml:space="preserve">, </w:t>
            </w:r>
            <w:r w:rsidR="00F1518B" w:rsidRPr="004F7094">
              <w:rPr>
                <w:rFonts w:cstheme="minorHAnsi"/>
                <w:sz w:val="20"/>
                <w:szCs w:val="20"/>
              </w:rPr>
              <w:t xml:space="preserve">MD, </w:t>
            </w:r>
            <w:r w:rsidR="00E410B4" w:rsidRPr="004F7094">
              <w:rPr>
                <w:rFonts w:cstheme="minorHAnsi"/>
                <w:sz w:val="20"/>
                <w:szCs w:val="20"/>
              </w:rPr>
              <w:t>PhD</w:t>
            </w:r>
          </w:p>
        </w:tc>
        <w:tc>
          <w:tcPr>
            <w:tcW w:w="1800" w:type="dxa"/>
            <w:tcBorders>
              <w:top w:val="single" w:sz="8" w:space="0" w:color="auto"/>
              <w:left w:val="nil"/>
              <w:bottom w:val="single" w:sz="8" w:space="0" w:color="auto"/>
              <w:right w:val="nil"/>
            </w:tcBorders>
            <w:shd w:val="clear" w:color="auto" w:fill="auto"/>
            <w:vAlign w:val="center"/>
          </w:tcPr>
          <w:p w14:paraId="6491F87F" w14:textId="77777777" w:rsidR="009700C5" w:rsidRPr="004F7094" w:rsidRDefault="009700C5" w:rsidP="009700C5">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4EF709C9" w14:textId="77777777" w:rsidR="00E410B4" w:rsidRPr="004F7094" w:rsidRDefault="009700C5" w:rsidP="009700C5">
            <w:pPr>
              <w:autoSpaceDE w:val="0"/>
              <w:autoSpaceDN w:val="0"/>
              <w:adjustRightInd w:val="0"/>
              <w:spacing w:after="0" w:line="240" w:lineRule="auto"/>
              <w:rPr>
                <w:rFonts w:cstheme="minorHAnsi"/>
                <w:sz w:val="20"/>
                <w:szCs w:val="20"/>
              </w:rPr>
            </w:pPr>
            <w:r w:rsidRPr="004F7094">
              <w:rPr>
                <w:rFonts w:cstheme="minorHAnsi"/>
                <w:sz w:val="20"/>
                <w:szCs w:val="20"/>
              </w:rPr>
              <w:t>PI Pease Study</w:t>
            </w:r>
          </w:p>
        </w:tc>
        <w:tc>
          <w:tcPr>
            <w:tcW w:w="1260" w:type="dxa"/>
            <w:tcBorders>
              <w:top w:val="single" w:sz="8" w:space="0" w:color="auto"/>
              <w:left w:val="nil"/>
              <w:bottom w:val="single" w:sz="8" w:space="0" w:color="auto"/>
              <w:right w:val="nil"/>
            </w:tcBorders>
            <w:shd w:val="clear" w:color="auto" w:fill="auto"/>
            <w:vAlign w:val="center"/>
          </w:tcPr>
          <w:p w14:paraId="763F4234" w14:textId="77777777" w:rsidR="00E410B4" w:rsidRPr="004F7094" w:rsidRDefault="00E410B4" w:rsidP="00E410B4">
            <w:pPr>
              <w:autoSpaceDE w:val="0"/>
              <w:autoSpaceDN w:val="0"/>
              <w:adjustRightInd w:val="0"/>
              <w:spacing w:after="0" w:line="240" w:lineRule="auto"/>
              <w:jc w:val="both"/>
              <w:rPr>
                <w:rFonts w:cstheme="minorHAnsi"/>
                <w:sz w:val="20"/>
                <w:szCs w:val="20"/>
              </w:rPr>
            </w:pPr>
            <w:r w:rsidRPr="004F7094">
              <w:rPr>
                <w:rFonts w:cstheme="minorHAnsi"/>
                <w:sz w:val="20"/>
                <w:szCs w:val="20"/>
              </w:rPr>
              <w:t>A</w:t>
            </w:r>
            <w:r w:rsidR="00B5171E" w:rsidRPr="004F7094">
              <w:rPr>
                <w:rFonts w:cstheme="minorHAnsi"/>
                <w:sz w:val="20"/>
                <w:szCs w:val="20"/>
              </w:rPr>
              <w:t>TSDR</w:t>
            </w:r>
          </w:p>
        </w:tc>
        <w:tc>
          <w:tcPr>
            <w:tcW w:w="1530" w:type="dxa"/>
            <w:tcBorders>
              <w:top w:val="single" w:sz="8" w:space="0" w:color="auto"/>
              <w:left w:val="nil"/>
              <w:bottom w:val="single" w:sz="8" w:space="0" w:color="auto"/>
              <w:right w:val="nil"/>
            </w:tcBorders>
            <w:shd w:val="clear" w:color="auto" w:fill="auto"/>
            <w:vAlign w:val="center"/>
          </w:tcPr>
          <w:p w14:paraId="73DBAB17" w14:textId="77777777" w:rsidR="00E410B4" w:rsidRPr="004F7094" w:rsidRDefault="004F7094" w:rsidP="00E410B4">
            <w:pPr>
              <w:autoSpaceDE w:val="0"/>
              <w:autoSpaceDN w:val="0"/>
              <w:adjustRightInd w:val="0"/>
              <w:spacing w:after="0" w:line="240" w:lineRule="auto"/>
              <w:jc w:val="both"/>
              <w:rPr>
                <w:rFonts w:cstheme="minorHAnsi"/>
                <w:sz w:val="20"/>
                <w:szCs w:val="20"/>
              </w:rPr>
            </w:pPr>
            <w:r w:rsidRPr="004F7094">
              <w:rPr>
                <w:rFonts w:cstheme="minorHAnsi"/>
                <w:sz w:val="20"/>
                <w:szCs w:val="20"/>
              </w:rPr>
              <w:t>(770) 488-3671</w:t>
            </w:r>
          </w:p>
        </w:tc>
        <w:tc>
          <w:tcPr>
            <w:tcW w:w="2430" w:type="dxa"/>
            <w:tcBorders>
              <w:top w:val="single" w:sz="8" w:space="0" w:color="auto"/>
              <w:left w:val="nil"/>
              <w:bottom w:val="single" w:sz="8" w:space="0" w:color="auto"/>
              <w:right w:val="nil"/>
            </w:tcBorders>
            <w:shd w:val="clear" w:color="auto" w:fill="auto"/>
            <w:vAlign w:val="center"/>
          </w:tcPr>
          <w:p w14:paraId="4D3F8844" w14:textId="77777777" w:rsidR="00E410B4" w:rsidRPr="004F7094" w:rsidRDefault="00583C57" w:rsidP="00E410B4">
            <w:pPr>
              <w:autoSpaceDE w:val="0"/>
              <w:autoSpaceDN w:val="0"/>
              <w:adjustRightInd w:val="0"/>
              <w:spacing w:after="0" w:line="240" w:lineRule="auto"/>
              <w:jc w:val="both"/>
              <w:rPr>
                <w:sz w:val="20"/>
                <w:szCs w:val="20"/>
              </w:rPr>
            </w:pPr>
            <w:hyperlink r:id="rId9" w:history="1">
              <w:r w:rsidR="00F431E1" w:rsidRPr="004F7094">
                <w:rPr>
                  <w:rStyle w:val="Hyperlink"/>
                  <w:sz w:val="20"/>
                  <w:szCs w:val="20"/>
                </w:rPr>
                <w:t>fsh8</w:t>
              </w:r>
              <w:r w:rsidR="00F431E1" w:rsidRPr="004F7094">
                <w:rPr>
                  <w:rStyle w:val="Hyperlink"/>
                  <w:rFonts w:cstheme="minorHAnsi"/>
                  <w:sz w:val="20"/>
                  <w:szCs w:val="20"/>
                </w:rPr>
                <w:t>@cdc.gov</w:t>
              </w:r>
            </w:hyperlink>
            <w:r w:rsidR="00F431E1" w:rsidRPr="004F7094">
              <w:rPr>
                <w:rFonts w:cstheme="minorHAnsi"/>
                <w:sz w:val="20"/>
                <w:szCs w:val="20"/>
              </w:rPr>
              <w:t xml:space="preserve"> </w:t>
            </w:r>
          </w:p>
        </w:tc>
      </w:tr>
      <w:tr w:rsidR="00F1518B" w:rsidRPr="00D20211" w14:paraId="7DE3BF3D" w14:textId="77777777" w:rsidTr="009700C5">
        <w:tc>
          <w:tcPr>
            <w:tcW w:w="2340" w:type="dxa"/>
            <w:tcBorders>
              <w:top w:val="single" w:sz="8" w:space="0" w:color="auto"/>
              <w:left w:val="nil"/>
              <w:bottom w:val="single" w:sz="8" w:space="0" w:color="auto"/>
              <w:right w:val="nil"/>
            </w:tcBorders>
            <w:shd w:val="clear" w:color="auto" w:fill="auto"/>
            <w:vAlign w:val="center"/>
          </w:tcPr>
          <w:p w14:paraId="65CCFE94" w14:textId="77777777" w:rsidR="00F1518B" w:rsidRPr="004F7094" w:rsidRDefault="00F431E1"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Frank Bove, DSc</w:t>
            </w:r>
          </w:p>
        </w:tc>
        <w:tc>
          <w:tcPr>
            <w:tcW w:w="1800" w:type="dxa"/>
            <w:tcBorders>
              <w:top w:val="single" w:sz="8" w:space="0" w:color="auto"/>
              <w:left w:val="nil"/>
              <w:bottom w:val="single" w:sz="8" w:space="0" w:color="auto"/>
              <w:right w:val="nil"/>
            </w:tcBorders>
            <w:shd w:val="clear" w:color="auto" w:fill="auto"/>
            <w:vAlign w:val="center"/>
          </w:tcPr>
          <w:p w14:paraId="044F5C25" w14:textId="77777777" w:rsidR="00F1518B" w:rsidRPr="004F7094" w:rsidRDefault="00F1518B" w:rsidP="00F1518B">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738EABE3" w14:textId="77777777" w:rsidR="00F1518B" w:rsidRPr="004F7094" w:rsidRDefault="00F1518B"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PI Pease Study</w:t>
            </w:r>
          </w:p>
        </w:tc>
        <w:tc>
          <w:tcPr>
            <w:tcW w:w="1260" w:type="dxa"/>
            <w:tcBorders>
              <w:top w:val="single" w:sz="8" w:space="0" w:color="auto"/>
              <w:left w:val="nil"/>
              <w:bottom w:val="single" w:sz="8" w:space="0" w:color="auto"/>
              <w:right w:val="nil"/>
            </w:tcBorders>
            <w:shd w:val="clear" w:color="auto" w:fill="auto"/>
            <w:vAlign w:val="center"/>
          </w:tcPr>
          <w:p w14:paraId="4365295D" w14:textId="77777777" w:rsidR="00F1518B" w:rsidRPr="004F7094" w:rsidRDefault="00F1518B"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ATSDR</w:t>
            </w:r>
          </w:p>
        </w:tc>
        <w:tc>
          <w:tcPr>
            <w:tcW w:w="1530" w:type="dxa"/>
            <w:tcBorders>
              <w:top w:val="single" w:sz="8" w:space="0" w:color="auto"/>
              <w:left w:val="nil"/>
              <w:bottom w:val="single" w:sz="8" w:space="0" w:color="auto"/>
              <w:right w:val="nil"/>
            </w:tcBorders>
            <w:shd w:val="clear" w:color="auto" w:fill="auto"/>
            <w:vAlign w:val="center"/>
          </w:tcPr>
          <w:p w14:paraId="1AF09F0B" w14:textId="77777777" w:rsidR="00F1518B" w:rsidRPr="004F7094" w:rsidRDefault="004F7094"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(770) 488-3809</w:t>
            </w:r>
          </w:p>
        </w:tc>
        <w:tc>
          <w:tcPr>
            <w:tcW w:w="2430" w:type="dxa"/>
            <w:tcBorders>
              <w:top w:val="single" w:sz="8" w:space="0" w:color="auto"/>
              <w:left w:val="nil"/>
              <w:bottom w:val="single" w:sz="8" w:space="0" w:color="auto"/>
              <w:right w:val="nil"/>
            </w:tcBorders>
            <w:shd w:val="clear" w:color="auto" w:fill="auto"/>
            <w:vAlign w:val="center"/>
          </w:tcPr>
          <w:p w14:paraId="1C121CB3" w14:textId="77777777" w:rsidR="00F1518B" w:rsidRPr="004F7094" w:rsidRDefault="00583C57" w:rsidP="00F1518B">
            <w:pPr>
              <w:autoSpaceDE w:val="0"/>
              <w:autoSpaceDN w:val="0"/>
              <w:adjustRightInd w:val="0"/>
              <w:spacing w:after="0" w:line="240" w:lineRule="auto"/>
              <w:jc w:val="both"/>
              <w:rPr>
                <w:sz w:val="20"/>
                <w:szCs w:val="20"/>
              </w:rPr>
            </w:pPr>
            <w:hyperlink r:id="rId10" w:history="1">
              <w:r w:rsidR="004F7094" w:rsidRPr="004F7094">
                <w:rPr>
                  <w:rStyle w:val="Hyperlink"/>
                  <w:sz w:val="20"/>
                  <w:szCs w:val="20"/>
                </w:rPr>
                <w:t>fjb0</w:t>
              </w:r>
              <w:r w:rsidR="004F7094" w:rsidRPr="004F7094">
                <w:rPr>
                  <w:rStyle w:val="Hyperlink"/>
                  <w:rFonts w:cstheme="minorHAnsi"/>
                  <w:sz w:val="20"/>
                  <w:szCs w:val="20"/>
                </w:rPr>
                <w:t>@cdc.gov</w:t>
              </w:r>
            </w:hyperlink>
            <w:r w:rsidR="00F1518B" w:rsidRPr="004F7094">
              <w:rPr>
                <w:rFonts w:cstheme="minorHAnsi"/>
                <w:sz w:val="20"/>
                <w:szCs w:val="20"/>
              </w:rPr>
              <w:t xml:space="preserve"> </w:t>
            </w:r>
          </w:p>
        </w:tc>
      </w:tr>
    </w:tbl>
    <w:p w14:paraId="252C7A8D" w14:textId="77777777" w:rsidR="007F0E10" w:rsidRPr="007F0E10" w:rsidRDefault="007F0E10" w:rsidP="007F0E10">
      <w:pPr>
        <w:pStyle w:val="ListParagraph"/>
        <w:autoSpaceDE w:val="0"/>
        <w:autoSpaceDN w:val="0"/>
        <w:adjustRightInd w:val="0"/>
        <w:spacing w:line="240" w:lineRule="auto"/>
        <w:rPr>
          <w:rFonts w:cs="ITCFranklinGothicStd-Book"/>
          <w:sz w:val="24"/>
          <w:szCs w:val="24"/>
        </w:rPr>
      </w:pPr>
    </w:p>
    <w:p w14:paraId="36664293" w14:textId="77777777" w:rsidR="007F0E10" w:rsidRPr="007F0E10" w:rsidRDefault="009700C5" w:rsidP="007F0E10">
      <w:pPr>
        <w:autoSpaceDE w:val="0"/>
        <w:autoSpaceDN w:val="0"/>
        <w:adjustRightInd w:val="0"/>
        <w:spacing w:after="0" w:line="240" w:lineRule="auto"/>
        <w:jc w:val="both"/>
        <w:rPr>
          <w:rFonts w:cstheme="minorHAnsi"/>
          <w:sz w:val="24"/>
          <w:szCs w:val="24"/>
        </w:rPr>
      </w:pPr>
      <w:r>
        <w:rPr>
          <w:rFonts w:cstheme="minorHAnsi"/>
          <w:sz w:val="24"/>
          <w:szCs w:val="24"/>
        </w:rPr>
        <w:t xml:space="preserve">Table B.5.2. </w:t>
      </w:r>
      <w:r w:rsidR="00E410B4">
        <w:rPr>
          <w:rFonts w:cstheme="minorHAnsi"/>
          <w:sz w:val="24"/>
          <w:szCs w:val="24"/>
        </w:rPr>
        <w:t>Personnel Responsible for Collection and Analysis of Information</w:t>
      </w:r>
    </w:p>
    <w:p w14:paraId="0C14C298" w14:textId="77777777" w:rsidR="007F0E10" w:rsidRPr="007F0E10" w:rsidRDefault="007F0E10" w:rsidP="007F0E10">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764"/>
        <w:gridCol w:w="137"/>
        <w:gridCol w:w="1282"/>
        <w:gridCol w:w="85"/>
        <w:gridCol w:w="1483"/>
        <w:gridCol w:w="2731"/>
      </w:tblGrid>
      <w:tr w:rsidR="00347B36" w:rsidRPr="00D20211" w14:paraId="6D89DE7B" w14:textId="77777777" w:rsidTr="00716A35">
        <w:tc>
          <w:tcPr>
            <w:tcW w:w="2174" w:type="dxa"/>
            <w:tcBorders>
              <w:top w:val="single" w:sz="8" w:space="0" w:color="auto"/>
              <w:left w:val="nil"/>
              <w:bottom w:val="single" w:sz="8" w:space="0" w:color="auto"/>
              <w:right w:val="nil"/>
            </w:tcBorders>
          </w:tcPr>
          <w:p w14:paraId="1379F5BF"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Name</w:t>
            </w:r>
          </w:p>
        </w:tc>
        <w:tc>
          <w:tcPr>
            <w:tcW w:w="1786" w:type="dxa"/>
            <w:tcBorders>
              <w:top w:val="single" w:sz="8" w:space="0" w:color="auto"/>
              <w:left w:val="nil"/>
              <w:bottom w:val="single" w:sz="8" w:space="0" w:color="auto"/>
              <w:right w:val="nil"/>
            </w:tcBorders>
          </w:tcPr>
          <w:p w14:paraId="48D56086"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Title</w:t>
            </w:r>
          </w:p>
        </w:tc>
        <w:tc>
          <w:tcPr>
            <w:tcW w:w="1530" w:type="dxa"/>
            <w:gridSpan w:val="3"/>
            <w:tcBorders>
              <w:top w:val="single" w:sz="8" w:space="0" w:color="auto"/>
              <w:left w:val="nil"/>
              <w:bottom w:val="single" w:sz="8" w:space="0" w:color="auto"/>
              <w:right w:val="nil"/>
            </w:tcBorders>
          </w:tcPr>
          <w:p w14:paraId="3CE4E11A"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Affiliation</w:t>
            </w:r>
          </w:p>
        </w:tc>
        <w:tc>
          <w:tcPr>
            <w:tcW w:w="1530" w:type="dxa"/>
            <w:tcBorders>
              <w:top w:val="single" w:sz="8" w:space="0" w:color="auto"/>
              <w:left w:val="nil"/>
              <w:bottom w:val="single" w:sz="8" w:space="0" w:color="auto"/>
              <w:right w:val="nil"/>
            </w:tcBorders>
          </w:tcPr>
          <w:p w14:paraId="339C75EB"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Phone</w:t>
            </w:r>
          </w:p>
        </w:tc>
        <w:tc>
          <w:tcPr>
            <w:tcW w:w="2340" w:type="dxa"/>
            <w:tcBorders>
              <w:top w:val="single" w:sz="8" w:space="0" w:color="auto"/>
              <w:left w:val="nil"/>
              <w:bottom w:val="single" w:sz="8" w:space="0" w:color="auto"/>
              <w:right w:val="nil"/>
            </w:tcBorders>
          </w:tcPr>
          <w:p w14:paraId="14647930"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Email</w:t>
            </w:r>
          </w:p>
        </w:tc>
      </w:tr>
      <w:tr w:rsidR="00347B36" w:rsidRPr="004F7094" w14:paraId="7AA0BAD0" w14:textId="77777777" w:rsidTr="00716A35">
        <w:tc>
          <w:tcPr>
            <w:tcW w:w="2174" w:type="dxa"/>
            <w:tcBorders>
              <w:top w:val="single" w:sz="8" w:space="0" w:color="auto"/>
              <w:left w:val="nil"/>
              <w:bottom w:val="single" w:sz="8" w:space="0" w:color="auto"/>
              <w:right w:val="nil"/>
            </w:tcBorders>
            <w:shd w:val="clear" w:color="auto" w:fill="auto"/>
            <w:vAlign w:val="center"/>
          </w:tcPr>
          <w:p w14:paraId="5D290FCA"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Marian Pavuk, MD, PhD</w:t>
            </w:r>
          </w:p>
        </w:tc>
        <w:tc>
          <w:tcPr>
            <w:tcW w:w="1930" w:type="dxa"/>
            <w:gridSpan w:val="2"/>
            <w:tcBorders>
              <w:top w:val="single" w:sz="8" w:space="0" w:color="auto"/>
              <w:left w:val="nil"/>
              <w:bottom w:val="single" w:sz="8" w:space="0" w:color="auto"/>
              <w:right w:val="nil"/>
            </w:tcBorders>
            <w:shd w:val="clear" w:color="auto" w:fill="auto"/>
            <w:vAlign w:val="center"/>
          </w:tcPr>
          <w:p w14:paraId="0B4FA302" w14:textId="77777777" w:rsidR="004F7094" w:rsidRPr="004F7094" w:rsidRDefault="004F7094" w:rsidP="00B50B01">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092D496A" w14:textId="77777777" w:rsidR="004F7094" w:rsidRPr="004F7094" w:rsidRDefault="004F7094" w:rsidP="00B50B01">
            <w:pPr>
              <w:autoSpaceDE w:val="0"/>
              <w:autoSpaceDN w:val="0"/>
              <w:adjustRightInd w:val="0"/>
              <w:spacing w:after="0" w:line="240" w:lineRule="auto"/>
              <w:rPr>
                <w:rFonts w:cstheme="minorHAnsi"/>
                <w:sz w:val="20"/>
                <w:szCs w:val="20"/>
              </w:rPr>
            </w:pPr>
            <w:r w:rsidRPr="004F7094">
              <w:rPr>
                <w:rFonts w:cstheme="minorHAnsi"/>
                <w:sz w:val="20"/>
                <w:szCs w:val="20"/>
              </w:rPr>
              <w:t>PI Pease Study</w:t>
            </w:r>
          </w:p>
        </w:tc>
        <w:tc>
          <w:tcPr>
            <w:tcW w:w="1296" w:type="dxa"/>
            <w:tcBorders>
              <w:top w:val="single" w:sz="8" w:space="0" w:color="auto"/>
              <w:left w:val="nil"/>
              <w:bottom w:val="single" w:sz="8" w:space="0" w:color="auto"/>
              <w:right w:val="nil"/>
            </w:tcBorders>
            <w:shd w:val="clear" w:color="auto" w:fill="auto"/>
            <w:vAlign w:val="center"/>
          </w:tcPr>
          <w:p w14:paraId="29661823"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ATSDR</w:t>
            </w:r>
          </w:p>
        </w:tc>
        <w:tc>
          <w:tcPr>
            <w:tcW w:w="1620" w:type="dxa"/>
            <w:gridSpan w:val="2"/>
            <w:tcBorders>
              <w:top w:val="single" w:sz="8" w:space="0" w:color="auto"/>
              <w:left w:val="nil"/>
              <w:bottom w:val="single" w:sz="8" w:space="0" w:color="auto"/>
              <w:right w:val="nil"/>
            </w:tcBorders>
            <w:shd w:val="clear" w:color="auto" w:fill="auto"/>
            <w:vAlign w:val="center"/>
          </w:tcPr>
          <w:p w14:paraId="4CB8CC22"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(770) 488-3671</w:t>
            </w:r>
          </w:p>
        </w:tc>
        <w:tc>
          <w:tcPr>
            <w:tcW w:w="2340" w:type="dxa"/>
            <w:tcBorders>
              <w:top w:val="single" w:sz="8" w:space="0" w:color="auto"/>
              <w:left w:val="nil"/>
              <w:bottom w:val="single" w:sz="8" w:space="0" w:color="auto"/>
              <w:right w:val="nil"/>
            </w:tcBorders>
            <w:shd w:val="clear" w:color="auto" w:fill="auto"/>
            <w:vAlign w:val="center"/>
          </w:tcPr>
          <w:p w14:paraId="687C10E3" w14:textId="77777777" w:rsidR="004F7094" w:rsidRPr="004F7094" w:rsidRDefault="00583C57" w:rsidP="00B50B01">
            <w:pPr>
              <w:autoSpaceDE w:val="0"/>
              <w:autoSpaceDN w:val="0"/>
              <w:adjustRightInd w:val="0"/>
              <w:spacing w:after="0" w:line="240" w:lineRule="auto"/>
              <w:jc w:val="both"/>
              <w:rPr>
                <w:sz w:val="20"/>
                <w:szCs w:val="20"/>
              </w:rPr>
            </w:pPr>
            <w:hyperlink r:id="rId11" w:history="1">
              <w:r w:rsidR="004F7094" w:rsidRPr="004F7094">
                <w:rPr>
                  <w:rStyle w:val="Hyperlink"/>
                  <w:sz w:val="20"/>
                  <w:szCs w:val="20"/>
                </w:rPr>
                <w:t>fsh8</w:t>
              </w:r>
              <w:r w:rsidR="004F7094" w:rsidRPr="004F7094">
                <w:rPr>
                  <w:rStyle w:val="Hyperlink"/>
                  <w:rFonts w:cstheme="minorHAnsi"/>
                  <w:sz w:val="20"/>
                  <w:szCs w:val="20"/>
                </w:rPr>
                <w:t>@cdc.gov</w:t>
              </w:r>
            </w:hyperlink>
            <w:r w:rsidR="004F7094" w:rsidRPr="004F7094">
              <w:rPr>
                <w:rFonts w:cstheme="minorHAnsi"/>
                <w:sz w:val="20"/>
                <w:szCs w:val="20"/>
              </w:rPr>
              <w:t xml:space="preserve"> </w:t>
            </w:r>
          </w:p>
        </w:tc>
      </w:tr>
      <w:tr w:rsidR="00347B36" w:rsidRPr="004F7094" w14:paraId="580CCB1E" w14:textId="77777777" w:rsidTr="00716A35">
        <w:tc>
          <w:tcPr>
            <w:tcW w:w="2174" w:type="dxa"/>
            <w:tcBorders>
              <w:top w:val="single" w:sz="8" w:space="0" w:color="auto"/>
              <w:left w:val="nil"/>
              <w:bottom w:val="single" w:sz="8" w:space="0" w:color="auto"/>
              <w:right w:val="nil"/>
            </w:tcBorders>
            <w:shd w:val="clear" w:color="auto" w:fill="auto"/>
            <w:vAlign w:val="center"/>
          </w:tcPr>
          <w:p w14:paraId="032BC26A"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Frank Bove, DSc</w:t>
            </w:r>
          </w:p>
        </w:tc>
        <w:tc>
          <w:tcPr>
            <w:tcW w:w="1930" w:type="dxa"/>
            <w:gridSpan w:val="2"/>
            <w:tcBorders>
              <w:top w:val="single" w:sz="8" w:space="0" w:color="auto"/>
              <w:left w:val="nil"/>
              <w:bottom w:val="single" w:sz="8" w:space="0" w:color="auto"/>
              <w:right w:val="nil"/>
            </w:tcBorders>
            <w:shd w:val="clear" w:color="auto" w:fill="auto"/>
            <w:vAlign w:val="center"/>
          </w:tcPr>
          <w:p w14:paraId="40CE11EF" w14:textId="77777777" w:rsidR="004F7094" w:rsidRPr="004F7094" w:rsidRDefault="004F7094" w:rsidP="00B50B01">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3C92C4DC"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PI Pease Study</w:t>
            </w:r>
          </w:p>
        </w:tc>
        <w:tc>
          <w:tcPr>
            <w:tcW w:w="1296" w:type="dxa"/>
            <w:tcBorders>
              <w:top w:val="single" w:sz="8" w:space="0" w:color="auto"/>
              <w:left w:val="nil"/>
              <w:bottom w:val="single" w:sz="8" w:space="0" w:color="auto"/>
              <w:right w:val="nil"/>
            </w:tcBorders>
            <w:shd w:val="clear" w:color="auto" w:fill="auto"/>
            <w:vAlign w:val="center"/>
          </w:tcPr>
          <w:p w14:paraId="6596FDE4"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ATSDR</w:t>
            </w:r>
          </w:p>
        </w:tc>
        <w:tc>
          <w:tcPr>
            <w:tcW w:w="1620" w:type="dxa"/>
            <w:gridSpan w:val="2"/>
            <w:tcBorders>
              <w:top w:val="single" w:sz="8" w:space="0" w:color="auto"/>
              <w:left w:val="nil"/>
              <w:bottom w:val="single" w:sz="8" w:space="0" w:color="auto"/>
              <w:right w:val="nil"/>
            </w:tcBorders>
            <w:shd w:val="clear" w:color="auto" w:fill="auto"/>
            <w:vAlign w:val="center"/>
          </w:tcPr>
          <w:p w14:paraId="6C970917"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(770) 488-3809</w:t>
            </w:r>
          </w:p>
        </w:tc>
        <w:tc>
          <w:tcPr>
            <w:tcW w:w="2340" w:type="dxa"/>
            <w:tcBorders>
              <w:top w:val="single" w:sz="8" w:space="0" w:color="auto"/>
              <w:left w:val="nil"/>
              <w:bottom w:val="single" w:sz="8" w:space="0" w:color="auto"/>
              <w:right w:val="nil"/>
            </w:tcBorders>
            <w:shd w:val="clear" w:color="auto" w:fill="auto"/>
            <w:vAlign w:val="center"/>
          </w:tcPr>
          <w:p w14:paraId="79449B75" w14:textId="77777777" w:rsidR="004F7094" w:rsidRPr="004F7094" w:rsidRDefault="00583C57" w:rsidP="00B50B01">
            <w:pPr>
              <w:autoSpaceDE w:val="0"/>
              <w:autoSpaceDN w:val="0"/>
              <w:adjustRightInd w:val="0"/>
              <w:spacing w:after="0" w:line="240" w:lineRule="auto"/>
              <w:jc w:val="both"/>
              <w:rPr>
                <w:sz w:val="20"/>
                <w:szCs w:val="20"/>
              </w:rPr>
            </w:pPr>
            <w:hyperlink r:id="rId12" w:history="1">
              <w:r w:rsidR="004F7094" w:rsidRPr="004F7094">
                <w:rPr>
                  <w:rStyle w:val="Hyperlink"/>
                  <w:sz w:val="20"/>
                  <w:szCs w:val="20"/>
                </w:rPr>
                <w:t>fjb0</w:t>
              </w:r>
              <w:r w:rsidR="004F7094" w:rsidRPr="004F7094">
                <w:rPr>
                  <w:rStyle w:val="Hyperlink"/>
                  <w:rFonts w:cstheme="minorHAnsi"/>
                  <w:sz w:val="20"/>
                  <w:szCs w:val="20"/>
                </w:rPr>
                <w:t>@cdc.gov</w:t>
              </w:r>
            </w:hyperlink>
            <w:r w:rsidR="004F7094" w:rsidRPr="004F7094">
              <w:rPr>
                <w:rFonts w:cstheme="minorHAnsi"/>
                <w:sz w:val="20"/>
                <w:szCs w:val="20"/>
              </w:rPr>
              <w:t xml:space="preserve"> </w:t>
            </w:r>
          </w:p>
        </w:tc>
      </w:tr>
      <w:tr w:rsidR="00347B36" w:rsidRPr="00D20211" w14:paraId="0AC0F24A" w14:textId="77777777" w:rsidTr="00716A35">
        <w:tc>
          <w:tcPr>
            <w:tcW w:w="2174" w:type="dxa"/>
            <w:tcBorders>
              <w:top w:val="single" w:sz="8" w:space="0" w:color="auto"/>
              <w:left w:val="nil"/>
              <w:bottom w:val="single" w:sz="8" w:space="0" w:color="auto"/>
              <w:right w:val="nil"/>
            </w:tcBorders>
            <w:vAlign w:val="center"/>
          </w:tcPr>
          <w:p w14:paraId="7DD92239" w14:textId="77777777" w:rsidR="007F0E10" w:rsidRPr="00D20211" w:rsidRDefault="004F7094" w:rsidP="00AE70E7">
            <w:pPr>
              <w:autoSpaceDE w:val="0"/>
              <w:autoSpaceDN w:val="0"/>
              <w:adjustRightInd w:val="0"/>
              <w:spacing w:after="0" w:line="240" w:lineRule="auto"/>
              <w:rPr>
                <w:rFonts w:cstheme="minorHAnsi"/>
                <w:sz w:val="20"/>
                <w:szCs w:val="20"/>
              </w:rPr>
            </w:pPr>
            <w:r>
              <w:rPr>
                <w:rFonts w:cstheme="minorHAnsi"/>
                <w:sz w:val="20"/>
                <w:szCs w:val="20"/>
              </w:rPr>
              <w:t>Michael Lewin, MS</w:t>
            </w:r>
          </w:p>
        </w:tc>
        <w:tc>
          <w:tcPr>
            <w:tcW w:w="1930" w:type="dxa"/>
            <w:gridSpan w:val="2"/>
            <w:tcBorders>
              <w:top w:val="single" w:sz="8" w:space="0" w:color="auto"/>
              <w:left w:val="nil"/>
              <w:bottom w:val="single" w:sz="8" w:space="0" w:color="auto"/>
              <w:right w:val="nil"/>
            </w:tcBorders>
            <w:vAlign w:val="center"/>
          </w:tcPr>
          <w:p w14:paraId="0E02ED3B" w14:textId="77777777" w:rsidR="007F0E10" w:rsidRPr="00D20211" w:rsidRDefault="004F7094" w:rsidP="00AE70E7">
            <w:pPr>
              <w:autoSpaceDE w:val="0"/>
              <w:autoSpaceDN w:val="0"/>
              <w:adjustRightInd w:val="0"/>
              <w:spacing w:after="0" w:line="240" w:lineRule="auto"/>
              <w:rPr>
                <w:rFonts w:cstheme="minorHAnsi"/>
                <w:sz w:val="20"/>
                <w:szCs w:val="20"/>
              </w:rPr>
            </w:pPr>
            <w:r>
              <w:rPr>
                <w:rFonts w:cstheme="minorHAnsi"/>
                <w:sz w:val="20"/>
                <w:szCs w:val="20"/>
              </w:rPr>
              <w:t>Mathematical Statistician</w:t>
            </w:r>
          </w:p>
        </w:tc>
        <w:tc>
          <w:tcPr>
            <w:tcW w:w="1296" w:type="dxa"/>
            <w:tcBorders>
              <w:top w:val="single" w:sz="8" w:space="0" w:color="auto"/>
              <w:left w:val="nil"/>
              <w:bottom w:val="single" w:sz="8" w:space="0" w:color="auto"/>
              <w:right w:val="nil"/>
            </w:tcBorders>
            <w:vAlign w:val="center"/>
          </w:tcPr>
          <w:p w14:paraId="2153A21D" w14:textId="77777777" w:rsidR="007F0E10" w:rsidRPr="00D20211" w:rsidRDefault="00754B3D" w:rsidP="00AE70E7">
            <w:pPr>
              <w:autoSpaceDE w:val="0"/>
              <w:autoSpaceDN w:val="0"/>
              <w:adjustRightInd w:val="0"/>
              <w:spacing w:after="0" w:line="240" w:lineRule="auto"/>
              <w:rPr>
                <w:rFonts w:cstheme="minorHAnsi"/>
                <w:sz w:val="20"/>
                <w:szCs w:val="20"/>
              </w:rPr>
            </w:pPr>
            <w:r>
              <w:rPr>
                <w:rFonts w:cstheme="minorHAnsi"/>
                <w:sz w:val="20"/>
                <w:szCs w:val="20"/>
              </w:rPr>
              <w:t>ATSDR</w:t>
            </w:r>
          </w:p>
        </w:tc>
        <w:tc>
          <w:tcPr>
            <w:tcW w:w="1620" w:type="dxa"/>
            <w:gridSpan w:val="2"/>
            <w:tcBorders>
              <w:top w:val="single" w:sz="8" w:space="0" w:color="auto"/>
              <w:left w:val="nil"/>
              <w:bottom w:val="single" w:sz="8" w:space="0" w:color="auto"/>
              <w:right w:val="nil"/>
            </w:tcBorders>
            <w:vAlign w:val="center"/>
          </w:tcPr>
          <w:p w14:paraId="207EF66C" w14:textId="77777777" w:rsidR="007F0E10" w:rsidRPr="004042C9" w:rsidRDefault="004042C9" w:rsidP="00AE70E7">
            <w:pPr>
              <w:autoSpaceDE w:val="0"/>
              <w:autoSpaceDN w:val="0"/>
              <w:adjustRightInd w:val="0"/>
              <w:spacing w:after="0" w:line="240" w:lineRule="auto"/>
              <w:jc w:val="both"/>
              <w:rPr>
                <w:rStyle w:val="Emphasis"/>
                <w:rFonts w:cstheme="minorHAnsi"/>
                <w:sz w:val="20"/>
                <w:szCs w:val="20"/>
              </w:rPr>
            </w:pPr>
            <w:r>
              <w:rPr>
                <w:rFonts w:cstheme="minorHAnsi"/>
                <w:sz w:val="20"/>
                <w:szCs w:val="20"/>
              </w:rPr>
              <w:t>(770) 488-</w:t>
            </w:r>
            <w:r w:rsidRPr="004042C9">
              <w:rPr>
                <w:rFonts w:cstheme="minorHAnsi"/>
                <w:sz w:val="20"/>
                <w:szCs w:val="20"/>
              </w:rPr>
              <w:t>3812</w:t>
            </w:r>
          </w:p>
        </w:tc>
        <w:tc>
          <w:tcPr>
            <w:tcW w:w="2340" w:type="dxa"/>
            <w:tcBorders>
              <w:top w:val="single" w:sz="8" w:space="0" w:color="auto"/>
              <w:left w:val="nil"/>
              <w:bottom w:val="single" w:sz="8" w:space="0" w:color="auto"/>
              <w:right w:val="nil"/>
            </w:tcBorders>
            <w:vAlign w:val="center"/>
          </w:tcPr>
          <w:p w14:paraId="41C05671" w14:textId="77777777" w:rsidR="007F0E10" w:rsidRPr="00D20211" w:rsidRDefault="00583C57" w:rsidP="00AE70E7">
            <w:pPr>
              <w:autoSpaceDE w:val="0"/>
              <w:autoSpaceDN w:val="0"/>
              <w:adjustRightInd w:val="0"/>
              <w:spacing w:after="0" w:line="240" w:lineRule="auto"/>
              <w:jc w:val="both"/>
              <w:rPr>
                <w:rStyle w:val="Emphasis"/>
                <w:rFonts w:cstheme="minorHAnsi"/>
                <w:sz w:val="20"/>
                <w:szCs w:val="20"/>
              </w:rPr>
            </w:pPr>
            <w:hyperlink r:id="rId13" w:history="1">
              <w:r w:rsidR="004042C9" w:rsidRPr="001C5CD3">
                <w:rPr>
                  <w:rStyle w:val="Hyperlink"/>
                </w:rPr>
                <w:t>mdl0@cdc.gov</w:t>
              </w:r>
            </w:hyperlink>
            <w:r w:rsidR="007F0E10" w:rsidRPr="00D20211">
              <w:t xml:space="preserve"> </w:t>
            </w:r>
            <w:r w:rsidR="007F0E10" w:rsidRPr="00D20211">
              <w:rPr>
                <w:rStyle w:val="Emphasis"/>
                <w:rFonts w:cstheme="minorHAnsi"/>
                <w:sz w:val="20"/>
                <w:szCs w:val="20"/>
              </w:rPr>
              <w:t xml:space="preserve"> </w:t>
            </w:r>
          </w:p>
        </w:tc>
      </w:tr>
      <w:tr w:rsidR="00347B36" w:rsidRPr="00D20211" w14:paraId="09B5F3EE" w14:textId="77777777" w:rsidTr="00716A35">
        <w:tc>
          <w:tcPr>
            <w:tcW w:w="2174" w:type="dxa"/>
            <w:tcBorders>
              <w:top w:val="single" w:sz="8" w:space="0" w:color="auto"/>
              <w:left w:val="nil"/>
              <w:bottom w:val="nil"/>
              <w:right w:val="nil"/>
            </w:tcBorders>
            <w:vAlign w:val="center"/>
          </w:tcPr>
          <w:p w14:paraId="271BAE11" w14:textId="77777777" w:rsidR="007F0E10" w:rsidRPr="00D20211" w:rsidRDefault="00716A35" w:rsidP="00AE70E7">
            <w:pPr>
              <w:autoSpaceDE w:val="0"/>
              <w:autoSpaceDN w:val="0"/>
              <w:adjustRightInd w:val="0"/>
              <w:spacing w:after="0" w:line="240" w:lineRule="auto"/>
              <w:rPr>
                <w:rFonts w:cstheme="minorHAnsi"/>
                <w:sz w:val="20"/>
                <w:szCs w:val="20"/>
              </w:rPr>
            </w:pPr>
            <w:r>
              <w:rPr>
                <w:rFonts w:cstheme="minorHAnsi"/>
                <w:sz w:val="20"/>
                <w:szCs w:val="20"/>
              </w:rPr>
              <w:t>Danielle Hunt</w:t>
            </w:r>
            <w:r w:rsidR="007F0E10" w:rsidRPr="00D20211">
              <w:rPr>
                <w:rFonts w:cstheme="minorHAnsi"/>
                <w:sz w:val="20"/>
                <w:szCs w:val="20"/>
              </w:rPr>
              <w:t>, PhD</w:t>
            </w:r>
          </w:p>
        </w:tc>
        <w:tc>
          <w:tcPr>
            <w:tcW w:w="1930" w:type="dxa"/>
            <w:gridSpan w:val="2"/>
            <w:tcBorders>
              <w:top w:val="single" w:sz="8" w:space="0" w:color="auto"/>
              <w:left w:val="nil"/>
              <w:bottom w:val="nil"/>
              <w:right w:val="nil"/>
            </w:tcBorders>
            <w:vAlign w:val="center"/>
          </w:tcPr>
          <w:p w14:paraId="6BF189F4" w14:textId="77777777" w:rsidR="007F0E10" w:rsidRPr="00D20211" w:rsidRDefault="00716A35" w:rsidP="00AE70E7">
            <w:pPr>
              <w:autoSpaceDE w:val="0"/>
              <w:autoSpaceDN w:val="0"/>
              <w:adjustRightInd w:val="0"/>
              <w:spacing w:after="0" w:line="240" w:lineRule="auto"/>
              <w:rPr>
                <w:rFonts w:cstheme="minorHAnsi"/>
                <w:sz w:val="20"/>
                <w:szCs w:val="20"/>
              </w:rPr>
            </w:pPr>
            <w:r>
              <w:rPr>
                <w:rFonts w:cstheme="minorHAnsi"/>
                <w:sz w:val="20"/>
                <w:szCs w:val="20"/>
              </w:rPr>
              <w:t>Project Director</w:t>
            </w:r>
          </w:p>
        </w:tc>
        <w:tc>
          <w:tcPr>
            <w:tcW w:w="1296" w:type="dxa"/>
            <w:tcBorders>
              <w:top w:val="single" w:sz="8" w:space="0" w:color="auto"/>
              <w:left w:val="nil"/>
              <w:bottom w:val="nil"/>
              <w:right w:val="nil"/>
            </w:tcBorders>
            <w:vAlign w:val="center"/>
          </w:tcPr>
          <w:p w14:paraId="2C46564B" w14:textId="77777777" w:rsidR="007F0E10" w:rsidRPr="00D20211" w:rsidRDefault="00716A35" w:rsidP="00AE70E7">
            <w:pPr>
              <w:autoSpaceDE w:val="0"/>
              <w:autoSpaceDN w:val="0"/>
              <w:adjustRightInd w:val="0"/>
              <w:spacing w:after="0" w:line="240" w:lineRule="auto"/>
              <w:rPr>
                <w:rFonts w:cstheme="minorHAnsi"/>
                <w:sz w:val="20"/>
                <w:szCs w:val="20"/>
              </w:rPr>
            </w:pPr>
            <w:r>
              <w:rPr>
                <w:rFonts w:cstheme="minorHAnsi"/>
                <w:sz w:val="20"/>
                <w:szCs w:val="20"/>
              </w:rPr>
              <w:t>Abt</w:t>
            </w:r>
            <w:r w:rsidR="00D57DF0">
              <w:rPr>
                <w:rFonts w:cstheme="minorHAnsi"/>
                <w:sz w:val="20"/>
                <w:szCs w:val="20"/>
              </w:rPr>
              <w:t xml:space="preserve"> Assoc.</w:t>
            </w:r>
          </w:p>
        </w:tc>
        <w:tc>
          <w:tcPr>
            <w:tcW w:w="1620" w:type="dxa"/>
            <w:gridSpan w:val="2"/>
            <w:tcBorders>
              <w:top w:val="single" w:sz="8" w:space="0" w:color="auto"/>
              <w:left w:val="nil"/>
              <w:bottom w:val="nil"/>
              <w:right w:val="nil"/>
            </w:tcBorders>
          </w:tcPr>
          <w:p w14:paraId="21695071" w14:textId="77777777" w:rsidR="007F0E10" w:rsidRPr="004042C9" w:rsidRDefault="00347B36" w:rsidP="00AE70E7">
            <w:pPr>
              <w:autoSpaceDE w:val="0"/>
              <w:autoSpaceDN w:val="0"/>
              <w:adjustRightInd w:val="0"/>
              <w:spacing w:after="0" w:line="240" w:lineRule="auto"/>
              <w:jc w:val="both"/>
              <w:rPr>
                <w:rStyle w:val="Emphasis"/>
                <w:rFonts w:cstheme="minorHAnsi"/>
                <w:sz w:val="20"/>
                <w:szCs w:val="20"/>
              </w:rPr>
            </w:pPr>
            <w:r>
              <w:rPr>
                <w:rFonts w:cstheme="minorHAnsi"/>
                <w:sz w:val="20"/>
                <w:szCs w:val="20"/>
              </w:rPr>
              <w:t>(</w:t>
            </w:r>
            <w:r w:rsidRPr="00347B36">
              <w:rPr>
                <w:rFonts w:cstheme="minorHAnsi"/>
                <w:sz w:val="20"/>
                <w:szCs w:val="20"/>
              </w:rPr>
              <w:t>404</w:t>
            </w:r>
            <w:r>
              <w:rPr>
                <w:rFonts w:cstheme="minorHAnsi"/>
                <w:sz w:val="20"/>
                <w:szCs w:val="20"/>
              </w:rPr>
              <w:t xml:space="preserve">) </w:t>
            </w:r>
            <w:r w:rsidRPr="00347B36">
              <w:rPr>
                <w:rFonts w:cstheme="minorHAnsi"/>
                <w:sz w:val="20"/>
                <w:szCs w:val="20"/>
              </w:rPr>
              <w:t>946-6305</w:t>
            </w:r>
          </w:p>
        </w:tc>
        <w:tc>
          <w:tcPr>
            <w:tcW w:w="2340" w:type="dxa"/>
            <w:tcBorders>
              <w:top w:val="single" w:sz="8" w:space="0" w:color="auto"/>
              <w:left w:val="nil"/>
              <w:bottom w:val="nil"/>
              <w:right w:val="nil"/>
            </w:tcBorders>
            <w:vAlign w:val="center"/>
          </w:tcPr>
          <w:p w14:paraId="603FC6AE" w14:textId="77777777" w:rsidR="007F0E10" w:rsidRPr="00D20211" w:rsidRDefault="00583C57" w:rsidP="00AE70E7">
            <w:pPr>
              <w:autoSpaceDE w:val="0"/>
              <w:autoSpaceDN w:val="0"/>
              <w:adjustRightInd w:val="0"/>
              <w:spacing w:after="0" w:line="240" w:lineRule="auto"/>
              <w:jc w:val="both"/>
              <w:rPr>
                <w:rStyle w:val="Emphasis"/>
                <w:rFonts w:cstheme="minorHAnsi"/>
                <w:sz w:val="20"/>
                <w:szCs w:val="20"/>
              </w:rPr>
            </w:pPr>
            <w:hyperlink r:id="rId14" w:history="1">
              <w:r w:rsidR="00D57DF0" w:rsidRPr="007F5AB5">
                <w:rPr>
                  <w:rStyle w:val="Hyperlink"/>
                  <w:rFonts w:cstheme="minorHAnsi"/>
                  <w:sz w:val="20"/>
                  <w:szCs w:val="20"/>
                </w:rPr>
                <w:t xml:space="preserve">Danielle_Hunt@abtassoc.com </w:t>
              </w:r>
            </w:hyperlink>
            <w:r w:rsidR="009C2F5A">
              <w:rPr>
                <w:rFonts w:cstheme="minorHAnsi"/>
                <w:sz w:val="20"/>
                <w:szCs w:val="20"/>
              </w:rPr>
              <w:t xml:space="preserve"> </w:t>
            </w:r>
            <w:r w:rsidR="007F0E10" w:rsidRPr="00D20211">
              <w:rPr>
                <w:rStyle w:val="Emphasis"/>
                <w:rFonts w:cstheme="minorHAnsi"/>
                <w:sz w:val="20"/>
                <w:szCs w:val="20"/>
              </w:rPr>
              <w:t xml:space="preserve"> </w:t>
            </w:r>
          </w:p>
        </w:tc>
      </w:tr>
      <w:tr w:rsidR="00347B36" w:rsidRPr="00D20211" w14:paraId="293A2FF2" w14:textId="77777777" w:rsidTr="00716A35">
        <w:tc>
          <w:tcPr>
            <w:tcW w:w="2174" w:type="dxa"/>
            <w:tcBorders>
              <w:top w:val="nil"/>
              <w:left w:val="nil"/>
              <w:bottom w:val="nil"/>
              <w:right w:val="nil"/>
            </w:tcBorders>
            <w:vAlign w:val="center"/>
          </w:tcPr>
          <w:p w14:paraId="245BA876" w14:textId="77777777" w:rsidR="007F0E10" w:rsidRPr="00D20211" w:rsidRDefault="00716A35" w:rsidP="00AE70E7">
            <w:pPr>
              <w:autoSpaceDE w:val="0"/>
              <w:autoSpaceDN w:val="0"/>
              <w:adjustRightInd w:val="0"/>
              <w:spacing w:after="0" w:line="240" w:lineRule="auto"/>
              <w:jc w:val="both"/>
              <w:rPr>
                <w:rFonts w:cstheme="minorHAnsi"/>
                <w:sz w:val="20"/>
                <w:szCs w:val="20"/>
              </w:rPr>
            </w:pPr>
            <w:r>
              <w:rPr>
                <w:rFonts w:cstheme="minorHAnsi"/>
                <w:sz w:val="20"/>
                <w:szCs w:val="20"/>
              </w:rPr>
              <w:t>Sheryl Kluberg</w:t>
            </w:r>
            <w:r w:rsidR="007F0E10" w:rsidRPr="00D20211">
              <w:rPr>
                <w:rFonts w:cstheme="minorHAnsi"/>
                <w:sz w:val="20"/>
                <w:szCs w:val="20"/>
              </w:rPr>
              <w:t>, PhD</w:t>
            </w:r>
          </w:p>
        </w:tc>
        <w:tc>
          <w:tcPr>
            <w:tcW w:w="1930" w:type="dxa"/>
            <w:gridSpan w:val="2"/>
            <w:tcBorders>
              <w:top w:val="nil"/>
              <w:left w:val="nil"/>
              <w:bottom w:val="nil"/>
              <w:right w:val="nil"/>
            </w:tcBorders>
            <w:vAlign w:val="center"/>
          </w:tcPr>
          <w:p w14:paraId="6B5A76C7" w14:textId="77777777" w:rsidR="007F0E10" w:rsidRPr="00D20211" w:rsidRDefault="00716A35" w:rsidP="00AE70E7">
            <w:pPr>
              <w:autoSpaceDE w:val="0"/>
              <w:autoSpaceDN w:val="0"/>
              <w:adjustRightInd w:val="0"/>
              <w:spacing w:after="0" w:line="240" w:lineRule="auto"/>
              <w:jc w:val="both"/>
              <w:rPr>
                <w:rFonts w:cstheme="minorHAnsi"/>
                <w:sz w:val="20"/>
                <w:szCs w:val="20"/>
              </w:rPr>
            </w:pPr>
            <w:r>
              <w:rPr>
                <w:rFonts w:cstheme="minorHAnsi"/>
                <w:sz w:val="20"/>
                <w:szCs w:val="20"/>
              </w:rPr>
              <w:t>Project Manager</w:t>
            </w:r>
          </w:p>
        </w:tc>
        <w:tc>
          <w:tcPr>
            <w:tcW w:w="1296" w:type="dxa"/>
            <w:tcBorders>
              <w:top w:val="nil"/>
              <w:left w:val="nil"/>
              <w:bottom w:val="nil"/>
              <w:right w:val="nil"/>
            </w:tcBorders>
            <w:vAlign w:val="center"/>
          </w:tcPr>
          <w:p w14:paraId="088BAE2D" w14:textId="77777777" w:rsidR="007F0E10" w:rsidRPr="00D20211" w:rsidRDefault="00716A35" w:rsidP="00AE70E7">
            <w:pPr>
              <w:autoSpaceDE w:val="0"/>
              <w:autoSpaceDN w:val="0"/>
              <w:adjustRightInd w:val="0"/>
              <w:spacing w:after="0" w:line="240" w:lineRule="auto"/>
              <w:jc w:val="both"/>
              <w:rPr>
                <w:rFonts w:cstheme="minorHAnsi"/>
                <w:sz w:val="20"/>
                <w:szCs w:val="20"/>
              </w:rPr>
            </w:pPr>
            <w:r>
              <w:rPr>
                <w:rFonts w:cstheme="minorHAnsi"/>
                <w:sz w:val="20"/>
                <w:szCs w:val="20"/>
              </w:rPr>
              <w:t>Abt</w:t>
            </w:r>
            <w:r w:rsidR="00D57DF0">
              <w:rPr>
                <w:rFonts w:cstheme="minorHAnsi"/>
                <w:sz w:val="20"/>
                <w:szCs w:val="20"/>
              </w:rPr>
              <w:t xml:space="preserve"> Assoc.</w:t>
            </w:r>
          </w:p>
        </w:tc>
        <w:tc>
          <w:tcPr>
            <w:tcW w:w="1620" w:type="dxa"/>
            <w:gridSpan w:val="2"/>
            <w:tcBorders>
              <w:top w:val="nil"/>
              <w:left w:val="nil"/>
              <w:bottom w:val="nil"/>
              <w:right w:val="nil"/>
            </w:tcBorders>
          </w:tcPr>
          <w:p w14:paraId="71A5ADD1" w14:textId="77777777" w:rsidR="007F0E10" w:rsidRPr="004042C9" w:rsidRDefault="00347B36" w:rsidP="00AE70E7">
            <w:pPr>
              <w:autoSpaceDE w:val="0"/>
              <w:autoSpaceDN w:val="0"/>
              <w:adjustRightInd w:val="0"/>
              <w:spacing w:after="0" w:line="240" w:lineRule="auto"/>
              <w:jc w:val="both"/>
              <w:rPr>
                <w:rStyle w:val="Emphasis"/>
                <w:rFonts w:cstheme="minorHAnsi"/>
                <w:sz w:val="20"/>
                <w:szCs w:val="20"/>
              </w:rPr>
            </w:pPr>
            <w:r w:rsidRPr="00347B36">
              <w:rPr>
                <w:rFonts w:cstheme="minorHAnsi"/>
                <w:sz w:val="20"/>
                <w:szCs w:val="20"/>
              </w:rPr>
              <w:t>(617) 520-3858</w:t>
            </w:r>
          </w:p>
        </w:tc>
        <w:tc>
          <w:tcPr>
            <w:tcW w:w="2340" w:type="dxa"/>
            <w:tcBorders>
              <w:top w:val="nil"/>
              <w:left w:val="nil"/>
              <w:bottom w:val="nil"/>
              <w:right w:val="nil"/>
            </w:tcBorders>
            <w:vAlign w:val="center"/>
          </w:tcPr>
          <w:p w14:paraId="7C0A10FA" w14:textId="77777777" w:rsidR="007F0E10" w:rsidRPr="00D20211" w:rsidRDefault="00716A35" w:rsidP="00AE70E7">
            <w:pPr>
              <w:autoSpaceDE w:val="0"/>
              <w:autoSpaceDN w:val="0"/>
              <w:adjustRightInd w:val="0"/>
              <w:spacing w:after="0" w:line="240" w:lineRule="auto"/>
              <w:jc w:val="both"/>
              <w:rPr>
                <w:rStyle w:val="Emphasis"/>
                <w:rFonts w:cstheme="minorHAnsi"/>
                <w:sz w:val="20"/>
                <w:szCs w:val="20"/>
              </w:rPr>
            </w:pPr>
            <w:r>
              <w:rPr>
                <w:rStyle w:val="Hyperlink"/>
                <w:rFonts w:cstheme="minorHAnsi"/>
                <w:sz w:val="20"/>
                <w:szCs w:val="20"/>
              </w:rPr>
              <w:t>Sheryl_Kluberg@abtassoc.com</w:t>
            </w:r>
          </w:p>
        </w:tc>
      </w:tr>
      <w:tr w:rsidR="00347B36" w:rsidRPr="00D20211" w14:paraId="6DC5EB2A" w14:textId="77777777" w:rsidTr="00716A35">
        <w:tc>
          <w:tcPr>
            <w:tcW w:w="2174" w:type="dxa"/>
            <w:tcBorders>
              <w:top w:val="nil"/>
              <w:left w:val="nil"/>
              <w:bottom w:val="single" w:sz="8" w:space="0" w:color="auto"/>
              <w:right w:val="nil"/>
            </w:tcBorders>
            <w:vAlign w:val="center"/>
          </w:tcPr>
          <w:p w14:paraId="384E2AC2" w14:textId="77777777" w:rsidR="007F0E10" w:rsidRPr="00D20211" w:rsidRDefault="00D57DF0" w:rsidP="00AE70E7">
            <w:pPr>
              <w:autoSpaceDE w:val="0"/>
              <w:autoSpaceDN w:val="0"/>
              <w:adjustRightInd w:val="0"/>
              <w:spacing w:after="0" w:line="240" w:lineRule="auto"/>
              <w:jc w:val="both"/>
              <w:rPr>
                <w:rFonts w:cstheme="minorHAnsi"/>
                <w:sz w:val="20"/>
                <w:szCs w:val="20"/>
              </w:rPr>
            </w:pPr>
            <w:r>
              <w:rPr>
                <w:rFonts w:cstheme="minorHAnsi"/>
                <w:sz w:val="20"/>
                <w:szCs w:val="20"/>
              </w:rPr>
              <w:t>Chris Spera</w:t>
            </w:r>
            <w:r w:rsidR="007F0E10" w:rsidRPr="00D20211">
              <w:rPr>
                <w:rFonts w:cstheme="minorHAnsi"/>
                <w:sz w:val="20"/>
                <w:szCs w:val="20"/>
              </w:rPr>
              <w:t>, PhD</w:t>
            </w:r>
          </w:p>
        </w:tc>
        <w:tc>
          <w:tcPr>
            <w:tcW w:w="1930" w:type="dxa"/>
            <w:gridSpan w:val="2"/>
            <w:tcBorders>
              <w:top w:val="nil"/>
              <w:left w:val="nil"/>
              <w:bottom w:val="single" w:sz="8" w:space="0" w:color="auto"/>
              <w:right w:val="nil"/>
            </w:tcBorders>
            <w:vAlign w:val="center"/>
          </w:tcPr>
          <w:p w14:paraId="29CB3822" w14:textId="77777777" w:rsidR="007F0E10" w:rsidRPr="00D20211" w:rsidRDefault="009E7CCE" w:rsidP="00D57DF0">
            <w:pPr>
              <w:autoSpaceDE w:val="0"/>
              <w:autoSpaceDN w:val="0"/>
              <w:adjustRightInd w:val="0"/>
              <w:spacing w:after="0" w:line="240" w:lineRule="auto"/>
              <w:rPr>
                <w:rFonts w:cstheme="minorHAnsi"/>
                <w:sz w:val="20"/>
                <w:szCs w:val="20"/>
              </w:rPr>
            </w:pPr>
            <w:r>
              <w:rPr>
                <w:rFonts w:cstheme="minorHAnsi"/>
                <w:sz w:val="20"/>
                <w:szCs w:val="20"/>
              </w:rPr>
              <w:t xml:space="preserve">Division </w:t>
            </w:r>
            <w:r w:rsidR="00D57DF0">
              <w:rPr>
                <w:rFonts w:cstheme="minorHAnsi"/>
                <w:sz w:val="20"/>
                <w:szCs w:val="20"/>
              </w:rPr>
              <w:t>Vice President</w:t>
            </w:r>
            <w:r>
              <w:rPr>
                <w:rFonts w:cstheme="minorHAnsi"/>
                <w:sz w:val="20"/>
                <w:szCs w:val="20"/>
              </w:rPr>
              <w:t xml:space="preserve">, </w:t>
            </w:r>
            <w:r w:rsidR="00D57DF0">
              <w:rPr>
                <w:rFonts w:cstheme="minorHAnsi"/>
                <w:sz w:val="20"/>
                <w:szCs w:val="20"/>
              </w:rPr>
              <w:t>Domestic Health</w:t>
            </w:r>
          </w:p>
        </w:tc>
        <w:tc>
          <w:tcPr>
            <w:tcW w:w="1296" w:type="dxa"/>
            <w:tcBorders>
              <w:top w:val="nil"/>
              <w:left w:val="nil"/>
              <w:bottom w:val="single" w:sz="8" w:space="0" w:color="auto"/>
              <w:right w:val="nil"/>
            </w:tcBorders>
            <w:vAlign w:val="center"/>
          </w:tcPr>
          <w:p w14:paraId="74353A27" w14:textId="77777777" w:rsidR="007F0E10" w:rsidRPr="00D20211" w:rsidRDefault="00716A35" w:rsidP="00AE70E7">
            <w:pPr>
              <w:autoSpaceDE w:val="0"/>
              <w:autoSpaceDN w:val="0"/>
              <w:adjustRightInd w:val="0"/>
              <w:spacing w:after="0" w:line="240" w:lineRule="auto"/>
              <w:jc w:val="both"/>
              <w:rPr>
                <w:rFonts w:cstheme="minorHAnsi"/>
                <w:sz w:val="20"/>
                <w:szCs w:val="20"/>
              </w:rPr>
            </w:pPr>
            <w:r>
              <w:rPr>
                <w:rFonts w:cstheme="minorHAnsi"/>
                <w:sz w:val="20"/>
                <w:szCs w:val="20"/>
              </w:rPr>
              <w:t>Abt</w:t>
            </w:r>
            <w:r w:rsidR="00D57DF0">
              <w:rPr>
                <w:rFonts w:cstheme="minorHAnsi"/>
                <w:sz w:val="20"/>
                <w:szCs w:val="20"/>
              </w:rPr>
              <w:t xml:space="preserve"> Associates</w:t>
            </w:r>
          </w:p>
        </w:tc>
        <w:tc>
          <w:tcPr>
            <w:tcW w:w="1620" w:type="dxa"/>
            <w:gridSpan w:val="2"/>
            <w:tcBorders>
              <w:top w:val="nil"/>
              <w:left w:val="nil"/>
              <w:bottom w:val="single" w:sz="8" w:space="0" w:color="auto"/>
              <w:right w:val="nil"/>
            </w:tcBorders>
          </w:tcPr>
          <w:p w14:paraId="3904E726" w14:textId="77777777" w:rsidR="007F0E10" w:rsidRPr="004042C9" w:rsidRDefault="009E7CCE" w:rsidP="00AE70E7">
            <w:pPr>
              <w:autoSpaceDE w:val="0"/>
              <w:autoSpaceDN w:val="0"/>
              <w:adjustRightInd w:val="0"/>
              <w:spacing w:after="0" w:line="240" w:lineRule="auto"/>
              <w:jc w:val="both"/>
              <w:rPr>
                <w:rStyle w:val="Emphasis"/>
                <w:rFonts w:cstheme="minorHAnsi"/>
                <w:sz w:val="20"/>
                <w:szCs w:val="20"/>
              </w:rPr>
            </w:pPr>
            <w:r>
              <w:rPr>
                <w:rFonts w:cstheme="minorHAnsi"/>
                <w:sz w:val="20"/>
                <w:szCs w:val="20"/>
              </w:rPr>
              <w:t>(</w:t>
            </w:r>
            <w:r w:rsidRPr="009E7CCE">
              <w:rPr>
                <w:rFonts w:cstheme="minorHAnsi"/>
                <w:sz w:val="20"/>
                <w:szCs w:val="20"/>
              </w:rPr>
              <w:t>301</w:t>
            </w:r>
            <w:r>
              <w:rPr>
                <w:rFonts w:cstheme="minorHAnsi"/>
                <w:sz w:val="20"/>
                <w:szCs w:val="20"/>
              </w:rPr>
              <w:t xml:space="preserve">) </w:t>
            </w:r>
            <w:r w:rsidRPr="009E7CCE">
              <w:rPr>
                <w:rFonts w:cstheme="minorHAnsi"/>
                <w:sz w:val="20"/>
                <w:szCs w:val="20"/>
              </w:rPr>
              <w:t>347-5950</w:t>
            </w:r>
          </w:p>
        </w:tc>
        <w:tc>
          <w:tcPr>
            <w:tcW w:w="2340" w:type="dxa"/>
            <w:tcBorders>
              <w:top w:val="nil"/>
              <w:left w:val="nil"/>
              <w:bottom w:val="single" w:sz="8" w:space="0" w:color="auto"/>
              <w:right w:val="nil"/>
            </w:tcBorders>
            <w:vAlign w:val="center"/>
          </w:tcPr>
          <w:p w14:paraId="0C2475C0" w14:textId="77777777" w:rsidR="007F0E10" w:rsidRPr="00D20211" w:rsidRDefault="00583C57" w:rsidP="00AE70E7">
            <w:pPr>
              <w:autoSpaceDE w:val="0"/>
              <w:autoSpaceDN w:val="0"/>
              <w:adjustRightInd w:val="0"/>
              <w:spacing w:after="0" w:line="240" w:lineRule="auto"/>
              <w:jc w:val="both"/>
              <w:rPr>
                <w:rStyle w:val="Emphasis"/>
                <w:rFonts w:cstheme="minorHAnsi"/>
                <w:sz w:val="20"/>
                <w:szCs w:val="20"/>
              </w:rPr>
            </w:pPr>
            <w:hyperlink r:id="rId15" w:history="1">
              <w:r w:rsidR="000C6804" w:rsidRPr="007F5AB5">
                <w:rPr>
                  <w:rStyle w:val="Hyperlink"/>
                  <w:rFonts w:cstheme="minorHAnsi"/>
                  <w:sz w:val="20"/>
                  <w:szCs w:val="20"/>
                </w:rPr>
                <w:t xml:space="preserve">Chris_Spera@abtassoc.com </w:t>
              </w:r>
            </w:hyperlink>
          </w:p>
        </w:tc>
      </w:tr>
    </w:tbl>
    <w:p w14:paraId="5CDB8EBC" w14:textId="77777777" w:rsidR="007F0E10" w:rsidRPr="00E410B4" w:rsidRDefault="007F0E10" w:rsidP="00E410B4">
      <w:pPr>
        <w:autoSpaceDE w:val="0"/>
        <w:autoSpaceDN w:val="0"/>
        <w:adjustRightInd w:val="0"/>
        <w:spacing w:line="240" w:lineRule="auto"/>
        <w:rPr>
          <w:rFonts w:cs="ITCFranklinGothicStd-Book"/>
          <w:sz w:val="24"/>
          <w:szCs w:val="24"/>
        </w:rPr>
      </w:pPr>
    </w:p>
    <w:p w14:paraId="6DFFB276" w14:textId="77777777" w:rsidR="00984634" w:rsidRPr="00E707C0" w:rsidRDefault="00984634" w:rsidP="00984634"/>
    <w:p w14:paraId="056E55DA" w14:textId="77777777" w:rsidR="00A76C6D" w:rsidRPr="001B3512" w:rsidRDefault="00A76C6D" w:rsidP="001B3512">
      <w:pPr>
        <w:pStyle w:val="Heading1"/>
        <w:pBdr>
          <w:bottom w:val="none" w:sz="0" w:space="0" w:color="auto"/>
        </w:pBdr>
        <w:rPr>
          <w:rFonts w:ascii="Cambria" w:hAnsi="Cambria"/>
          <w:color w:val="auto"/>
        </w:rPr>
      </w:pPr>
      <w:bookmarkStart w:id="13" w:name="_Toc431814724"/>
      <w:bookmarkStart w:id="14" w:name="_Toc4777329"/>
      <w:bookmarkStart w:id="15" w:name="_Toc532227535"/>
      <w:r w:rsidRPr="00E707C0">
        <w:rPr>
          <w:rFonts w:ascii="Cambria" w:hAnsi="Cambria"/>
          <w:color w:val="auto"/>
        </w:rPr>
        <w:t>References</w:t>
      </w:r>
      <w:bookmarkEnd w:id="13"/>
      <w:bookmarkEnd w:id="14"/>
      <w:bookmarkEnd w:id="15"/>
    </w:p>
    <w:p w14:paraId="74E03EC5" w14:textId="77777777" w:rsidR="003A1961" w:rsidRPr="007A234C" w:rsidRDefault="003A1961" w:rsidP="001B3512">
      <w:pPr>
        <w:spacing w:before="160" w:after="240" w:line="240" w:lineRule="auto"/>
        <w:rPr>
          <w:rFonts w:cstheme="minorHAnsi"/>
          <w:color w:val="000000"/>
          <w:sz w:val="24"/>
          <w:szCs w:val="24"/>
        </w:rPr>
      </w:pPr>
      <w:r w:rsidRPr="007A234C">
        <w:rPr>
          <w:rFonts w:cstheme="minorHAnsi"/>
          <w:sz w:val="24"/>
          <w:szCs w:val="24"/>
        </w:rPr>
        <w:t xml:space="preserve">Agency for Toxic Substances and Disease Registry (ATSDR). Feasibility Assessment for Epidemiological Studies at Pease International Tradeport. Portsmouth, New Hampshire. November </w:t>
      </w:r>
      <w:r w:rsidRPr="007A234C">
        <w:rPr>
          <w:rFonts w:eastAsiaTheme="minorHAnsi" w:cstheme="minorHAnsi"/>
          <w:sz w:val="24"/>
          <w:szCs w:val="24"/>
        </w:rPr>
        <w:t>2017</w:t>
      </w:r>
      <w:r w:rsidRPr="007A234C">
        <w:rPr>
          <w:rFonts w:cstheme="minorHAnsi"/>
          <w:sz w:val="24"/>
          <w:szCs w:val="24"/>
        </w:rPr>
        <w:t xml:space="preserve">. </w:t>
      </w:r>
      <w:r w:rsidRPr="00124C4A">
        <w:rPr>
          <w:rFonts w:cstheme="minorHAnsi"/>
          <w:b/>
          <w:sz w:val="24"/>
          <w:szCs w:val="24"/>
        </w:rPr>
        <w:t>A</w:t>
      </w:r>
      <w:r w:rsidR="00124C4A" w:rsidRPr="00124C4A">
        <w:rPr>
          <w:rFonts w:cstheme="minorHAnsi"/>
          <w:b/>
          <w:sz w:val="24"/>
          <w:szCs w:val="24"/>
        </w:rPr>
        <w:t>ppendix C</w:t>
      </w:r>
      <w:r w:rsidR="00124C4A">
        <w:rPr>
          <w:rFonts w:cstheme="minorHAnsi"/>
          <w:sz w:val="24"/>
          <w:szCs w:val="24"/>
        </w:rPr>
        <w:t xml:space="preserve"> a</w:t>
      </w:r>
      <w:r w:rsidRPr="007A234C">
        <w:rPr>
          <w:rFonts w:cstheme="minorHAnsi"/>
          <w:sz w:val="24"/>
          <w:szCs w:val="24"/>
        </w:rPr>
        <w:t xml:space="preserve">vailable at: </w:t>
      </w:r>
      <w:hyperlink r:id="rId16" w:history="1">
        <w:r w:rsidRPr="007A234C">
          <w:rPr>
            <w:rStyle w:val="Hyperlink"/>
            <w:rFonts w:cstheme="minorHAnsi"/>
            <w:sz w:val="24"/>
            <w:szCs w:val="24"/>
          </w:rPr>
          <w:t>https://www.atsdr.cdc.gov/sites/pease/documents/Pease_Feasibility_Assessment_November-2017_508.pdf</w:t>
        </w:r>
      </w:hyperlink>
    </w:p>
    <w:p w14:paraId="59D4FCB5" w14:textId="77777777" w:rsidR="003A1961" w:rsidRPr="007A234C" w:rsidRDefault="003A1961" w:rsidP="003A1961">
      <w:pPr>
        <w:autoSpaceDE w:val="0"/>
        <w:autoSpaceDN w:val="0"/>
        <w:adjustRightInd w:val="0"/>
        <w:spacing w:after="240" w:line="240" w:lineRule="auto"/>
        <w:rPr>
          <w:rFonts w:eastAsiaTheme="minorHAnsi" w:cstheme="minorHAnsi"/>
          <w:sz w:val="24"/>
          <w:szCs w:val="24"/>
        </w:rPr>
      </w:pPr>
      <w:r w:rsidRPr="007A234C">
        <w:rPr>
          <w:rFonts w:eastAsiaTheme="minorHAnsi" w:cstheme="minorHAnsi"/>
          <w:sz w:val="24"/>
          <w:szCs w:val="24"/>
        </w:rPr>
        <w:t>Checkoway H, Pearce N, Kriebel D. Research Methods in Occupational Epidemiology, Second Edition. Oxford U. Press 2004.</w:t>
      </w:r>
    </w:p>
    <w:p w14:paraId="5AEF9062" w14:textId="77777777" w:rsidR="003A1961" w:rsidRPr="007A234C" w:rsidRDefault="003A1961" w:rsidP="003A1961">
      <w:pPr>
        <w:spacing w:after="240" w:line="240" w:lineRule="auto"/>
        <w:rPr>
          <w:rFonts w:eastAsiaTheme="minorHAnsi" w:cstheme="minorHAnsi"/>
          <w:sz w:val="24"/>
          <w:szCs w:val="24"/>
        </w:rPr>
      </w:pPr>
      <w:r w:rsidRPr="007A234C">
        <w:rPr>
          <w:rFonts w:eastAsiaTheme="minorHAnsi" w:cstheme="minorHAnsi"/>
          <w:sz w:val="24"/>
          <w:szCs w:val="24"/>
        </w:rPr>
        <w:t>Flanders WD, Lin L, Pirkle JL, Caudill SP. Assessing the direction of causality in cross-sectional studies. Am J Epidemiol 1992;135:926-935.</w:t>
      </w:r>
    </w:p>
    <w:p w14:paraId="3382D745" w14:textId="77777777" w:rsidR="003A1961" w:rsidRPr="00E707C0" w:rsidRDefault="003A1961" w:rsidP="003A1961">
      <w:pPr>
        <w:rPr>
          <w:rFonts w:ascii="Cambria" w:hAnsi="Cambria"/>
          <w:sz w:val="36"/>
          <w:szCs w:val="36"/>
        </w:rPr>
      </w:pPr>
      <w:r w:rsidRPr="007A234C">
        <w:rPr>
          <w:rFonts w:eastAsiaTheme="minorHAnsi" w:cstheme="minorHAnsi"/>
          <w:sz w:val="24"/>
          <w:szCs w:val="24"/>
        </w:rPr>
        <w:t>Flanders WD, Klein M, Mirabelli MC. Conditions for valid estimation of causal effects on prevalence in cross-sectional and other studies. Ann Epidemiol 2016;26:389-394.</w:t>
      </w:r>
    </w:p>
    <w:p w14:paraId="3D893979" w14:textId="77777777" w:rsidR="000A73FF" w:rsidRDefault="000A73FF">
      <w:pPr>
        <w:rPr>
          <w:rFonts w:ascii="Cambria" w:eastAsiaTheme="majorEastAsia" w:hAnsi="Cambria" w:cstheme="minorHAnsi"/>
          <w:sz w:val="36"/>
          <w:szCs w:val="36"/>
        </w:rPr>
      </w:pPr>
      <w:bookmarkStart w:id="16" w:name="_Toc532227322"/>
      <w:bookmarkStart w:id="17" w:name="_Toc4777330"/>
      <w:r>
        <w:rPr>
          <w:rFonts w:ascii="Cambria" w:hAnsi="Cambria" w:cstheme="minorHAnsi"/>
        </w:rPr>
        <w:br w:type="page"/>
      </w:r>
    </w:p>
    <w:p w14:paraId="546EB4C4" w14:textId="77777777" w:rsidR="000D54F7" w:rsidRPr="00067E18" w:rsidRDefault="000D54F7" w:rsidP="000D54F7">
      <w:pPr>
        <w:pStyle w:val="Heading1"/>
        <w:pBdr>
          <w:bottom w:val="none" w:sz="0" w:space="0" w:color="auto"/>
        </w:pBdr>
        <w:rPr>
          <w:rFonts w:ascii="Cambria" w:hAnsi="Cambria" w:cstheme="minorHAnsi"/>
          <w:color w:val="auto"/>
        </w:rPr>
      </w:pPr>
      <w:bookmarkStart w:id="18" w:name="_Toc532227536"/>
      <w:r w:rsidRPr="00067E18">
        <w:rPr>
          <w:rFonts w:ascii="Cambria" w:hAnsi="Cambria" w:cstheme="minorHAnsi"/>
          <w:color w:val="auto"/>
        </w:rPr>
        <w:t>List of Appendices and Protocol Attachments</w:t>
      </w:r>
      <w:bookmarkEnd w:id="16"/>
      <w:bookmarkEnd w:id="17"/>
      <w:bookmarkEnd w:id="18"/>
    </w:p>
    <w:p w14:paraId="3619ACEE" w14:textId="77777777" w:rsidR="000D54F7" w:rsidRDefault="000D54F7" w:rsidP="000D54F7">
      <w:pPr>
        <w:spacing w:after="0" w:line="240" w:lineRule="auto"/>
        <w:rPr>
          <w:rFonts w:cstheme="minorHAnsi"/>
          <w:sz w:val="24"/>
          <w:szCs w:val="24"/>
        </w:rPr>
      </w:pPr>
    </w:p>
    <w:p w14:paraId="120BE541" w14:textId="77777777" w:rsidR="000D54F7" w:rsidRPr="008F293F" w:rsidRDefault="000D54F7" w:rsidP="000A73FF">
      <w:pPr>
        <w:spacing w:line="240" w:lineRule="auto"/>
      </w:pPr>
      <w:r w:rsidRPr="008F293F">
        <w:t>Appendix A. Authorizing Legislation</w:t>
      </w:r>
    </w:p>
    <w:p w14:paraId="6D66AA54" w14:textId="77777777" w:rsidR="000D54F7" w:rsidRPr="008F293F" w:rsidRDefault="000D54F7" w:rsidP="000A73FF">
      <w:pPr>
        <w:spacing w:line="240" w:lineRule="auto"/>
      </w:pPr>
      <w:r w:rsidRPr="008F293F">
        <w:t>Appendix B. 60-day Federal Register Notice</w:t>
      </w:r>
    </w:p>
    <w:p w14:paraId="16A14FCE" w14:textId="77777777" w:rsidR="000D54F7" w:rsidRPr="008F293F" w:rsidRDefault="000D54F7" w:rsidP="000A73FF">
      <w:pPr>
        <w:spacing w:line="240" w:lineRule="auto"/>
        <w:ind w:firstLine="720"/>
      </w:pPr>
      <w:r w:rsidRPr="008F293F">
        <w:t>Appendix B1. Public Comments and Program Responses</w:t>
      </w:r>
    </w:p>
    <w:p w14:paraId="457F4BE8" w14:textId="77777777" w:rsidR="000D54F7" w:rsidRPr="008F293F" w:rsidRDefault="000D54F7" w:rsidP="00CA2B4A">
      <w:pPr>
        <w:spacing w:line="240" w:lineRule="auto"/>
      </w:pPr>
      <w:r w:rsidRPr="008F293F">
        <w:t>Appendix C. ATSDR Pease Feasibility Assessment</w:t>
      </w:r>
    </w:p>
    <w:p w14:paraId="3F8FD45B" w14:textId="77777777" w:rsidR="000D54F7" w:rsidRPr="008F293F" w:rsidRDefault="000D54F7">
      <w:pPr>
        <w:spacing w:line="240" w:lineRule="auto"/>
      </w:pPr>
      <w:r w:rsidRPr="008F293F">
        <w:t>Appendix D. Privacy Impact Assessment</w:t>
      </w:r>
    </w:p>
    <w:p w14:paraId="0BD26F11" w14:textId="248198FC" w:rsidR="000D54F7" w:rsidRDefault="000D54F7">
      <w:pPr>
        <w:spacing w:line="240" w:lineRule="auto"/>
      </w:pPr>
      <w:r w:rsidRPr="008F293F">
        <w:t>Appendix E. IRB Approval Memo</w:t>
      </w:r>
    </w:p>
    <w:p w14:paraId="1AD6C833" w14:textId="159554E7" w:rsidR="00DA2C06" w:rsidRPr="008F293F" w:rsidRDefault="00DA2C06">
      <w:pPr>
        <w:spacing w:line="240" w:lineRule="auto"/>
      </w:pPr>
      <w:r>
        <w:t>Appendix F: Data Sharing and Disclosure Review</w:t>
      </w:r>
    </w:p>
    <w:p w14:paraId="22FBA802" w14:textId="77777777" w:rsidR="000D54F7" w:rsidRPr="008F293F" w:rsidRDefault="000D54F7">
      <w:pPr>
        <w:spacing w:line="240" w:lineRule="auto"/>
      </w:pPr>
    </w:p>
    <w:p w14:paraId="2B691D7C" w14:textId="77777777" w:rsidR="000D54F7" w:rsidRPr="008F293F" w:rsidRDefault="000D54F7">
      <w:pPr>
        <w:spacing w:line="240" w:lineRule="auto"/>
      </w:pPr>
      <w:r w:rsidRPr="008F293F">
        <w:t>Pease Study Protocol and Attachments</w:t>
      </w:r>
      <w:bookmarkStart w:id="19" w:name="_Toc517259236"/>
    </w:p>
    <w:p w14:paraId="7A9CDFD5" w14:textId="77777777" w:rsidR="000D54F7" w:rsidRPr="008F293F" w:rsidRDefault="000D54F7">
      <w:pPr>
        <w:spacing w:line="240" w:lineRule="auto"/>
        <w:ind w:left="720"/>
      </w:pPr>
      <w:r w:rsidRPr="008F293F">
        <w:t>Attachment 1. Investigators and Key Study Personnel</w:t>
      </w:r>
      <w:bookmarkStart w:id="20" w:name="_Toc517259237"/>
      <w:bookmarkEnd w:id="19"/>
    </w:p>
    <w:p w14:paraId="6F43DAA6" w14:textId="77777777" w:rsidR="000D54F7" w:rsidRPr="008F293F" w:rsidRDefault="000D54F7">
      <w:pPr>
        <w:spacing w:line="240" w:lineRule="auto"/>
        <w:ind w:left="720"/>
      </w:pPr>
      <w:r w:rsidRPr="008F293F">
        <w:t>Attachment 2. PFAS Serum Levels, Pease vs. External Populations</w:t>
      </w:r>
      <w:bookmarkStart w:id="21" w:name="_Toc517259238"/>
      <w:bookmarkEnd w:id="20"/>
    </w:p>
    <w:p w14:paraId="1927FE47" w14:textId="77777777" w:rsidR="000D54F7" w:rsidRPr="008F293F" w:rsidRDefault="000D54F7">
      <w:pPr>
        <w:spacing w:line="240" w:lineRule="auto"/>
        <w:ind w:left="1440"/>
      </w:pPr>
      <w:r w:rsidRPr="008F293F">
        <w:t>Attachment 2a. Pease serum PFAS levels in µg/L, by age groups, 2018</w:t>
      </w:r>
      <w:bookmarkStart w:id="22" w:name="_Toc517259239"/>
      <w:bookmarkEnd w:id="21"/>
    </w:p>
    <w:p w14:paraId="2E52B9E5" w14:textId="77777777" w:rsidR="000D54F7" w:rsidRPr="008F293F" w:rsidRDefault="000D54F7">
      <w:pPr>
        <w:spacing w:line="240" w:lineRule="auto"/>
        <w:ind w:left="1440"/>
      </w:pPr>
      <w:r w:rsidRPr="008F293F">
        <w:t>Attachment 2b. Serum PFAS levels in µg/L, children aged &lt;12 years, Pease vs. comparisons</w:t>
      </w:r>
      <w:bookmarkEnd w:id="22"/>
    </w:p>
    <w:p w14:paraId="36B24056" w14:textId="77777777" w:rsidR="000D54F7" w:rsidRPr="008F293F" w:rsidRDefault="000D54F7">
      <w:pPr>
        <w:spacing w:line="240" w:lineRule="auto"/>
        <w:ind w:left="1440"/>
      </w:pPr>
      <w:bookmarkStart w:id="23" w:name="_Toc517259240"/>
      <w:r w:rsidRPr="008F293F">
        <w:t>Attachment 2c. Serum PFAS levels in µg/L, aged ≥12 years, Pease vs. NHANES</w:t>
      </w:r>
      <w:bookmarkEnd w:id="23"/>
    </w:p>
    <w:p w14:paraId="6F5AFB48" w14:textId="77777777" w:rsidR="000D54F7" w:rsidRPr="008F293F" w:rsidRDefault="000D54F7">
      <w:pPr>
        <w:spacing w:line="240" w:lineRule="auto"/>
        <w:ind w:left="720"/>
        <w:rPr>
          <w:b/>
        </w:rPr>
      </w:pPr>
      <w:bookmarkStart w:id="24" w:name="_Toc517259241"/>
      <w:r w:rsidRPr="008F293F">
        <w:t>Attachment 3.</w:t>
      </w:r>
      <w:bookmarkStart w:id="25" w:name="_Toc329944764"/>
      <w:r w:rsidRPr="008F293F">
        <w:t xml:space="preserve"> Biochemical Analytical Plan</w:t>
      </w:r>
      <w:bookmarkEnd w:id="25"/>
      <w:r w:rsidRPr="008F293F">
        <w:t xml:space="preserve"> in Children and Adults</w:t>
      </w:r>
      <w:bookmarkEnd w:id="24"/>
    </w:p>
    <w:p w14:paraId="1066E368" w14:textId="77777777" w:rsidR="000D54F7" w:rsidRPr="008F293F" w:rsidRDefault="000D54F7">
      <w:pPr>
        <w:spacing w:line="240" w:lineRule="auto"/>
        <w:ind w:left="720"/>
        <w:rPr>
          <w:b/>
        </w:rPr>
      </w:pPr>
      <w:bookmarkStart w:id="26" w:name="_Toc517259242"/>
      <w:r w:rsidRPr="008F293F">
        <w:t>Attachment 4. Justification for Sample Size Calculations</w:t>
      </w:r>
      <w:bookmarkEnd w:id="26"/>
    </w:p>
    <w:p w14:paraId="562ED623" w14:textId="77777777" w:rsidR="000D54F7" w:rsidRPr="008F293F" w:rsidRDefault="000D54F7">
      <w:pPr>
        <w:spacing w:line="240" w:lineRule="auto"/>
        <w:ind w:left="1440"/>
        <w:rPr>
          <w:b/>
        </w:rPr>
      </w:pPr>
      <w:bookmarkStart w:id="27" w:name="_Toc517259243"/>
      <w:r w:rsidRPr="008F293F">
        <w:t>Attachment 4a. Sample Size for Child Study</w:t>
      </w:r>
      <w:bookmarkEnd w:id="27"/>
    </w:p>
    <w:p w14:paraId="5DD9CFE2" w14:textId="77777777" w:rsidR="000D54F7" w:rsidRPr="008F293F" w:rsidRDefault="000D54F7">
      <w:pPr>
        <w:spacing w:line="240" w:lineRule="auto"/>
        <w:ind w:left="1440"/>
        <w:rPr>
          <w:b/>
        </w:rPr>
      </w:pPr>
      <w:bookmarkStart w:id="28" w:name="_Toc517259244"/>
      <w:r w:rsidRPr="008F293F">
        <w:t>Attachment 4b. Sample Size for Adult Study</w:t>
      </w:r>
      <w:bookmarkEnd w:id="28"/>
    </w:p>
    <w:p w14:paraId="080902C6" w14:textId="77777777" w:rsidR="000D54F7" w:rsidRPr="008F293F" w:rsidRDefault="000D54F7">
      <w:pPr>
        <w:spacing w:line="240" w:lineRule="auto"/>
        <w:ind w:left="720"/>
        <w:rPr>
          <w:b/>
        </w:rPr>
      </w:pPr>
      <w:bookmarkStart w:id="29" w:name="_Toc517259245"/>
      <w:r w:rsidRPr="008F293F">
        <w:t>Attachment 5 – Pease Study Communication Plan</w:t>
      </w:r>
      <w:bookmarkEnd w:id="29"/>
    </w:p>
    <w:p w14:paraId="5CBC0818" w14:textId="77777777" w:rsidR="000D54F7" w:rsidRPr="008F293F" w:rsidRDefault="000D54F7">
      <w:pPr>
        <w:spacing w:line="240" w:lineRule="auto"/>
        <w:ind w:left="1440"/>
        <w:rPr>
          <w:b/>
        </w:rPr>
      </w:pPr>
      <w:bookmarkStart w:id="30" w:name="_Toc517259246"/>
      <w:r w:rsidRPr="008F293F">
        <w:t>Attachment 5a. Pease Study Communication Plan Objectives</w:t>
      </w:r>
      <w:bookmarkEnd w:id="30"/>
    </w:p>
    <w:p w14:paraId="348F7A54" w14:textId="77777777" w:rsidR="000D54F7" w:rsidRPr="008F293F" w:rsidRDefault="000D54F7">
      <w:pPr>
        <w:spacing w:line="240" w:lineRule="auto"/>
        <w:ind w:left="1440"/>
        <w:rPr>
          <w:b/>
        </w:rPr>
      </w:pPr>
      <w:bookmarkStart w:id="31" w:name="_Toc517259247"/>
      <w:r w:rsidRPr="008F293F">
        <w:t>Attachment 5b. Pease Study Overarching Communication Messages</w:t>
      </w:r>
      <w:bookmarkEnd w:id="31"/>
    </w:p>
    <w:p w14:paraId="7F54BAC9" w14:textId="77777777" w:rsidR="000D54F7" w:rsidRPr="008F293F" w:rsidRDefault="000D54F7">
      <w:pPr>
        <w:spacing w:line="240" w:lineRule="auto"/>
        <w:ind w:left="1440"/>
        <w:rPr>
          <w:b/>
        </w:rPr>
      </w:pPr>
      <w:bookmarkStart w:id="32" w:name="_Toc517259248"/>
      <w:r w:rsidRPr="008F293F">
        <w:t>Attachment 5c. Pease Study Press Release – Launch</w:t>
      </w:r>
      <w:bookmarkEnd w:id="32"/>
      <w:r w:rsidRPr="008F293F">
        <w:t xml:space="preserve"> </w:t>
      </w:r>
    </w:p>
    <w:p w14:paraId="708E9BCA" w14:textId="77777777" w:rsidR="000D54F7" w:rsidRPr="008F293F" w:rsidRDefault="000D54F7">
      <w:pPr>
        <w:spacing w:line="240" w:lineRule="auto"/>
        <w:ind w:left="1440"/>
        <w:rPr>
          <w:b/>
        </w:rPr>
      </w:pPr>
      <w:bookmarkStart w:id="33" w:name="_Toc517259249"/>
      <w:r w:rsidRPr="008F293F">
        <w:t>Attachment 5d. Pease Study Website Flyer</w:t>
      </w:r>
      <w:bookmarkEnd w:id="33"/>
    </w:p>
    <w:p w14:paraId="29FB8E71" w14:textId="77777777" w:rsidR="000D54F7" w:rsidRPr="008F293F" w:rsidRDefault="000D54F7">
      <w:pPr>
        <w:spacing w:line="240" w:lineRule="auto"/>
        <w:ind w:left="1440"/>
        <w:rPr>
          <w:b/>
        </w:rPr>
      </w:pPr>
      <w:bookmarkStart w:id="34" w:name="_Toc517259250"/>
      <w:r w:rsidRPr="008F293F">
        <w:t>Attachment 5e. Pease Study Public Service Announcement</w:t>
      </w:r>
      <w:bookmarkEnd w:id="34"/>
    </w:p>
    <w:p w14:paraId="32945AD8" w14:textId="77777777" w:rsidR="000D54F7" w:rsidRPr="008F293F" w:rsidRDefault="000D54F7">
      <w:pPr>
        <w:spacing w:line="240" w:lineRule="auto"/>
        <w:ind w:left="720"/>
        <w:rPr>
          <w:b/>
        </w:rPr>
      </w:pPr>
      <w:bookmarkStart w:id="35" w:name="_Toc517259251"/>
      <w:r w:rsidRPr="008F293F">
        <w:t>Attachment 6 – Wave One - NH DHHS Invitation Letters for Study Roll Out</w:t>
      </w:r>
      <w:bookmarkEnd w:id="35"/>
    </w:p>
    <w:p w14:paraId="006DE97D" w14:textId="77777777" w:rsidR="000D54F7" w:rsidRPr="008F293F" w:rsidRDefault="000D54F7">
      <w:pPr>
        <w:spacing w:line="240" w:lineRule="auto"/>
        <w:ind w:left="1440"/>
        <w:rPr>
          <w:b/>
        </w:rPr>
      </w:pPr>
      <w:bookmarkStart w:id="36" w:name="_Toc517259252"/>
      <w:r w:rsidRPr="008F293F">
        <w:t>Attachment 6a – NH DHHS Child Invitation Letter</w:t>
      </w:r>
      <w:bookmarkEnd w:id="36"/>
    </w:p>
    <w:p w14:paraId="13A30BCC" w14:textId="77777777" w:rsidR="000D54F7" w:rsidRPr="008F293F" w:rsidRDefault="000D54F7">
      <w:pPr>
        <w:spacing w:line="240" w:lineRule="auto"/>
        <w:ind w:left="1440"/>
        <w:rPr>
          <w:b/>
        </w:rPr>
      </w:pPr>
      <w:bookmarkStart w:id="37" w:name="_Toc517259253"/>
      <w:r w:rsidRPr="008F293F">
        <w:t>Attachment 6b – NH DHHS Adult Invitation Letter</w:t>
      </w:r>
      <w:bookmarkEnd w:id="37"/>
    </w:p>
    <w:p w14:paraId="71084B1A" w14:textId="77777777" w:rsidR="000D54F7" w:rsidRPr="008F293F" w:rsidRDefault="000D54F7">
      <w:pPr>
        <w:spacing w:line="240" w:lineRule="auto"/>
        <w:ind w:left="1440"/>
        <w:rPr>
          <w:b/>
        </w:rPr>
      </w:pPr>
      <w:bookmarkStart w:id="38" w:name="_Toc517259254"/>
      <w:r w:rsidRPr="008F293F">
        <w:t>Attachment 6c – Wave One Eligibility Screening Script</w:t>
      </w:r>
      <w:bookmarkEnd w:id="38"/>
    </w:p>
    <w:p w14:paraId="6636206A" w14:textId="77777777" w:rsidR="000D54F7" w:rsidRPr="008F293F" w:rsidRDefault="000D54F7">
      <w:pPr>
        <w:spacing w:line="240" w:lineRule="auto"/>
        <w:ind w:left="720"/>
        <w:rPr>
          <w:b/>
        </w:rPr>
      </w:pPr>
      <w:bookmarkStart w:id="39" w:name="_Toc517259255"/>
      <w:r w:rsidRPr="008F293F">
        <w:t>Attachment 7 – Waves Two and Three Recruitment Materials</w:t>
      </w:r>
      <w:bookmarkEnd w:id="39"/>
    </w:p>
    <w:p w14:paraId="45865D65" w14:textId="77777777" w:rsidR="000D54F7" w:rsidRPr="008F293F" w:rsidRDefault="000D54F7">
      <w:pPr>
        <w:spacing w:line="240" w:lineRule="auto"/>
        <w:ind w:left="1440"/>
        <w:rPr>
          <w:b/>
        </w:rPr>
      </w:pPr>
      <w:bookmarkStart w:id="40" w:name="_Toc517259256"/>
      <w:r w:rsidRPr="008F293F">
        <w:t>Attachment 7a – Wave Two Flyer to Recruit Additional Exposed Children</w:t>
      </w:r>
      <w:bookmarkEnd w:id="40"/>
    </w:p>
    <w:p w14:paraId="4EB9D231" w14:textId="77777777" w:rsidR="000D54F7" w:rsidRPr="008F293F" w:rsidRDefault="000D54F7">
      <w:pPr>
        <w:spacing w:line="240" w:lineRule="auto"/>
        <w:ind w:left="1440"/>
        <w:rPr>
          <w:b/>
        </w:rPr>
      </w:pPr>
      <w:bookmarkStart w:id="41" w:name="_Toc517259257"/>
      <w:r w:rsidRPr="008F293F">
        <w:t>Attachment 7b – Wave Two Flyer to Recruit Additional Exposed Adults</w:t>
      </w:r>
      <w:bookmarkEnd w:id="41"/>
    </w:p>
    <w:p w14:paraId="49C18E39" w14:textId="77777777" w:rsidR="000D54F7" w:rsidRPr="008F293F" w:rsidRDefault="000D54F7">
      <w:pPr>
        <w:spacing w:line="240" w:lineRule="auto"/>
        <w:ind w:left="1440"/>
        <w:rPr>
          <w:b/>
        </w:rPr>
      </w:pPr>
      <w:bookmarkStart w:id="42" w:name="_Toc517259258"/>
      <w:r w:rsidRPr="008F293F">
        <w:t>Attachment 7c – Wave Two or Wave Three Eligibility Screening Script</w:t>
      </w:r>
      <w:bookmarkEnd w:id="42"/>
    </w:p>
    <w:p w14:paraId="2179F42E" w14:textId="77777777" w:rsidR="000D54F7" w:rsidRPr="008F293F" w:rsidRDefault="000D54F7">
      <w:pPr>
        <w:spacing w:line="240" w:lineRule="auto"/>
        <w:ind w:left="1440"/>
        <w:rPr>
          <w:b/>
        </w:rPr>
      </w:pPr>
      <w:bookmarkStart w:id="43" w:name="_Toc517259259"/>
      <w:r w:rsidRPr="008F293F">
        <w:t>Attachment 7d – Wave Three Child Flyer for Referent Recruitment</w:t>
      </w:r>
      <w:bookmarkEnd w:id="43"/>
    </w:p>
    <w:p w14:paraId="5E994986" w14:textId="77777777" w:rsidR="000D54F7" w:rsidRPr="008F293F" w:rsidRDefault="000D54F7">
      <w:pPr>
        <w:spacing w:line="240" w:lineRule="auto"/>
        <w:ind w:left="1440"/>
      </w:pPr>
      <w:bookmarkStart w:id="44" w:name="_Toc517259260"/>
      <w:r w:rsidRPr="008F293F">
        <w:t>Attachment 7e – Wave Three Adult Flyer for Referent Recruitment</w:t>
      </w:r>
      <w:bookmarkEnd w:id="44"/>
    </w:p>
    <w:p w14:paraId="39A67817" w14:textId="77777777" w:rsidR="000D54F7" w:rsidRPr="008F293F" w:rsidRDefault="000D54F7">
      <w:pPr>
        <w:spacing w:line="240" w:lineRule="auto"/>
        <w:ind w:left="720"/>
        <w:rPr>
          <w:b/>
        </w:rPr>
      </w:pPr>
      <w:bookmarkStart w:id="45" w:name="_Toc517259261"/>
      <w:r w:rsidRPr="008F293F">
        <w:t>Attachment 8 – Recruitment Tracking Form</w:t>
      </w:r>
      <w:bookmarkEnd w:id="45"/>
    </w:p>
    <w:p w14:paraId="4259DF19" w14:textId="77777777" w:rsidR="000D54F7" w:rsidRPr="008F293F" w:rsidRDefault="000D54F7">
      <w:pPr>
        <w:spacing w:line="240" w:lineRule="auto"/>
        <w:ind w:left="720"/>
        <w:rPr>
          <w:b/>
        </w:rPr>
      </w:pPr>
      <w:bookmarkStart w:id="46" w:name="_Toc517259262"/>
      <w:r w:rsidRPr="008F293F">
        <w:t>Attachment 9 – Appointment Packet</w:t>
      </w:r>
      <w:bookmarkEnd w:id="46"/>
    </w:p>
    <w:p w14:paraId="0CD0ACA2" w14:textId="77777777" w:rsidR="000D54F7" w:rsidRPr="008F293F" w:rsidRDefault="000D54F7">
      <w:pPr>
        <w:spacing w:line="240" w:lineRule="auto"/>
        <w:ind w:left="1440"/>
        <w:rPr>
          <w:b/>
        </w:rPr>
      </w:pPr>
      <w:bookmarkStart w:id="47" w:name="_Toc517259263"/>
      <w:r w:rsidRPr="008F293F">
        <w:t>Attachment 9a – Appointment Reminder Card</w:t>
      </w:r>
      <w:bookmarkEnd w:id="47"/>
    </w:p>
    <w:p w14:paraId="3C7B8191" w14:textId="77777777" w:rsidR="000D54F7" w:rsidRPr="008F293F" w:rsidRDefault="000D54F7">
      <w:pPr>
        <w:spacing w:line="240" w:lineRule="auto"/>
        <w:ind w:left="1440"/>
        <w:rPr>
          <w:b/>
        </w:rPr>
      </w:pPr>
      <w:bookmarkStart w:id="48" w:name="_Toc517259264"/>
      <w:r w:rsidRPr="008F293F">
        <w:t>Attachment 9b – Informed Consent Packet</w:t>
      </w:r>
      <w:bookmarkEnd w:id="48"/>
    </w:p>
    <w:p w14:paraId="692672C9" w14:textId="77777777" w:rsidR="000D54F7" w:rsidRPr="008F293F" w:rsidRDefault="000D54F7">
      <w:pPr>
        <w:spacing w:line="240" w:lineRule="auto"/>
        <w:ind w:left="2160"/>
        <w:rPr>
          <w:i/>
        </w:rPr>
      </w:pPr>
      <w:bookmarkStart w:id="49" w:name="_Toc517259265"/>
      <w:r w:rsidRPr="008F293F">
        <w:t>Attachment 9b1 – Privacy Act Statement</w:t>
      </w:r>
      <w:bookmarkEnd w:id="49"/>
    </w:p>
    <w:p w14:paraId="030E846E" w14:textId="77777777" w:rsidR="000D54F7" w:rsidRPr="008F293F" w:rsidRDefault="000D54F7">
      <w:pPr>
        <w:spacing w:line="240" w:lineRule="auto"/>
        <w:ind w:left="2160"/>
        <w:rPr>
          <w:i/>
        </w:rPr>
      </w:pPr>
      <w:bookmarkStart w:id="50" w:name="_Toc517259266"/>
      <w:r w:rsidRPr="008F293F">
        <w:t>Attachment 9b2 – Parental Permission and Child Assent Forms</w:t>
      </w:r>
      <w:bookmarkEnd w:id="50"/>
    </w:p>
    <w:p w14:paraId="5EFB29A7" w14:textId="77777777" w:rsidR="000D54F7" w:rsidRPr="008F293F" w:rsidRDefault="000D54F7">
      <w:pPr>
        <w:spacing w:line="240" w:lineRule="auto"/>
        <w:ind w:left="2160"/>
        <w:rPr>
          <w:i/>
        </w:rPr>
      </w:pPr>
      <w:bookmarkStart w:id="51" w:name="_Toc517259267"/>
      <w:r w:rsidRPr="008F293F">
        <w:t>Attachment 9b3 – Parental Consent to Release Student Information</w:t>
      </w:r>
      <w:bookmarkEnd w:id="51"/>
    </w:p>
    <w:p w14:paraId="6479E6A0" w14:textId="77777777" w:rsidR="000D54F7" w:rsidRPr="008F293F" w:rsidRDefault="000D54F7">
      <w:pPr>
        <w:spacing w:line="240" w:lineRule="auto"/>
        <w:ind w:left="2160"/>
        <w:rPr>
          <w:i/>
        </w:rPr>
      </w:pPr>
      <w:bookmarkStart w:id="52" w:name="_Toc517259268"/>
      <w:r w:rsidRPr="008F293F">
        <w:t>Attachment 9b4 – Adult Consent Form</w:t>
      </w:r>
      <w:bookmarkEnd w:id="52"/>
    </w:p>
    <w:p w14:paraId="33917BBE" w14:textId="77777777" w:rsidR="000D54F7" w:rsidRPr="008F293F" w:rsidRDefault="000D54F7">
      <w:pPr>
        <w:spacing w:line="240" w:lineRule="auto"/>
        <w:ind w:left="2160"/>
        <w:rPr>
          <w:i/>
        </w:rPr>
      </w:pPr>
      <w:bookmarkStart w:id="53" w:name="_Toc517259269"/>
      <w:r w:rsidRPr="008F293F">
        <w:t>Attachment 9b5 – Parent/Child/Adult Permission for Medical Record Abstraction</w:t>
      </w:r>
      <w:bookmarkEnd w:id="53"/>
    </w:p>
    <w:p w14:paraId="6F44E5E9" w14:textId="77777777" w:rsidR="000D54F7" w:rsidRPr="008F293F" w:rsidRDefault="000D54F7">
      <w:pPr>
        <w:spacing w:line="240" w:lineRule="auto"/>
        <w:ind w:left="720" w:firstLine="720"/>
        <w:rPr>
          <w:b/>
        </w:rPr>
      </w:pPr>
      <w:bookmarkStart w:id="54" w:name="_Toc517259270"/>
      <w:r w:rsidRPr="008F293F">
        <w:t>Attachment 9c – Study Fact Sheet</w:t>
      </w:r>
      <w:bookmarkEnd w:id="54"/>
    </w:p>
    <w:p w14:paraId="41351D32" w14:textId="77777777" w:rsidR="000D54F7" w:rsidRPr="008F293F" w:rsidRDefault="000D54F7">
      <w:pPr>
        <w:spacing w:line="240" w:lineRule="auto"/>
        <w:ind w:left="720"/>
        <w:rPr>
          <w:b/>
        </w:rPr>
      </w:pPr>
      <w:r w:rsidRPr="008F293F">
        <w:t>Attachment 10 – Appointment Reminder Telephone Script</w:t>
      </w:r>
    </w:p>
    <w:p w14:paraId="2DADE341" w14:textId="77777777" w:rsidR="000D54F7" w:rsidRPr="008F293F" w:rsidRDefault="000D54F7">
      <w:pPr>
        <w:spacing w:line="240" w:lineRule="auto"/>
        <w:ind w:left="720"/>
        <w:rPr>
          <w:b/>
        </w:rPr>
      </w:pPr>
      <w:r w:rsidRPr="008F293F">
        <w:t>Attachment 11 – Appointment Tracking Form</w:t>
      </w:r>
    </w:p>
    <w:p w14:paraId="02F3F129" w14:textId="77777777" w:rsidR="000D54F7" w:rsidRPr="008F293F" w:rsidRDefault="000D54F7">
      <w:pPr>
        <w:spacing w:line="240" w:lineRule="auto"/>
        <w:ind w:left="720"/>
        <w:rPr>
          <w:b/>
        </w:rPr>
      </w:pPr>
      <w:r w:rsidRPr="008F293F">
        <w:t xml:space="preserve">Attachment 12 – Update Contact Information Hardcopy Form </w:t>
      </w:r>
    </w:p>
    <w:p w14:paraId="63775C61" w14:textId="77777777" w:rsidR="000D54F7" w:rsidRPr="008F293F" w:rsidRDefault="000D54F7">
      <w:pPr>
        <w:spacing w:line="240" w:lineRule="auto"/>
        <w:ind w:left="720"/>
        <w:rPr>
          <w:b/>
        </w:rPr>
      </w:pPr>
      <w:r w:rsidRPr="008F293F">
        <w:t>Attachment 13 – Medication List</w:t>
      </w:r>
    </w:p>
    <w:p w14:paraId="751FCEB4" w14:textId="77777777" w:rsidR="000D54F7" w:rsidRPr="008F293F" w:rsidRDefault="000D54F7">
      <w:pPr>
        <w:spacing w:line="240" w:lineRule="auto"/>
        <w:ind w:left="720"/>
        <w:rPr>
          <w:b/>
        </w:rPr>
      </w:pPr>
      <w:r w:rsidRPr="008F293F">
        <w:t>Attachment 14 – Manual of Procedures</w:t>
      </w:r>
    </w:p>
    <w:p w14:paraId="6049BB96" w14:textId="77777777" w:rsidR="000D54F7" w:rsidRPr="008F293F" w:rsidRDefault="000D54F7">
      <w:pPr>
        <w:spacing w:line="240" w:lineRule="auto"/>
        <w:ind w:left="720"/>
        <w:rPr>
          <w:b/>
        </w:rPr>
      </w:pPr>
      <w:bookmarkStart w:id="55" w:name="_Toc517259276"/>
      <w:r w:rsidRPr="008F293F">
        <w:t>Attachment 15 – Body and Blood Pressure Measures Form</w:t>
      </w:r>
      <w:bookmarkEnd w:id="55"/>
    </w:p>
    <w:p w14:paraId="07AE4E6D" w14:textId="77777777" w:rsidR="000D54F7" w:rsidRPr="008F293F" w:rsidRDefault="000D54F7">
      <w:pPr>
        <w:spacing w:line="240" w:lineRule="auto"/>
        <w:ind w:left="720"/>
        <w:rPr>
          <w:b/>
        </w:rPr>
      </w:pPr>
      <w:bookmarkStart w:id="56" w:name="_Toc517259277"/>
      <w:r w:rsidRPr="008F293F">
        <w:t>Attachment 16 – Blood Draw and Urine Collection Form</w:t>
      </w:r>
      <w:bookmarkEnd w:id="56"/>
    </w:p>
    <w:p w14:paraId="45035269" w14:textId="77777777" w:rsidR="000D54F7" w:rsidRPr="008F293F" w:rsidRDefault="000D54F7">
      <w:pPr>
        <w:spacing w:line="240" w:lineRule="auto"/>
        <w:ind w:left="720"/>
        <w:rPr>
          <w:b/>
        </w:rPr>
      </w:pPr>
      <w:bookmarkStart w:id="57" w:name="_Toc517259278"/>
      <w:r w:rsidRPr="008F293F">
        <w:t>Attachment 17 – Child Questionnaire – Long Form</w:t>
      </w:r>
      <w:bookmarkEnd w:id="57"/>
    </w:p>
    <w:p w14:paraId="2B7D636F" w14:textId="77777777" w:rsidR="000D54F7" w:rsidRPr="008F293F" w:rsidRDefault="000D54F7">
      <w:pPr>
        <w:spacing w:line="240" w:lineRule="auto"/>
        <w:ind w:left="720" w:firstLine="720"/>
        <w:rPr>
          <w:b/>
        </w:rPr>
      </w:pPr>
      <w:bookmarkStart w:id="58" w:name="_Toc517259279"/>
      <w:r w:rsidRPr="008F293F">
        <w:t>Attachment 17a – Child Questionnaire – Short Form</w:t>
      </w:r>
      <w:bookmarkEnd w:id="58"/>
    </w:p>
    <w:p w14:paraId="045C5246" w14:textId="77777777" w:rsidR="000D54F7" w:rsidRPr="008F293F" w:rsidRDefault="000D54F7">
      <w:pPr>
        <w:spacing w:line="240" w:lineRule="auto"/>
        <w:ind w:left="720"/>
        <w:rPr>
          <w:b/>
        </w:rPr>
      </w:pPr>
      <w:bookmarkStart w:id="59" w:name="_Toc517259280"/>
      <w:r w:rsidRPr="008F293F">
        <w:t>Attachment 18 – Adult Questionnaire</w:t>
      </w:r>
      <w:bookmarkEnd w:id="59"/>
    </w:p>
    <w:p w14:paraId="64CCFCB4" w14:textId="1FCC7768" w:rsidR="000D54F7" w:rsidRPr="008F293F" w:rsidRDefault="000D54F7">
      <w:pPr>
        <w:spacing w:line="240" w:lineRule="auto"/>
        <w:ind w:left="720"/>
        <w:rPr>
          <w:b/>
        </w:rPr>
      </w:pPr>
      <w:bookmarkStart w:id="60" w:name="_Toc517259281"/>
      <w:r w:rsidRPr="008F293F">
        <w:t xml:space="preserve">Attachment 19 – </w:t>
      </w:r>
      <w:r w:rsidR="000649A6">
        <w:t>Request for Medical</w:t>
      </w:r>
      <w:r w:rsidRPr="008F293F">
        <w:t xml:space="preserve"> Record Abstraction</w:t>
      </w:r>
      <w:bookmarkEnd w:id="60"/>
    </w:p>
    <w:p w14:paraId="270764DA" w14:textId="77777777" w:rsidR="000D54F7" w:rsidRPr="008F293F" w:rsidRDefault="000D54F7">
      <w:pPr>
        <w:spacing w:line="240" w:lineRule="auto"/>
        <w:ind w:left="720" w:firstLine="720"/>
        <w:rPr>
          <w:b/>
        </w:rPr>
      </w:pPr>
      <w:bookmarkStart w:id="61" w:name="_Toc517259282"/>
      <w:r w:rsidRPr="008F293F">
        <w:t>Attachment 19a – Medical Record Abstraction Form</w:t>
      </w:r>
      <w:bookmarkEnd w:id="61"/>
      <w:r w:rsidRPr="008F293F">
        <w:t xml:space="preserve"> - Adult</w:t>
      </w:r>
    </w:p>
    <w:p w14:paraId="61B4C267" w14:textId="77777777" w:rsidR="000D54F7" w:rsidRPr="008F293F" w:rsidRDefault="000D54F7">
      <w:pPr>
        <w:spacing w:line="240" w:lineRule="auto"/>
        <w:ind w:left="720" w:firstLine="720"/>
        <w:rPr>
          <w:b/>
        </w:rPr>
      </w:pPr>
      <w:bookmarkStart w:id="62" w:name="_Toc517259283"/>
      <w:r w:rsidRPr="008F293F">
        <w:t>Attachment 19b – Medical Record Abstraction Form</w:t>
      </w:r>
      <w:bookmarkEnd w:id="62"/>
      <w:r w:rsidRPr="008F293F">
        <w:t xml:space="preserve"> - Child</w:t>
      </w:r>
    </w:p>
    <w:p w14:paraId="6E92E6FF" w14:textId="77777777" w:rsidR="000D54F7" w:rsidRPr="008F293F" w:rsidRDefault="000D54F7">
      <w:pPr>
        <w:spacing w:line="240" w:lineRule="auto"/>
        <w:ind w:left="720"/>
        <w:rPr>
          <w:b/>
        </w:rPr>
      </w:pPr>
      <w:bookmarkStart w:id="63" w:name="_Toc517259284"/>
      <w:r w:rsidRPr="008F293F">
        <w:t>Attachment 20 – Child/Parent Neurobehavioral Test Battery</w:t>
      </w:r>
      <w:bookmarkEnd w:id="63"/>
    </w:p>
    <w:p w14:paraId="14B4AEF7" w14:textId="77777777" w:rsidR="000D54F7" w:rsidRPr="008F293F" w:rsidRDefault="000D54F7">
      <w:pPr>
        <w:spacing w:line="240" w:lineRule="auto"/>
        <w:ind w:left="720" w:firstLine="720"/>
        <w:rPr>
          <w:b/>
        </w:rPr>
      </w:pPr>
      <w:bookmarkStart w:id="64" w:name="_Toc517259285"/>
      <w:r w:rsidRPr="008F293F">
        <w:t>Attachment 20a – NBT Time Estimation Table, by Age in Years</w:t>
      </w:r>
      <w:bookmarkEnd w:id="64"/>
    </w:p>
    <w:p w14:paraId="2100257D" w14:textId="37E9AAE7" w:rsidR="000649A6" w:rsidRDefault="000649A6">
      <w:pPr>
        <w:spacing w:line="240" w:lineRule="auto"/>
        <w:ind w:left="720" w:firstLine="720"/>
      </w:pPr>
      <w:bookmarkStart w:id="65" w:name="_Toc517259286"/>
      <w:r>
        <w:t>Attachment 20b – Request for Child School Record Abstraction</w:t>
      </w:r>
    </w:p>
    <w:p w14:paraId="72A8E39D" w14:textId="5EB45D1B" w:rsidR="000D54F7" w:rsidRPr="008F293F" w:rsidRDefault="000D54F7">
      <w:pPr>
        <w:spacing w:line="240" w:lineRule="auto"/>
        <w:ind w:left="720" w:firstLine="720"/>
        <w:rPr>
          <w:b/>
        </w:rPr>
      </w:pPr>
      <w:r w:rsidRPr="008F293F">
        <w:t>Attachment 20</w:t>
      </w:r>
      <w:r w:rsidR="000649A6">
        <w:t>c</w:t>
      </w:r>
      <w:r w:rsidRPr="008F293F">
        <w:t xml:space="preserve"> – Child School Record Abstraction Form</w:t>
      </w:r>
      <w:bookmarkEnd w:id="65"/>
      <w:r w:rsidRPr="008F293F">
        <w:t xml:space="preserve"> </w:t>
      </w:r>
    </w:p>
    <w:p w14:paraId="5430EC7B" w14:textId="77777777" w:rsidR="000D54F7" w:rsidRPr="008F293F" w:rsidRDefault="000D54F7">
      <w:pPr>
        <w:spacing w:line="240" w:lineRule="auto"/>
        <w:ind w:left="720"/>
        <w:rPr>
          <w:b/>
        </w:rPr>
      </w:pPr>
      <w:bookmarkStart w:id="66" w:name="_Toc517259287"/>
      <w:r w:rsidRPr="008F293F">
        <w:t>Attachment 21 – Body and Blood Pressure Measurements Report</w:t>
      </w:r>
      <w:bookmarkEnd w:id="66"/>
    </w:p>
    <w:p w14:paraId="73ECFAA1" w14:textId="77777777" w:rsidR="000D54F7" w:rsidRPr="008F293F" w:rsidRDefault="000D54F7">
      <w:pPr>
        <w:spacing w:line="240" w:lineRule="auto"/>
        <w:ind w:left="720"/>
        <w:rPr>
          <w:b/>
        </w:rPr>
      </w:pPr>
      <w:bookmarkStart w:id="67" w:name="_Toc517259288"/>
      <w:r w:rsidRPr="008F293F">
        <w:t>Attachment 22 – Advance Reporting Script for Clinical Tests</w:t>
      </w:r>
      <w:bookmarkEnd w:id="67"/>
    </w:p>
    <w:p w14:paraId="6557EB6C" w14:textId="77777777" w:rsidR="000D54F7" w:rsidRPr="008F293F" w:rsidRDefault="000D54F7">
      <w:pPr>
        <w:spacing w:line="240" w:lineRule="auto"/>
        <w:ind w:left="720"/>
        <w:rPr>
          <w:b/>
        </w:rPr>
      </w:pPr>
      <w:r w:rsidRPr="008F293F">
        <w:tab/>
      </w:r>
      <w:bookmarkStart w:id="68" w:name="_Toc517259289"/>
      <w:r w:rsidRPr="008F293F">
        <w:t>Attachment 22a – Advance Clinical Test Report Tracking Form</w:t>
      </w:r>
      <w:bookmarkEnd w:id="68"/>
    </w:p>
    <w:p w14:paraId="78EF6EAA" w14:textId="77777777" w:rsidR="000D54F7" w:rsidRPr="008F293F" w:rsidRDefault="000D54F7">
      <w:pPr>
        <w:spacing w:line="240" w:lineRule="auto"/>
        <w:ind w:left="720" w:firstLine="720"/>
        <w:rPr>
          <w:b/>
        </w:rPr>
      </w:pPr>
      <w:bookmarkStart w:id="69" w:name="_Toc517259290"/>
      <w:r w:rsidRPr="008F293F">
        <w:t>Attachment 22b – Letter Report of Critical Values</w:t>
      </w:r>
      <w:bookmarkEnd w:id="69"/>
      <w:r w:rsidRPr="008F293F">
        <w:t xml:space="preserve"> </w:t>
      </w:r>
    </w:p>
    <w:p w14:paraId="14756732" w14:textId="77777777" w:rsidR="000D54F7" w:rsidRPr="008F293F" w:rsidRDefault="000D54F7">
      <w:pPr>
        <w:spacing w:line="240" w:lineRule="auto"/>
        <w:ind w:left="720"/>
      </w:pPr>
      <w:r w:rsidRPr="008F293F">
        <w:t>Attachment 23 – Clinical Test Results Report</w:t>
      </w:r>
    </w:p>
    <w:p w14:paraId="7704B151" w14:textId="77777777" w:rsidR="000D54F7" w:rsidRPr="008F293F" w:rsidRDefault="000D54F7">
      <w:pPr>
        <w:spacing w:line="240" w:lineRule="auto"/>
        <w:ind w:left="720"/>
        <w:rPr>
          <w:b/>
        </w:rPr>
      </w:pPr>
      <w:bookmarkStart w:id="70" w:name="_Toc517259291"/>
      <w:r w:rsidRPr="008F293F">
        <w:t>Attachment 24 – PFAS Results Report</w:t>
      </w:r>
      <w:bookmarkEnd w:id="70"/>
    </w:p>
    <w:p w14:paraId="0A136D8F" w14:textId="77777777" w:rsidR="00984634" w:rsidRPr="000D54F7" w:rsidRDefault="000D54F7">
      <w:pPr>
        <w:spacing w:line="240" w:lineRule="auto"/>
        <w:ind w:left="720"/>
        <w:rPr>
          <w:b/>
        </w:rPr>
      </w:pPr>
      <w:r w:rsidRPr="008F293F">
        <w:tab/>
      </w:r>
      <w:bookmarkStart w:id="71" w:name="_Toc517259292"/>
      <w:r w:rsidRPr="008F293F">
        <w:t>Attachment 24a – ATSDR PFAS Factsheet</w:t>
      </w:r>
      <w:bookmarkEnd w:id="71"/>
    </w:p>
    <w:sectPr w:rsidR="00984634" w:rsidRPr="000D54F7" w:rsidSect="00054A6E">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860A1" w14:textId="77777777" w:rsidR="000649A6" w:rsidRDefault="000649A6" w:rsidP="008B5D54">
      <w:r>
        <w:separator/>
      </w:r>
    </w:p>
  </w:endnote>
  <w:endnote w:type="continuationSeparator" w:id="0">
    <w:p w14:paraId="02BD02EA" w14:textId="77777777" w:rsidR="000649A6" w:rsidRDefault="000649A6" w:rsidP="008B5D54">
      <w:r>
        <w:continuationSeparator/>
      </w:r>
    </w:p>
  </w:endnote>
  <w:endnote w:type="continuationNotice" w:id="1">
    <w:p w14:paraId="3F7283BE" w14:textId="77777777" w:rsidR="000649A6" w:rsidRDefault="00064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791411"/>
      <w:docPartObj>
        <w:docPartGallery w:val="Page Numbers (Bottom of Page)"/>
        <w:docPartUnique/>
      </w:docPartObj>
    </w:sdtPr>
    <w:sdtEndPr>
      <w:rPr>
        <w:noProof/>
      </w:rPr>
    </w:sdtEndPr>
    <w:sdtContent>
      <w:p w14:paraId="45067777" w14:textId="2AA731E3" w:rsidR="000649A6" w:rsidRDefault="000649A6">
        <w:pPr>
          <w:pStyle w:val="Footer"/>
          <w:jc w:val="right"/>
        </w:pPr>
        <w:r>
          <w:fldChar w:fldCharType="begin"/>
        </w:r>
        <w:r>
          <w:instrText xml:space="preserve"> PAGE   \* MERGEFORMAT </w:instrText>
        </w:r>
        <w:r>
          <w:fldChar w:fldCharType="separate"/>
        </w:r>
        <w:r w:rsidR="00583C57">
          <w:rPr>
            <w:noProof/>
          </w:rPr>
          <w:t>1</w:t>
        </w:r>
        <w:r>
          <w:rPr>
            <w:noProof/>
          </w:rPr>
          <w:fldChar w:fldCharType="end"/>
        </w:r>
      </w:p>
    </w:sdtContent>
  </w:sdt>
  <w:p w14:paraId="2421F59C" w14:textId="77777777" w:rsidR="000649A6" w:rsidRDefault="00064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C08BF" w14:textId="77777777" w:rsidR="000649A6" w:rsidRDefault="000649A6" w:rsidP="008B5D54">
      <w:r>
        <w:separator/>
      </w:r>
    </w:p>
  </w:footnote>
  <w:footnote w:type="continuationSeparator" w:id="0">
    <w:p w14:paraId="49630C79" w14:textId="77777777" w:rsidR="000649A6" w:rsidRDefault="000649A6" w:rsidP="008B5D54">
      <w:r>
        <w:continuationSeparator/>
      </w:r>
    </w:p>
  </w:footnote>
  <w:footnote w:type="continuationNotice" w:id="1">
    <w:p w14:paraId="41351FF2" w14:textId="77777777" w:rsidR="000649A6" w:rsidRDefault="000649A6">
      <w:pPr>
        <w:spacing w:after="0" w:line="240" w:lineRule="auto"/>
      </w:pPr>
    </w:p>
  </w:footnote>
  <w:footnote w:id="2">
    <w:p w14:paraId="4A731D2D" w14:textId="77777777" w:rsidR="000649A6" w:rsidRPr="00FD4EE5" w:rsidRDefault="000649A6" w:rsidP="00FD4EE5">
      <w:pPr>
        <w:pStyle w:val="FootnoteText"/>
        <w:spacing w:after="120"/>
        <w:rPr>
          <w:sz w:val="18"/>
          <w:szCs w:val="18"/>
        </w:rPr>
      </w:pPr>
      <w:r w:rsidRPr="00FD4EE5">
        <w:rPr>
          <w:rStyle w:val="FootnoteReference"/>
          <w:sz w:val="18"/>
          <w:szCs w:val="18"/>
        </w:rPr>
        <w:footnoteRef/>
      </w:r>
      <w:r w:rsidRPr="00FD4EE5">
        <w:rPr>
          <w:sz w:val="18"/>
          <w:szCs w:val="18"/>
        </w:rPr>
        <w:t xml:space="preserve"> </w:t>
      </w:r>
      <w:r w:rsidRPr="00FD4EE5">
        <w:rPr>
          <w:rStyle w:val="Emphasis"/>
          <w:sz w:val="18"/>
          <w:szCs w:val="18"/>
          <w:lang w:val="en"/>
        </w:rPr>
        <w:t>Perfluorinated chemicals</w:t>
      </w:r>
      <w:r w:rsidRPr="00FD4EE5">
        <w:rPr>
          <w:sz w:val="18"/>
          <w:szCs w:val="18"/>
          <w:lang w:val="en"/>
        </w:rPr>
        <w:t xml:space="preserve"> is a term that some scientists use to refer to the group of toxic chemicals that includes PFOA and PFOS and other per- and </w:t>
      </w:r>
      <w:r w:rsidRPr="00FD4EE5">
        <w:rPr>
          <w:sz w:val="18"/>
          <w:szCs w:val="18"/>
        </w:rPr>
        <w:t>polyfluoroalkyl substances (PFASs)</w:t>
      </w:r>
      <w:r w:rsidRPr="00FD4EE5">
        <w:rPr>
          <w:sz w:val="18"/>
          <w:szCs w:val="18"/>
          <w:lang w:val="en"/>
        </w:rPr>
        <w:t>.</w:t>
      </w:r>
      <w:r>
        <w:rPr>
          <w:sz w:val="18"/>
          <w:szCs w:val="18"/>
          <w:lang w:val="en"/>
        </w:rPr>
        <w:t xml:space="preserve"> See </w:t>
      </w:r>
      <w:hyperlink r:id="rId1" w:history="1">
        <w:r w:rsidRPr="005100CA">
          <w:rPr>
            <w:rStyle w:val="Hyperlink"/>
            <w:sz w:val="18"/>
            <w:szCs w:val="18"/>
            <w:lang w:val="en"/>
          </w:rPr>
          <w:t>https://www.epa.gov/pfas/what-are-pfcs-and-how-do-they-relate-and-polyfluoroalkyl-substances-pfass</w:t>
        </w:r>
      </w:hyperlink>
      <w:r>
        <w:rPr>
          <w:sz w:val="18"/>
          <w:szCs w:val="18"/>
          <w:lang w:val="en"/>
        </w:rPr>
        <w:t xml:space="preserve">. </w:t>
      </w:r>
    </w:p>
  </w:footnote>
  <w:footnote w:id="3">
    <w:p w14:paraId="3D333438" w14:textId="77777777" w:rsidR="000649A6" w:rsidRPr="00FA34C3" w:rsidRDefault="000649A6" w:rsidP="00FD4EE5">
      <w:pPr>
        <w:pStyle w:val="Default"/>
        <w:spacing w:after="120"/>
        <w:rPr>
          <w:sz w:val="18"/>
          <w:szCs w:val="18"/>
        </w:rPr>
      </w:pPr>
      <w:r w:rsidRPr="00037D54">
        <w:rPr>
          <w:rStyle w:val="FootnoteReference"/>
          <w:sz w:val="18"/>
          <w:szCs w:val="18"/>
        </w:rPr>
        <w:footnoteRef/>
      </w:r>
      <w:r w:rsidRPr="00037D54">
        <w:rPr>
          <w:sz w:val="18"/>
          <w:szCs w:val="18"/>
        </w:rPr>
        <w:t xml:space="preserve"> See Final Report for the Pease PFC Blood Testing Program: April 2015 – October 2015 available at </w:t>
      </w:r>
      <w:hyperlink r:id="rId2" w:history="1">
        <w:r w:rsidRPr="00037D54">
          <w:rPr>
            <w:rStyle w:val="Hyperlink"/>
            <w:sz w:val="18"/>
            <w:szCs w:val="18"/>
          </w:rPr>
          <w:t>https://www.dhhs.nh.gov/dphs/documents/pease-pfc-blood-testing.pdf</w:t>
        </w:r>
      </w:hyperlink>
      <w:r w:rsidRPr="00037D54">
        <w:rPr>
          <w:sz w:val="18"/>
          <w:szCs w:val="18"/>
        </w:rPr>
        <w:t>.</w:t>
      </w:r>
      <w:r w:rsidRPr="00FA34C3">
        <w:rPr>
          <w:sz w:val="18"/>
          <w:szCs w:val="18"/>
        </w:rPr>
        <w:t xml:space="preserve"> </w:t>
      </w:r>
    </w:p>
  </w:footnote>
  <w:footnote w:id="4">
    <w:p w14:paraId="70671F42" w14:textId="77777777" w:rsidR="000649A6" w:rsidRDefault="000649A6" w:rsidP="00FD4EE5">
      <w:pPr>
        <w:pStyle w:val="FootnoteText"/>
        <w:spacing w:after="120"/>
      </w:pPr>
      <w:r w:rsidRPr="00FA34C3">
        <w:rPr>
          <w:rStyle w:val="FootnoteReference"/>
          <w:sz w:val="18"/>
          <w:szCs w:val="18"/>
        </w:rPr>
        <w:footnoteRef/>
      </w:r>
      <w:r w:rsidRPr="00FA34C3">
        <w:rPr>
          <w:sz w:val="18"/>
          <w:szCs w:val="18"/>
        </w:rPr>
        <w:t xml:space="preserve"> These new EPA drinking water Health Advisories </w:t>
      </w:r>
      <w:r>
        <w:rPr>
          <w:sz w:val="18"/>
          <w:szCs w:val="18"/>
        </w:rPr>
        <w:t>for PFOA and PFOS recommend,</w:t>
      </w:r>
      <w:r w:rsidRPr="00FA34C3">
        <w:rPr>
          <w:sz w:val="18"/>
          <w:szCs w:val="18"/>
        </w:rPr>
        <w:t xml:space="preserve"> if a person’s drinking water contains levels of PFOA or PFOS or both combined above 70 ppt</w:t>
      </w:r>
      <w:r>
        <w:rPr>
          <w:sz w:val="18"/>
          <w:szCs w:val="18"/>
        </w:rPr>
        <w:t>,</w:t>
      </w:r>
      <w:r w:rsidRPr="00FA34C3">
        <w:rPr>
          <w:sz w:val="18"/>
          <w:szCs w:val="18"/>
        </w:rPr>
        <w:t xml:space="preserve"> </w:t>
      </w:r>
      <w:r>
        <w:rPr>
          <w:sz w:val="18"/>
          <w:szCs w:val="18"/>
        </w:rPr>
        <w:t xml:space="preserve">that </w:t>
      </w:r>
      <w:r w:rsidRPr="00FA34C3">
        <w:rPr>
          <w:sz w:val="18"/>
          <w:szCs w:val="18"/>
        </w:rPr>
        <w:t>they do not consume the water or use it in preparing food. The EPA reports that these recommended drinking water levels should be safe for all individuals, including babies exposed during pregnancy, nursing infants, and children, even if these water levels are consumed over a person’s lifetime.</w:t>
      </w:r>
    </w:p>
  </w:footnote>
  <w:footnote w:id="5">
    <w:p w14:paraId="3F271BCA" w14:textId="77777777" w:rsidR="000649A6" w:rsidRDefault="000649A6" w:rsidP="006D19AF">
      <w:pPr>
        <w:autoSpaceDE w:val="0"/>
        <w:autoSpaceDN w:val="0"/>
        <w:adjustRightInd w:val="0"/>
        <w:spacing w:line="276" w:lineRule="auto"/>
        <w:rPr>
          <w:sz w:val="18"/>
          <w:szCs w:val="18"/>
        </w:rPr>
      </w:pPr>
      <w:r w:rsidRPr="00471FB4">
        <w:rPr>
          <w:rStyle w:val="FootnoteReference"/>
          <w:sz w:val="18"/>
          <w:szCs w:val="18"/>
        </w:rPr>
        <w:footnoteRef/>
      </w:r>
      <w:r w:rsidRPr="00471FB4">
        <w:rPr>
          <w:sz w:val="18"/>
          <w:szCs w:val="18"/>
        </w:rPr>
        <w:t xml:space="preserve"> </w:t>
      </w:r>
      <w:r w:rsidRPr="00850941">
        <w:rPr>
          <w:sz w:val="18"/>
          <w:szCs w:val="18"/>
        </w:rPr>
        <w:t xml:space="preserve">The initial Pease PFC Blood Testing Program in 2015 enrolled </w:t>
      </w:r>
      <w:r>
        <w:rPr>
          <w:sz w:val="18"/>
          <w:szCs w:val="18"/>
        </w:rPr>
        <w:t>1</w:t>
      </w:r>
      <w:r w:rsidRPr="00850941">
        <w:rPr>
          <w:sz w:val="18"/>
          <w:szCs w:val="18"/>
        </w:rPr>
        <w:t>,578 participants for which ATSDR is using as a baseline for this research</w:t>
      </w:r>
      <w:r>
        <w:rPr>
          <w:sz w:val="18"/>
          <w:szCs w:val="18"/>
        </w:rPr>
        <w:t xml:space="preserve"> because much more information about this cohort is available in the final report at </w:t>
      </w:r>
      <w:hyperlink r:id="rId3" w:history="1">
        <w:r w:rsidRPr="007E2C63">
          <w:rPr>
            <w:rStyle w:val="Hyperlink"/>
            <w:sz w:val="18"/>
            <w:szCs w:val="18"/>
          </w:rPr>
          <w:t>https://www.dhhs.nh.gov/dphs/documents/pease-pfc-blood-testing.pdf</w:t>
        </w:r>
      </w:hyperlink>
      <w:r>
        <w:rPr>
          <w:sz w:val="18"/>
          <w:szCs w:val="18"/>
        </w:rPr>
        <w:t>.</w:t>
      </w:r>
      <w:r w:rsidRPr="00850941">
        <w:rPr>
          <w:sz w:val="18"/>
          <w:szCs w:val="18"/>
        </w:rPr>
        <w:t xml:space="preserve"> </w:t>
      </w:r>
    </w:p>
    <w:p w14:paraId="5A61F51D" w14:textId="079A37B4" w:rsidR="000649A6" w:rsidRPr="005A5191" w:rsidRDefault="000649A6" w:rsidP="006D19AF">
      <w:pPr>
        <w:autoSpaceDE w:val="0"/>
        <w:autoSpaceDN w:val="0"/>
        <w:adjustRightInd w:val="0"/>
        <w:spacing w:line="276" w:lineRule="auto"/>
        <w:rPr>
          <w:sz w:val="18"/>
          <w:szCs w:val="18"/>
        </w:rPr>
      </w:pPr>
      <w:r w:rsidRPr="003C5AE8">
        <w:rPr>
          <w:sz w:val="18"/>
          <w:szCs w:val="18"/>
        </w:rPr>
        <w:t>NH DHHS expanded PFC blood testing in 2016-2017 for a number of southern New Hampshire communities, including testin</w:t>
      </w:r>
      <w:r w:rsidRPr="009261FC">
        <w:rPr>
          <w:sz w:val="18"/>
          <w:szCs w:val="18"/>
        </w:rPr>
        <w:t>g for an additional 258 Pease Tradeport residents. Their results were consistent with the 2015 Pease PFC Blo</w:t>
      </w:r>
      <w:r>
        <w:rPr>
          <w:sz w:val="18"/>
          <w:szCs w:val="18"/>
        </w:rPr>
        <w:t>od Testing Program</w:t>
      </w:r>
      <w:r w:rsidRPr="009261FC">
        <w:rPr>
          <w:sz w:val="18"/>
          <w:szCs w:val="18"/>
        </w:rPr>
        <w:t xml:space="preserve">. </w:t>
      </w:r>
      <w:r>
        <w:rPr>
          <w:sz w:val="18"/>
          <w:szCs w:val="18"/>
        </w:rPr>
        <w:t xml:space="preserve">ATSDR will also invite these additional 258 participants in Wave One;  the age information is not readily available so we assumed the age distribution for the initial 1,578 participants to allow us to estimate the number of adults and children for the estimates in Table B.1.2. </w:t>
      </w:r>
      <w:r w:rsidRPr="003C5AE8">
        <w:rPr>
          <w:sz w:val="18"/>
          <w:szCs w:val="18"/>
        </w:rPr>
        <w:t xml:space="preserve">See </w:t>
      </w:r>
      <w:hyperlink r:id="rId4" w:history="1">
        <w:r w:rsidRPr="003C5AE8">
          <w:rPr>
            <w:rStyle w:val="Hyperlink"/>
            <w:sz w:val="18"/>
            <w:szCs w:val="18"/>
          </w:rPr>
          <w:t>https://www.bedfordnh.org/DocumentCenter/View/2472/PFC-Blood-Testing-Aggregate-Results-Overview_FINAL_100517</w:t>
        </w:r>
      </w:hyperlink>
      <w:r w:rsidRPr="00471FB4">
        <w:rPr>
          <w:sz w:val="18"/>
          <w:szCs w:val="18"/>
        </w:rPr>
        <w:t>.</w:t>
      </w:r>
    </w:p>
  </w:footnote>
  <w:footnote w:id="6">
    <w:p w14:paraId="7D145CAD" w14:textId="77777777" w:rsidR="000649A6" w:rsidRDefault="000649A6" w:rsidP="00C47B6C">
      <w:pPr>
        <w:pStyle w:val="FootnoteText"/>
      </w:pPr>
      <w:r>
        <w:rPr>
          <w:rStyle w:val="FootnoteReference"/>
        </w:rPr>
        <w:footnoteRef/>
      </w:r>
      <w:r>
        <w:t xml:space="preserve"> </w:t>
      </w:r>
      <w:r w:rsidRPr="000A217B">
        <w:t>https://www.bedfordnh.org/DocumentCenter/View/2472/PFC-Blood-Testing-Aggregate-Results-Overview_FINAL_100517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5BC"/>
    <w:multiLevelType w:val="hybridMultilevel"/>
    <w:tmpl w:val="01264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7F829E6"/>
    <w:multiLevelType w:val="hybridMultilevel"/>
    <w:tmpl w:val="37DE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791B1D"/>
    <w:multiLevelType w:val="hybridMultilevel"/>
    <w:tmpl w:val="A1EC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330B2B"/>
    <w:multiLevelType w:val="hybridMultilevel"/>
    <w:tmpl w:val="2896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65026A"/>
    <w:multiLevelType w:val="hybridMultilevel"/>
    <w:tmpl w:val="A0CA1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743428"/>
    <w:multiLevelType w:val="hybridMultilevel"/>
    <w:tmpl w:val="0F629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571994"/>
    <w:multiLevelType w:val="hybridMultilevel"/>
    <w:tmpl w:val="022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E84C9C"/>
    <w:multiLevelType w:val="hybridMultilevel"/>
    <w:tmpl w:val="8062CF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93B2734"/>
    <w:multiLevelType w:val="hybridMultilevel"/>
    <w:tmpl w:val="5EE8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DF5276"/>
    <w:multiLevelType w:val="hybridMultilevel"/>
    <w:tmpl w:val="7E16B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2"/>
  </w:num>
  <w:num w:numId="12">
    <w:abstractNumId w:val="7"/>
  </w:num>
  <w:num w:numId="13">
    <w:abstractNumId w:val="15"/>
  </w:num>
  <w:num w:numId="14">
    <w:abstractNumId w:val="11"/>
  </w:num>
  <w:num w:numId="15">
    <w:abstractNumId w:val="9"/>
  </w:num>
  <w:num w:numId="16">
    <w:abstractNumId w:val="5"/>
  </w:num>
  <w:num w:numId="17">
    <w:abstractNumId w:val="6"/>
  </w:num>
  <w:num w:numId="18">
    <w:abstractNumId w:val="2"/>
  </w:num>
  <w:num w:numId="19">
    <w:abstractNumId w:val="14"/>
  </w:num>
  <w:num w:numId="20">
    <w:abstractNumId w:val="3"/>
  </w:num>
  <w:num w:numId="21">
    <w:abstractNumId w:val="10"/>
  </w:num>
  <w:num w:numId="22">
    <w:abstractNumId w:val="13"/>
  </w:num>
  <w:num w:numId="23">
    <w:abstractNumId w:val="16"/>
  </w:num>
  <w:num w:numId="24">
    <w:abstractNumId w:val="0"/>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108E1"/>
    <w:rsid w:val="000267F6"/>
    <w:rsid w:val="000329FE"/>
    <w:rsid w:val="000337CA"/>
    <w:rsid w:val="00037D54"/>
    <w:rsid w:val="00042768"/>
    <w:rsid w:val="00043BFE"/>
    <w:rsid w:val="00051C4B"/>
    <w:rsid w:val="00054A6E"/>
    <w:rsid w:val="00056243"/>
    <w:rsid w:val="0006476E"/>
    <w:rsid w:val="000649A6"/>
    <w:rsid w:val="00067E18"/>
    <w:rsid w:val="0007292F"/>
    <w:rsid w:val="00073DF1"/>
    <w:rsid w:val="00077F2F"/>
    <w:rsid w:val="00086B68"/>
    <w:rsid w:val="00087CD5"/>
    <w:rsid w:val="000A1E31"/>
    <w:rsid w:val="000A3E58"/>
    <w:rsid w:val="000A73FF"/>
    <w:rsid w:val="000B28AD"/>
    <w:rsid w:val="000B2EDE"/>
    <w:rsid w:val="000B752D"/>
    <w:rsid w:val="000C6804"/>
    <w:rsid w:val="000C7553"/>
    <w:rsid w:val="000D248C"/>
    <w:rsid w:val="000D41A0"/>
    <w:rsid w:val="000D50A2"/>
    <w:rsid w:val="000D54F7"/>
    <w:rsid w:val="000E3A7B"/>
    <w:rsid w:val="000E5398"/>
    <w:rsid w:val="000F1C63"/>
    <w:rsid w:val="00100637"/>
    <w:rsid w:val="00100CF5"/>
    <w:rsid w:val="0011720F"/>
    <w:rsid w:val="00117F7E"/>
    <w:rsid w:val="00124C4A"/>
    <w:rsid w:val="001277C5"/>
    <w:rsid w:val="00142F88"/>
    <w:rsid w:val="00143D86"/>
    <w:rsid w:val="00153798"/>
    <w:rsid w:val="00156EEB"/>
    <w:rsid w:val="00165227"/>
    <w:rsid w:val="00175596"/>
    <w:rsid w:val="00181F5B"/>
    <w:rsid w:val="00182F2E"/>
    <w:rsid w:val="001923CC"/>
    <w:rsid w:val="00194762"/>
    <w:rsid w:val="00196116"/>
    <w:rsid w:val="001A13BA"/>
    <w:rsid w:val="001A458D"/>
    <w:rsid w:val="001A5BF8"/>
    <w:rsid w:val="001A609E"/>
    <w:rsid w:val="001B047F"/>
    <w:rsid w:val="001B3451"/>
    <w:rsid w:val="001B3512"/>
    <w:rsid w:val="001B413F"/>
    <w:rsid w:val="001C088C"/>
    <w:rsid w:val="001C121D"/>
    <w:rsid w:val="001C2319"/>
    <w:rsid w:val="001C4776"/>
    <w:rsid w:val="001D3392"/>
    <w:rsid w:val="001D5BF9"/>
    <w:rsid w:val="001F515D"/>
    <w:rsid w:val="00206771"/>
    <w:rsid w:val="002233A6"/>
    <w:rsid w:val="00223E18"/>
    <w:rsid w:val="00230E8F"/>
    <w:rsid w:val="00231B39"/>
    <w:rsid w:val="0023410B"/>
    <w:rsid w:val="002350C5"/>
    <w:rsid w:val="002532D7"/>
    <w:rsid w:val="00254B4B"/>
    <w:rsid w:val="0026281F"/>
    <w:rsid w:val="00262EAB"/>
    <w:rsid w:val="00274C59"/>
    <w:rsid w:val="002751FF"/>
    <w:rsid w:val="002822AF"/>
    <w:rsid w:val="002869DD"/>
    <w:rsid w:val="00293654"/>
    <w:rsid w:val="002B3B93"/>
    <w:rsid w:val="002C0F6C"/>
    <w:rsid w:val="002C1E4A"/>
    <w:rsid w:val="002C7E5B"/>
    <w:rsid w:val="002D0271"/>
    <w:rsid w:val="002D62D9"/>
    <w:rsid w:val="002E778A"/>
    <w:rsid w:val="00301F0F"/>
    <w:rsid w:val="003029A9"/>
    <w:rsid w:val="00302C4A"/>
    <w:rsid w:val="003041F7"/>
    <w:rsid w:val="00304A86"/>
    <w:rsid w:val="0031214F"/>
    <w:rsid w:val="0031356E"/>
    <w:rsid w:val="003271D2"/>
    <w:rsid w:val="00330F29"/>
    <w:rsid w:val="00346B41"/>
    <w:rsid w:val="00347B36"/>
    <w:rsid w:val="003543B6"/>
    <w:rsid w:val="003557CB"/>
    <w:rsid w:val="003557D1"/>
    <w:rsid w:val="003567AB"/>
    <w:rsid w:val="00370044"/>
    <w:rsid w:val="00370061"/>
    <w:rsid w:val="0037399E"/>
    <w:rsid w:val="003865A9"/>
    <w:rsid w:val="003940E0"/>
    <w:rsid w:val="00394DF5"/>
    <w:rsid w:val="003A0C9B"/>
    <w:rsid w:val="003A1961"/>
    <w:rsid w:val="003A3638"/>
    <w:rsid w:val="003B688D"/>
    <w:rsid w:val="003B6D54"/>
    <w:rsid w:val="003C2158"/>
    <w:rsid w:val="003D59CF"/>
    <w:rsid w:val="003E4957"/>
    <w:rsid w:val="003F3D3D"/>
    <w:rsid w:val="00401906"/>
    <w:rsid w:val="004042C9"/>
    <w:rsid w:val="004119B1"/>
    <w:rsid w:val="004122B2"/>
    <w:rsid w:val="00412D89"/>
    <w:rsid w:val="00416A94"/>
    <w:rsid w:val="00425A8D"/>
    <w:rsid w:val="00442D95"/>
    <w:rsid w:val="00446FDE"/>
    <w:rsid w:val="00447799"/>
    <w:rsid w:val="004514ED"/>
    <w:rsid w:val="0045654F"/>
    <w:rsid w:val="00465234"/>
    <w:rsid w:val="00467DA7"/>
    <w:rsid w:val="004703FD"/>
    <w:rsid w:val="00471FB4"/>
    <w:rsid w:val="00475021"/>
    <w:rsid w:val="004750FF"/>
    <w:rsid w:val="0048550B"/>
    <w:rsid w:val="004A5C8E"/>
    <w:rsid w:val="004A663C"/>
    <w:rsid w:val="004A6CCB"/>
    <w:rsid w:val="004A7B18"/>
    <w:rsid w:val="004B3CEA"/>
    <w:rsid w:val="004B52B9"/>
    <w:rsid w:val="004C6615"/>
    <w:rsid w:val="004C72B0"/>
    <w:rsid w:val="004F0BE4"/>
    <w:rsid w:val="004F1210"/>
    <w:rsid w:val="004F40CF"/>
    <w:rsid w:val="004F4774"/>
    <w:rsid w:val="004F7094"/>
    <w:rsid w:val="00500B15"/>
    <w:rsid w:val="005044EF"/>
    <w:rsid w:val="0052147A"/>
    <w:rsid w:val="00522073"/>
    <w:rsid w:val="00526440"/>
    <w:rsid w:val="00526673"/>
    <w:rsid w:val="00527CB9"/>
    <w:rsid w:val="00532F55"/>
    <w:rsid w:val="00541B03"/>
    <w:rsid w:val="00541C5B"/>
    <w:rsid w:val="00556567"/>
    <w:rsid w:val="005624FE"/>
    <w:rsid w:val="005765BC"/>
    <w:rsid w:val="00582EB8"/>
    <w:rsid w:val="00583C57"/>
    <w:rsid w:val="00596011"/>
    <w:rsid w:val="005C1012"/>
    <w:rsid w:val="005C72E2"/>
    <w:rsid w:val="005D501B"/>
    <w:rsid w:val="005E1ED1"/>
    <w:rsid w:val="005E3022"/>
    <w:rsid w:val="005E6E87"/>
    <w:rsid w:val="00601E4F"/>
    <w:rsid w:val="00605765"/>
    <w:rsid w:val="006106B8"/>
    <w:rsid w:val="00611853"/>
    <w:rsid w:val="006144F3"/>
    <w:rsid w:val="0061662A"/>
    <w:rsid w:val="00620956"/>
    <w:rsid w:val="006266A4"/>
    <w:rsid w:val="006362D1"/>
    <w:rsid w:val="0063795C"/>
    <w:rsid w:val="00641AE3"/>
    <w:rsid w:val="0064219D"/>
    <w:rsid w:val="00646097"/>
    <w:rsid w:val="00653DC9"/>
    <w:rsid w:val="006560B1"/>
    <w:rsid w:val="006615FB"/>
    <w:rsid w:val="006733C6"/>
    <w:rsid w:val="00682D76"/>
    <w:rsid w:val="00687E9A"/>
    <w:rsid w:val="0069074E"/>
    <w:rsid w:val="006A2478"/>
    <w:rsid w:val="006C078F"/>
    <w:rsid w:val="006C110A"/>
    <w:rsid w:val="006C6578"/>
    <w:rsid w:val="006D19AF"/>
    <w:rsid w:val="006D48B6"/>
    <w:rsid w:val="006E151F"/>
    <w:rsid w:val="006E1E0E"/>
    <w:rsid w:val="006F2ABA"/>
    <w:rsid w:val="006F3136"/>
    <w:rsid w:val="00701A79"/>
    <w:rsid w:val="0070554F"/>
    <w:rsid w:val="00711410"/>
    <w:rsid w:val="007152E5"/>
    <w:rsid w:val="00716A35"/>
    <w:rsid w:val="00717257"/>
    <w:rsid w:val="007234FE"/>
    <w:rsid w:val="00726AA2"/>
    <w:rsid w:val="00754B3D"/>
    <w:rsid w:val="0075797C"/>
    <w:rsid w:val="007863ED"/>
    <w:rsid w:val="00792A59"/>
    <w:rsid w:val="00796470"/>
    <w:rsid w:val="00796D76"/>
    <w:rsid w:val="007A35B1"/>
    <w:rsid w:val="007B0E2D"/>
    <w:rsid w:val="007B7F20"/>
    <w:rsid w:val="007C1D84"/>
    <w:rsid w:val="007D595C"/>
    <w:rsid w:val="007D79BF"/>
    <w:rsid w:val="007F0E10"/>
    <w:rsid w:val="007F299A"/>
    <w:rsid w:val="007F47AA"/>
    <w:rsid w:val="00803EBB"/>
    <w:rsid w:val="008053F4"/>
    <w:rsid w:val="00805B09"/>
    <w:rsid w:val="008106F4"/>
    <w:rsid w:val="00814DFD"/>
    <w:rsid w:val="00816EF7"/>
    <w:rsid w:val="00823A90"/>
    <w:rsid w:val="008340FC"/>
    <w:rsid w:val="00843BBF"/>
    <w:rsid w:val="00850074"/>
    <w:rsid w:val="00856358"/>
    <w:rsid w:val="00864C0D"/>
    <w:rsid w:val="00864F2A"/>
    <w:rsid w:val="00875DCD"/>
    <w:rsid w:val="0087650B"/>
    <w:rsid w:val="008803A0"/>
    <w:rsid w:val="008820DB"/>
    <w:rsid w:val="00884C32"/>
    <w:rsid w:val="008861AB"/>
    <w:rsid w:val="008929E8"/>
    <w:rsid w:val="008A04FA"/>
    <w:rsid w:val="008A0AC3"/>
    <w:rsid w:val="008A2A25"/>
    <w:rsid w:val="008B2D01"/>
    <w:rsid w:val="008B5D54"/>
    <w:rsid w:val="008B71D6"/>
    <w:rsid w:val="008B7F86"/>
    <w:rsid w:val="008D0F27"/>
    <w:rsid w:val="008D15DB"/>
    <w:rsid w:val="008D31BF"/>
    <w:rsid w:val="008D3BE8"/>
    <w:rsid w:val="008E6296"/>
    <w:rsid w:val="00900151"/>
    <w:rsid w:val="009002FA"/>
    <w:rsid w:val="0090057C"/>
    <w:rsid w:val="00906A63"/>
    <w:rsid w:val="00907D2E"/>
    <w:rsid w:val="00930365"/>
    <w:rsid w:val="00935FD5"/>
    <w:rsid w:val="00937063"/>
    <w:rsid w:val="009408B4"/>
    <w:rsid w:val="009511C4"/>
    <w:rsid w:val="009527EA"/>
    <w:rsid w:val="009547B2"/>
    <w:rsid w:val="00955C14"/>
    <w:rsid w:val="009631D4"/>
    <w:rsid w:val="009635A5"/>
    <w:rsid w:val="00965C2A"/>
    <w:rsid w:val="009700C5"/>
    <w:rsid w:val="009762E4"/>
    <w:rsid w:val="00976C14"/>
    <w:rsid w:val="00984634"/>
    <w:rsid w:val="00991111"/>
    <w:rsid w:val="009923BD"/>
    <w:rsid w:val="00997F55"/>
    <w:rsid w:val="009C2F5A"/>
    <w:rsid w:val="009C49F9"/>
    <w:rsid w:val="009D635A"/>
    <w:rsid w:val="009D6E64"/>
    <w:rsid w:val="009D7487"/>
    <w:rsid w:val="009E00F6"/>
    <w:rsid w:val="009E15A9"/>
    <w:rsid w:val="009E47C4"/>
    <w:rsid w:val="009E79D6"/>
    <w:rsid w:val="009E7CCE"/>
    <w:rsid w:val="00A018BE"/>
    <w:rsid w:val="00A03308"/>
    <w:rsid w:val="00A0629D"/>
    <w:rsid w:val="00A26C47"/>
    <w:rsid w:val="00A31928"/>
    <w:rsid w:val="00A40A5C"/>
    <w:rsid w:val="00A532B0"/>
    <w:rsid w:val="00A57FD4"/>
    <w:rsid w:val="00A63FF2"/>
    <w:rsid w:val="00A76C6D"/>
    <w:rsid w:val="00A91DE3"/>
    <w:rsid w:val="00A943F9"/>
    <w:rsid w:val="00A97246"/>
    <w:rsid w:val="00AB31E7"/>
    <w:rsid w:val="00AB4745"/>
    <w:rsid w:val="00AB571B"/>
    <w:rsid w:val="00AB6980"/>
    <w:rsid w:val="00AC3430"/>
    <w:rsid w:val="00AC3B7E"/>
    <w:rsid w:val="00AC4C54"/>
    <w:rsid w:val="00AC7913"/>
    <w:rsid w:val="00AD0207"/>
    <w:rsid w:val="00AD0948"/>
    <w:rsid w:val="00AD615A"/>
    <w:rsid w:val="00AD69F1"/>
    <w:rsid w:val="00AE2F5E"/>
    <w:rsid w:val="00AE2F9E"/>
    <w:rsid w:val="00AE70E7"/>
    <w:rsid w:val="00AE77C5"/>
    <w:rsid w:val="00AF501A"/>
    <w:rsid w:val="00AF6F51"/>
    <w:rsid w:val="00B01893"/>
    <w:rsid w:val="00B135D9"/>
    <w:rsid w:val="00B21D28"/>
    <w:rsid w:val="00B31EC1"/>
    <w:rsid w:val="00B31F1B"/>
    <w:rsid w:val="00B352E0"/>
    <w:rsid w:val="00B45002"/>
    <w:rsid w:val="00B50B01"/>
    <w:rsid w:val="00B5171E"/>
    <w:rsid w:val="00B53929"/>
    <w:rsid w:val="00B55735"/>
    <w:rsid w:val="00B55DD5"/>
    <w:rsid w:val="00B5749F"/>
    <w:rsid w:val="00B608AC"/>
    <w:rsid w:val="00B64498"/>
    <w:rsid w:val="00B73D70"/>
    <w:rsid w:val="00B745A8"/>
    <w:rsid w:val="00B87C0A"/>
    <w:rsid w:val="00B92C85"/>
    <w:rsid w:val="00BA2DBE"/>
    <w:rsid w:val="00BA30FE"/>
    <w:rsid w:val="00BC25EA"/>
    <w:rsid w:val="00BD1396"/>
    <w:rsid w:val="00BD1B8D"/>
    <w:rsid w:val="00BD2639"/>
    <w:rsid w:val="00BD36AE"/>
    <w:rsid w:val="00BD4FB7"/>
    <w:rsid w:val="00BE15D8"/>
    <w:rsid w:val="00BE52FB"/>
    <w:rsid w:val="00BE6686"/>
    <w:rsid w:val="00C01AAE"/>
    <w:rsid w:val="00C1188F"/>
    <w:rsid w:val="00C15DBE"/>
    <w:rsid w:val="00C161EA"/>
    <w:rsid w:val="00C27C3C"/>
    <w:rsid w:val="00C3213E"/>
    <w:rsid w:val="00C3225E"/>
    <w:rsid w:val="00C41DB8"/>
    <w:rsid w:val="00C46F6C"/>
    <w:rsid w:val="00C47B6C"/>
    <w:rsid w:val="00C52F66"/>
    <w:rsid w:val="00C57B6B"/>
    <w:rsid w:val="00C67486"/>
    <w:rsid w:val="00C73BA0"/>
    <w:rsid w:val="00C75A9C"/>
    <w:rsid w:val="00C84199"/>
    <w:rsid w:val="00C86CD9"/>
    <w:rsid w:val="00C87B37"/>
    <w:rsid w:val="00C929D2"/>
    <w:rsid w:val="00C95F8E"/>
    <w:rsid w:val="00C979C6"/>
    <w:rsid w:val="00CA2B4A"/>
    <w:rsid w:val="00CB3A12"/>
    <w:rsid w:val="00CC05B0"/>
    <w:rsid w:val="00CC2BB0"/>
    <w:rsid w:val="00CC2C7A"/>
    <w:rsid w:val="00CC3527"/>
    <w:rsid w:val="00CC5551"/>
    <w:rsid w:val="00CD0E02"/>
    <w:rsid w:val="00CE027B"/>
    <w:rsid w:val="00CE4431"/>
    <w:rsid w:val="00D0744A"/>
    <w:rsid w:val="00D1313D"/>
    <w:rsid w:val="00D14114"/>
    <w:rsid w:val="00D155E1"/>
    <w:rsid w:val="00D26485"/>
    <w:rsid w:val="00D33AE3"/>
    <w:rsid w:val="00D3506D"/>
    <w:rsid w:val="00D36961"/>
    <w:rsid w:val="00D45E7B"/>
    <w:rsid w:val="00D479BA"/>
    <w:rsid w:val="00D527CB"/>
    <w:rsid w:val="00D541E6"/>
    <w:rsid w:val="00D57DF0"/>
    <w:rsid w:val="00D62184"/>
    <w:rsid w:val="00D80142"/>
    <w:rsid w:val="00D822AF"/>
    <w:rsid w:val="00D82E9E"/>
    <w:rsid w:val="00D92A30"/>
    <w:rsid w:val="00D9476A"/>
    <w:rsid w:val="00DA0C6F"/>
    <w:rsid w:val="00DA2C06"/>
    <w:rsid w:val="00DA31F5"/>
    <w:rsid w:val="00DA796B"/>
    <w:rsid w:val="00DC45ED"/>
    <w:rsid w:val="00DC57CC"/>
    <w:rsid w:val="00DC5A93"/>
    <w:rsid w:val="00DD2606"/>
    <w:rsid w:val="00DE37CB"/>
    <w:rsid w:val="00DF69F3"/>
    <w:rsid w:val="00E0015A"/>
    <w:rsid w:val="00E011EE"/>
    <w:rsid w:val="00E051E6"/>
    <w:rsid w:val="00E113CB"/>
    <w:rsid w:val="00E2405B"/>
    <w:rsid w:val="00E33562"/>
    <w:rsid w:val="00E36E73"/>
    <w:rsid w:val="00E36F62"/>
    <w:rsid w:val="00E377A0"/>
    <w:rsid w:val="00E410B4"/>
    <w:rsid w:val="00E4251F"/>
    <w:rsid w:val="00E427A1"/>
    <w:rsid w:val="00E5157D"/>
    <w:rsid w:val="00E51BCE"/>
    <w:rsid w:val="00E52481"/>
    <w:rsid w:val="00E52CC9"/>
    <w:rsid w:val="00E5419B"/>
    <w:rsid w:val="00E632AF"/>
    <w:rsid w:val="00E66C82"/>
    <w:rsid w:val="00E707C0"/>
    <w:rsid w:val="00E7544E"/>
    <w:rsid w:val="00E93E3C"/>
    <w:rsid w:val="00E97840"/>
    <w:rsid w:val="00EA3236"/>
    <w:rsid w:val="00EA6E06"/>
    <w:rsid w:val="00ED2A1D"/>
    <w:rsid w:val="00EE3A7E"/>
    <w:rsid w:val="00EE47D1"/>
    <w:rsid w:val="00EF2494"/>
    <w:rsid w:val="00EF5132"/>
    <w:rsid w:val="00EF5D43"/>
    <w:rsid w:val="00EF7DB9"/>
    <w:rsid w:val="00F03AE0"/>
    <w:rsid w:val="00F1518B"/>
    <w:rsid w:val="00F251E4"/>
    <w:rsid w:val="00F278D3"/>
    <w:rsid w:val="00F356D0"/>
    <w:rsid w:val="00F431E1"/>
    <w:rsid w:val="00F71108"/>
    <w:rsid w:val="00F826E5"/>
    <w:rsid w:val="00F836F1"/>
    <w:rsid w:val="00F845F2"/>
    <w:rsid w:val="00F91CFA"/>
    <w:rsid w:val="00FA3D37"/>
    <w:rsid w:val="00FA4004"/>
    <w:rsid w:val="00FB18BF"/>
    <w:rsid w:val="00FC7228"/>
    <w:rsid w:val="00FC7CC1"/>
    <w:rsid w:val="00FD4EE5"/>
    <w:rsid w:val="00FD68E5"/>
    <w:rsid w:val="00FE1D31"/>
    <w:rsid w:val="00FF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9B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TOC2">
    <w:name w:val="toc 2"/>
    <w:basedOn w:val="Normal"/>
    <w:next w:val="Normal"/>
    <w:autoRedefine/>
    <w:uiPriority w:val="39"/>
    <w:unhideWhenUsed/>
    <w:rsid w:val="003E4957"/>
    <w:pPr>
      <w:spacing w:after="100"/>
      <w:ind w:left="210"/>
    </w:pPr>
  </w:style>
  <w:style w:type="paragraph" w:styleId="TOC3">
    <w:name w:val="toc 3"/>
    <w:basedOn w:val="Normal"/>
    <w:next w:val="Normal"/>
    <w:autoRedefine/>
    <w:uiPriority w:val="39"/>
    <w:unhideWhenUsed/>
    <w:rsid w:val="003E4957"/>
    <w:pPr>
      <w:spacing w:after="100"/>
      <w:ind w:left="420"/>
    </w:pPr>
  </w:style>
  <w:style w:type="paragraph" w:styleId="TOC4">
    <w:name w:val="toc 4"/>
    <w:basedOn w:val="Normal"/>
    <w:next w:val="Normal"/>
    <w:autoRedefine/>
    <w:uiPriority w:val="39"/>
    <w:unhideWhenUsed/>
    <w:rsid w:val="004B3CEA"/>
    <w:pPr>
      <w:spacing w:after="100"/>
      <w:ind w:left="630"/>
    </w:pPr>
  </w:style>
  <w:style w:type="paragraph" w:styleId="TOC5">
    <w:name w:val="toc 5"/>
    <w:basedOn w:val="Normal"/>
    <w:next w:val="Normal"/>
    <w:autoRedefine/>
    <w:uiPriority w:val="39"/>
    <w:unhideWhenUsed/>
    <w:rsid w:val="004B3CEA"/>
    <w:pPr>
      <w:spacing w:after="100"/>
      <w:ind w:left="840"/>
    </w:pPr>
  </w:style>
  <w:style w:type="paragraph" w:styleId="FootnoteText">
    <w:name w:val="footnote text"/>
    <w:basedOn w:val="Normal"/>
    <w:link w:val="FootnoteTextChar"/>
    <w:uiPriority w:val="99"/>
    <w:semiHidden/>
    <w:unhideWhenUsed/>
    <w:rsid w:val="002936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654"/>
    <w:rPr>
      <w:sz w:val="20"/>
      <w:szCs w:val="20"/>
    </w:rPr>
  </w:style>
  <w:style w:type="character" w:styleId="FootnoteReference">
    <w:name w:val="footnote reference"/>
    <w:basedOn w:val="DefaultParagraphFont"/>
    <w:uiPriority w:val="99"/>
    <w:semiHidden/>
    <w:unhideWhenUsed/>
    <w:rsid w:val="00293654"/>
    <w:rPr>
      <w:vertAlign w:val="superscript"/>
    </w:rPr>
  </w:style>
  <w:style w:type="paragraph" w:customStyle="1" w:styleId="Default">
    <w:name w:val="Default"/>
    <w:rsid w:val="0029365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B7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7840"/>
    <w:rPr>
      <w:color w:val="954F72" w:themeColor="followedHyperlink"/>
      <w:u w:val="single"/>
    </w:rPr>
  </w:style>
  <w:style w:type="paragraph" w:styleId="Revision">
    <w:name w:val="Revision"/>
    <w:hidden/>
    <w:uiPriority w:val="99"/>
    <w:semiHidden/>
    <w:rsid w:val="00FA3D37"/>
    <w:pPr>
      <w:spacing w:after="0" w:line="240" w:lineRule="auto"/>
    </w:pPr>
  </w:style>
  <w:style w:type="character" w:styleId="LineNumber">
    <w:name w:val="line number"/>
    <w:basedOn w:val="DefaultParagraphFont"/>
    <w:uiPriority w:val="99"/>
    <w:semiHidden/>
    <w:unhideWhenUsed/>
    <w:rsid w:val="00194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TOC2">
    <w:name w:val="toc 2"/>
    <w:basedOn w:val="Normal"/>
    <w:next w:val="Normal"/>
    <w:autoRedefine/>
    <w:uiPriority w:val="39"/>
    <w:unhideWhenUsed/>
    <w:rsid w:val="003E4957"/>
    <w:pPr>
      <w:spacing w:after="100"/>
      <w:ind w:left="210"/>
    </w:pPr>
  </w:style>
  <w:style w:type="paragraph" w:styleId="TOC3">
    <w:name w:val="toc 3"/>
    <w:basedOn w:val="Normal"/>
    <w:next w:val="Normal"/>
    <w:autoRedefine/>
    <w:uiPriority w:val="39"/>
    <w:unhideWhenUsed/>
    <w:rsid w:val="003E4957"/>
    <w:pPr>
      <w:spacing w:after="100"/>
      <w:ind w:left="420"/>
    </w:pPr>
  </w:style>
  <w:style w:type="paragraph" w:styleId="TOC4">
    <w:name w:val="toc 4"/>
    <w:basedOn w:val="Normal"/>
    <w:next w:val="Normal"/>
    <w:autoRedefine/>
    <w:uiPriority w:val="39"/>
    <w:unhideWhenUsed/>
    <w:rsid w:val="004B3CEA"/>
    <w:pPr>
      <w:spacing w:after="100"/>
      <w:ind w:left="630"/>
    </w:pPr>
  </w:style>
  <w:style w:type="paragraph" w:styleId="TOC5">
    <w:name w:val="toc 5"/>
    <w:basedOn w:val="Normal"/>
    <w:next w:val="Normal"/>
    <w:autoRedefine/>
    <w:uiPriority w:val="39"/>
    <w:unhideWhenUsed/>
    <w:rsid w:val="004B3CEA"/>
    <w:pPr>
      <w:spacing w:after="100"/>
      <w:ind w:left="840"/>
    </w:pPr>
  </w:style>
  <w:style w:type="paragraph" w:styleId="FootnoteText">
    <w:name w:val="footnote text"/>
    <w:basedOn w:val="Normal"/>
    <w:link w:val="FootnoteTextChar"/>
    <w:uiPriority w:val="99"/>
    <w:semiHidden/>
    <w:unhideWhenUsed/>
    <w:rsid w:val="002936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654"/>
    <w:rPr>
      <w:sz w:val="20"/>
      <w:szCs w:val="20"/>
    </w:rPr>
  </w:style>
  <w:style w:type="character" w:styleId="FootnoteReference">
    <w:name w:val="footnote reference"/>
    <w:basedOn w:val="DefaultParagraphFont"/>
    <w:uiPriority w:val="99"/>
    <w:semiHidden/>
    <w:unhideWhenUsed/>
    <w:rsid w:val="00293654"/>
    <w:rPr>
      <w:vertAlign w:val="superscript"/>
    </w:rPr>
  </w:style>
  <w:style w:type="paragraph" w:customStyle="1" w:styleId="Default">
    <w:name w:val="Default"/>
    <w:rsid w:val="0029365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B7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7840"/>
    <w:rPr>
      <w:color w:val="954F72" w:themeColor="followedHyperlink"/>
      <w:u w:val="single"/>
    </w:rPr>
  </w:style>
  <w:style w:type="paragraph" w:styleId="Revision">
    <w:name w:val="Revision"/>
    <w:hidden/>
    <w:uiPriority w:val="99"/>
    <w:semiHidden/>
    <w:rsid w:val="00FA3D37"/>
    <w:pPr>
      <w:spacing w:after="0" w:line="240" w:lineRule="auto"/>
    </w:pPr>
  </w:style>
  <w:style w:type="character" w:styleId="LineNumber">
    <w:name w:val="line number"/>
    <w:basedOn w:val="DefaultParagraphFont"/>
    <w:uiPriority w:val="99"/>
    <w:semiHidden/>
    <w:unhideWhenUsed/>
    <w:rsid w:val="0019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8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dl0@cd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jb0@c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tsdr.cdc.gov/sites/pease/documents/Pease_Feasibility_Assessment_November-2017_50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sh8@cdc.gov" TargetMode="External"/><Relationship Id="rId5" Type="http://schemas.openxmlformats.org/officeDocument/2006/relationships/settings" Target="settings.xml"/><Relationship Id="rId15" Type="http://schemas.openxmlformats.org/officeDocument/2006/relationships/hyperlink" Target="mailto:Chris_Spera@abtassoc.com%20" TargetMode="External"/><Relationship Id="rId10" Type="http://schemas.openxmlformats.org/officeDocument/2006/relationships/hyperlink" Target="mailto:fjb0@cd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sh8@cdc.gov" TargetMode="External"/><Relationship Id="rId14" Type="http://schemas.openxmlformats.org/officeDocument/2006/relationships/hyperlink" Target="mailto:Danielle_Hunt@abtassoc.com%2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hhs.nh.gov/dphs/documents/pease-pfc-blood-testing.pdf" TargetMode="External"/><Relationship Id="rId2" Type="http://schemas.openxmlformats.org/officeDocument/2006/relationships/hyperlink" Target="https://www.dhhs.nh.gov/dphs/documents/pease-pfc-blood-testing.pdf" TargetMode="External"/><Relationship Id="rId1" Type="http://schemas.openxmlformats.org/officeDocument/2006/relationships/hyperlink" Target="https://www.epa.gov/pfas/what-are-pfcs-and-how-do-they-relate-and-polyfluoroalkyl-substances-pfass" TargetMode="External"/><Relationship Id="rId4" Type="http://schemas.openxmlformats.org/officeDocument/2006/relationships/hyperlink" Target="https://www.bedfordnh.org/DocumentCenter/View/2472/PFC-Blood-Testing-Aggregate-Results-Overview_FINAL_100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F5C0E-8200-43B8-A3FD-4C9098F3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4503</Words>
  <Characters>25670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2019-08-16T15:14:00Z</dcterms:created>
  <dcterms:modified xsi:type="dcterms:W3CDTF">2019-08-16T15:14:00Z</dcterms:modified>
</cp:coreProperties>
</file>