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41" w:rsidP="00015C29" w:rsidRDefault="00C21D41">
      <w:pPr>
        <w:pStyle w:val="Header"/>
        <w:tabs>
          <w:tab w:val="clear" w:pos="4320"/>
          <w:tab w:val="clear" w:pos="8640"/>
        </w:tabs>
        <w:ind w:left="720"/>
        <w:jc w:val="center"/>
        <w:rPr>
          <w:rFonts w:ascii="Times New Roman" w:hAnsi="Times New Roman"/>
          <w:b/>
        </w:rPr>
      </w:pPr>
      <w:r>
        <w:rPr>
          <w:rFonts w:ascii="Times New Roman" w:hAnsi="Times New Roman"/>
          <w:b/>
        </w:rPr>
        <w:t>Supporting Statement for Form SSA-723</w:t>
      </w:r>
    </w:p>
    <w:p w:rsidR="00C21D41" w:rsidP="00015C29" w:rsidRDefault="00C21D41">
      <w:pPr>
        <w:pStyle w:val="Header"/>
        <w:tabs>
          <w:tab w:val="clear" w:pos="4320"/>
          <w:tab w:val="clear" w:pos="8640"/>
        </w:tabs>
        <w:ind w:left="720"/>
        <w:jc w:val="center"/>
        <w:rPr>
          <w:rFonts w:ascii="Times New Roman" w:hAnsi="Times New Roman"/>
          <w:b/>
        </w:rPr>
      </w:pPr>
      <w:r>
        <w:rPr>
          <w:rFonts w:ascii="Times New Roman" w:hAnsi="Times New Roman"/>
          <w:b/>
        </w:rPr>
        <w:t xml:space="preserve">Statement Regarding the Inferred Death of an Individual by </w:t>
      </w:r>
    </w:p>
    <w:p w:rsidRPr="00FF1A57" w:rsidR="007D7C13" w:rsidP="00015C29" w:rsidRDefault="00C21D41">
      <w:pPr>
        <w:pStyle w:val="Header"/>
        <w:tabs>
          <w:tab w:val="clear" w:pos="4320"/>
          <w:tab w:val="clear" w:pos="8640"/>
        </w:tabs>
        <w:ind w:left="720"/>
        <w:jc w:val="center"/>
        <w:rPr>
          <w:rFonts w:ascii="Times New Roman" w:hAnsi="Times New Roman"/>
          <w:b/>
        </w:rPr>
      </w:pPr>
      <w:r>
        <w:rPr>
          <w:rFonts w:ascii="Times New Roman" w:hAnsi="Times New Roman"/>
          <w:b/>
        </w:rPr>
        <w:t>Reason of Continued and Unexplained Absence</w:t>
      </w:r>
    </w:p>
    <w:p w:rsidRPr="00FF1A57" w:rsidR="00450E36" w:rsidP="006933AA" w:rsidRDefault="00CB79C9">
      <w:pPr>
        <w:ind w:left="720"/>
        <w:jc w:val="center"/>
        <w:rPr>
          <w:rFonts w:ascii="Times New Roman" w:hAnsi="Times New Roman"/>
          <w:b/>
        </w:rPr>
      </w:pPr>
      <w:r>
        <w:rPr>
          <w:rFonts w:ascii="Times New Roman" w:hAnsi="Times New Roman"/>
          <w:b/>
        </w:rPr>
        <w:t>20 CFR 404.720-</w:t>
      </w:r>
      <w:r w:rsidR="00C21D41">
        <w:rPr>
          <w:rFonts w:ascii="Times New Roman" w:hAnsi="Times New Roman"/>
          <w:b/>
        </w:rPr>
        <w:t>404</w:t>
      </w:r>
      <w:r>
        <w:rPr>
          <w:rFonts w:ascii="Times New Roman" w:hAnsi="Times New Roman"/>
          <w:b/>
        </w:rPr>
        <w:t>.721</w:t>
      </w:r>
    </w:p>
    <w:p w:rsidRPr="00FF1A57" w:rsidR="007D7C13" w:rsidP="006933AA" w:rsidRDefault="007D7C13">
      <w:pPr>
        <w:ind w:left="720"/>
        <w:jc w:val="center"/>
        <w:rPr>
          <w:rFonts w:ascii="Times New Roman" w:hAnsi="Times New Roman"/>
          <w:b/>
        </w:rPr>
      </w:pPr>
      <w:r w:rsidRPr="00FF1A57">
        <w:rPr>
          <w:rFonts w:ascii="Times New Roman" w:hAnsi="Times New Roman"/>
          <w:b/>
        </w:rPr>
        <w:t>OMB No. 0960-</w:t>
      </w:r>
      <w:r w:rsidR="001B240E">
        <w:rPr>
          <w:rFonts w:ascii="Times New Roman" w:hAnsi="Times New Roman"/>
          <w:b/>
        </w:rPr>
        <w:t>NEW</w:t>
      </w:r>
    </w:p>
    <w:p w:rsidR="007D7C13" w:rsidP="00015C29" w:rsidRDefault="007D7C13">
      <w:pPr>
        <w:pStyle w:val="Header"/>
        <w:tabs>
          <w:tab w:val="clear" w:pos="4320"/>
          <w:tab w:val="clear" w:pos="8640"/>
        </w:tabs>
        <w:ind w:left="720"/>
        <w:rPr>
          <w:rFonts w:ascii="Times New Roman" w:hAnsi="Times New Roman"/>
        </w:rPr>
      </w:pPr>
    </w:p>
    <w:p w:rsidRPr="00CB79C9" w:rsidR="007D7C13" w:rsidP="009E46ED" w:rsidRDefault="007D7C13">
      <w:pPr>
        <w:ind w:left="720" w:hanging="540"/>
        <w:rPr>
          <w:rFonts w:ascii="Times New Roman" w:hAnsi="Times New Roman"/>
          <w:b/>
        </w:rPr>
      </w:pPr>
      <w:r w:rsidRPr="00CB79C9">
        <w:rPr>
          <w:rFonts w:ascii="Times New Roman" w:hAnsi="Times New Roman"/>
          <w:b/>
        </w:rPr>
        <w:t>A.</w:t>
      </w:r>
      <w:r w:rsidRPr="00CB79C9">
        <w:rPr>
          <w:rFonts w:ascii="Times New Roman" w:hAnsi="Times New Roman"/>
          <w:b/>
        </w:rPr>
        <w:tab/>
      </w:r>
      <w:r w:rsidRPr="00CB79C9">
        <w:rPr>
          <w:rFonts w:ascii="Times New Roman" w:hAnsi="Times New Roman"/>
          <w:b/>
          <w:u w:val="single"/>
        </w:rPr>
        <w:t>Justification</w:t>
      </w:r>
    </w:p>
    <w:p w:rsidR="007D7C13" w:rsidP="00015C29" w:rsidRDefault="007D7C13">
      <w:pPr>
        <w:pStyle w:val="Header"/>
        <w:tabs>
          <w:tab w:val="clear" w:pos="4320"/>
          <w:tab w:val="clear" w:pos="8640"/>
        </w:tabs>
        <w:ind w:left="72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30197B" w:rsidP="009E46ED" w:rsidRDefault="005027F6">
      <w:pPr>
        <w:tabs>
          <w:tab w:val="left" w:pos="0"/>
          <w:tab w:val="left" w:pos="1440"/>
        </w:tabs>
        <w:ind w:left="1440"/>
        <w:rPr>
          <w:rFonts w:ascii="Times New Roman" w:hAnsi="Times New Roman"/>
        </w:rPr>
      </w:pPr>
      <w:r>
        <w:rPr>
          <w:rFonts w:ascii="Times New Roman" w:hAnsi="Times New Roman"/>
        </w:rPr>
        <w:t xml:space="preserve">When an individual has been missing, or is presumed dead, we need to take certain actions before paying out benefits.  </w:t>
      </w:r>
      <w:r w:rsidRPr="001F2A93" w:rsidR="001F2A93">
        <w:rPr>
          <w:rFonts w:ascii="Times New Roman" w:hAnsi="Times New Roman"/>
        </w:rPr>
        <w:t>Section</w:t>
      </w:r>
      <w:r w:rsidRPr="001F2A93" w:rsidR="001F2A93">
        <w:rPr>
          <w:rFonts w:ascii="Times New Roman" w:hAnsi="Times New Roman"/>
          <w:i/>
        </w:rPr>
        <w:t xml:space="preserve"> 202(d)-(i)</w:t>
      </w:r>
      <w:r w:rsidR="001F2A93">
        <w:rPr>
          <w:rFonts w:ascii="Times New Roman" w:hAnsi="Times New Roman"/>
        </w:rPr>
        <w:t xml:space="preserve"> of the </w:t>
      </w:r>
      <w:r w:rsidRPr="001F2A93" w:rsidR="001F2A93">
        <w:rPr>
          <w:rFonts w:ascii="Times New Roman" w:hAnsi="Times New Roman"/>
          <w:i/>
        </w:rPr>
        <w:t>Social Security Act</w:t>
      </w:r>
      <w:r w:rsidR="00B31767">
        <w:rPr>
          <w:rFonts w:ascii="Times New Roman" w:hAnsi="Times New Roman"/>
          <w:i/>
        </w:rPr>
        <w:t xml:space="preserve"> (Act)</w:t>
      </w:r>
      <w:r w:rsidR="001F2A93">
        <w:rPr>
          <w:rFonts w:ascii="Times New Roman" w:hAnsi="Times New Roman"/>
        </w:rPr>
        <w:t xml:space="preserve"> </w:t>
      </w:r>
      <w:r w:rsidR="00BB23CE">
        <w:rPr>
          <w:rFonts w:ascii="Times New Roman" w:hAnsi="Times New Roman"/>
        </w:rPr>
        <w:t>mandates</w:t>
      </w:r>
      <w:r w:rsidR="001F2A93">
        <w:rPr>
          <w:rFonts w:ascii="Times New Roman" w:hAnsi="Times New Roman"/>
        </w:rPr>
        <w:t xml:space="preserve"> that when insured workers pass away, their surviving family members are entitled to a lump-sum death payment and monthly survivor benefits</w:t>
      </w:r>
      <w:r w:rsidR="009D7657">
        <w:rPr>
          <w:rFonts w:ascii="Times New Roman" w:hAnsi="Times New Roman"/>
        </w:rPr>
        <w:t xml:space="preserve"> from the </w:t>
      </w:r>
      <w:r w:rsidRPr="009D7657" w:rsidR="009D7657">
        <w:rPr>
          <w:rFonts w:ascii="Times New Roman" w:hAnsi="Times New Roman"/>
        </w:rPr>
        <w:t>Social Security Administration</w:t>
      </w:r>
      <w:r w:rsidR="009D7657">
        <w:rPr>
          <w:rFonts w:ascii="Times New Roman" w:hAnsi="Times New Roman"/>
        </w:rPr>
        <w:t xml:space="preserve"> (SSA)</w:t>
      </w:r>
      <w:r w:rsidR="001F2A93">
        <w:rPr>
          <w:rFonts w:ascii="Times New Roman" w:hAnsi="Times New Roman"/>
        </w:rPr>
        <w:t xml:space="preserve">.  </w:t>
      </w:r>
      <w:r w:rsidR="00130A23">
        <w:rPr>
          <w:rFonts w:ascii="Times New Roman" w:hAnsi="Times New Roman"/>
        </w:rPr>
        <w:t xml:space="preserve">Policies for establishing the date of death for a person who </w:t>
      </w:r>
      <w:r w:rsidR="00E10812">
        <w:rPr>
          <w:rFonts w:ascii="Times New Roman" w:hAnsi="Times New Roman"/>
        </w:rPr>
        <w:t>has bee</w:t>
      </w:r>
      <w:r w:rsidR="00130A23">
        <w:rPr>
          <w:rFonts w:ascii="Times New Roman" w:hAnsi="Times New Roman"/>
        </w:rPr>
        <w:t xml:space="preserve">n absent from home for at least seven years, </w:t>
      </w:r>
      <w:r w:rsidR="00E10812">
        <w:rPr>
          <w:rFonts w:ascii="Times New Roman" w:hAnsi="Times New Roman"/>
        </w:rPr>
        <w:t>when</w:t>
      </w:r>
      <w:r w:rsidR="00130A23">
        <w:rPr>
          <w:rFonts w:ascii="Times New Roman" w:hAnsi="Times New Roman"/>
        </w:rPr>
        <w:t xml:space="preserve"> there is no evidence the</w:t>
      </w:r>
      <w:r w:rsidR="00E10812">
        <w:rPr>
          <w:rFonts w:ascii="Times New Roman" w:hAnsi="Times New Roman"/>
        </w:rPr>
        <w:t xml:space="preserve"> individual is</w:t>
      </w:r>
      <w:r w:rsidR="00130A23">
        <w:rPr>
          <w:rFonts w:ascii="Times New Roman" w:hAnsi="Times New Roman"/>
        </w:rPr>
        <w:t xml:space="preserve"> alive are set forth in </w:t>
      </w:r>
      <w:r w:rsidR="00130A23">
        <w:rPr>
          <w:rFonts w:ascii="Times New Roman" w:hAnsi="Times New Roman"/>
          <w:i/>
        </w:rPr>
        <w:t>20 CFR 404.720</w:t>
      </w:r>
      <w:r w:rsidR="00A617C2">
        <w:rPr>
          <w:rFonts w:ascii="Times New Roman" w:hAnsi="Times New Roman"/>
          <w:i/>
        </w:rPr>
        <w:t>-</w:t>
      </w:r>
      <w:r w:rsidR="00130A23">
        <w:rPr>
          <w:rFonts w:ascii="Times New Roman" w:hAnsi="Times New Roman"/>
          <w:i/>
        </w:rPr>
        <w:t xml:space="preserve">404.721 </w:t>
      </w:r>
      <w:r w:rsidR="00130A23">
        <w:rPr>
          <w:rFonts w:ascii="Times New Roman" w:hAnsi="Times New Roman"/>
        </w:rPr>
        <w:t xml:space="preserve">of the </w:t>
      </w:r>
      <w:r w:rsidR="00563C07">
        <w:rPr>
          <w:rFonts w:ascii="Times New Roman" w:hAnsi="Times New Roman"/>
          <w:i/>
        </w:rPr>
        <w:t>Code of Federal Regulations</w:t>
      </w:r>
      <w:r w:rsidRPr="00A617C2" w:rsidR="00563C07">
        <w:rPr>
          <w:rFonts w:ascii="Times New Roman" w:hAnsi="Times New Roman"/>
        </w:rPr>
        <w:t>.</w:t>
      </w:r>
    </w:p>
    <w:p w:rsidR="0030197B" w:rsidP="009E46ED" w:rsidRDefault="0030197B">
      <w:pPr>
        <w:tabs>
          <w:tab w:val="left" w:pos="1440"/>
        </w:tabs>
        <w:ind w:left="1440"/>
        <w:rPr>
          <w:rFonts w:ascii="Times New Roman" w:hAnsi="Times New Roman"/>
        </w:rPr>
      </w:pPr>
    </w:p>
    <w:p w:rsidRPr="002E18CF" w:rsidR="00EB26E3" w:rsidP="009E46ED" w:rsidRDefault="00EB26E3">
      <w:pPr>
        <w:numPr>
          <w:ilvl w:val="0"/>
          <w:numId w:val="2"/>
        </w:numPr>
        <w:tabs>
          <w:tab w:val="clear" w:pos="1800"/>
          <w:tab w:val="left" w:pos="1440"/>
        </w:tabs>
        <w:ind w:left="1440" w:hanging="720"/>
        <w:rPr>
          <w:rFonts w:ascii="Times New Roman" w:hAnsi="Times New Roman"/>
        </w:rPr>
      </w:pPr>
      <w:r>
        <w:rPr>
          <w:rFonts w:ascii="Times New Roman" w:hAnsi="Times New Roman"/>
          <w:b/>
        </w:rPr>
        <w:t>Description of Collection</w:t>
      </w:r>
    </w:p>
    <w:p w:rsidRPr="00A76635" w:rsidR="00A76635" w:rsidP="009E46ED" w:rsidRDefault="00B31767">
      <w:pPr>
        <w:tabs>
          <w:tab w:val="left" w:pos="1440"/>
        </w:tabs>
        <w:ind w:left="1440"/>
        <w:rPr>
          <w:rFonts w:ascii="Times New Roman" w:hAnsi="Times New Roman"/>
        </w:rPr>
      </w:pPr>
      <w:r>
        <w:rPr>
          <w:rFonts w:ascii="Times New Roman" w:hAnsi="Times New Roman"/>
        </w:rPr>
        <w:t>Before SSA can declare a missing individual deceased, we must ensure there is no evidence indicating the indivi</w:t>
      </w:r>
      <w:r w:rsidR="00A617C2">
        <w:rPr>
          <w:rFonts w:ascii="Times New Roman" w:hAnsi="Times New Roman"/>
        </w:rPr>
        <w:t>dual is still alive.  SSA uses F</w:t>
      </w:r>
      <w:r>
        <w:rPr>
          <w:rFonts w:ascii="Times New Roman" w:hAnsi="Times New Roman"/>
        </w:rPr>
        <w:t xml:space="preserve">orm SSA-723, the Statement Regarding the Inferred Death of an Individual by Reason of Continued and Unexpected Absence, to collect the information needed to make that determination.  </w:t>
      </w:r>
      <w:r w:rsidRPr="00A76635" w:rsidR="00A76635">
        <w:rPr>
          <w:rFonts w:ascii="Times New Roman" w:hAnsi="Times New Roman"/>
        </w:rPr>
        <w:t>In cases where insured wage earners have been absent from their homes for at least seven years, and there is no evidence these individuals are alive, SSA may presume they are deceased and will pay their survivors the appropriate benefits.  SSA uses the information f</w:t>
      </w:r>
      <w:r w:rsidR="00A76635">
        <w:rPr>
          <w:rFonts w:ascii="Times New Roman" w:hAnsi="Times New Roman"/>
        </w:rPr>
        <w:t>r</w:t>
      </w:r>
      <w:r w:rsidRPr="00A76635" w:rsidR="00A76635">
        <w:rPr>
          <w:rFonts w:ascii="Times New Roman" w:hAnsi="Times New Roman"/>
        </w:rPr>
        <w:t xml:space="preserve">om Form SSA-723 to determine if we may presume a missing wage earner is </w:t>
      </w:r>
      <w:r w:rsidRPr="00A76635" w:rsidR="00FD718E">
        <w:rPr>
          <w:rFonts w:ascii="Times New Roman" w:hAnsi="Times New Roman"/>
        </w:rPr>
        <w:t>deceased</w:t>
      </w:r>
      <w:r w:rsidR="00EE7112">
        <w:rPr>
          <w:rFonts w:ascii="Times New Roman" w:hAnsi="Times New Roman"/>
        </w:rPr>
        <w:t>,</w:t>
      </w:r>
      <w:r w:rsidRPr="00A76635" w:rsidR="00A76635">
        <w:rPr>
          <w:rFonts w:ascii="Times New Roman" w:hAnsi="Times New Roman"/>
        </w:rPr>
        <w:t xml:space="preserve"> and</w:t>
      </w:r>
      <w:r w:rsidR="00B11ADB">
        <w:rPr>
          <w:rFonts w:ascii="Times New Roman" w:hAnsi="Times New Roman"/>
        </w:rPr>
        <w:t>,</w:t>
      </w:r>
      <w:r w:rsidRPr="00A76635" w:rsidR="00A76635">
        <w:rPr>
          <w:rFonts w:ascii="Times New Roman" w:hAnsi="Times New Roman"/>
        </w:rPr>
        <w:t xml:space="preserve"> if so, </w:t>
      </w:r>
      <w:r w:rsidR="006011E8">
        <w:rPr>
          <w:rFonts w:ascii="Times New Roman" w:hAnsi="Times New Roman"/>
        </w:rPr>
        <w:t xml:space="preserve">to </w:t>
      </w:r>
      <w:r w:rsidRPr="00A76635" w:rsidR="00A76635">
        <w:rPr>
          <w:rFonts w:ascii="Times New Roman" w:hAnsi="Times New Roman"/>
        </w:rPr>
        <w:t>estab</w:t>
      </w:r>
      <w:r w:rsidR="00B72323">
        <w:rPr>
          <w:rFonts w:ascii="Times New Roman" w:hAnsi="Times New Roman"/>
        </w:rPr>
        <w:t xml:space="preserve">lish a date of presumed death.  </w:t>
      </w:r>
      <w:r w:rsidRPr="00A76635" w:rsidR="00794B7C">
        <w:rPr>
          <w:rFonts w:ascii="Times New Roman" w:hAnsi="Times New Roman"/>
        </w:rPr>
        <w:t>The respondents are relatives, friends, neighbors, o</w:t>
      </w:r>
      <w:r w:rsidR="00794B7C">
        <w:rPr>
          <w:rFonts w:ascii="Times New Roman" w:hAnsi="Times New Roman"/>
        </w:rPr>
        <w:t>r acquaintances of the presumed d</w:t>
      </w:r>
      <w:r w:rsidRPr="00A76635" w:rsidR="00794B7C">
        <w:rPr>
          <w:rFonts w:ascii="Times New Roman" w:hAnsi="Times New Roman"/>
        </w:rPr>
        <w:t>eceased wage earner</w:t>
      </w:r>
      <w:r w:rsidR="00B72323">
        <w:rPr>
          <w:rFonts w:ascii="Times New Roman" w:hAnsi="Times New Roman"/>
        </w:rPr>
        <w:t>,</w:t>
      </w:r>
      <w:r w:rsidRPr="00A76635" w:rsidR="00794B7C">
        <w:rPr>
          <w:rFonts w:ascii="Times New Roman" w:hAnsi="Times New Roman"/>
        </w:rPr>
        <w:t xml:space="preserve"> or the person who is filing for survivor’s benefits.</w:t>
      </w:r>
    </w:p>
    <w:p w:rsidR="00A76635" w:rsidP="009E46ED" w:rsidRDefault="00A76635">
      <w:pPr>
        <w:tabs>
          <w:tab w:val="left" w:pos="1440"/>
        </w:tabs>
        <w:autoSpaceDE w:val="0"/>
        <w:autoSpaceDN w:val="0"/>
        <w:adjustRightInd w:val="0"/>
        <w:ind w:left="1440"/>
        <w:rPr>
          <w:rFonts w:ascii="Times New Roman" w:hAnsi="Times New Roman"/>
        </w:rPr>
      </w:pPr>
    </w:p>
    <w:p w:rsidRPr="0036696D" w:rsidR="00EB26E3"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t>Use of Information Technology to Collect the Information</w:t>
      </w:r>
    </w:p>
    <w:p w:rsidR="008E17CB" w:rsidP="00B72323" w:rsidRDefault="00B72323">
      <w:pPr>
        <w:tabs>
          <w:tab w:val="left" w:pos="1440"/>
        </w:tabs>
        <w:ind w:left="1440"/>
        <w:rPr>
          <w:rFonts w:ascii="Times New Roman" w:hAnsi="Times New Roman"/>
        </w:rPr>
      </w:pPr>
      <w:r w:rsidRPr="00B72323">
        <w:rPr>
          <w:rFonts w:ascii="Times New Roman" w:hAnsi="Times New Roman"/>
          <w:bCs/>
          <w:snapToGrid/>
          <w:lang w:eastAsia="zh-CN"/>
        </w:rPr>
        <w:t xml:space="preserve">Form </w:t>
      </w:r>
      <w:r>
        <w:rPr>
          <w:rFonts w:ascii="Times New Roman" w:hAnsi="Times New Roman"/>
          <w:bCs/>
          <w:snapToGrid/>
          <w:lang w:eastAsia="zh-CN"/>
        </w:rPr>
        <w:t>SSA-723</w:t>
      </w:r>
      <w:r w:rsidRPr="00B72323">
        <w:rPr>
          <w:rFonts w:ascii="Times New Roman" w:hAnsi="Times New Roman"/>
          <w:bCs/>
          <w:snapToGrid/>
          <w:lang w:eastAsia="zh-CN"/>
        </w:rPr>
        <w:t xml:space="preserve"> is available as a print</w:t>
      </w:r>
      <w:r w:rsidRPr="00B72323">
        <w:rPr>
          <w:rFonts w:ascii="Times New Roman" w:hAnsi="Times New Roman"/>
          <w:bCs/>
          <w:snapToGrid/>
          <w:lang w:eastAsia="zh-CN"/>
        </w:rPr>
        <w:noBreakHyphen/>
        <w:t>only</w:t>
      </w:r>
      <w:r w:rsidR="00B11ADB">
        <w:rPr>
          <w:rFonts w:ascii="Times New Roman" w:hAnsi="Times New Roman"/>
          <w:bCs/>
          <w:snapToGrid/>
          <w:lang w:eastAsia="zh-CN"/>
        </w:rPr>
        <w:t>,</w:t>
      </w:r>
      <w:r w:rsidRPr="00B72323">
        <w:rPr>
          <w:rFonts w:ascii="Times New Roman" w:hAnsi="Times New Roman"/>
          <w:bCs/>
          <w:snapToGrid/>
          <w:lang w:eastAsia="zh-CN"/>
        </w:rPr>
        <w:t xml:space="preserve"> </w:t>
      </w:r>
      <w:r>
        <w:rPr>
          <w:rFonts w:ascii="Times New Roman" w:hAnsi="Times New Roman"/>
          <w:bCs/>
          <w:snapToGrid/>
          <w:lang w:eastAsia="zh-CN"/>
        </w:rPr>
        <w:t xml:space="preserve">fillable </w:t>
      </w:r>
      <w:r w:rsidRPr="00B72323">
        <w:rPr>
          <w:rFonts w:ascii="Times New Roman" w:hAnsi="Times New Roman"/>
          <w:bCs/>
          <w:snapToGrid/>
          <w:lang w:eastAsia="zh-CN"/>
        </w:rPr>
        <w:t xml:space="preserve">PDF on SSA’s website.  Due to the </w:t>
      </w:r>
      <w:r w:rsidR="00B11ADB">
        <w:rPr>
          <w:rFonts w:ascii="Times New Roman" w:hAnsi="Times New Roman"/>
          <w:bCs/>
          <w:snapToGrid/>
          <w:lang w:eastAsia="zh-CN"/>
        </w:rPr>
        <w:t xml:space="preserve">projected </w:t>
      </w:r>
      <w:r w:rsidRPr="00B72323">
        <w:rPr>
          <w:rFonts w:ascii="Times New Roman" w:hAnsi="Times New Roman"/>
          <w:bCs/>
          <w:snapToGrid/>
          <w:lang w:eastAsia="zh-CN"/>
        </w:rPr>
        <w:t xml:space="preserve">low volume of respondents for this form, it is </w:t>
      </w:r>
      <w:r w:rsidR="00B11ADB">
        <w:rPr>
          <w:rFonts w:ascii="Times New Roman" w:hAnsi="Times New Roman"/>
          <w:bCs/>
          <w:snapToGrid/>
          <w:lang w:eastAsia="zh-CN"/>
        </w:rPr>
        <w:t xml:space="preserve">currently </w:t>
      </w:r>
      <w:r w:rsidRPr="00B72323">
        <w:rPr>
          <w:rFonts w:ascii="Times New Roman" w:hAnsi="Times New Roman"/>
          <w:bCs/>
          <w:snapToGrid/>
          <w:lang w:eastAsia="zh-CN"/>
        </w:rPr>
        <w:t xml:space="preserve">not </w:t>
      </w:r>
      <w:r w:rsidR="00787364">
        <w:rPr>
          <w:rFonts w:ascii="Times New Roman" w:hAnsi="Times New Roman"/>
          <w:bCs/>
          <w:snapToGrid/>
          <w:lang w:eastAsia="zh-CN"/>
        </w:rPr>
        <w:t xml:space="preserve">viewed as </w:t>
      </w:r>
      <w:r w:rsidRPr="00B72323">
        <w:rPr>
          <w:rFonts w:ascii="Times New Roman" w:hAnsi="Times New Roman"/>
          <w:bCs/>
          <w:snapToGrid/>
          <w:lang w:eastAsia="zh-CN"/>
        </w:rPr>
        <w:t>a good candidate for electronic implementation</w:t>
      </w:r>
      <w:r>
        <w:rPr>
          <w:rFonts w:ascii="Times New Roman" w:hAnsi="Times New Roman"/>
          <w:bCs/>
          <w:snapToGrid/>
          <w:lang w:eastAsia="zh-CN"/>
        </w:rPr>
        <w:t>.</w:t>
      </w:r>
    </w:p>
    <w:p w:rsidRPr="000D6BFC" w:rsidR="000D6BFC" w:rsidP="009E46ED" w:rsidRDefault="000D6BFC">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8E17CB" w:rsidP="009E46ED" w:rsidRDefault="00FB62D1">
      <w:pPr>
        <w:tabs>
          <w:tab w:val="left" w:pos="1440"/>
        </w:tabs>
        <w:ind w:left="1440"/>
        <w:rPr>
          <w:rFonts w:ascii="Times New Roman" w:hAnsi="Times New Roman"/>
        </w:rPr>
      </w:pPr>
      <w:r w:rsidRPr="00FB62D1">
        <w:rPr>
          <w:rFonts w:ascii="Times New Roman" w:hAnsi="Times New Roman"/>
          <w:bCs/>
          <w:snapToGrid/>
          <w:szCs w:val="20"/>
          <w:lang w:eastAsia="zh-CN"/>
        </w:rPr>
        <w:t>The nature of the information we collect and the manner in which we collect it preclude duplication</w:t>
      </w:r>
      <w:r w:rsidRPr="00B932B7" w:rsidR="00B932B7">
        <w:rPr>
          <w:rFonts w:ascii="Times New Roman" w:hAnsi="Times New Roman"/>
        </w:rPr>
        <w:t>.  SSA does not use another collection instrument to obtain similar data</w:t>
      </w:r>
      <w:r w:rsidR="006011E8">
        <w:rPr>
          <w:rFonts w:ascii="Times New Roman" w:hAnsi="Times New Roman"/>
        </w:rPr>
        <w:t>.</w:t>
      </w:r>
    </w:p>
    <w:p w:rsidRPr="00B932B7" w:rsidR="00B932B7" w:rsidP="009E46ED" w:rsidRDefault="00B932B7">
      <w:pPr>
        <w:tabs>
          <w:tab w:val="left" w:pos="1440"/>
        </w:tabs>
        <w:ind w:left="1440"/>
        <w:rPr>
          <w:rFonts w:ascii="Times New Roman" w:hAnsi="Times New Roman"/>
        </w:rPr>
      </w:pPr>
    </w:p>
    <w:p w:rsidRPr="00077E0E" w:rsidR="00EB26E3" w:rsidP="009E46ED" w:rsidRDefault="00EB26E3">
      <w:pPr>
        <w:numPr>
          <w:ilvl w:val="0"/>
          <w:numId w:val="2"/>
        </w:numPr>
        <w:tabs>
          <w:tab w:val="clear" w:pos="1800"/>
          <w:tab w:val="left" w:pos="1440"/>
        </w:tabs>
        <w:ind w:left="1440" w:hanging="720"/>
        <w:rPr>
          <w:rFonts w:ascii="Times New Roman" w:hAnsi="Times New Roman"/>
        </w:rPr>
      </w:pPr>
      <w:r>
        <w:rPr>
          <w:rFonts w:ascii="Times New Roman" w:hAnsi="Times New Roman"/>
          <w:b/>
        </w:rPr>
        <w:t>Minimizing Burden on Small Respondents</w:t>
      </w:r>
    </w:p>
    <w:p w:rsidR="000D6BFC" w:rsidP="009E46ED" w:rsidRDefault="00B932B7">
      <w:pPr>
        <w:tabs>
          <w:tab w:val="left" w:pos="1440"/>
        </w:tabs>
        <w:ind w:left="1440"/>
        <w:rPr>
          <w:rFonts w:ascii="Times New Roman" w:hAnsi="Times New Roman"/>
        </w:rPr>
      </w:pPr>
      <w:r w:rsidRPr="00B932B7">
        <w:rPr>
          <w:rFonts w:ascii="Times New Roman" w:hAnsi="Times New Roman"/>
        </w:rPr>
        <w:t>This collection does not affect small businesses or other small entities</w:t>
      </w:r>
      <w:r w:rsidR="00FB62D1">
        <w:rPr>
          <w:rFonts w:ascii="Times New Roman" w:hAnsi="Times New Roman"/>
        </w:rPr>
        <w:t>.</w:t>
      </w:r>
    </w:p>
    <w:p w:rsidR="00E87375" w:rsidP="009E46ED" w:rsidRDefault="00E87375">
      <w:pPr>
        <w:tabs>
          <w:tab w:val="left" w:pos="1440"/>
        </w:tabs>
        <w:ind w:left="1440"/>
        <w:rPr>
          <w:rFonts w:ascii="Times New Roman" w:hAnsi="Times New Roman"/>
        </w:rPr>
      </w:pPr>
    </w:p>
    <w:p w:rsidRPr="00B932B7" w:rsidR="00B11ADB" w:rsidP="009E46ED" w:rsidRDefault="00B11ADB">
      <w:pPr>
        <w:tabs>
          <w:tab w:val="left" w:pos="1440"/>
        </w:tabs>
        <w:ind w:left="1440"/>
        <w:rPr>
          <w:rFonts w:ascii="Times New Roman" w:hAnsi="Times New Roman"/>
        </w:rPr>
      </w:pPr>
    </w:p>
    <w:p w:rsidRPr="00EB26E3" w:rsidR="00EB26E3"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lastRenderedPageBreak/>
        <w:t xml:space="preserve">Consequence of Not Collecting Information or Collecting it Less Frequently </w:t>
      </w:r>
    </w:p>
    <w:p w:rsidR="0010403B" w:rsidP="009E46ED" w:rsidRDefault="0010403B">
      <w:pPr>
        <w:tabs>
          <w:tab w:val="left" w:pos="1440"/>
        </w:tabs>
        <w:ind w:left="1440"/>
        <w:rPr>
          <w:rFonts w:ascii="Times New Roman" w:hAnsi="Times New Roman"/>
        </w:rPr>
      </w:pPr>
      <w:r>
        <w:rPr>
          <w:rFonts w:ascii="Times New Roman" w:hAnsi="Times New Roman"/>
        </w:rPr>
        <w:t xml:space="preserve">If </w:t>
      </w:r>
      <w:r w:rsidR="00B11ADB">
        <w:rPr>
          <w:rFonts w:ascii="Times New Roman" w:hAnsi="Times New Roman"/>
        </w:rPr>
        <w:t>we did not use F</w:t>
      </w:r>
      <w:r w:rsidR="00B932B7">
        <w:rPr>
          <w:rFonts w:ascii="Times New Roman" w:hAnsi="Times New Roman"/>
        </w:rPr>
        <w:t>orm SSA-723, we would</w:t>
      </w:r>
      <w:r>
        <w:rPr>
          <w:rFonts w:ascii="Times New Roman" w:hAnsi="Times New Roman"/>
        </w:rPr>
        <w:t xml:space="preserve"> have no means of presuming death for missing and presumed-dead wage earners, which would deprive their survivors of rightful Social Security benefits.  </w:t>
      </w:r>
      <w:r w:rsidR="00B932B7">
        <w:rPr>
          <w:rFonts w:ascii="Times New Roman" w:hAnsi="Times New Roman"/>
        </w:rPr>
        <w:t>Because we</w:t>
      </w:r>
      <w:r>
        <w:rPr>
          <w:rFonts w:ascii="Times New Roman" w:hAnsi="Times New Roman"/>
        </w:rPr>
        <w:t xml:space="preserve"> only collect this information once, we cannot collect it less frequently.</w:t>
      </w:r>
      <w:r w:rsidR="00574379">
        <w:rPr>
          <w:rFonts w:ascii="Times New Roman" w:hAnsi="Times New Roman"/>
        </w:rPr>
        <w:t xml:space="preserve">  </w:t>
      </w:r>
      <w:r>
        <w:rPr>
          <w:rFonts w:ascii="Times New Roman" w:hAnsi="Times New Roman"/>
        </w:rPr>
        <w:t>There are no technical or legal obstacles to burden reduction.</w:t>
      </w:r>
    </w:p>
    <w:p w:rsidR="0010403B" w:rsidP="009E46ED" w:rsidRDefault="0010403B">
      <w:pPr>
        <w:tabs>
          <w:tab w:val="left" w:pos="1440"/>
        </w:tabs>
        <w:ind w:left="1440"/>
        <w:rPr>
          <w:rFonts w:ascii="Times New Roman" w:hAnsi="Times New Roman"/>
        </w:rPr>
      </w:pPr>
    </w:p>
    <w:p w:rsidRPr="00EB26E3" w:rsidR="00EB26E3"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t xml:space="preserve">Special Circumstances </w:t>
      </w:r>
    </w:p>
    <w:p w:rsidRPr="008A248D" w:rsidR="008A248D" w:rsidP="009E46ED" w:rsidRDefault="00F948D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948D5">
        <w:rPr>
          <w:rFonts w:ascii="Times New Roman" w:hAnsi="Times New Roman"/>
          <w:b w:val="0"/>
          <w:bCs w:val="0"/>
          <w:i w:val="0"/>
          <w:iCs w:val="0"/>
          <w:snapToGrid/>
          <w:lang w:eastAsia="zh-CN"/>
        </w:rPr>
        <w:t xml:space="preserve">There are no special circumstances that would cause SSA to conduct this information collection in a manner inconsistent with </w:t>
      </w:r>
      <w:r w:rsidRPr="00F948D5">
        <w:rPr>
          <w:rFonts w:ascii="Times New Roman" w:hAnsi="Times New Roman"/>
          <w:b w:val="0"/>
          <w:bCs w:val="0"/>
          <w:iCs w:val="0"/>
          <w:snapToGrid/>
          <w:lang w:eastAsia="zh-CN"/>
        </w:rPr>
        <w:t>5 CFR 1320.5</w:t>
      </w:r>
      <w:r w:rsidRPr="008A248D" w:rsidR="008A248D">
        <w:rPr>
          <w:rFonts w:ascii="Times New Roman" w:hAnsi="Times New Roman"/>
          <w:b w:val="0"/>
          <w:i w:val="0"/>
        </w:rPr>
        <w:t>.</w:t>
      </w:r>
    </w:p>
    <w:p w:rsidR="0010403B" w:rsidP="009E46ED" w:rsidRDefault="0010403B">
      <w:pPr>
        <w:tabs>
          <w:tab w:val="left" w:pos="1440"/>
        </w:tabs>
        <w:ind w:left="1440"/>
        <w:rPr>
          <w:rFonts w:ascii="Times New Roman" w:hAnsi="Times New Roman"/>
        </w:rPr>
      </w:pPr>
    </w:p>
    <w:p w:rsidR="0010403B"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t>Solicitation of Public Comment and Other Consultations with the Public</w:t>
      </w:r>
    </w:p>
    <w:p w:rsidRPr="004E5231" w:rsidR="00F22B28" w:rsidP="009E46ED" w:rsidRDefault="00BF759F">
      <w:pPr>
        <w:tabs>
          <w:tab w:val="left" w:pos="1350"/>
          <w:tab w:val="left" w:pos="1440"/>
        </w:tabs>
        <w:ind w:left="1440"/>
        <w:rPr>
          <w:rFonts w:ascii="Times New Roman" w:hAnsi="Times New Roman"/>
        </w:rPr>
      </w:pPr>
      <w:r w:rsidRPr="00BF759F">
        <w:rPr>
          <w:rFonts w:ascii="Times New Roman" w:hAnsi="Times New Roman"/>
          <w:snapToGrid/>
          <w:lang w:eastAsia="zh-CN"/>
        </w:rPr>
        <w:t xml:space="preserve">The 60-day advance Federal Register Notice published on </w:t>
      </w:r>
      <w:r w:rsidR="00916CCC">
        <w:rPr>
          <w:rFonts w:ascii="Times New Roman" w:hAnsi="Times New Roman"/>
          <w:snapToGrid/>
          <w:lang w:eastAsia="zh-CN"/>
        </w:rPr>
        <w:t>December</w:t>
      </w:r>
      <w:r w:rsidRPr="00BF759F">
        <w:rPr>
          <w:rFonts w:ascii="Times New Roman" w:hAnsi="Times New Roman"/>
          <w:snapToGrid/>
          <w:lang w:eastAsia="zh-CN"/>
        </w:rPr>
        <w:t xml:space="preserve"> </w:t>
      </w:r>
      <w:r w:rsidR="00916CCC">
        <w:rPr>
          <w:rFonts w:ascii="Times New Roman" w:hAnsi="Times New Roman"/>
          <w:snapToGrid/>
          <w:lang w:eastAsia="zh-CN"/>
        </w:rPr>
        <w:t>3</w:t>
      </w:r>
      <w:r w:rsidRPr="00BF759F">
        <w:rPr>
          <w:rFonts w:ascii="Times New Roman" w:hAnsi="Times New Roman"/>
          <w:snapToGrid/>
          <w:lang w:eastAsia="zh-CN"/>
        </w:rPr>
        <w:t xml:space="preserve">, 2019 at 84 FR </w:t>
      </w:r>
      <w:r w:rsidR="00916CCC">
        <w:rPr>
          <w:rFonts w:ascii="Times New Roman" w:hAnsi="Times New Roman"/>
          <w:snapToGrid/>
          <w:lang w:eastAsia="zh-CN"/>
        </w:rPr>
        <w:t>66262</w:t>
      </w:r>
      <w:r w:rsidRPr="00BF759F">
        <w:rPr>
          <w:rFonts w:ascii="Times New Roman" w:hAnsi="Times New Roman"/>
          <w:snapToGrid/>
          <w:lang w:eastAsia="zh-CN"/>
        </w:rPr>
        <w:t xml:space="preserve">, and we received no public comments.  SSA published the second Notice on </w:t>
      </w:r>
      <w:r w:rsidR="00930DB3">
        <w:rPr>
          <w:rFonts w:ascii="Times New Roman" w:hAnsi="Times New Roman"/>
          <w:snapToGrid/>
          <w:lang w:eastAsia="zh-CN"/>
        </w:rPr>
        <w:t>February 25, 2020</w:t>
      </w:r>
      <w:r w:rsidRPr="00BF759F">
        <w:rPr>
          <w:rFonts w:ascii="Times New Roman" w:hAnsi="Times New Roman"/>
          <w:snapToGrid/>
          <w:lang w:eastAsia="zh-CN"/>
        </w:rPr>
        <w:t xml:space="preserve"> at </w:t>
      </w:r>
      <w:r w:rsidR="00930DB3">
        <w:rPr>
          <w:rFonts w:ascii="Times New Roman" w:hAnsi="Times New Roman"/>
          <w:snapToGrid/>
          <w:lang w:eastAsia="zh-CN"/>
        </w:rPr>
        <w:t>85</w:t>
      </w:r>
      <w:r w:rsidRPr="00BF759F">
        <w:rPr>
          <w:rFonts w:ascii="Times New Roman" w:hAnsi="Times New Roman"/>
          <w:snapToGrid/>
          <w:lang w:eastAsia="zh-CN"/>
        </w:rPr>
        <w:t xml:space="preserve"> FR </w:t>
      </w:r>
      <w:r w:rsidR="00930DB3">
        <w:rPr>
          <w:rFonts w:ascii="Times New Roman" w:hAnsi="Times New Roman"/>
          <w:snapToGrid/>
          <w:lang w:eastAsia="zh-CN"/>
        </w:rPr>
        <w:t>10804</w:t>
      </w:r>
      <w:r w:rsidRPr="00BF759F">
        <w:rPr>
          <w:rFonts w:ascii="Times New Roman" w:hAnsi="Times New Roman"/>
          <w:snapToGrid/>
          <w:lang w:eastAsia="zh-CN"/>
        </w:rPr>
        <w:t>.</w:t>
      </w:r>
      <w:bookmarkStart w:name="_GoBack" w:id="0"/>
      <w:bookmarkEnd w:id="0"/>
      <w:r w:rsidRPr="00BF759F">
        <w:rPr>
          <w:rFonts w:ascii="Times New Roman" w:hAnsi="Times New Roman"/>
          <w:snapToGrid/>
          <w:lang w:eastAsia="zh-CN"/>
        </w:rPr>
        <w:t xml:space="preserve">  If we receive comments in response to the 30-day Notice, we will forward them to OMB</w:t>
      </w:r>
      <w:r w:rsidR="00F22B28">
        <w:rPr>
          <w:rFonts w:ascii="Times New Roman" w:hAnsi="Times New Roman"/>
        </w:rPr>
        <w:t>.</w:t>
      </w:r>
    </w:p>
    <w:p w:rsidR="000479EA" w:rsidP="009E46ED" w:rsidRDefault="000479EA">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b/>
        </w:rPr>
      </w:pPr>
      <w:r w:rsidRPr="00BC7F42">
        <w:rPr>
          <w:rFonts w:ascii="Times New Roman" w:hAnsi="Times New Roman"/>
          <w:b/>
        </w:rPr>
        <w:t>Payment or Gifts to Respondents</w:t>
      </w:r>
    </w:p>
    <w:p w:rsidRPr="008A248D" w:rsidR="008A248D" w:rsidP="009E46ED" w:rsidRDefault="008A248D">
      <w:pPr>
        <w:tabs>
          <w:tab w:val="left" w:pos="1440"/>
        </w:tabs>
        <w:ind w:left="1440"/>
        <w:rPr>
          <w:rFonts w:ascii="Times New Roman" w:hAnsi="Times New Roman"/>
        </w:rPr>
      </w:pPr>
      <w:r w:rsidRPr="008A248D">
        <w:rPr>
          <w:rFonts w:ascii="Times New Roman" w:hAnsi="Times New Roman"/>
        </w:rPr>
        <w:t>SSA does not provide paymen</w:t>
      </w:r>
      <w:r w:rsidR="00A60198">
        <w:rPr>
          <w:rFonts w:ascii="Times New Roman" w:hAnsi="Times New Roman"/>
        </w:rPr>
        <w:t>ts or gifts to the respondents.</w:t>
      </w:r>
    </w:p>
    <w:p w:rsidR="000479EA" w:rsidP="009E46ED" w:rsidRDefault="000479EA">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b/>
        </w:rPr>
      </w:pPr>
      <w:r w:rsidRPr="00BC7F42">
        <w:rPr>
          <w:rFonts w:ascii="Times New Roman" w:hAnsi="Times New Roman"/>
          <w:b/>
        </w:rPr>
        <w:t>Assurances of Confidentiality</w:t>
      </w:r>
    </w:p>
    <w:p w:rsidRPr="008A248D" w:rsidR="008A248D" w:rsidP="009E46ED" w:rsidRDefault="008A248D">
      <w:pPr>
        <w:tabs>
          <w:tab w:val="left" w:pos="1440"/>
        </w:tabs>
        <w:ind w:left="1440"/>
        <w:rPr>
          <w:rFonts w:ascii="Times New Roman" w:hAnsi="Times New Roman"/>
        </w:rPr>
      </w:pPr>
      <w:r w:rsidRPr="008A248D">
        <w:rPr>
          <w:rFonts w:ascii="Times New Roman" w:hAnsi="Times New Roman"/>
        </w:rPr>
        <w:t xml:space="preserve">SSA protects and holds confidential the information it collects in accordance with </w:t>
      </w:r>
      <w:r w:rsidRPr="00A94DB6">
        <w:rPr>
          <w:rFonts w:ascii="Times New Roman" w:hAnsi="Times New Roman"/>
          <w:i/>
        </w:rPr>
        <w:t>42 U.S.C. 1306</w:t>
      </w:r>
      <w:r w:rsidRPr="008A248D">
        <w:rPr>
          <w:rFonts w:ascii="Times New Roman" w:hAnsi="Times New Roman"/>
        </w:rPr>
        <w:t xml:space="preserve">, </w:t>
      </w:r>
      <w:r w:rsidRPr="00A94DB6">
        <w:rPr>
          <w:rFonts w:ascii="Times New Roman" w:hAnsi="Times New Roman"/>
          <w:i/>
        </w:rPr>
        <w:t>20 CFR 401</w:t>
      </w:r>
      <w:r w:rsidRPr="008A248D">
        <w:rPr>
          <w:rFonts w:ascii="Times New Roman" w:hAnsi="Times New Roman"/>
        </w:rPr>
        <w:t xml:space="preserve"> and </w:t>
      </w:r>
      <w:r w:rsidRPr="00A94DB6">
        <w:rPr>
          <w:rFonts w:ascii="Times New Roman" w:hAnsi="Times New Roman"/>
          <w:i/>
        </w:rPr>
        <w:t>402</w:t>
      </w:r>
      <w:r w:rsidRPr="008A248D">
        <w:rPr>
          <w:rFonts w:ascii="Times New Roman" w:hAnsi="Times New Roman"/>
        </w:rPr>
        <w:t xml:space="preserve">, </w:t>
      </w:r>
      <w:r w:rsidRPr="00A94DB6">
        <w:rPr>
          <w:rFonts w:ascii="Times New Roman" w:hAnsi="Times New Roman"/>
          <w:i/>
        </w:rPr>
        <w:t>5 U.S.C. 552</w:t>
      </w:r>
      <w:r w:rsidRPr="008A248D">
        <w:rPr>
          <w:rFonts w:ascii="Times New Roman" w:hAnsi="Times New Roman"/>
        </w:rPr>
        <w:t xml:space="preserve"> (Freedom of Information Act), </w:t>
      </w:r>
      <w:r w:rsidRPr="00A94DB6">
        <w:rPr>
          <w:rFonts w:ascii="Times New Roman" w:hAnsi="Times New Roman"/>
          <w:i/>
        </w:rPr>
        <w:t>5 U.S.C. 552a</w:t>
      </w:r>
      <w:r w:rsidRPr="008A248D">
        <w:rPr>
          <w:rFonts w:ascii="Times New Roman" w:hAnsi="Times New Roman"/>
        </w:rPr>
        <w:t xml:space="preserve"> (Privacy Act of 1974), and OMB Circular No</w:t>
      </w:r>
      <w:r w:rsidRPr="008A248D" w:rsidR="00E470A2">
        <w:rPr>
          <w:rFonts w:ascii="Times New Roman" w:hAnsi="Times New Roman"/>
        </w:rPr>
        <w:t xml:space="preserve">. </w:t>
      </w:r>
      <w:r w:rsidRPr="008A248D">
        <w:rPr>
          <w:rFonts w:ascii="Times New Roman" w:hAnsi="Times New Roman"/>
        </w:rPr>
        <w:t>A-130</w:t>
      </w:r>
      <w:r w:rsidRPr="008A248D">
        <w:rPr>
          <w:rFonts w:ascii="Times New Roman" w:hAnsi="Times New Roman"/>
          <w:color w:val="0000FF"/>
        </w:rPr>
        <w:t>.</w:t>
      </w:r>
    </w:p>
    <w:p w:rsidRPr="008A248D" w:rsidR="00D96647" w:rsidP="009E46ED" w:rsidRDefault="00D96647">
      <w:pPr>
        <w:tabs>
          <w:tab w:val="left" w:pos="1440"/>
        </w:tabs>
        <w:ind w:left="1440"/>
        <w:rPr>
          <w:rFonts w:ascii="Times New Roman" w:hAnsi="Times New Roman"/>
        </w:rPr>
      </w:pPr>
    </w:p>
    <w:p w:rsidRPr="008A248D" w:rsidR="00EB26E3" w:rsidP="009E46ED" w:rsidRDefault="00EB26E3">
      <w:pPr>
        <w:numPr>
          <w:ilvl w:val="0"/>
          <w:numId w:val="2"/>
        </w:numPr>
        <w:tabs>
          <w:tab w:val="clear" w:pos="1800"/>
          <w:tab w:val="left" w:pos="1440"/>
        </w:tabs>
        <w:ind w:left="1440" w:hanging="720"/>
        <w:rPr>
          <w:rFonts w:ascii="Times New Roman" w:hAnsi="Times New Roman"/>
          <w:b/>
        </w:rPr>
      </w:pPr>
      <w:r w:rsidRPr="008A248D">
        <w:rPr>
          <w:rFonts w:ascii="Times New Roman" w:hAnsi="Times New Roman"/>
          <w:b/>
        </w:rPr>
        <w:t>Justification for Sensitive Questions</w:t>
      </w:r>
    </w:p>
    <w:p w:rsidR="00D96647" w:rsidP="009E46ED" w:rsidRDefault="008A248D">
      <w:pPr>
        <w:tabs>
          <w:tab w:val="left" w:pos="1440"/>
        </w:tabs>
        <w:ind w:left="1440"/>
        <w:rPr>
          <w:rFonts w:ascii="Times New Roman" w:hAnsi="Times New Roman"/>
        </w:rPr>
      </w:pPr>
      <w:r w:rsidRPr="00BC7F42">
        <w:rPr>
          <w:rFonts w:ascii="Times New Roman" w:hAnsi="Times New Roman"/>
        </w:rPr>
        <w:t>The information collection does not contain any questions of a sensitive nature</w:t>
      </w:r>
      <w:r w:rsidR="00D96647">
        <w:rPr>
          <w:rFonts w:ascii="Times New Roman" w:hAnsi="Times New Roman"/>
        </w:rPr>
        <w:t>.</w:t>
      </w:r>
    </w:p>
    <w:p w:rsidR="00D96647" w:rsidP="009E46ED" w:rsidRDefault="00D96647">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b/>
        </w:rPr>
      </w:pPr>
      <w:r w:rsidRPr="00BC7F42">
        <w:rPr>
          <w:rFonts w:ascii="Times New Roman" w:hAnsi="Times New Roman"/>
          <w:b/>
        </w:rPr>
        <w:t>Estimates of Public Reporting Burden</w:t>
      </w:r>
      <w:r w:rsidR="0037492F">
        <w:rPr>
          <w:rFonts w:ascii="Times New Roman" w:hAnsi="Times New Roman"/>
          <w:b/>
        </w:rPr>
        <w:br/>
      </w:r>
      <w:r w:rsidRPr="0037492F" w:rsidR="0037492F">
        <w:rPr>
          <w:rFonts w:ascii="Times New Roman" w:hAnsi="Times New Roman"/>
        </w:rPr>
        <w:t>Please see the burden chart below:</w:t>
      </w:r>
    </w:p>
    <w:tbl>
      <w:tblPr>
        <w:tblW w:w="900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7"/>
        <w:gridCol w:w="1415"/>
        <w:gridCol w:w="1219"/>
        <w:gridCol w:w="1116"/>
        <w:gridCol w:w="1179"/>
        <w:gridCol w:w="1292"/>
        <w:gridCol w:w="1402"/>
      </w:tblGrid>
      <w:tr w:rsidRPr="00BA2463" w:rsidR="00BA2463" w:rsidTr="00DA33FA">
        <w:tc>
          <w:tcPr>
            <w:tcW w:w="1377"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Modality of Completion</w:t>
            </w:r>
          </w:p>
        </w:tc>
        <w:tc>
          <w:tcPr>
            <w:tcW w:w="1415"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Number of Respondents</w:t>
            </w:r>
          </w:p>
        </w:tc>
        <w:tc>
          <w:tcPr>
            <w:tcW w:w="1219"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Frequency of Response</w:t>
            </w:r>
          </w:p>
        </w:tc>
        <w:tc>
          <w:tcPr>
            <w:tcW w:w="1116"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Average Burden per Response (minutes)</w:t>
            </w:r>
          </w:p>
        </w:tc>
        <w:tc>
          <w:tcPr>
            <w:tcW w:w="1179"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Estimated Total Annual Burden (hours)</w:t>
            </w:r>
          </w:p>
        </w:tc>
        <w:tc>
          <w:tcPr>
            <w:tcW w:w="1292"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Average Theoretical Hourly Cost Amount (dollars)*</w:t>
            </w:r>
          </w:p>
        </w:tc>
        <w:tc>
          <w:tcPr>
            <w:tcW w:w="1402" w:type="dxa"/>
          </w:tcPr>
          <w:p w:rsidRPr="00BA2463" w:rsidR="00BA2463" w:rsidP="00BA2463" w:rsidRDefault="00BA2463">
            <w:pPr>
              <w:widowControl/>
              <w:spacing w:after="160" w:line="259" w:lineRule="auto"/>
              <w:rPr>
                <w:rFonts w:ascii="Times New Roman" w:hAnsi="Times New Roman" w:eastAsia="Calibri"/>
                <w:b/>
                <w:snapToGrid/>
                <w:sz w:val="22"/>
                <w:szCs w:val="22"/>
              </w:rPr>
            </w:pPr>
            <w:r w:rsidRPr="00BA2463">
              <w:rPr>
                <w:rFonts w:ascii="Times New Roman" w:hAnsi="Times New Roman" w:eastAsia="Calibri"/>
                <w:b/>
                <w:snapToGrid/>
                <w:sz w:val="22"/>
                <w:szCs w:val="22"/>
              </w:rPr>
              <w:t>Total Annual Opportunity Cost (dollars)**</w:t>
            </w:r>
          </w:p>
        </w:tc>
      </w:tr>
      <w:tr w:rsidRPr="00BA2463" w:rsidR="00BA2463" w:rsidTr="00DA33FA">
        <w:tc>
          <w:tcPr>
            <w:tcW w:w="1377" w:type="dxa"/>
          </w:tcPr>
          <w:p w:rsidRPr="00BA2463" w:rsidR="00BA2463" w:rsidP="00F82F55" w:rsidRDefault="00BA2463">
            <w:pPr>
              <w:autoSpaceDE w:val="0"/>
              <w:autoSpaceDN w:val="0"/>
              <w:adjustRightInd w:val="0"/>
              <w:rPr>
                <w:rFonts w:ascii="Times New Roman" w:hAnsi="Times New Roman"/>
              </w:rPr>
            </w:pPr>
            <w:r w:rsidRPr="00BA2463">
              <w:rPr>
                <w:rFonts w:ascii="Times New Roman" w:hAnsi="Times New Roman"/>
              </w:rPr>
              <w:t>SSA-</w:t>
            </w:r>
            <w:r w:rsidR="00F82F55">
              <w:rPr>
                <w:rFonts w:ascii="Times New Roman" w:hAnsi="Times New Roman"/>
              </w:rPr>
              <w:t>723</w:t>
            </w:r>
          </w:p>
        </w:tc>
        <w:tc>
          <w:tcPr>
            <w:tcW w:w="1415" w:type="dxa"/>
          </w:tcPr>
          <w:p w:rsidRPr="00BA2463" w:rsidR="00BA2463" w:rsidP="00BA2463" w:rsidRDefault="00F82F55">
            <w:pPr>
              <w:autoSpaceDE w:val="0"/>
              <w:autoSpaceDN w:val="0"/>
              <w:adjustRightInd w:val="0"/>
              <w:jc w:val="right"/>
              <w:rPr>
                <w:rFonts w:ascii="Times New Roman" w:hAnsi="Times New Roman"/>
              </w:rPr>
            </w:pPr>
            <w:r>
              <w:rPr>
                <w:rFonts w:ascii="Times New Roman" w:hAnsi="Times New Roman"/>
              </w:rPr>
              <w:t>3,000</w:t>
            </w:r>
          </w:p>
        </w:tc>
        <w:tc>
          <w:tcPr>
            <w:tcW w:w="1219" w:type="dxa"/>
          </w:tcPr>
          <w:p w:rsidRPr="00BA2463" w:rsidR="00BA2463" w:rsidP="00BA2463" w:rsidRDefault="00BA2463">
            <w:pPr>
              <w:autoSpaceDE w:val="0"/>
              <w:autoSpaceDN w:val="0"/>
              <w:adjustRightInd w:val="0"/>
              <w:jc w:val="right"/>
              <w:rPr>
                <w:rFonts w:ascii="Times New Roman" w:hAnsi="Times New Roman"/>
              </w:rPr>
            </w:pPr>
            <w:r w:rsidRPr="00BA2463">
              <w:rPr>
                <w:rFonts w:ascii="Times New Roman" w:hAnsi="Times New Roman"/>
              </w:rPr>
              <w:t>1</w:t>
            </w:r>
          </w:p>
        </w:tc>
        <w:tc>
          <w:tcPr>
            <w:tcW w:w="1116" w:type="dxa"/>
          </w:tcPr>
          <w:p w:rsidRPr="00BA2463" w:rsidR="00BA2463" w:rsidP="00BA2463" w:rsidRDefault="00F82F55">
            <w:pPr>
              <w:autoSpaceDE w:val="0"/>
              <w:autoSpaceDN w:val="0"/>
              <w:adjustRightInd w:val="0"/>
              <w:jc w:val="right"/>
              <w:rPr>
                <w:rFonts w:ascii="Times New Roman" w:hAnsi="Times New Roman"/>
              </w:rPr>
            </w:pPr>
            <w:r>
              <w:rPr>
                <w:rFonts w:ascii="Times New Roman" w:hAnsi="Times New Roman"/>
              </w:rPr>
              <w:t>30</w:t>
            </w:r>
          </w:p>
        </w:tc>
        <w:tc>
          <w:tcPr>
            <w:tcW w:w="1179" w:type="dxa"/>
          </w:tcPr>
          <w:p w:rsidRPr="00BA2463" w:rsidR="00BA2463" w:rsidP="00BA2463" w:rsidRDefault="00F82F55">
            <w:pPr>
              <w:autoSpaceDE w:val="0"/>
              <w:autoSpaceDN w:val="0"/>
              <w:adjustRightInd w:val="0"/>
              <w:jc w:val="right"/>
              <w:rPr>
                <w:rFonts w:ascii="Times New Roman" w:hAnsi="Times New Roman"/>
              </w:rPr>
            </w:pPr>
            <w:r>
              <w:rPr>
                <w:rFonts w:ascii="Times New Roman" w:hAnsi="Times New Roman"/>
              </w:rPr>
              <w:t>1,500</w:t>
            </w:r>
          </w:p>
        </w:tc>
        <w:tc>
          <w:tcPr>
            <w:tcW w:w="1292" w:type="dxa"/>
          </w:tcPr>
          <w:p w:rsidRPr="00BA2463" w:rsidR="00BA2463" w:rsidP="00F82F55" w:rsidRDefault="00BA2463">
            <w:pPr>
              <w:widowControl/>
              <w:spacing w:after="160" w:line="259" w:lineRule="auto"/>
              <w:jc w:val="right"/>
              <w:rPr>
                <w:rFonts w:ascii="Times New Roman" w:hAnsi="Times New Roman" w:eastAsia="Calibri"/>
                <w:snapToGrid/>
                <w:sz w:val="22"/>
                <w:szCs w:val="22"/>
              </w:rPr>
            </w:pPr>
            <w:r w:rsidRPr="00BA2463">
              <w:rPr>
                <w:rFonts w:ascii="Times New Roman" w:hAnsi="Times New Roman" w:eastAsia="Calibri"/>
                <w:snapToGrid/>
                <w:sz w:val="22"/>
                <w:szCs w:val="22"/>
              </w:rPr>
              <w:t>$</w:t>
            </w:r>
            <w:r w:rsidR="00F82F55">
              <w:rPr>
                <w:rFonts w:ascii="Times New Roman" w:hAnsi="Times New Roman" w:eastAsia="Calibri"/>
                <w:snapToGrid/>
                <w:sz w:val="22"/>
                <w:szCs w:val="22"/>
              </w:rPr>
              <w:t>22</w:t>
            </w:r>
            <w:r w:rsidRPr="00BA2463">
              <w:rPr>
                <w:rFonts w:ascii="Times New Roman" w:hAnsi="Times New Roman" w:eastAsia="Calibri"/>
                <w:snapToGrid/>
                <w:sz w:val="22"/>
                <w:szCs w:val="22"/>
              </w:rPr>
              <w:t>.</w:t>
            </w:r>
            <w:r w:rsidR="00F82F55">
              <w:rPr>
                <w:rFonts w:ascii="Times New Roman" w:hAnsi="Times New Roman" w:eastAsia="Calibri"/>
                <w:snapToGrid/>
                <w:sz w:val="22"/>
                <w:szCs w:val="22"/>
              </w:rPr>
              <w:t>50</w:t>
            </w:r>
            <w:r w:rsidRPr="00BA2463">
              <w:rPr>
                <w:rFonts w:ascii="Times New Roman" w:hAnsi="Times New Roman" w:eastAsia="Calibri"/>
                <w:snapToGrid/>
                <w:sz w:val="22"/>
                <w:szCs w:val="22"/>
              </w:rPr>
              <w:t>*</w:t>
            </w:r>
          </w:p>
        </w:tc>
        <w:tc>
          <w:tcPr>
            <w:tcW w:w="1402" w:type="dxa"/>
          </w:tcPr>
          <w:p w:rsidRPr="00BA2463" w:rsidR="00BA2463" w:rsidP="00F82F55" w:rsidRDefault="00BA2463">
            <w:pPr>
              <w:widowControl/>
              <w:spacing w:after="160" w:line="259" w:lineRule="auto"/>
              <w:jc w:val="right"/>
              <w:rPr>
                <w:rFonts w:ascii="Times New Roman" w:hAnsi="Times New Roman" w:eastAsia="Calibri"/>
                <w:snapToGrid/>
                <w:sz w:val="22"/>
                <w:szCs w:val="22"/>
              </w:rPr>
            </w:pPr>
            <w:r w:rsidRPr="00BA2463">
              <w:rPr>
                <w:rFonts w:ascii="Times New Roman" w:hAnsi="Times New Roman" w:eastAsia="Calibri"/>
                <w:snapToGrid/>
                <w:sz w:val="22"/>
                <w:szCs w:val="22"/>
              </w:rPr>
              <w:t>$</w:t>
            </w:r>
            <w:r w:rsidR="00F82F55">
              <w:rPr>
                <w:rFonts w:ascii="Times New Roman" w:hAnsi="Times New Roman" w:eastAsia="Calibri"/>
                <w:snapToGrid/>
                <w:sz w:val="22"/>
                <w:szCs w:val="22"/>
              </w:rPr>
              <w:t>33,750</w:t>
            </w:r>
            <w:r w:rsidRPr="00BA2463">
              <w:rPr>
                <w:rFonts w:ascii="Times New Roman" w:hAnsi="Times New Roman" w:eastAsia="Calibri"/>
                <w:snapToGrid/>
                <w:sz w:val="22"/>
                <w:szCs w:val="22"/>
              </w:rPr>
              <w:t>**</w:t>
            </w:r>
          </w:p>
        </w:tc>
      </w:tr>
    </w:tbl>
    <w:p w:rsidRPr="00845CF1" w:rsidR="00845CF1" w:rsidP="00845CF1" w:rsidRDefault="00845CF1">
      <w:pPr>
        <w:tabs>
          <w:tab w:val="left" w:pos="1440"/>
        </w:tabs>
        <w:suppressAutoHyphens/>
        <w:ind w:left="1440"/>
        <w:rPr>
          <w:rFonts w:ascii="Times New Roman" w:hAnsi="Times New Roman"/>
          <w:bCs/>
          <w:lang w:eastAsia="zh-CN"/>
        </w:rPr>
      </w:pPr>
      <w:r w:rsidRPr="00845CF1">
        <w:rPr>
          <w:rFonts w:ascii="Times New Roman" w:hAnsi="Times New Roman"/>
          <w:bCs/>
          <w:lang w:eastAsia="zh-CN"/>
        </w:rPr>
        <w:t xml:space="preserve">* We based this figure on average </w:t>
      </w:r>
      <w:r>
        <w:rPr>
          <w:rFonts w:ascii="Times New Roman" w:hAnsi="Times New Roman"/>
          <w:bCs/>
          <w:lang w:eastAsia="zh-CN"/>
        </w:rPr>
        <w:t>U.S. citizen’s hourly salary</w:t>
      </w:r>
      <w:r w:rsidRPr="00845CF1">
        <w:rPr>
          <w:rFonts w:ascii="Times New Roman" w:hAnsi="Times New Roman"/>
          <w:bCs/>
          <w:lang w:eastAsia="zh-CN"/>
        </w:rPr>
        <w:t xml:space="preserve">, as </w:t>
      </w:r>
      <w:r>
        <w:rPr>
          <w:rFonts w:ascii="Times New Roman" w:hAnsi="Times New Roman"/>
          <w:bCs/>
          <w:lang w:eastAsia="zh-CN"/>
        </w:rPr>
        <w:t>reported by Bureau of Labor Statistics data</w:t>
      </w:r>
      <w:r w:rsidRPr="00845CF1">
        <w:rPr>
          <w:rFonts w:ascii="Times New Roman" w:hAnsi="Times New Roman"/>
          <w:bCs/>
          <w:lang w:eastAsia="zh-CN"/>
        </w:rPr>
        <w:t>.</w:t>
      </w:r>
    </w:p>
    <w:p w:rsidRPr="00845CF1" w:rsidR="00845CF1" w:rsidP="00845CF1" w:rsidRDefault="00845CF1">
      <w:pPr>
        <w:tabs>
          <w:tab w:val="left" w:pos="90"/>
        </w:tabs>
        <w:suppressAutoHyphens/>
        <w:ind w:left="1440"/>
        <w:rPr>
          <w:rFonts w:ascii="Times New Roman" w:hAnsi="Times New Roman"/>
          <w:bCs/>
          <w:lang w:eastAsia="zh-CN"/>
        </w:rPr>
      </w:pPr>
    </w:p>
    <w:p w:rsidRPr="00845CF1" w:rsidR="00845CF1" w:rsidP="00845CF1" w:rsidRDefault="00845CF1">
      <w:pPr>
        <w:tabs>
          <w:tab w:val="left" w:pos="90"/>
        </w:tabs>
        <w:suppressAutoHyphens/>
        <w:ind w:left="1440"/>
        <w:rPr>
          <w:rFonts w:ascii="Times New Roman" w:hAnsi="Times New Roman"/>
          <w:bCs/>
          <w:lang w:eastAsia="zh-CN"/>
        </w:rPr>
      </w:pPr>
      <w:r w:rsidRPr="00845CF1">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845CF1">
        <w:rPr>
          <w:rFonts w:ascii="Times New Roman" w:hAnsi="Times New Roman"/>
          <w:b/>
          <w:bCs/>
          <w:lang w:eastAsia="zh-CN"/>
        </w:rPr>
        <w:t xml:space="preserve">  </w:t>
      </w:r>
      <w:r w:rsidRPr="00845CF1">
        <w:rPr>
          <w:rFonts w:ascii="Times New Roman" w:hAnsi="Times New Roman"/>
          <w:b/>
          <w:bCs/>
          <w:u w:val="single"/>
          <w:lang w:eastAsia="zh-CN"/>
        </w:rPr>
        <w:t>There is no actual charge to respondents to complete the application</w:t>
      </w:r>
      <w:r w:rsidRPr="00845CF1">
        <w:rPr>
          <w:rFonts w:ascii="Times New Roman" w:hAnsi="Times New Roman"/>
          <w:bCs/>
          <w:lang w:eastAsia="zh-CN"/>
        </w:rPr>
        <w:t>.</w:t>
      </w:r>
    </w:p>
    <w:p w:rsidRPr="00845CF1" w:rsidR="00845CF1" w:rsidP="00845CF1" w:rsidRDefault="00845CF1">
      <w:pPr>
        <w:tabs>
          <w:tab w:val="left" w:pos="90"/>
        </w:tabs>
        <w:suppressAutoHyphens/>
        <w:ind w:left="1440"/>
        <w:rPr>
          <w:rFonts w:ascii="Times New Roman" w:hAnsi="Times New Roman"/>
          <w:bCs/>
          <w:lang w:eastAsia="zh-CN"/>
        </w:rPr>
      </w:pPr>
    </w:p>
    <w:p w:rsidRPr="008A248D" w:rsidR="008A248D" w:rsidP="00845CF1" w:rsidRDefault="00845CF1">
      <w:pPr>
        <w:pStyle w:val="ListParagraph"/>
        <w:tabs>
          <w:tab w:val="left" w:pos="1440"/>
        </w:tabs>
        <w:ind w:left="1440"/>
        <w:rPr>
          <w:rFonts w:ascii="Times New Roman" w:hAnsi="Times New Roman"/>
        </w:rPr>
      </w:pPr>
      <w:r w:rsidRPr="00845CF1">
        <w:rPr>
          <w:rFonts w:ascii="Times New Roman" w:hAnsi="Times New Roman"/>
          <w:bCs/>
          <w:lang w:eastAsia="zh-CN"/>
        </w:rPr>
        <w:t xml:space="preserve">The total burden for this ICR is </w:t>
      </w:r>
      <w:r>
        <w:rPr>
          <w:rFonts w:ascii="Times New Roman" w:hAnsi="Times New Roman"/>
          <w:b/>
          <w:bCs/>
          <w:lang w:eastAsia="zh-CN"/>
        </w:rPr>
        <w:t>1,500</w:t>
      </w:r>
      <w:r w:rsidRPr="00845CF1">
        <w:rPr>
          <w:rFonts w:ascii="Times New Roman" w:hAnsi="Times New Roman"/>
          <w:bCs/>
          <w:lang w:eastAsia="zh-CN"/>
        </w:rPr>
        <w:t xml:space="preserve"> burden hours (reflecting SSA management information data), which results in an associated theoretical (not actual) opportunity cost financial burden of $</w:t>
      </w:r>
      <w:r>
        <w:rPr>
          <w:rFonts w:ascii="Times New Roman" w:hAnsi="Times New Roman"/>
          <w:b/>
          <w:bCs/>
          <w:lang w:eastAsia="zh-CN"/>
        </w:rPr>
        <w:t>33,750</w:t>
      </w:r>
      <w:r w:rsidRPr="00845CF1">
        <w:rPr>
          <w:rFonts w:ascii="Times New Roman" w:hAnsi="Times New Roman"/>
          <w:bCs/>
          <w:lang w:eastAsia="zh-CN"/>
        </w:rPr>
        <w:t>.  SSA does not charge respondents to complete our applications</w:t>
      </w:r>
      <w:r w:rsidRPr="008A248D" w:rsidR="008A248D">
        <w:rPr>
          <w:rFonts w:ascii="Times New Roman" w:hAnsi="Times New Roman"/>
        </w:rPr>
        <w:t>.</w:t>
      </w:r>
    </w:p>
    <w:p w:rsidRPr="008A248D" w:rsidR="009E46ED" w:rsidP="009E46ED" w:rsidRDefault="009E46ED">
      <w:pPr>
        <w:tabs>
          <w:tab w:val="left" w:pos="1440"/>
        </w:tabs>
        <w:ind w:left="1440"/>
        <w:rPr>
          <w:rFonts w:ascii="Times New Roman" w:hAnsi="Times New Roman"/>
        </w:rPr>
      </w:pPr>
    </w:p>
    <w:p w:rsidRPr="00BC7F42" w:rsidR="00EB26E3"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285082" w:rsidR="00285082" w:rsidP="009E46ED" w:rsidRDefault="00285082">
      <w:pPr>
        <w:tabs>
          <w:tab w:val="left" w:pos="1440"/>
        </w:tabs>
        <w:ind w:left="1440"/>
        <w:rPr>
          <w:rFonts w:ascii="Times New Roman" w:hAnsi="Times New Roman"/>
        </w:rPr>
      </w:pPr>
      <w:r w:rsidRPr="00285082">
        <w:rPr>
          <w:rFonts w:ascii="Times New Roman" w:hAnsi="Times New Roman"/>
        </w:rPr>
        <w:t xml:space="preserve">This collection does not impose a known cost burden on the respondents.   </w:t>
      </w:r>
    </w:p>
    <w:p w:rsidRPr="00BC7F42" w:rsidR="00285082" w:rsidP="009E46ED" w:rsidRDefault="00285082">
      <w:pPr>
        <w:tabs>
          <w:tab w:val="left" w:pos="1440"/>
        </w:tabs>
        <w:ind w:left="1440"/>
        <w:rPr>
          <w:rFonts w:ascii="Times New Roman" w:hAnsi="Times New Roman"/>
        </w:rPr>
      </w:pPr>
    </w:p>
    <w:p w:rsidRPr="00121032" w:rsidR="00EB26E3" w:rsidP="009E46ED" w:rsidRDefault="00EB26E3">
      <w:pPr>
        <w:numPr>
          <w:ilvl w:val="0"/>
          <w:numId w:val="2"/>
        </w:numPr>
        <w:tabs>
          <w:tab w:val="clear" w:pos="1800"/>
          <w:tab w:val="left" w:pos="720"/>
          <w:tab w:val="left" w:pos="1440"/>
        </w:tabs>
        <w:ind w:left="1440" w:hanging="720"/>
        <w:rPr>
          <w:rFonts w:ascii="Times New Roman" w:hAnsi="Times New Roman"/>
        </w:rPr>
      </w:pPr>
      <w:r w:rsidRPr="00BC7F42">
        <w:rPr>
          <w:rFonts w:ascii="Times New Roman" w:hAnsi="Times New Roman"/>
          <w:b/>
        </w:rPr>
        <w:t>Annual Cost To Federal Government</w:t>
      </w:r>
    </w:p>
    <w:p w:rsidRPr="00285082" w:rsidR="00D96647" w:rsidP="009E46ED" w:rsidRDefault="009B7205">
      <w:pPr>
        <w:tabs>
          <w:tab w:val="left" w:pos="1440"/>
        </w:tabs>
        <w:ind w:left="1440"/>
        <w:rPr>
          <w:rFonts w:ascii="Times New Roman" w:hAnsi="Times New Roman"/>
        </w:rPr>
      </w:pPr>
      <w:r w:rsidRPr="009B7205">
        <w:rPr>
          <w:rFonts w:ascii="Times New Roman" w:hAnsi="Times New Roman"/>
          <w:bCs/>
          <w:snapToGrid/>
          <w:szCs w:val="20"/>
          <w:lang w:eastAsia="zh-CN"/>
        </w:rPr>
        <w:t>The annual cost to the Federal Government is approximately</w:t>
      </w:r>
      <w:r w:rsidRPr="00285082" w:rsidR="00285082">
        <w:rPr>
          <w:rFonts w:ascii="Times New Roman" w:hAnsi="Times New Roman"/>
        </w:rPr>
        <w:t xml:space="preserve"> $5,000.  </w:t>
      </w:r>
      <w:r w:rsidRPr="009B7205">
        <w:rPr>
          <w:rFonts w:ascii="Times New Roman" w:hAnsi="Times New Roman"/>
          <w:bCs/>
          <w:snapToGrid/>
          <w:szCs w:val="20"/>
          <w:lang w:eastAsia="zh-CN"/>
        </w:rPr>
        <w:t>This estimate accounts for costs from the following areas:  (1) designing, printing, and distributing the form; and (2) SSA employee (e.g., field office, 800 number, DDS staff) information collection and processing time</w:t>
      </w:r>
      <w:r w:rsidRPr="00285082" w:rsidR="00285082">
        <w:rPr>
          <w:rFonts w:ascii="Times New Roman" w:hAnsi="Times New Roman"/>
        </w:rPr>
        <w:t>.</w:t>
      </w:r>
    </w:p>
    <w:p w:rsidR="00D96647" w:rsidP="009E46ED" w:rsidRDefault="00D96647">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rPr>
        <w:t xml:space="preserve"> </w:t>
      </w:r>
    </w:p>
    <w:p w:rsidR="00285082" w:rsidP="009E46ED" w:rsidRDefault="0061226E">
      <w:pPr>
        <w:tabs>
          <w:tab w:val="left" w:pos="1440"/>
        </w:tabs>
        <w:ind w:left="1440"/>
        <w:rPr>
          <w:rFonts w:ascii="Times New Roman" w:hAnsi="Times New Roman"/>
        </w:rPr>
      </w:pPr>
      <w:r>
        <w:rPr>
          <w:rFonts w:ascii="Times New Roman" w:hAnsi="Times New Roman"/>
        </w:rPr>
        <w:t>This is a new form</w:t>
      </w:r>
      <w:r w:rsidR="00B11ADB">
        <w:rPr>
          <w:rFonts w:ascii="Times New Roman" w:hAnsi="Times New Roman"/>
        </w:rPr>
        <w:t xml:space="preserve"> that increases the public reporting burden</w:t>
      </w:r>
      <w:r>
        <w:rPr>
          <w:rFonts w:ascii="Times New Roman" w:hAnsi="Times New Roman"/>
        </w:rPr>
        <w:t>.</w:t>
      </w:r>
      <w:r w:rsidR="002340D3">
        <w:rPr>
          <w:rFonts w:ascii="Times New Roman" w:hAnsi="Times New Roman"/>
        </w:rPr>
        <w:t xml:space="preserve"> </w:t>
      </w:r>
      <w:r>
        <w:rPr>
          <w:rFonts w:ascii="Times New Roman" w:hAnsi="Times New Roman"/>
        </w:rPr>
        <w:t xml:space="preserve"> </w:t>
      </w:r>
      <w:r w:rsidR="002340D3">
        <w:rPr>
          <w:rFonts w:ascii="Times New Roman" w:hAnsi="Times New Roman"/>
        </w:rPr>
        <w:t>See #12 above for burden figures</w:t>
      </w:r>
      <w:r w:rsidRPr="00285082" w:rsidR="00285082">
        <w:rPr>
          <w:rFonts w:ascii="Times New Roman" w:hAnsi="Times New Roman"/>
        </w:rPr>
        <w:t>.</w:t>
      </w:r>
    </w:p>
    <w:p w:rsidR="00A60198" w:rsidP="009E46ED" w:rsidRDefault="00A60198">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rPr>
        <w:t xml:space="preserve"> </w:t>
      </w:r>
    </w:p>
    <w:p w:rsidR="00686AB9" w:rsidP="009E46ED" w:rsidRDefault="00686AB9">
      <w:pPr>
        <w:tabs>
          <w:tab w:val="left" w:pos="1440"/>
        </w:tabs>
        <w:ind w:left="1440"/>
        <w:rPr>
          <w:rFonts w:ascii="Times New Roman" w:hAnsi="Times New Roman"/>
        </w:rPr>
      </w:pPr>
      <w:r>
        <w:rPr>
          <w:rFonts w:ascii="Times New Roman" w:hAnsi="Times New Roman"/>
        </w:rPr>
        <w:t>SSA will not publish the results of the information collection.</w:t>
      </w:r>
    </w:p>
    <w:p w:rsidR="00686AB9" w:rsidP="009E46ED" w:rsidRDefault="00686AB9">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rPr>
      </w:pPr>
      <w:r>
        <w:rPr>
          <w:rFonts w:ascii="Times New Roman" w:hAnsi="Times New Roman"/>
          <w:b/>
        </w:rPr>
        <w:t>Displaying the OMB Approval Expiration Date</w:t>
      </w:r>
    </w:p>
    <w:p w:rsidRPr="00285082" w:rsidR="00285082" w:rsidP="009E46ED" w:rsidRDefault="00285082">
      <w:pPr>
        <w:pStyle w:val="NoSpacing"/>
        <w:tabs>
          <w:tab w:val="left" w:pos="1440"/>
        </w:tabs>
        <w:ind w:left="1440"/>
        <w:rPr>
          <w:bCs/>
          <w:iCs/>
        </w:rPr>
      </w:pPr>
      <w:r w:rsidRPr="00285082">
        <w:rPr>
          <w:bCs/>
          <w:iCs/>
        </w:rPr>
        <w:t>OMB granted SSA an exemption from the requirement to print the OMB expiration date on its program forms</w:t>
      </w:r>
      <w:r w:rsidRPr="00285082" w:rsidR="00A76635">
        <w:rPr>
          <w:bCs/>
          <w:iCs/>
        </w:rPr>
        <w:t xml:space="preserve">.  </w:t>
      </w:r>
      <w:r w:rsidRPr="00285082">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285082" w:rsidR="00686AB9" w:rsidP="009E46ED" w:rsidRDefault="00686AB9">
      <w:pPr>
        <w:tabs>
          <w:tab w:val="left" w:pos="1440"/>
        </w:tabs>
        <w:ind w:left="1440"/>
        <w:rPr>
          <w:rFonts w:ascii="Times New Roman" w:hAnsi="Times New Roman"/>
        </w:rPr>
      </w:pPr>
    </w:p>
    <w:p w:rsidR="00EB26E3" w:rsidP="009E46ED" w:rsidRDefault="00EB26E3">
      <w:pPr>
        <w:numPr>
          <w:ilvl w:val="0"/>
          <w:numId w:val="2"/>
        </w:numPr>
        <w:tabs>
          <w:tab w:val="clear" w:pos="1800"/>
          <w:tab w:val="left" w:pos="1440"/>
        </w:tabs>
        <w:ind w:left="1440" w:hanging="720"/>
        <w:rPr>
          <w:rFonts w:ascii="Times New Roman" w:hAnsi="Times New Roman"/>
          <w:b/>
        </w:rPr>
      </w:pPr>
      <w:r w:rsidRPr="00BC7F42">
        <w:rPr>
          <w:rFonts w:ascii="Times New Roman" w:hAnsi="Times New Roman"/>
          <w:b/>
        </w:rPr>
        <w:t>Exceptions to Certification Statement</w:t>
      </w:r>
    </w:p>
    <w:p w:rsidRPr="00285082" w:rsidR="00285082" w:rsidP="009E46ED" w:rsidRDefault="002340D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2340D3">
        <w:rPr>
          <w:rFonts w:ascii="Times New Roman" w:hAnsi="Times New Roman"/>
          <w:b w:val="0"/>
          <w:bCs w:val="0"/>
          <w:i w:val="0"/>
          <w:iCs w:val="0"/>
          <w:snapToGrid/>
          <w:szCs w:val="20"/>
          <w:lang w:eastAsia="zh-CN"/>
        </w:rPr>
        <w:t xml:space="preserve">SSA is not requesting an exception to the certification requirements at </w:t>
      </w:r>
      <w:r w:rsidRPr="002340D3">
        <w:rPr>
          <w:rFonts w:ascii="Times New Roman" w:hAnsi="Times New Roman"/>
          <w:b w:val="0"/>
          <w:bCs w:val="0"/>
          <w:iCs w:val="0"/>
          <w:snapToGrid/>
          <w:szCs w:val="20"/>
          <w:lang w:eastAsia="zh-CN"/>
        </w:rPr>
        <w:t>5 CFR 1320.9</w:t>
      </w:r>
      <w:r w:rsidRPr="002340D3">
        <w:rPr>
          <w:rFonts w:ascii="Times New Roman" w:hAnsi="Times New Roman"/>
          <w:b w:val="0"/>
          <w:bCs w:val="0"/>
          <w:i w:val="0"/>
          <w:iCs w:val="0"/>
          <w:snapToGrid/>
          <w:szCs w:val="20"/>
          <w:lang w:eastAsia="zh-CN"/>
        </w:rPr>
        <w:t xml:space="preserve"> and related provisions at </w:t>
      </w:r>
      <w:r w:rsidRPr="002340D3">
        <w:rPr>
          <w:rFonts w:ascii="Times New Roman" w:hAnsi="Times New Roman"/>
          <w:b w:val="0"/>
          <w:bCs w:val="0"/>
          <w:iCs w:val="0"/>
          <w:snapToGrid/>
          <w:szCs w:val="20"/>
          <w:lang w:eastAsia="zh-CN"/>
        </w:rPr>
        <w:t>5 CFR 1320.8(b)(3</w:t>
      </w:r>
      <w:r w:rsidRPr="002340D3">
        <w:rPr>
          <w:rFonts w:ascii="Times New Roman" w:hAnsi="Times New Roman"/>
          <w:b w:val="0"/>
          <w:bCs w:val="0"/>
          <w:i w:val="0"/>
          <w:iCs w:val="0"/>
          <w:snapToGrid/>
          <w:szCs w:val="20"/>
          <w:lang w:eastAsia="zh-CN"/>
        </w:rPr>
        <w:t>)</w:t>
      </w:r>
      <w:r w:rsidRPr="00285082" w:rsidR="00285082">
        <w:rPr>
          <w:rFonts w:ascii="Times New Roman" w:hAnsi="Times New Roman"/>
          <w:b w:val="0"/>
          <w:i w:val="0"/>
        </w:rPr>
        <w:t xml:space="preserve">. </w:t>
      </w:r>
    </w:p>
    <w:p w:rsidR="0010403B" w:rsidP="009E46ED" w:rsidRDefault="0010403B">
      <w:pPr>
        <w:tabs>
          <w:tab w:val="left" w:pos="1440"/>
        </w:tabs>
        <w:ind w:left="1440"/>
        <w:rPr>
          <w:rFonts w:ascii="Times New Roman" w:hAnsi="Times New Roman"/>
        </w:rPr>
      </w:pPr>
    </w:p>
    <w:p w:rsidRPr="00686AB9" w:rsidR="007D7C13" w:rsidP="009E46ED" w:rsidRDefault="007D7C13">
      <w:pPr>
        <w:ind w:left="720" w:hanging="540"/>
        <w:rPr>
          <w:rFonts w:ascii="Times New Roman" w:hAnsi="Times New Roman"/>
          <w:b/>
        </w:rPr>
      </w:pPr>
      <w:r w:rsidRPr="00686AB9">
        <w:rPr>
          <w:rFonts w:ascii="Times New Roman" w:hAnsi="Times New Roman"/>
          <w:b/>
        </w:rPr>
        <w:t>B.</w:t>
      </w:r>
      <w:r w:rsidRPr="00686AB9">
        <w:rPr>
          <w:rFonts w:ascii="Times New Roman" w:hAnsi="Times New Roman"/>
          <w:b/>
        </w:rPr>
        <w:tab/>
      </w:r>
      <w:r w:rsidRPr="00686AB9">
        <w:rPr>
          <w:rFonts w:ascii="Times New Roman" w:hAnsi="Times New Roman"/>
          <w:b/>
          <w:u w:val="single"/>
        </w:rPr>
        <w:t>Collections of Information Employing Statistical Methods</w:t>
      </w:r>
    </w:p>
    <w:p w:rsidR="007D7C13" w:rsidP="00015C29" w:rsidRDefault="007D7C13">
      <w:pPr>
        <w:ind w:left="1440" w:hanging="720"/>
        <w:rPr>
          <w:rFonts w:ascii="Times New Roman" w:hAnsi="Times New Roman"/>
          <w:i/>
        </w:rPr>
      </w:pPr>
    </w:p>
    <w:p w:rsidRPr="003F71F2" w:rsidR="00285082" w:rsidP="009E46ED" w:rsidRDefault="0028508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F71F2">
        <w:rPr>
          <w:rFonts w:ascii="Times New Roman" w:hAnsi="Times New Roman"/>
          <w:b w:val="0"/>
          <w:i w:val="0"/>
        </w:rPr>
        <w:t xml:space="preserve">SSA does not use statistical methods for this information collection. </w:t>
      </w:r>
    </w:p>
    <w:p w:rsidRPr="003F71F2" w:rsidR="00015C29" w:rsidP="00285082" w:rsidRDefault="00015C29">
      <w:pPr>
        <w:ind w:left="1800"/>
        <w:rPr>
          <w:rFonts w:ascii="Times New Roman" w:hAnsi="Times New Roman"/>
        </w:rPr>
      </w:pPr>
    </w:p>
    <w:sectPr w:rsidRPr="003F71F2" w:rsidR="00015C29" w:rsidSect="00C21D41">
      <w:footerReference w:type="even" r:id="rId7"/>
      <w:footerReference w:type="default" r:id="rId8"/>
      <w:endnotePr>
        <w:numFmt w:val="decimal"/>
      </w:endnotePr>
      <w:pgSz w:w="12240" w:h="15840" w:code="1"/>
      <w:pgMar w:top="1440" w:right="1440" w:bottom="1440" w:left="1440" w:header="259"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00" w:rsidRDefault="00296B00">
      <w:r>
        <w:separator/>
      </w:r>
    </w:p>
  </w:endnote>
  <w:endnote w:type="continuationSeparator" w:id="0">
    <w:p w:rsidR="00296B00" w:rsidRDefault="0029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10cp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71B" w:rsidRDefault="00F46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71B" w:rsidRDefault="00F46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71B" w:rsidRPr="0025744E" w:rsidRDefault="00F4671B" w:rsidP="0025744E">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00" w:rsidRDefault="00296B00"/>
  </w:footnote>
  <w:footnote w:type="continuationSeparator" w:id="0">
    <w:p w:rsidR="00296B00" w:rsidRDefault="0029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DCE02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00000002"/>
    <w:name w:val="WW8Num12"/>
    <w:lvl w:ilvl="0">
      <w:start w:val="1"/>
      <w:numFmt w:val="decimal"/>
      <w:lvlText w:val="%1."/>
      <w:lvlJc w:val="left"/>
      <w:pPr>
        <w:ind w:left="1440" w:hanging="360"/>
      </w:pPr>
      <w:rPr>
        <w:rFonts w:ascii="Times New Roman" w:hAnsi="Times New Roman" w:cs="Times New Roman"/>
        <w:b/>
        <w:sz w:val="24"/>
        <w:szCs w:val="24"/>
      </w:rPr>
    </w:lvl>
  </w:abstractNum>
  <w:abstractNum w:abstractNumId="2"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841C7D"/>
    <w:multiLevelType w:val="hybridMultilevel"/>
    <w:tmpl w:val="D104FE8E"/>
    <w:lvl w:ilvl="0" w:tplc="5728FCA8">
      <w:start w:val="1"/>
      <w:numFmt w:val="decimal"/>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CF92FA7"/>
    <w:multiLevelType w:val="hybridMultilevel"/>
    <w:tmpl w:val="AFD4EC20"/>
    <w:lvl w:ilvl="0" w:tplc="C4CC6E5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0"/>
  </w:num>
  <w:num w:numId="2">
    <w:abstractNumId w:val="3"/>
  </w:num>
  <w:num w:numId="3">
    <w:abstractNumId w:val="4"/>
  </w:num>
  <w:num w:numId="4">
    <w:abstractNumId w:val="6"/>
  </w:num>
  <w:num w:numId="5">
    <w:abstractNumId w:val="8"/>
  </w:num>
  <w:num w:numId="6">
    <w:abstractNumId w:val="5"/>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4F"/>
    <w:rsid w:val="00003D84"/>
    <w:rsid w:val="00015C29"/>
    <w:rsid w:val="00046456"/>
    <w:rsid w:val="000479EA"/>
    <w:rsid w:val="00052C23"/>
    <w:rsid w:val="00061B4C"/>
    <w:rsid w:val="00067BF7"/>
    <w:rsid w:val="00077164"/>
    <w:rsid w:val="00084A92"/>
    <w:rsid w:val="0009654F"/>
    <w:rsid w:val="000D6BFC"/>
    <w:rsid w:val="000E410C"/>
    <w:rsid w:val="0010403B"/>
    <w:rsid w:val="00130A23"/>
    <w:rsid w:val="00174072"/>
    <w:rsid w:val="001763A3"/>
    <w:rsid w:val="00176896"/>
    <w:rsid w:val="001B240E"/>
    <w:rsid w:val="001D75B3"/>
    <w:rsid w:val="001F2736"/>
    <w:rsid w:val="001F2A93"/>
    <w:rsid w:val="00222E6B"/>
    <w:rsid w:val="002340D3"/>
    <w:rsid w:val="0025744E"/>
    <w:rsid w:val="00276CD1"/>
    <w:rsid w:val="002800BE"/>
    <w:rsid w:val="00285082"/>
    <w:rsid w:val="00286587"/>
    <w:rsid w:val="00294BE3"/>
    <w:rsid w:val="00296B00"/>
    <w:rsid w:val="0030197B"/>
    <w:rsid w:val="00307F9C"/>
    <w:rsid w:val="003344D7"/>
    <w:rsid w:val="00356ACF"/>
    <w:rsid w:val="0037492F"/>
    <w:rsid w:val="003A3872"/>
    <w:rsid w:val="003E52ED"/>
    <w:rsid w:val="003F71F2"/>
    <w:rsid w:val="004021AE"/>
    <w:rsid w:val="004027BD"/>
    <w:rsid w:val="00413D4B"/>
    <w:rsid w:val="00416247"/>
    <w:rsid w:val="00424C31"/>
    <w:rsid w:val="004251B4"/>
    <w:rsid w:val="00427CA2"/>
    <w:rsid w:val="00450E36"/>
    <w:rsid w:val="00473477"/>
    <w:rsid w:val="004A66F9"/>
    <w:rsid w:val="004F5A63"/>
    <w:rsid w:val="004F5E5F"/>
    <w:rsid w:val="00502459"/>
    <w:rsid w:val="005027F6"/>
    <w:rsid w:val="00563C07"/>
    <w:rsid w:val="00574379"/>
    <w:rsid w:val="005A5D90"/>
    <w:rsid w:val="005E37CF"/>
    <w:rsid w:val="005E3F76"/>
    <w:rsid w:val="005F3207"/>
    <w:rsid w:val="006011E8"/>
    <w:rsid w:val="0061226E"/>
    <w:rsid w:val="00675F1E"/>
    <w:rsid w:val="00686664"/>
    <w:rsid w:val="00686AB9"/>
    <w:rsid w:val="006933AA"/>
    <w:rsid w:val="00697A93"/>
    <w:rsid w:val="006F7623"/>
    <w:rsid w:val="00716CEA"/>
    <w:rsid w:val="007318FD"/>
    <w:rsid w:val="00753711"/>
    <w:rsid w:val="00775DF2"/>
    <w:rsid w:val="00787364"/>
    <w:rsid w:val="00794B7C"/>
    <w:rsid w:val="007D6511"/>
    <w:rsid w:val="007D7C13"/>
    <w:rsid w:val="00812BBC"/>
    <w:rsid w:val="00845CF1"/>
    <w:rsid w:val="008661F8"/>
    <w:rsid w:val="00870DA6"/>
    <w:rsid w:val="008A248D"/>
    <w:rsid w:val="008A712D"/>
    <w:rsid w:val="008B504E"/>
    <w:rsid w:val="008E17CB"/>
    <w:rsid w:val="00916CCC"/>
    <w:rsid w:val="00926A6B"/>
    <w:rsid w:val="00930DB3"/>
    <w:rsid w:val="00936D52"/>
    <w:rsid w:val="009B4714"/>
    <w:rsid w:val="009B7205"/>
    <w:rsid w:val="009D7657"/>
    <w:rsid w:val="009E1DCB"/>
    <w:rsid w:val="009E46ED"/>
    <w:rsid w:val="00A14F76"/>
    <w:rsid w:val="00A401BA"/>
    <w:rsid w:val="00A46770"/>
    <w:rsid w:val="00A47572"/>
    <w:rsid w:val="00A60198"/>
    <w:rsid w:val="00A617C2"/>
    <w:rsid w:val="00A76635"/>
    <w:rsid w:val="00A94DB6"/>
    <w:rsid w:val="00AE651B"/>
    <w:rsid w:val="00B11ADB"/>
    <w:rsid w:val="00B31767"/>
    <w:rsid w:val="00B72323"/>
    <w:rsid w:val="00B932B7"/>
    <w:rsid w:val="00B971FA"/>
    <w:rsid w:val="00BA2463"/>
    <w:rsid w:val="00BB23CE"/>
    <w:rsid w:val="00BB6A00"/>
    <w:rsid w:val="00BF71C6"/>
    <w:rsid w:val="00BF759F"/>
    <w:rsid w:val="00C109D1"/>
    <w:rsid w:val="00C21D41"/>
    <w:rsid w:val="00C9726C"/>
    <w:rsid w:val="00CB79C9"/>
    <w:rsid w:val="00CE69C2"/>
    <w:rsid w:val="00CF329A"/>
    <w:rsid w:val="00D038E3"/>
    <w:rsid w:val="00D252FA"/>
    <w:rsid w:val="00D368E7"/>
    <w:rsid w:val="00D876F4"/>
    <w:rsid w:val="00D92D5E"/>
    <w:rsid w:val="00D96647"/>
    <w:rsid w:val="00D966BE"/>
    <w:rsid w:val="00D96B0B"/>
    <w:rsid w:val="00DF28CD"/>
    <w:rsid w:val="00DF2AF3"/>
    <w:rsid w:val="00DF4B6A"/>
    <w:rsid w:val="00DF6099"/>
    <w:rsid w:val="00E10812"/>
    <w:rsid w:val="00E239D8"/>
    <w:rsid w:val="00E470A2"/>
    <w:rsid w:val="00E87375"/>
    <w:rsid w:val="00E90116"/>
    <w:rsid w:val="00EB26E3"/>
    <w:rsid w:val="00EE7112"/>
    <w:rsid w:val="00EF4BD1"/>
    <w:rsid w:val="00F071DD"/>
    <w:rsid w:val="00F22B28"/>
    <w:rsid w:val="00F23DC4"/>
    <w:rsid w:val="00F255A1"/>
    <w:rsid w:val="00F4671B"/>
    <w:rsid w:val="00F80378"/>
    <w:rsid w:val="00F82F55"/>
    <w:rsid w:val="00F9459B"/>
    <w:rsid w:val="00F948D5"/>
    <w:rsid w:val="00FB62D1"/>
    <w:rsid w:val="00FC2CEC"/>
    <w:rsid w:val="00FD718E"/>
    <w:rsid w:val="00FD79CE"/>
    <w:rsid w:val="00FF1A57"/>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C669"/>
  <w15:chartTrackingRefBased/>
  <w15:docId w15:val="{87D2D79A-6CE4-479E-A586-C7DF0C99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List">
    <w:name w:val="List"/>
    <w:basedOn w:val="Normal"/>
    <w:pPr>
      <w:ind w:left="360" w:hanging="360"/>
    </w:pPr>
  </w:style>
  <w:style w:type="paragraph" w:styleId="ListBullet2">
    <w:name w:val="List Bullet 2"/>
    <w:basedOn w:val="Normal"/>
    <w:autoRedefine/>
    <w:pPr>
      <w:numPr>
        <w:numId w:val="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BalloonText">
    <w:name w:val="Balloon Text"/>
    <w:basedOn w:val="Normal"/>
    <w:semiHidden/>
    <w:rsid w:val="00015C29"/>
    <w:rPr>
      <w:rFonts w:ascii="Tahoma" w:hAnsi="Tahoma" w:cs="Tahoma"/>
      <w:sz w:val="16"/>
      <w:szCs w:val="16"/>
    </w:rPr>
  </w:style>
  <w:style w:type="character" w:customStyle="1" w:styleId="BodyText2Char">
    <w:name w:val="Body Text 2 Char"/>
    <w:link w:val="BodyText2"/>
    <w:rsid w:val="008A248D"/>
    <w:rPr>
      <w:rFonts w:ascii="Courier" w:hAnsi="Courier"/>
      <w:b/>
      <w:bCs/>
      <w:i/>
      <w:iCs/>
      <w:snapToGrid w:val="0"/>
      <w:sz w:val="24"/>
      <w:szCs w:val="24"/>
    </w:rPr>
  </w:style>
  <w:style w:type="paragraph" w:styleId="ListParagraph">
    <w:name w:val="List Paragraph"/>
    <w:basedOn w:val="Normal"/>
    <w:uiPriority w:val="34"/>
    <w:qFormat/>
    <w:rsid w:val="008A248D"/>
    <w:pPr>
      <w:ind w:left="720"/>
      <w:contextualSpacing/>
    </w:pPr>
  </w:style>
  <w:style w:type="paragraph" w:styleId="NoSpacing">
    <w:name w:val="No Spacing"/>
    <w:qFormat/>
    <w:rsid w:val="00285082"/>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36037">
      <w:bodyDiv w:val="1"/>
      <w:marLeft w:val="0"/>
      <w:marRight w:val="0"/>
      <w:marTop w:val="0"/>
      <w:marBottom w:val="0"/>
      <w:divBdr>
        <w:top w:val="none" w:sz="0" w:space="0" w:color="auto"/>
        <w:left w:val="none" w:sz="0" w:space="0" w:color="auto"/>
        <w:bottom w:val="none" w:sz="0" w:space="0" w:color="auto"/>
        <w:right w:val="none" w:sz="0" w:space="0" w:color="auto"/>
      </w:divBdr>
      <w:divsChild>
        <w:div w:id="407773745">
          <w:marLeft w:val="0"/>
          <w:marRight w:val="0"/>
          <w:marTop w:val="0"/>
          <w:marBottom w:val="0"/>
          <w:divBdr>
            <w:top w:val="none" w:sz="0" w:space="0" w:color="auto"/>
            <w:left w:val="none" w:sz="0" w:space="0" w:color="auto"/>
            <w:bottom w:val="none" w:sz="0" w:space="0" w:color="auto"/>
            <w:right w:val="none" w:sz="0" w:space="0" w:color="auto"/>
          </w:divBdr>
        </w:div>
      </w:divsChild>
    </w:div>
    <w:div w:id="1319774381">
      <w:bodyDiv w:val="1"/>
      <w:marLeft w:val="0"/>
      <w:marRight w:val="0"/>
      <w:marTop w:val="0"/>
      <w:marBottom w:val="0"/>
      <w:divBdr>
        <w:top w:val="none" w:sz="0" w:space="0" w:color="auto"/>
        <w:left w:val="none" w:sz="0" w:space="0" w:color="auto"/>
        <w:bottom w:val="none" w:sz="0" w:space="0" w:color="auto"/>
        <w:right w:val="none" w:sz="0" w:space="0" w:color="auto"/>
      </w:divBdr>
      <w:divsChild>
        <w:div w:id="137018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991</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DCFAM/OPLM/OPUM</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Elizabeth A. Davidson</dc:creator>
  <cp:keywords/>
  <cp:lastModifiedBy>Lowman, Eric</cp:lastModifiedBy>
  <cp:revision>40</cp:revision>
  <cp:lastPrinted>2008-06-17T12:58:00Z</cp:lastPrinted>
  <dcterms:created xsi:type="dcterms:W3CDTF">2019-09-27T13:49:00Z</dcterms:created>
  <dcterms:modified xsi:type="dcterms:W3CDTF">2020-02-26T11:34:00Z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-395361527</vt:i4>
  </property>
  <property fmtid="{D5CDD505-2E9C-101B-9397-08002B2CF9AE}" pid="4" name="_EmailSubject">
    <vt:lpwstr>OMB Clearance Package : 0960-xxxx SSA-723</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742409596</vt:i4>
  </property>
  <property fmtid="{D5CDD505-2E9C-101B-9397-08002B2CF9AE}" pid="8" name="_ReviewingToolsShownOnce">
    <vt:lpwstr/>
  </property>
</Properties>
</file>