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F8C5F" w14:textId="77777777" w:rsidR="00F31D9B" w:rsidRPr="00704591" w:rsidRDefault="00F31D9B" w:rsidP="00704591">
      <w:pPr>
        <w:widowControl/>
        <w:rPr>
          <w:rFonts w:ascii="Times New Roman" w:hAnsi="Times New Roman"/>
          <w:color w:val="000000" w:themeColor="text1"/>
        </w:rPr>
      </w:pPr>
      <w:bookmarkStart w:id="0" w:name="_GoBack"/>
      <w:bookmarkEnd w:id="0"/>
      <w:r w:rsidRPr="00704591">
        <w:rPr>
          <w:rFonts w:ascii="Times New Roman" w:hAnsi="Times New Roman"/>
          <w:color w:val="000000" w:themeColor="text1"/>
        </w:rPr>
        <w:t xml:space="preserve">SUPPORTING STATEMENT FOR PAPERWORK REDUCTION ACT </w:t>
      </w:r>
      <w:r w:rsidR="00532A8B">
        <w:rPr>
          <w:rFonts w:ascii="Times New Roman" w:hAnsi="Times New Roman"/>
          <w:color w:val="000000" w:themeColor="text1"/>
        </w:rPr>
        <w:t xml:space="preserve">OF </w:t>
      </w:r>
      <w:r w:rsidRPr="00704591">
        <w:rPr>
          <w:rFonts w:ascii="Times New Roman" w:hAnsi="Times New Roman"/>
          <w:color w:val="000000" w:themeColor="text1"/>
        </w:rPr>
        <w:t>1995 SUBMISSIONS</w:t>
      </w:r>
    </w:p>
    <w:p w14:paraId="3FB8E038" w14:textId="5EBC9C0E" w:rsidR="00F31D9B" w:rsidRDefault="00F31D9B" w:rsidP="00B207C3">
      <w:pPr>
        <w:widowControl/>
        <w:ind w:left="720"/>
        <w:rPr>
          <w:rFonts w:ascii="Times New Roman" w:hAnsi="Times New Roman"/>
          <w:color w:val="000000" w:themeColor="text1"/>
        </w:rPr>
      </w:pPr>
    </w:p>
    <w:p w14:paraId="44A40592" w14:textId="655C2448" w:rsidR="006F6521" w:rsidRDefault="00E02694" w:rsidP="006F557D">
      <w:pPr>
        <w:widowControl/>
        <w:rPr>
          <w:rFonts w:ascii="Times New Roman" w:hAnsi="Times New Roman"/>
        </w:rPr>
      </w:pPr>
      <w:r>
        <w:rPr>
          <w:rFonts w:ascii="Times New Roman" w:hAnsi="Times New Roman"/>
          <w:color w:val="000000" w:themeColor="text1"/>
        </w:rPr>
        <w:t>This ICR seeks to revise</w:t>
      </w:r>
      <w:r w:rsidR="00B17B4A">
        <w:rPr>
          <w:rFonts w:ascii="Times New Roman" w:hAnsi="Times New Roman"/>
          <w:color w:val="000000" w:themeColor="text1"/>
        </w:rPr>
        <w:t xml:space="preserve"> the Defined Benefit Plan Annual Funding Notice</w:t>
      </w:r>
      <w:r>
        <w:rPr>
          <w:rFonts w:ascii="Times New Roman" w:hAnsi="Times New Roman"/>
          <w:color w:val="000000" w:themeColor="text1"/>
        </w:rPr>
        <w:t xml:space="preserve"> reflecting </w:t>
      </w:r>
      <w:r w:rsidR="004454F9">
        <w:rPr>
          <w:rFonts w:ascii="Times New Roman" w:hAnsi="Times New Roman"/>
          <w:color w:val="000000" w:themeColor="text1"/>
        </w:rPr>
        <w:t>an increase</w:t>
      </w:r>
      <w:r>
        <w:rPr>
          <w:rFonts w:ascii="Times New Roman" w:hAnsi="Times New Roman"/>
          <w:color w:val="000000" w:themeColor="text1"/>
        </w:rPr>
        <w:t xml:space="preserve"> in the number of notices sent electronically due to </w:t>
      </w:r>
      <w:r w:rsidR="006F6521" w:rsidRPr="006F6521">
        <w:rPr>
          <w:rFonts w:ascii="Times New Roman" w:hAnsi="Times New Roman"/>
        </w:rPr>
        <w:t>the Department</w:t>
      </w:r>
      <w:r w:rsidR="006F6521">
        <w:rPr>
          <w:rFonts w:ascii="Times New Roman" w:hAnsi="Times New Roman"/>
        </w:rPr>
        <w:t xml:space="preserve">’s proposed </w:t>
      </w:r>
      <w:r w:rsidR="006F6521" w:rsidRPr="006F6521">
        <w:rPr>
          <w:rFonts w:ascii="Times New Roman" w:hAnsi="Times New Roman"/>
        </w:rPr>
        <w:t>new safe harbor for the use of electronic media by administrators of retirement plans covered by ERISA.  This amendment enables plan administrators to furnish documents to plan participants and beneficiaries by means of electronic delivery if they have electronic addresses and if they do not opt out of electronic delivery.</w:t>
      </w:r>
    </w:p>
    <w:p w14:paraId="6D006ADC" w14:textId="77777777" w:rsidR="006F6521" w:rsidRPr="006F6521" w:rsidRDefault="006F6521" w:rsidP="006F6521">
      <w:pPr>
        <w:widowControl/>
        <w:ind w:left="720"/>
        <w:rPr>
          <w:rFonts w:ascii="Times New Roman" w:hAnsi="Times New Roman"/>
          <w:color w:val="000000" w:themeColor="text1"/>
        </w:rPr>
      </w:pPr>
    </w:p>
    <w:p w14:paraId="327E97AA" w14:textId="77777777" w:rsidR="00F31D9B" w:rsidRPr="00704591" w:rsidRDefault="00F31D9B" w:rsidP="00B207C3">
      <w:pPr>
        <w:pStyle w:val="Heading1"/>
        <w:keepNext w:val="0"/>
        <w:widowControl/>
        <w:numPr>
          <w:ilvl w:val="0"/>
          <w:numId w:val="6"/>
        </w:numPr>
        <w:ind w:hanging="720"/>
        <w:rPr>
          <w:color w:val="000000" w:themeColor="text1"/>
        </w:rPr>
      </w:pPr>
      <w:r w:rsidRPr="00704591">
        <w:rPr>
          <w:color w:val="000000" w:themeColor="text1"/>
        </w:rPr>
        <w:t>Justification</w:t>
      </w:r>
    </w:p>
    <w:p w14:paraId="3D8D2DFF" w14:textId="77777777" w:rsidR="00F31D9B" w:rsidRPr="00704591" w:rsidRDefault="00F31D9B" w:rsidP="00B207C3">
      <w:pPr>
        <w:widowControl/>
        <w:ind w:left="720"/>
        <w:rPr>
          <w:rFonts w:ascii="Times New Roman" w:hAnsi="Times New Roman"/>
          <w:color w:val="000000" w:themeColor="text1"/>
        </w:rPr>
      </w:pPr>
    </w:p>
    <w:p w14:paraId="6C2A7649" w14:textId="77777777" w:rsidR="00F31D9B" w:rsidRPr="00704591" w:rsidRDefault="00F31D9B" w:rsidP="00B207C3">
      <w:pPr>
        <w:pStyle w:val="Quick1"/>
        <w:widowControl/>
        <w:numPr>
          <w:ilvl w:val="0"/>
          <w:numId w:val="1"/>
        </w:numPr>
        <w:tabs>
          <w:tab w:val="left" w:pos="-1440"/>
          <w:tab w:val="num" w:pos="720"/>
        </w:tabs>
        <w:rPr>
          <w:rFonts w:ascii="Times New Roman" w:hAnsi="Times New Roman"/>
          <w:i/>
          <w:color w:val="000000" w:themeColor="text1"/>
        </w:rPr>
      </w:pPr>
      <w:r w:rsidRPr="00704591">
        <w:rPr>
          <w:rFonts w:ascii="Times New Roman" w:hAnsi="Times New Roman"/>
          <w:i/>
          <w:color w:val="000000" w:themeColor="text1"/>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3408C8E1" w14:textId="77777777" w:rsidR="00F31D9B" w:rsidRPr="00704591" w:rsidRDefault="00F31D9B" w:rsidP="00AF15A4">
      <w:pPr>
        <w:widowControl/>
        <w:ind w:left="720"/>
        <w:rPr>
          <w:rFonts w:ascii="Times New Roman" w:hAnsi="Times New Roman"/>
          <w:color w:val="000000" w:themeColor="text1"/>
        </w:rPr>
      </w:pPr>
    </w:p>
    <w:p w14:paraId="375AC74A" w14:textId="620444AF" w:rsidR="00FA156F" w:rsidRPr="00704591" w:rsidRDefault="00FF5891" w:rsidP="00132006">
      <w:pPr>
        <w:pStyle w:val="BodyText2"/>
        <w:ind w:left="720"/>
        <w:rPr>
          <w:b w:val="0"/>
          <w:color w:val="000000" w:themeColor="text1"/>
        </w:rPr>
      </w:pPr>
      <w:r w:rsidRPr="00704591">
        <w:rPr>
          <w:b w:val="0"/>
          <w:color w:val="000000" w:themeColor="text1"/>
        </w:rPr>
        <w:t xml:space="preserve"> Section 101(f) of ERISA generally requires </w:t>
      </w:r>
      <w:r w:rsidR="00132006">
        <w:rPr>
          <w:b w:val="0"/>
          <w:color w:val="000000" w:themeColor="text1"/>
        </w:rPr>
        <w:t xml:space="preserve">single and </w:t>
      </w:r>
      <w:r w:rsidRPr="00704591">
        <w:rPr>
          <w:b w:val="0"/>
          <w:color w:val="000000" w:themeColor="text1"/>
        </w:rPr>
        <w:t>multiemployer defined benefit plan</w:t>
      </w:r>
      <w:r w:rsidR="00132006">
        <w:rPr>
          <w:b w:val="0"/>
          <w:color w:val="000000" w:themeColor="text1"/>
        </w:rPr>
        <w:t xml:space="preserve"> administrators </w:t>
      </w:r>
      <w:r w:rsidRPr="00704591">
        <w:rPr>
          <w:b w:val="0"/>
          <w:color w:val="000000" w:themeColor="text1"/>
        </w:rPr>
        <w:t xml:space="preserve">to furnish a plan funding notice annually to each participant and beneficiary, each labor organization representing such participants or beneficiaries, each employer that has an obligation to contribute under the plan, and the Pension Benefit Guaranty Corporation (PBGC).  </w:t>
      </w:r>
    </w:p>
    <w:p w14:paraId="309C343B" w14:textId="77777777" w:rsidR="00FA156F" w:rsidRPr="00704591" w:rsidRDefault="00FA156F" w:rsidP="00AF15A4">
      <w:pPr>
        <w:pStyle w:val="BodyText2"/>
        <w:ind w:left="720"/>
        <w:rPr>
          <w:b w:val="0"/>
          <w:color w:val="000000" w:themeColor="text1"/>
        </w:rPr>
      </w:pPr>
    </w:p>
    <w:p w14:paraId="738C86CF" w14:textId="235709D0" w:rsidR="00FA156F" w:rsidRPr="00704591" w:rsidRDefault="00FA156F" w:rsidP="00AF15A4">
      <w:pPr>
        <w:widowControl/>
        <w:ind w:left="720"/>
        <w:rPr>
          <w:rFonts w:ascii="Times New Roman" w:hAnsi="Times New Roman"/>
          <w:color w:val="000000" w:themeColor="text1"/>
        </w:rPr>
      </w:pPr>
      <w:r w:rsidRPr="00704591">
        <w:rPr>
          <w:rFonts w:ascii="Times New Roman" w:hAnsi="Times New Roman"/>
          <w:color w:val="000000" w:themeColor="text1"/>
        </w:rPr>
        <w:t>The defined benefit plan funding notice provision were enacted amid concerns about persisting low interest rates and declines in equity values, each of which has an increasing effect on contribution requirements and a decreasing effect on the funding levels of defined benefit plans. Increasing the transparency of information about the funding status of defined benefit plans for participants and beneficiaries, the labor organizations representing them, contributing employers, and PBGC  afford</w:t>
      </w:r>
      <w:r w:rsidR="00132006">
        <w:rPr>
          <w:rFonts w:ascii="Times New Roman" w:hAnsi="Times New Roman"/>
          <w:color w:val="000000" w:themeColor="text1"/>
        </w:rPr>
        <w:t>s</w:t>
      </w:r>
      <w:r w:rsidRPr="00704591">
        <w:rPr>
          <w:rFonts w:ascii="Times New Roman" w:hAnsi="Times New Roman"/>
          <w:color w:val="000000" w:themeColor="text1"/>
        </w:rPr>
        <w:t xml:space="preserve"> all parties interested in the financial viability of these plans </w:t>
      </w:r>
      <w:r w:rsidR="00132006">
        <w:rPr>
          <w:rFonts w:ascii="Times New Roman" w:hAnsi="Times New Roman"/>
          <w:color w:val="000000" w:themeColor="text1"/>
        </w:rPr>
        <w:t xml:space="preserve">with a </w:t>
      </w:r>
      <w:r w:rsidRPr="00704591">
        <w:rPr>
          <w:rFonts w:ascii="Times New Roman" w:hAnsi="Times New Roman"/>
          <w:color w:val="000000" w:themeColor="text1"/>
        </w:rPr>
        <w:t>greater opportunity to monitor the funding status</w:t>
      </w:r>
      <w:r w:rsidR="00132006">
        <w:rPr>
          <w:rFonts w:ascii="Times New Roman" w:hAnsi="Times New Roman"/>
          <w:color w:val="000000" w:themeColor="text1"/>
        </w:rPr>
        <w:t xml:space="preserve"> of defined benefit pension plans</w:t>
      </w:r>
      <w:r w:rsidRPr="00704591">
        <w:rPr>
          <w:rFonts w:ascii="Times New Roman" w:hAnsi="Times New Roman"/>
          <w:color w:val="000000" w:themeColor="text1"/>
        </w:rPr>
        <w:t>.</w:t>
      </w:r>
    </w:p>
    <w:p w14:paraId="711CA90F" w14:textId="77777777" w:rsidR="00FA156F" w:rsidRPr="00704591" w:rsidRDefault="00FA156F" w:rsidP="00AF15A4">
      <w:pPr>
        <w:pStyle w:val="BodyText2"/>
        <w:ind w:left="720"/>
        <w:rPr>
          <w:b w:val="0"/>
          <w:color w:val="000000" w:themeColor="text1"/>
        </w:rPr>
      </w:pPr>
    </w:p>
    <w:p w14:paraId="07EC1775" w14:textId="4A41FCBF" w:rsidR="00132006" w:rsidRPr="00132006" w:rsidRDefault="00132006" w:rsidP="00132006">
      <w:pPr>
        <w:pStyle w:val="BodyText2"/>
        <w:ind w:left="720"/>
        <w:rPr>
          <w:b w:val="0"/>
          <w:color w:val="000000" w:themeColor="text1"/>
        </w:rPr>
      </w:pPr>
      <w:r>
        <w:rPr>
          <w:b w:val="0"/>
          <w:color w:val="000000" w:themeColor="text1"/>
        </w:rPr>
        <w:t>On February 2, 2015, the Department published final rules implementing ERISA section 101(f).</w:t>
      </w:r>
      <w:r w:rsidR="008311E4" w:rsidRPr="008311E4">
        <w:rPr>
          <w:rStyle w:val="FootnoteReference"/>
          <w:b w:val="0"/>
          <w:color w:val="000000" w:themeColor="text1"/>
          <w:vertAlign w:val="superscript"/>
        </w:rPr>
        <w:footnoteReference w:id="1"/>
      </w:r>
      <w:r>
        <w:rPr>
          <w:b w:val="0"/>
          <w:color w:val="000000" w:themeColor="text1"/>
        </w:rPr>
        <w:t xml:space="preserve"> As required by statute, the </w:t>
      </w:r>
      <w:r w:rsidRPr="00132006">
        <w:rPr>
          <w:b w:val="0"/>
          <w:color w:val="000000" w:themeColor="text1"/>
        </w:rPr>
        <w:t>final rule requires the plan</w:t>
      </w:r>
      <w:r>
        <w:rPr>
          <w:b w:val="0"/>
          <w:color w:val="000000" w:themeColor="text1"/>
        </w:rPr>
        <w:t xml:space="preserve"> </w:t>
      </w:r>
      <w:r w:rsidRPr="00132006">
        <w:rPr>
          <w:b w:val="0"/>
          <w:color w:val="000000" w:themeColor="text1"/>
        </w:rPr>
        <w:t>administrator of a defined benefit</w:t>
      </w:r>
      <w:r>
        <w:rPr>
          <w:b w:val="0"/>
          <w:color w:val="000000" w:themeColor="text1"/>
        </w:rPr>
        <w:t xml:space="preserve"> </w:t>
      </w:r>
      <w:r w:rsidRPr="00132006">
        <w:rPr>
          <w:b w:val="0"/>
          <w:color w:val="000000" w:themeColor="text1"/>
        </w:rPr>
        <w:t>pension plan that is subject to the</w:t>
      </w:r>
      <w:r>
        <w:rPr>
          <w:b w:val="0"/>
          <w:color w:val="000000" w:themeColor="text1"/>
        </w:rPr>
        <w:t xml:space="preserve"> </w:t>
      </w:r>
      <w:r w:rsidRPr="00132006">
        <w:rPr>
          <w:b w:val="0"/>
          <w:color w:val="000000" w:themeColor="text1"/>
        </w:rPr>
        <w:t>Pension Benefit Guaranty Corporation’s</w:t>
      </w:r>
    </w:p>
    <w:p w14:paraId="441C1577" w14:textId="626A4C7A" w:rsidR="00132006" w:rsidRPr="00132006" w:rsidRDefault="00132006" w:rsidP="00132006">
      <w:pPr>
        <w:pStyle w:val="BodyText2"/>
        <w:ind w:left="720"/>
        <w:rPr>
          <w:b w:val="0"/>
          <w:color w:val="000000" w:themeColor="text1"/>
        </w:rPr>
      </w:pPr>
      <w:r w:rsidRPr="00132006">
        <w:rPr>
          <w:b w:val="0"/>
          <w:color w:val="000000" w:themeColor="text1"/>
        </w:rPr>
        <w:t>Insurance Program to furnish a funding</w:t>
      </w:r>
      <w:r>
        <w:rPr>
          <w:b w:val="0"/>
          <w:color w:val="000000" w:themeColor="text1"/>
        </w:rPr>
        <w:t xml:space="preserve"> </w:t>
      </w:r>
      <w:r w:rsidRPr="00132006">
        <w:rPr>
          <w:b w:val="0"/>
          <w:color w:val="000000" w:themeColor="text1"/>
        </w:rPr>
        <w:t>notice annually to participants,</w:t>
      </w:r>
      <w:r>
        <w:rPr>
          <w:b w:val="0"/>
          <w:color w:val="000000" w:themeColor="text1"/>
        </w:rPr>
        <w:t xml:space="preserve"> </w:t>
      </w:r>
      <w:r w:rsidRPr="00132006">
        <w:rPr>
          <w:b w:val="0"/>
          <w:color w:val="000000" w:themeColor="text1"/>
        </w:rPr>
        <w:t>beneficiaries, labor organizations</w:t>
      </w:r>
      <w:r>
        <w:rPr>
          <w:b w:val="0"/>
          <w:color w:val="000000" w:themeColor="text1"/>
        </w:rPr>
        <w:t xml:space="preserve"> </w:t>
      </w:r>
      <w:r w:rsidRPr="00132006">
        <w:rPr>
          <w:b w:val="0"/>
          <w:color w:val="000000" w:themeColor="text1"/>
        </w:rPr>
        <w:t>representing such participants or</w:t>
      </w:r>
      <w:r>
        <w:rPr>
          <w:b w:val="0"/>
          <w:color w:val="000000" w:themeColor="text1"/>
        </w:rPr>
        <w:t xml:space="preserve"> </w:t>
      </w:r>
      <w:r w:rsidRPr="00132006">
        <w:rPr>
          <w:b w:val="0"/>
          <w:color w:val="000000" w:themeColor="text1"/>
        </w:rPr>
        <w:t>beneficiaries, employers obligated to</w:t>
      </w:r>
    </w:p>
    <w:p w14:paraId="1AADEF78" w14:textId="2BB7E549" w:rsidR="0031361A" w:rsidRDefault="00132006" w:rsidP="00AF15A4">
      <w:pPr>
        <w:pStyle w:val="BodyText2"/>
        <w:ind w:left="720"/>
        <w:rPr>
          <w:b w:val="0"/>
          <w:color w:val="000000" w:themeColor="text1"/>
        </w:rPr>
      </w:pPr>
      <w:r w:rsidRPr="00132006">
        <w:rPr>
          <w:b w:val="0"/>
          <w:color w:val="000000" w:themeColor="text1"/>
        </w:rPr>
        <w:t>make contributions to a multiemployer</w:t>
      </w:r>
      <w:r>
        <w:rPr>
          <w:b w:val="0"/>
          <w:color w:val="000000" w:themeColor="text1"/>
        </w:rPr>
        <w:t xml:space="preserve"> </w:t>
      </w:r>
      <w:r w:rsidRPr="00132006">
        <w:rPr>
          <w:b w:val="0"/>
          <w:color w:val="000000" w:themeColor="text1"/>
        </w:rPr>
        <w:t>plan, and the Pension Benefit Guaranty</w:t>
      </w:r>
      <w:r>
        <w:rPr>
          <w:b w:val="0"/>
          <w:color w:val="000000" w:themeColor="text1"/>
        </w:rPr>
        <w:t xml:space="preserve"> </w:t>
      </w:r>
      <w:r w:rsidRPr="00132006">
        <w:rPr>
          <w:b w:val="0"/>
          <w:color w:val="000000" w:themeColor="text1"/>
        </w:rPr>
        <w:t>Corporation (PBGC). Large plans must</w:t>
      </w:r>
      <w:r>
        <w:rPr>
          <w:b w:val="0"/>
          <w:color w:val="000000" w:themeColor="text1"/>
        </w:rPr>
        <w:t xml:space="preserve"> </w:t>
      </w:r>
      <w:r w:rsidRPr="00132006">
        <w:rPr>
          <w:b w:val="0"/>
          <w:color w:val="000000" w:themeColor="text1"/>
        </w:rPr>
        <w:t>furnish the notice by the 120th day</w:t>
      </w:r>
      <w:r>
        <w:rPr>
          <w:b w:val="0"/>
          <w:color w:val="000000" w:themeColor="text1"/>
        </w:rPr>
        <w:t xml:space="preserve"> </w:t>
      </w:r>
      <w:r w:rsidRPr="00132006">
        <w:rPr>
          <w:b w:val="0"/>
          <w:color w:val="000000" w:themeColor="text1"/>
        </w:rPr>
        <w:t>following the end of the plan year to</w:t>
      </w:r>
      <w:r>
        <w:rPr>
          <w:b w:val="0"/>
          <w:color w:val="000000" w:themeColor="text1"/>
        </w:rPr>
        <w:t xml:space="preserve"> </w:t>
      </w:r>
      <w:r w:rsidR="0031361A">
        <w:rPr>
          <w:b w:val="0"/>
          <w:color w:val="000000" w:themeColor="text1"/>
        </w:rPr>
        <w:t xml:space="preserve">which the notice relates.  </w:t>
      </w:r>
      <w:r w:rsidRPr="00132006">
        <w:rPr>
          <w:b w:val="0"/>
          <w:color w:val="000000" w:themeColor="text1"/>
        </w:rPr>
        <w:t>A small plan may furnish a</w:t>
      </w:r>
      <w:r>
        <w:rPr>
          <w:b w:val="0"/>
          <w:color w:val="000000" w:themeColor="text1"/>
        </w:rPr>
        <w:t xml:space="preserve"> </w:t>
      </w:r>
      <w:r w:rsidRPr="00132006">
        <w:rPr>
          <w:b w:val="0"/>
          <w:color w:val="000000" w:themeColor="text1"/>
        </w:rPr>
        <w:t>funding notice on or before the due</w:t>
      </w:r>
      <w:r>
        <w:rPr>
          <w:b w:val="0"/>
          <w:color w:val="000000" w:themeColor="text1"/>
        </w:rPr>
        <w:t xml:space="preserve"> </w:t>
      </w:r>
      <w:r w:rsidRPr="00132006">
        <w:rPr>
          <w:b w:val="0"/>
          <w:color w:val="000000" w:themeColor="text1"/>
        </w:rPr>
        <w:t>date, with extensions, of the plan’s</w:t>
      </w:r>
      <w:r>
        <w:rPr>
          <w:b w:val="0"/>
          <w:color w:val="000000" w:themeColor="text1"/>
        </w:rPr>
        <w:t xml:space="preserve"> </w:t>
      </w:r>
      <w:r w:rsidRPr="00132006">
        <w:rPr>
          <w:b w:val="0"/>
          <w:color w:val="000000" w:themeColor="text1"/>
        </w:rPr>
        <w:t>Form 5500 Annual Return/Report filed</w:t>
      </w:r>
      <w:r>
        <w:rPr>
          <w:b w:val="0"/>
          <w:color w:val="000000" w:themeColor="text1"/>
        </w:rPr>
        <w:t xml:space="preserve"> </w:t>
      </w:r>
      <w:r w:rsidRPr="00132006">
        <w:rPr>
          <w:b w:val="0"/>
          <w:color w:val="000000" w:themeColor="text1"/>
        </w:rPr>
        <w:t xml:space="preserve">with the Department. </w:t>
      </w:r>
    </w:p>
    <w:p w14:paraId="02D050E7" w14:textId="28294DF5" w:rsidR="00B207C3" w:rsidRDefault="00A3005E" w:rsidP="00AF15A4">
      <w:pPr>
        <w:pStyle w:val="BodyText2"/>
        <w:ind w:left="720"/>
        <w:rPr>
          <w:b w:val="0"/>
          <w:color w:val="000000" w:themeColor="text1"/>
        </w:rPr>
      </w:pPr>
      <w:r>
        <w:rPr>
          <w:color w:val="000000" w:themeColor="text1"/>
        </w:rPr>
        <w:lastRenderedPageBreak/>
        <w:t xml:space="preserve">2012 </w:t>
      </w:r>
      <w:r w:rsidR="0057133D" w:rsidRPr="00704591">
        <w:rPr>
          <w:color w:val="000000" w:themeColor="text1"/>
        </w:rPr>
        <w:t>MAP-21 Revision</w:t>
      </w:r>
    </w:p>
    <w:p w14:paraId="0CBC5017" w14:textId="77777777" w:rsidR="00B207C3" w:rsidRDefault="00B207C3" w:rsidP="00AF15A4">
      <w:pPr>
        <w:pStyle w:val="BodyText2"/>
        <w:ind w:left="720"/>
        <w:rPr>
          <w:b w:val="0"/>
          <w:color w:val="000000" w:themeColor="text1"/>
        </w:rPr>
      </w:pPr>
    </w:p>
    <w:p w14:paraId="2F592F3E" w14:textId="63465FE3" w:rsidR="0057133D" w:rsidRPr="00704591" w:rsidRDefault="002E3288" w:rsidP="00AF15A4">
      <w:pPr>
        <w:pStyle w:val="BodyText2"/>
        <w:ind w:left="720"/>
        <w:rPr>
          <w:b w:val="0"/>
          <w:color w:val="000000" w:themeColor="text1"/>
        </w:rPr>
      </w:pPr>
      <w:r>
        <w:rPr>
          <w:b w:val="0"/>
          <w:color w:val="000000" w:themeColor="text1"/>
        </w:rPr>
        <w:t>In</w:t>
      </w:r>
      <w:r w:rsidR="0057133D" w:rsidRPr="00704591">
        <w:rPr>
          <w:b w:val="0"/>
          <w:color w:val="000000" w:themeColor="text1"/>
        </w:rPr>
        <w:t xml:space="preserve"> 2012, </w:t>
      </w:r>
      <w:r>
        <w:rPr>
          <w:b w:val="0"/>
          <w:color w:val="000000" w:themeColor="text1"/>
        </w:rPr>
        <w:t>Congress enacted</w:t>
      </w:r>
      <w:r w:rsidR="0057133D" w:rsidRPr="00704591">
        <w:rPr>
          <w:b w:val="0"/>
          <w:color w:val="000000" w:themeColor="text1"/>
        </w:rPr>
        <w:t xml:space="preserve"> the Moving Ahead for Progress in the 21st Century Act (MAP-21).  The law provides funding interest rate stabilization for single employer defined benefit (DB) plans, effective for plan years beginning on and after January 1, 2012.  To counter the current low interest rates that are triggering significantly larger pension contributions for many plan sponsors, MAP-21 sets a floor (or ceiling) for the interest rates that single employer defined benefit plan administrators generally are required to use to calculate contributions. Under the rules, the generally required interest rates are limited to rates that are within a specified range, or corridor, above or below a 25-year average for the rates.</w:t>
      </w:r>
    </w:p>
    <w:p w14:paraId="0B76206E" w14:textId="77777777" w:rsidR="0057133D" w:rsidRPr="00704591" w:rsidRDefault="0057133D" w:rsidP="00AF15A4">
      <w:pPr>
        <w:pStyle w:val="BodyText2"/>
        <w:ind w:left="720"/>
        <w:rPr>
          <w:b w:val="0"/>
          <w:color w:val="000000" w:themeColor="text1"/>
        </w:rPr>
      </w:pPr>
    </w:p>
    <w:p w14:paraId="61907CE1" w14:textId="0F7ED9CF" w:rsidR="004E3174" w:rsidRDefault="0057133D" w:rsidP="00AF15A4">
      <w:pPr>
        <w:pStyle w:val="BodyText2"/>
        <w:ind w:left="720"/>
        <w:rPr>
          <w:b w:val="0"/>
          <w:color w:val="000000" w:themeColor="text1"/>
        </w:rPr>
      </w:pPr>
      <w:r w:rsidRPr="00704591">
        <w:rPr>
          <w:b w:val="0"/>
          <w:color w:val="000000" w:themeColor="text1"/>
        </w:rPr>
        <w:t xml:space="preserve">Section 40211(b)(2)(A) of MAP-21 amended ERISA section 101(f)(2) by adding a new subparagraph (D), which requires single-employer defined benefit plan administrators to disclose additional information in the annual funding notice for a plan year beginning after December 31, 2011, and before January 1, 2015, regarding the effect of the MAP-21 segment rate stabilization rules on plan liabilities and the plan sponsor’s minimum required contributions to the plan. Section 40211(b)(2)(B) of MAP-21 requires the Department to modify the model annual funding notice required under section 501(c) of the Pension Protection Act of 2006 (PPA),  to prominently include the supplemental information required under new ERISA section 101(f)(2)(D).  </w:t>
      </w:r>
      <w:r w:rsidR="00033771">
        <w:rPr>
          <w:b w:val="0"/>
          <w:color w:val="000000" w:themeColor="text1"/>
        </w:rPr>
        <w:t xml:space="preserve">The MAP-21 supplement requirement, as modified by the Highway and Transportation and Funding Act of 2014 and the Bipartisan Budget Act of 2015, continues through the 2022 plan year.  </w:t>
      </w:r>
    </w:p>
    <w:p w14:paraId="46B4F698" w14:textId="77777777" w:rsidR="00CC2D2C" w:rsidRDefault="00CC2D2C" w:rsidP="00AF15A4">
      <w:pPr>
        <w:pStyle w:val="BodyText2"/>
        <w:ind w:left="720"/>
        <w:rPr>
          <w:color w:val="000000" w:themeColor="text1"/>
        </w:rPr>
      </w:pPr>
    </w:p>
    <w:p w14:paraId="7F13A657" w14:textId="77777777" w:rsidR="004E3174" w:rsidRDefault="004E3174" w:rsidP="00AF15A4">
      <w:pPr>
        <w:pStyle w:val="BodyText2"/>
        <w:ind w:left="720"/>
        <w:rPr>
          <w:color w:val="000000" w:themeColor="text1"/>
        </w:rPr>
      </w:pPr>
      <w:r>
        <w:rPr>
          <w:color w:val="000000" w:themeColor="text1"/>
        </w:rPr>
        <w:t>Multiemployer Pension Reform Act of 2014 (MPRA) Revision</w:t>
      </w:r>
    </w:p>
    <w:p w14:paraId="2FE1594F" w14:textId="77777777" w:rsidR="004E3174" w:rsidRDefault="004E3174" w:rsidP="00AF15A4">
      <w:pPr>
        <w:pStyle w:val="BodyText2"/>
        <w:ind w:left="720"/>
        <w:rPr>
          <w:color w:val="000000" w:themeColor="text1"/>
        </w:rPr>
      </w:pPr>
    </w:p>
    <w:p w14:paraId="732BEF5B" w14:textId="77777777" w:rsidR="00D7698D" w:rsidRDefault="004E3174" w:rsidP="00AF15A4">
      <w:pPr>
        <w:pStyle w:val="BodyText2"/>
        <w:ind w:left="720"/>
        <w:rPr>
          <w:b w:val="0"/>
          <w:color w:val="000000" w:themeColor="text1"/>
        </w:rPr>
      </w:pPr>
      <w:r w:rsidRPr="004E3174">
        <w:rPr>
          <w:b w:val="0"/>
          <w:color w:val="000000" w:themeColor="text1"/>
        </w:rPr>
        <w:t xml:space="preserve">The Multiemployer Pension Reform Act of 2014 (MPRA), Pub. L. 113-235 (2014), added new disclosure requirements to section 101(f)(2)(B) of ERISA relating to the new multiemployer funding classification of  “critical and declining status.”  </w:t>
      </w:r>
      <w:r w:rsidR="00D7698D">
        <w:rPr>
          <w:b w:val="0"/>
          <w:color w:val="000000" w:themeColor="text1"/>
        </w:rPr>
        <w:t xml:space="preserve">A plan is in critical and declining status if it is in critical status and is projected to become insolvent with 15 years (or within 20 years if a special rule applies).  The plan sponsor of a plan in critical and declining status may </w:t>
      </w:r>
      <w:r w:rsidR="008857BC" w:rsidRPr="008857BC">
        <w:rPr>
          <w:b w:val="0"/>
          <w:color w:val="000000" w:themeColor="text1"/>
        </w:rPr>
        <w:t>submit an application to the Treasury Department showing that proposed pension benefit reductions are necessary to keep the plan from running out of money. Participants and beneficiaries will be notified of any application to reduce benefits</w:t>
      </w:r>
      <w:r w:rsidR="00A45F24">
        <w:rPr>
          <w:b w:val="0"/>
          <w:color w:val="000000" w:themeColor="text1"/>
        </w:rPr>
        <w:t xml:space="preserve"> and </w:t>
      </w:r>
      <w:r w:rsidR="008857BC" w:rsidRPr="008857BC">
        <w:rPr>
          <w:b w:val="0"/>
          <w:color w:val="000000" w:themeColor="text1"/>
        </w:rPr>
        <w:t>provided with an estimate of the reduction in their own benefits and the opportunity to comment on the application.</w:t>
      </w:r>
    </w:p>
    <w:p w14:paraId="778A7715" w14:textId="77777777" w:rsidR="00D7698D" w:rsidRDefault="00D7698D" w:rsidP="00AF15A4">
      <w:pPr>
        <w:pStyle w:val="BodyText2"/>
        <w:ind w:left="720"/>
        <w:rPr>
          <w:b w:val="0"/>
          <w:color w:val="000000" w:themeColor="text1"/>
        </w:rPr>
      </w:pPr>
    </w:p>
    <w:p w14:paraId="160758BE" w14:textId="2AF24D1F" w:rsidR="004E3174" w:rsidRDefault="004E3174" w:rsidP="00AF15A4">
      <w:pPr>
        <w:pStyle w:val="BodyText2"/>
        <w:ind w:left="720"/>
        <w:rPr>
          <w:b w:val="0"/>
          <w:color w:val="000000" w:themeColor="text1"/>
        </w:rPr>
      </w:pPr>
      <w:r>
        <w:rPr>
          <w:b w:val="0"/>
          <w:color w:val="000000" w:themeColor="text1"/>
        </w:rPr>
        <w:t xml:space="preserve">MPRA requires the annual funding notice of </w:t>
      </w:r>
      <w:r w:rsidR="00D7698D">
        <w:rPr>
          <w:b w:val="0"/>
          <w:color w:val="000000" w:themeColor="text1"/>
        </w:rPr>
        <w:t xml:space="preserve">critical and declining status </w:t>
      </w:r>
      <w:r>
        <w:rPr>
          <w:b w:val="0"/>
          <w:color w:val="000000" w:themeColor="text1"/>
        </w:rPr>
        <w:t xml:space="preserve">plans </w:t>
      </w:r>
      <w:r w:rsidR="00D7698D">
        <w:rPr>
          <w:b w:val="0"/>
          <w:color w:val="000000" w:themeColor="text1"/>
        </w:rPr>
        <w:t xml:space="preserve">to </w:t>
      </w:r>
      <w:r w:rsidRPr="004E3174">
        <w:rPr>
          <w:b w:val="0"/>
          <w:color w:val="000000" w:themeColor="text1"/>
        </w:rPr>
        <w:t xml:space="preserve">include the projected date of insolvency; a clear statement that such insolvency may result in benefit reductions; and a statement describing whether the plan sponsor has taken legally permitted actions to prevent insolvency.  These requirements were added to the final regulation </w:t>
      </w:r>
      <w:r w:rsidR="00D7698D">
        <w:rPr>
          <w:b w:val="0"/>
          <w:color w:val="000000" w:themeColor="text1"/>
        </w:rPr>
        <w:t xml:space="preserve">and the multiemployer plan model notice </w:t>
      </w:r>
      <w:r w:rsidRPr="004E3174">
        <w:rPr>
          <w:b w:val="0"/>
          <w:color w:val="000000" w:themeColor="text1"/>
        </w:rPr>
        <w:t>to reflect</w:t>
      </w:r>
      <w:r w:rsidR="0031361A">
        <w:rPr>
          <w:b w:val="0"/>
          <w:color w:val="000000" w:themeColor="text1"/>
        </w:rPr>
        <w:t xml:space="preserve"> the MPRA</w:t>
      </w:r>
      <w:r w:rsidR="00813B67">
        <w:rPr>
          <w:b w:val="0"/>
          <w:color w:val="000000" w:themeColor="text1"/>
        </w:rPr>
        <w:t xml:space="preserve"> </w:t>
      </w:r>
      <w:r w:rsidRPr="004E3174">
        <w:rPr>
          <w:b w:val="0"/>
          <w:color w:val="000000" w:themeColor="text1"/>
        </w:rPr>
        <w:t xml:space="preserve">amendments to </w:t>
      </w:r>
      <w:r w:rsidR="003813EE">
        <w:rPr>
          <w:b w:val="0"/>
          <w:color w:val="000000" w:themeColor="text1"/>
        </w:rPr>
        <w:lastRenderedPageBreak/>
        <w:t xml:space="preserve">ERISA </w:t>
      </w:r>
      <w:r w:rsidRPr="004E3174">
        <w:rPr>
          <w:b w:val="0"/>
          <w:color w:val="000000" w:themeColor="text1"/>
        </w:rPr>
        <w:t>section 101(f)</w:t>
      </w:r>
      <w:r w:rsidR="0031361A">
        <w:rPr>
          <w:b w:val="0"/>
          <w:color w:val="000000" w:themeColor="text1"/>
        </w:rPr>
        <w:t xml:space="preserve"> and</w:t>
      </w:r>
      <w:r w:rsidR="00022303">
        <w:rPr>
          <w:b w:val="0"/>
          <w:color w:val="000000" w:themeColor="text1"/>
        </w:rPr>
        <w:t xml:space="preserve"> are included in the hour burden to complete that notice as discussed in Item 12, below. </w:t>
      </w:r>
    </w:p>
    <w:p w14:paraId="32E42B18" w14:textId="07ECF5AE" w:rsidR="00F31D9B" w:rsidRDefault="00F31D9B" w:rsidP="00AF15A4">
      <w:pPr>
        <w:widowControl/>
        <w:ind w:left="720"/>
        <w:rPr>
          <w:rFonts w:ascii="Times New Roman" w:hAnsi="Times New Roman"/>
          <w:color w:val="000000" w:themeColor="text1"/>
        </w:rPr>
      </w:pPr>
    </w:p>
    <w:p w14:paraId="2308983F" w14:textId="77777777" w:rsidR="003F5D9B" w:rsidRPr="001267AE" w:rsidRDefault="003F5D9B" w:rsidP="003F5D9B">
      <w:pPr>
        <w:ind w:left="720"/>
        <w:rPr>
          <w:rFonts w:ascii="Times New Roman" w:hAnsi="Times New Roman"/>
          <w:b/>
        </w:rPr>
      </w:pPr>
      <w:r w:rsidRPr="001267AE">
        <w:rPr>
          <w:rFonts w:ascii="Times New Roman" w:hAnsi="Times New Roman"/>
          <w:b/>
        </w:rPr>
        <w:t>2019 Proposed E-Disclosure Rule</w:t>
      </w:r>
    </w:p>
    <w:p w14:paraId="1BC56475" w14:textId="77777777" w:rsidR="003F5D9B" w:rsidRDefault="003F5D9B" w:rsidP="003F5D9B">
      <w:pPr>
        <w:ind w:left="720"/>
        <w:rPr>
          <w:rFonts w:ascii="Times New Roman" w:hAnsi="Times New Roman"/>
        </w:rPr>
      </w:pPr>
    </w:p>
    <w:p w14:paraId="7EAB9F7C" w14:textId="77777777" w:rsidR="003F5D9B" w:rsidRPr="00776BF2" w:rsidRDefault="003F5D9B" w:rsidP="003F5D9B">
      <w:pPr>
        <w:ind w:left="720"/>
        <w:rPr>
          <w:rFonts w:ascii="Times New Roman" w:hAnsi="Times New Roman"/>
        </w:rPr>
      </w:pPr>
      <w:r w:rsidRPr="00776BF2">
        <w:rPr>
          <w:rFonts w:ascii="Times New Roman" w:hAnsi="Times New Roman"/>
        </w:rPr>
        <w:t xml:space="preserve">In response to Executive Order 13847, entitled “Strengthening Retirement Security in America,” which was issued by President Trump on August 31, 2018, the Department is issuing a proposed rule with a new safe harbor for retirement plan administrators to use electronic media to furnish required pension disclosures to plan participants and beneficiaries.  Specifically, the proposal, would allow plan administrators who satisfy specified conditions to provide participants and beneficiaries with a notice that the pension disclosures will be made available on a website. The </w:t>
      </w:r>
      <w:r>
        <w:rPr>
          <w:rFonts w:ascii="Times New Roman" w:hAnsi="Times New Roman"/>
        </w:rPr>
        <w:t>Annual Funding Notice</w:t>
      </w:r>
      <w:r w:rsidRPr="00776BF2">
        <w:rPr>
          <w:rFonts w:ascii="Times New Roman" w:hAnsi="Times New Roman"/>
        </w:rPr>
        <w:t xml:space="preserve"> disclosures are among the disclosures plan administrations could furnish under the proposed safe harbor.   The framework of the proposal is similar to the approach the Securities and Exchange Commission takes for certain investor disclosures and also aligns with Internal Revenue Service rules about delivering retirement plan disclosures electronically.</w:t>
      </w:r>
    </w:p>
    <w:p w14:paraId="19126716" w14:textId="77777777" w:rsidR="003F5D9B" w:rsidRPr="00776BF2" w:rsidRDefault="003F5D9B" w:rsidP="003F5D9B">
      <w:pPr>
        <w:ind w:left="720"/>
        <w:rPr>
          <w:rFonts w:ascii="Times New Roman" w:hAnsi="Times New Roman"/>
        </w:rPr>
      </w:pPr>
    </w:p>
    <w:p w14:paraId="72098763" w14:textId="77777777" w:rsidR="003F5D9B" w:rsidRPr="00776BF2" w:rsidRDefault="003F5D9B" w:rsidP="003F5D9B">
      <w:pPr>
        <w:ind w:left="720"/>
        <w:rPr>
          <w:rFonts w:ascii="Times New Roman" w:hAnsi="Times New Roman"/>
        </w:rPr>
      </w:pPr>
      <w:r w:rsidRPr="00776BF2">
        <w:rPr>
          <w:rFonts w:ascii="Times New Roman" w:hAnsi="Times New Roman"/>
        </w:rPr>
        <w:t xml:space="preserve">In order to use the safe harbor, retirement plan administrators must: </w:t>
      </w:r>
    </w:p>
    <w:p w14:paraId="729BDD58" w14:textId="77777777" w:rsidR="003F5D9B" w:rsidRPr="00776BF2" w:rsidRDefault="003F5D9B" w:rsidP="003F5D9B">
      <w:pPr>
        <w:ind w:left="720"/>
        <w:rPr>
          <w:rFonts w:ascii="Times New Roman" w:hAnsi="Times New Roman"/>
        </w:rPr>
      </w:pPr>
    </w:p>
    <w:p w14:paraId="608766E3" w14:textId="77777777" w:rsidR="003F5D9B" w:rsidRDefault="003F5D9B" w:rsidP="003F5D9B">
      <w:pPr>
        <w:pStyle w:val="ListParagraph"/>
        <w:numPr>
          <w:ilvl w:val="0"/>
          <w:numId w:val="10"/>
        </w:numPr>
        <w:spacing w:after="0" w:line="240" w:lineRule="auto"/>
        <w:ind w:left="1080"/>
      </w:pPr>
      <w:r w:rsidRPr="001267AE">
        <w:t>Furnish covered individuals with a notice of internet availability delivered to their electronic addresses, for example to the covered individual’s email address. The notice must include, among other things, a brief description of the document being posted online, a website address where the document is posted, and instructions for requesting a free paper copy or electing paper delivery in the future. It must sent each time a retirement plan disclosure is posted to the internet website.  To prevent “email overload,” the proposal allows a notice of internet availability to incorporate or combine other notices of internet availability in limited circumstances.</w:t>
      </w:r>
    </w:p>
    <w:p w14:paraId="4582FE49" w14:textId="77777777" w:rsidR="003F5D9B" w:rsidRDefault="003F5D9B" w:rsidP="003F5D9B">
      <w:pPr>
        <w:pStyle w:val="ListParagraph"/>
        <w:spacing w:after="0" w:line="240" w:lineRule="auto"/>
        <w:ind w:left="1080"/>
      </w:pPr>
    </w:p>
    <w:p w14:paraId="4D621EF8" w14:textId="77777777" w:rsidR="003F5D9B" w:rsidRDefault="003F5D9B" w:rsidP="003F5D9B">
      <w:pPr>
        <w:pStyle w:val="ListParagraph"/>
        <w:numPr>
          <w:ilvl w:val="0"/>
          <w:numId w:val="10"/>
        </w:numPr>
        <w:spacing w:after="0" w:line="240" w:lineRule="auto"/>
        <w:ind w:left="1080"/>
      </w:pPr>
      <w:r w:rsidRPr="001267AE">
        <w:t>Furnish covered individuals, free of charge, with a paper copy of a covered document, as soon as possible after receiving the covered individual’s request (2520.104b-31(f)(1)).</w:t>
      </w:r>
    </w:p>
    <w:p w14:paraId="484AF1E0" w14:textId="77777777" w:rsidR="003F5D9B" w:rsidRPr="001267AE" w:rsidRDefault="003F5D9B" w:rsidP="003F5D9B"/>
    <w:p w14:paraId="7E2DF9C9" w14:textId="77777777" w:rsidR="003F5D9B" w:rsidRPr="001267AE" w:rsidRDefault="003F5D9B" w:rsidP="003F5D9B">
      <w:pPr>
        <w:pStyle w:val="ListParagraph"/>
        <w:numPr>
          <w:ilvl w:val="0"/>
          <w:numId w:val="10"/>
        </w:numPr>
        <w:spacing w:after="0" w:line="240" w:lineRule="auto"/>
        <w:ind w:left="1080"/>
      </w:pPr>
      <w:r w:rsidRPr="001267AE">
        <w:t>Provide covered individuals with the ability to opt out of electronic delivery and receive only paper versions of some or all covered documents (2520.104b-31(f)(2)).  In the event that a plan administrator becomes aware of an invalid or inoperable electronic address, such as if an email is returned as undeliverable, the administrator must treat the covered individual as if he or she had elected to opt out of electronic delivery if the problem is not promptly cured (2520.104b-31(f)(4)). This provision is intended to ensure that covered individuals actually receive their pension documents by guarding against invalid or inoperable electronic addresses.</w:t>
      </w:r>
    </w:p>
    <w:p w14:paraId="2899C8BD" w14:textId="77777777" w:rsidR="00F46C5B" w:rsidRPr="00704591" w:rsidRDefault="00F46C5B" w:rsidP="003F5D9B">
      <w:pPr>
        <w:widowControl/>
        <w:ind w:left="720"/>
        <w:rPr>
          <w:rFonts w:ascii="Times New Roman" w:hAnsi="Times New Roman"/>
          <w:color w:val="000000" w:themeColor="text1"/>
        </w:rPr>
      </w:pPr>
    </w:p>
    <w:p w14:paraId="765608CA" w14:textId="77777777" w:rsidR="00F31D9B" w:rsidRPr="00704591" w:rsidRDefault="00F31D9B" w:rsidP="00AF15A4">
      <w:pPr>
        <w:widowControl/>
        <w:tabs>
          <w:tab w:val="left" w:pos="-1440"/>
        </w:tabs>
        <w:ind w:left="720" w:hanging="720"/>
        <w:rPr>
          <w:rFonts w:ascii="Times New Roman" w:hAnsi="Times New Roman"/>
          <w:color w:val="000000" w:themeColor="text1"/>
        </w:rPr>
      </w:pPr>
      <w:r w:rsidRPr="00704591">
        <w:rPr>
          <w:rFonts w:ascii="Times New Roman" w:hAnsi="Times New Roman"/>
          <w:color w:val="000000" w:themeColor="text1"/>
        </w:rPr>
        <w:t>2.</w:t>
      </w:r>
      <w:r w:rsidRPr="00704591">
        <w:rPr>
          <w:rFonts w:ascii="Times New Roman" w:hAnsi="Times New Roman"/>
          <w:color w:val="000000" w:themeColor="text1"/>
        </w:rPr>
        <w:tab/>
      </w:r>
      <w:r w:rsidRPr="00704591">
        <w:rPr>
          <w:rFonts w:ascii="Times New Roman" w:hAnsi="Times New Roman"/>
          <w:i/>
          <w:color w:val="000000" w:themeColor="text1"/>
        </w:rPr>
        <w:t>Indicate how, by whom, and for what purpose the information is to be used.  Except for a new collection, indicate the actual use the agency has made of the information received from the current collection.</w:t>
      </w:r>
    </w:p>
    <w:p w14:paraId="5D9C1BC0" w14:textId="77777777" w:rsidR="00F31D9B" w:rsidRPr="00704591" w:rsidRDefault="00F31D9B" w:rsidP="00AF15A4">
      <w:pPr>
        <w:widowControl/>
        <w:ind w:left="720"/>
        <w:rPr>
          <w:rFonts w:ascii="Times New Roman" w:hAnsi="Times New Roman"/>
          <w:color w:val="000000" w:themeColor="text1"/>
        </w:rPr>
      </w:pPr>
    </w:p>
    <w:p w14:paraId="48E18405" w14:textId="40B1F681" w:rsidR="006C717E" w:rsidRPr="00704591" w:rsidRDefault="00462FE3" w:rsidP="00AF15A4">
      <w:pPr>
        <w:widowControl/>
        <w:ind w:left="720"/>
        <w:rPr>
          <w:rFonts w:ascii="Times New Roman" w:hAnsi="Times New Roman"/>
          <w:color w:val="000000" w:themeColor="text1"/>
        </w:rPr>
      </w:pPr>
      <w:r w:rsidRPr="00704591">
        <w:rPr>
          <w:rFonts w:ascii="Times New Roman" w:hAnsi="Times New Roman"/>
          <w:color w:val="000000" w:themeColor="text1"/>
        </w:rPr>
        <w:t xml:space="preserve">The </w:t>
      </w:r>
      <w:r w:rsidR="00E33E73" w:rsidRPr="00704591">
        <w:rPr>
          <w:rFonts w:ascii="Times New Roman" w:hAnsi="Times New Roman"/>
          <w:color w:val="000000" w:themeColor="text1"/>
        </w:rPr>
        <w:t xml:space="preserve">final </w:t>
      </w:r>
      <w:r w:rsidR="00A538F1" w:rsidRPr="00704591">
        <w:rPr>
          <w:rFonts w:ascii="Times New Roman" w:hAnsi="Times New Roman"/>
          <w:color w:val="000000" w:themeColor="text1"/>
        </w:rPr>
        <w:t xml:space="preserve">rule </w:t>
      </w:r>
      <w:r w:rsidRPr="00704591">
        <w:rPr>
          <w:rFonts w:ascii="Times New Roman" w:hAnsi="Times New Roman"/>
          <w:color w:val="000000" w:themeColor="text1"/>
        </w:rPr>
        <w:t xml:space="preserve">provides </w:t>
      </w:r>
      <w:r w:rsidR="00A538F1" w:rsidRPr="00704591">
        <w:rPr>
          <w:rFonts w:ascii="Times New Roman" w:hAnsi="Times New Roman"/>
          <w:color w:val="000000" w:themeColor="text1"/>
        </w:rPr>
        <w:t>guidanc</w:t>
      </w:r>
      <w:r w:rsidR="00435B82">
        <w:rPr>
          <w:rFonts w:ascii="Times New Roman" w:hAnsi="Times New Roman"/>
          <w:color w:val="000000" w:themeColor="text1"/>
        </w:rPr>
        <w:t xml:space="preserve">e and </w:t>
      </w:r>
      <w:r w:rsidRPr="00704591">
        <w:rPr>
          <w:rFonts w:ascii="Times New Roman" w:hAnsi="Times New Roman"/>
          <w:color w:val="000000" w:themeColor="text1"/>
        </w:rPr>
        <w:t>model annual funding notices</w:t>
      </w:r>
      <w:r w:rsidR="00435B82">
        <w:rPr>
          <w:rFonts w:ascii="Times New Roman" w:hAnsi="Times New Roman"/>
          <w:color w:val="000000" w:themeColor="text1"/>
        </w:rPr>
        <w:t xml:space="preserve">. </w:t>
      </w:r>
      <w:r w:rsidR="00F46C5B">
        <w:rPr>
          <w:rFonts w:ascii="Times New Roman" w:hAnsi="Times New Roman"/>
          <w:color w:val="000000" w:themeColor="text1"/>
        </w:rPr>
        <w:t>Administrators</w:t>
      </w:r>
      <w:r w:rsidR="00435B82">
        <w:rPr>
          <w:rFonts w:ascii="Times New Roman" w:hAnsi="Times New Roman"/>
          <w:color w:val="000000" w:themeColor="text1"/>
        </w:rPr>
        <w:t xml:space="preserve"> of </w:t>
      </w:r>
      <w:r w:rsidRPr="00704591">
        <w:rPr>
          <w:rFonts w:ascii="Times New Roman" w:hAnsi="Times New Roman"/>
          <w:color w:val="000000" w:themeColor="text1"/>
        </w:rPr>
        <w:t>single and multiemployer defined benefit plan</w:t>
      </w:r>
      <w:r w:rsidR="00435B82">
        <w:rPr>
          <w:rFonts w:ascii="Times New Roman" w:hAnsi="Times New Roman"/>
          <w:color w:val="000000" w:themeColor="text1"/>
        </w:rPr>
        <w:t>s can use t</w:t>
      </w:r>
      <w:r w:rsidR="00F31D9B" w:rsidRPr="00704591">
        <w:rPr>
          <w:rFonts w:ascii="Times New Roman" w:hAnsi="Times New Roman"/>
          <w:color w:val="000000" w:themeColor="text1"/>
        </w:rPr>
        <w:t xml:space="preserve">he guidance provided in the </w:t>
      </w:r>
      <w:r w:rsidR="00E33E73" w:rsidRPr="00704591">
        <w:rPr>
          <w:rFonts w:ascii="Times New Roman" w:hAnsi="Times New Roman"/>
          <w:color w:val="000000" w:themeColor="text1"/>
        </w:rPr>
        <w:t>final</w:t>
      </w:r>
      <w:r w:rsidR="00A538F1" w:rsidRPr="00704591">
        <w:rPr>
          <w:rFonts w:ascii="Times New Roman" w:hAnsi="Times New Roman"/>
          <w:color w:val="000000" w:themeColor="text1"/>
        </w:rPr>
        <w:t xml:space="preserve"> rule </w:t>
      </w:r>
      <w:r w:rsidR="006C717E" w:rsidRPr="00704591">
        <w:rPr>
          <w:rFonts w:ascii="Times New Roman" w:hAnsi="Times New Roman"/>
          <w:color w:val="000000" w:themeColor="text1"/>
        </w:rPr>
        <w:t xml:space="preserve">(and the included </w:t>
      </w:r>
      <w:r w:rsidRPr="00704591">
        <w:rPr>
          <w:rFonts w:ascii="Times New Roman" w:hAnsi="Times New Roman"/>
          <w:color w:val="000000" w:themeColor="text1"/>
        </w:rPr>
        <w:t xml:space="preserve">model notices) </w:t>
      </w:r>
      <w:r w:rsidR="00F31D9B" w:rsidRPr="00704591">
        <w:rPr>
          <w:rFonts w:ascii="Times New Roman" w:hAnsi="Times New Roman"/>
          <w:color w:val="000000" w:themeColor="text1"/>
        </w:rPr>
        <w:t>to furnish a</w:t>
      </w:r>
      <w:r w:rsidR="00435B82">
        <w:rPr>
          <w:rFonts w:ascii="Times New Roman" w:hAnsi="Times New Roman"/>
          <w:color w:val="000000" w:themeColor="text1"/>
        </w:rPr>
        <w:t>n annual</w:t>
      </w:r>
      <w:r w:rsidR="00F31D9B" w:rsidRPr="00704591">
        <w:rPr>
          <w:rFonts w:ascii="Times New Roman" w:hAnsi="Times New Roman"/>
          <w:color w:val="000000" w:themeColor="text1"/>
        </w:rPr>
        <w:t xml:space="preserve"> notice of the plan’s funded status to the plan’s participants and beneficiaries and other specified interested parties (each labor organization representing such participants or beneficiaries, each employer that has an obligation to contribute under the plan, and the PBGC)</w:t>
      </w:r>
      <w:r w:rsidR="00435B82">
        <w:rPr>
          <w:rFonts w:ascii="Times New Roman" w:hAnsi="Times New Roman"/>
          <w:color w:val="000000" w:themeColor="text1"/>
        </w:rPr>
        <w:t xml:space="preserve"> as required by ERISA 101(f).</w:t>
      </w:r>
      <w:r w:rsidR="00F31D9B" w:rsidRPr="00704591">
        <w:rPr>
          <w:rFonts w:ascii="Times New Roman" w:hAnsi="Times New Roman"/>
          <w:color w:val="000000" w:themeColor="text1"/>
        </w:rPr>
        <w:t xml:space="preserve">  </w:t>
      </w:r>
    </w:p>
    <w:p w14:paraId="0E92838B" w14:textId="77777777" w:rsidR="006C717E" w:rsidRPr="00704591" w:rsidRDefault="006C717E" w:rsidP="00AF15A4">
      <w:pPr>
        <w:widowControl/>
        <w:ind w:left="720"/>
        <w:rPr>
          <w:rFonts w:ascii="Times New Roman" w:hAnsi="Times New Roman"/>
          <w:color w:val="000000" w:themeColor="text1"/>
        </w:rPr>
      </w:pPr>
    </w:p>
    <w:p w14:paraId="25CD292A" w14:textId="73176315" w:rsidR="00F56DB7" w:rsidRDefault="00435B82" w:rsidP="00AF15A4">
      <w:pPr>
        <w:widowControl/>
        <w:ind w:left="720"/>
        <w:rPr>
          <w:rFonts w:ascii="Times New Roman" w:hAnsi="Times New Roman"/>
          <w:color w:val="000000" w:themeColor="text1"/>
        </w:rPr>
      </w:pPr>
      <w:r>
        <w:rPr>
          <w:rFonts w:ascii="Times New Roman" w:hAnsi="Times New Roman"/>
          <w:color w:val="000000" w:themeColor="text1"/>
        </w:rPr>
        <w:t xml:space="preserve">The Department </w:t>
      </w:r>
      <w:r w:rsidR="00F31D9B" w:rsidRPr="00704591">
        <w:rPr>
          <w:rFonts w:ascii="Times New Roman" w:hAnsi="Times New Roman"/>
          <w:color w:val="000000" w:themeColor="text1"/>
        </w:rPr>
        <w:t>assume</w:t>
      </w:r>
      <w:r>
        <w:rPr>
          <w:rFonts w:ascii="Times New Roman" w:hAnsi="Times New Roman"/>
          <w:color w:val="000000" w:themeColor="text1"/>
        </w:rPr>
        <w:t>s</w:t>
      </w:r>
      <w:r w:rsidR="00F31D9B" w:rsidRPr="00704591">
        <w:rPr>
          <w:rFonts w:ascii="Times New Roman" w:hAnsi="Times New Roman"/>
          <w:color w:val="000000" w:themeColor="text1"/>
        </w:rPr>
        <w:t xml:space="preserve"> that the availability of model notice</w:t>
      </w:r>
      <w:r w:rsidR="00657C8E" w:rsidRPr="00704591">
        <w:rPr>
          <w:rFonts w:ascii="Times New Roman" w:hAnsi="Times New Roman"/>
          <w:color w:val="000000" w:themeColor="text1"/>
        </w:rPr>
        <w:t>s in the appendices</w:t>
      </w:r>
      <w:r w:rsidR="00F31D9B" w:rsidRPr="00704591">
        <w:rPr>
          <w:rFonts w:ascii="Times New Roman" w:hAnsi="Times New Roman"/>
          <w:color w:val="000000" w:themeColor="text1"/>
        </w:rPr>
        <w:t xml:space="preserve"> lessen the time </w:t>
      </w:r>
      <w:r>
        <w:rPr>
          <w:rFonts w:ascii="Times New Roman" w:hAnsi="Times New Roman"/>
          <w:color w:val="000000" w:themeColor="text1"/>
        </w:rPr>
        <w:t xml:space="preserve">that </w:t>
      </w:r>
      <w:r w:rsidR="00F31D9B" w:rsidRPr="00704591">
        <w:rPr>
          <w:rFonts w:ascii="Times New Roman" w:hAnsi="Times New Roman"/>
          <w:color w:val="000000" w:themeColor="text1"/>
        </w:rPr>
        <w:t xml:space="preserve">otherwise </w:t>
      </w:r>
      <w:r>
        <w:rPr>
          <w:rFonts w:ascii="Times New Roman" w:hAnsi="Times New Roman"/>
          <w:color w:val="000000" w:themeColor="text1"/>
        </w:rPr>
        <w:t xml:space="preserve">would be </w:t>
      </w:r>
      <w:r w:rsidR="00F31D9B" w:rsidRPr="00704591">
        <w:rPr>
          <w:rFonts w:ascii="Times New Roman" w:hAnsi="Times New Roman"/>
          <w:color w:val="000000" w:themeColor="text1"/>
        </w:rPr>
        <w:t xml:space="preserve">required </w:t>
      </w:r>
      <w:r>
        <w:rPr>
          <w:rFonts w:ascii="Times New Roman" w:hAnsi="Times New Roman"/>
          <w:color w:val="000000" w:themeColor="text1"/>
        </w:rPr>
        <w:t xml:space="preserve">for </w:t>
      </w:r>
      <w:r w:rsidR="00F31D9B" w:rsidRPr="00704591">
        <w:rPr>
          <w:rFonts w:ascii="Times New Roman" w:hAnsi="Times New Roman"/>
          <w:color w:val="000000" w:themeColor="text1"/>
        </w:rPr>
        <w:t>plan administrator</w:t>
      </w:r>
      <w:r>
        <w:rPr>
          <w:rFonts w:ascii="Times New Roman" w:hAnsi="Times New Roman"/>
          <w:color w:val="000000" w:themeColor="text1"/>
        </w:rPr>
        <w:t>s</w:t>
      </w:r>
      <w:r w:rsidR="00F31D9B" w:rsidRPr="00704591">
        <w:rPr>
          <w:rFonts w:ascii="Times New Roman" w:hAnsi="Times New Roman"/>
          <w:color w:val="000000" w:themeColor="text1"/>
        </w:rPr>
        <w:t xml:space="preserve"> to draft </w:t>
      </w:r>
      <w:r>
        <w:rPr>
          <w:rFonts w:ascii="Times New Roman" w:hAnsi="Times New Roman"/>
          <w:color w:val="000000" w:themeColor="text1"/>
        </w:rPr>
        <w:t>the</w:t>
      </w:r>
      <w:r w:rsidR="00F31D9B" w:rsidRPr="00704591">
        <w:rPr>
          <w:rFonts w:ascii="Times New Roman" w:hAnsi="Times New Roman"/>
          <w:color w:val="000000" w:themeColor="text1"/>
        </w:rPr>
        <w:t xml:space="preserve"> required notice.</w:t>
      </w:r>
    </w:p>
    <w:p w14:paraId="4AB0F68A" w14:textId="77777777" w:rsidR="00F31D9B" w:rsidRPr="00704591" w:rsidRDefault="00F31D9B" w:rsidP="00AF15A4">
      <w:pPr>
        <w:widowControl/>
        <w:ind w:left="720"/>
        <w:rPr>
          <w:rFonts w:ascii="Times New Roman" w:hAnsi="Times New Roman"/>
          <w:color w:val="000000" w:themeColor="text1"/>
        </w:rPr>
      </w:pPr>
    </w:p>
    <w:p w14:paraId="01EEF483" w14:textId="77777777" w:rsidR="00F31D9B" w:rsidRPr="00704591" w:rsidRDefault="00F31D9B" w:rsidP="00AF15A4">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3.</w:t>
      </w:r>
      <w:r w:rsidRPr="00704591">
        <w:rPr>
          <w:rFonts w:ascii="Times New Roman" w:hAnsi="Times New Roman"/>
          <w:color w:val="000000" w:themeColor="text1"/>
        </w:rPr>
        <w:tab/>
      </w:r>
      <w:r w:rsidRPr="00704591">
        <w:rPr>
          <w:rFonts w:ascii="Times New Roman" w:hAnsi="Times New Roman"/>
          <w:i/>
          <w:color w:val="000000" w:themeColor="text1"/>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14:paraId="4726FA0A" w14:textId="77777777" w:rsidR="00F31D9B" w:rsidRPr="00704591" w:rsidRDefault="00F31D9B" w:rsidP="00AF15A4">
      <w:pPr>
        <w:widowControl/>
        <w:tabs>
          <w:tab w:val="left" w:pos="-1440"/>
        </w:tabs>
        <w:ind w:left="720"/>
        <w:rPr>
          <w:rFonts w:ascii="Times New Roman" w:hAnsi="Times New Roman"/>
          <w:color w:val="000000" w:themeColor="text1"/>
        </w:rPr>
      </w:pPr>
    </w:p>
    <w:p w14:paraId="3D53312B" w14:textId="77777777" w:rsidR="006F0EEF" w:rsidRPr="00704591" w:rsidRDefault="00F31D9B" w:rsidP="00AF15A4">
      <w:pPr>
        <w:widowControl/>
        <w:tabs>
          <w:tab w:val="left" w:pos="-1440"/>
        </w:tabs>
        <w:ind w:left="720"/>
        <w:rPr>
          <w:rFonts w:ascii="Times New Roman" w:hAnsi="Times New Roman"/>
          <w:color w:val="000000" w:themeColor="text1"/>
        </w:rPr>
      </w:pPr>
      <w:r w:rsidRPr="00704591">
        <w:rPr>
          <w:rFonts w:ascii="Times New Roman" w:hAnsi="Times New Roman"/>
          <w:color w:val="000000" w:themeColor="text1"/>
        </w:rPr>
        <w:t xml:space="preserve">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w:t>
      </w:r>
      <w:r w:rsidR="006F0EEF" w:rsidRPr="00704591">
        <w:rPr>
          <w:rFonts w:ascii="Times New Roman" w:hAnsi="Times New Roman"/>
          <w:color w:val="000000" w:themeColor="text1"/>
        </w:rPr>
        <w:t>The interim final rule assumes that 38 percent of the notices will be sent electronically.</w:t>
      </w:r>
    </w:p>
    <w:p w14:paraId="3B921FCE" w14:textId="77777777" w:rsidR="006F0EEF" w:rsidRPr="00704591" w:rsidRDefault="006F0EEF" w:rsidP="00AF15A4">
      <w:pPr>
        <w:widowControl/>
        <w:tabs>
          <w:tab w:val="left" w:pos="-1440"/>
        </w:tabs>
        <w:ind w:left="720"/>
        <w:rPr>
          <w:rFonts w:ascii="Times New Roman" w:hAnsi="Times New Roman"/>
          <w:color w:val="000000" w:themeColor="text1"/>
        </w:rPr>
      </w:pPr>
    </w:p>
    <w:p w14:paraId="6FDAEBDD" w14:textId="77777777" w:rsidR="00F31D9B" w:rsidRPr="00704591" w:rsidRDefault="00F31D9B" w:rsidP="00AF15A4">
      <w:pPr>
        <w:widowControl/>
        <w:tabs>
          <w:tab w:val="left" w:pos="-1440"/>
        </w:tabs>
        <w:ind w:left="720"/>
        <w:rPr>
          <w:rFonts w:ascii="Times New Roman" w:hAnsi="Times New Roman"/>
          <w:i/>
          <w:color w:val="000000" w:themeColor="text1"/>
        </w:rPr>
      </w:pPr>
      <w:r w:rsidRPr="00704591">
        <w:rPr>
          <w:rFonts w:ascii="Times New Roman" w:hAnsi="Times New Roman"/>
          <w:color w:val="000000" w:themeColor="text1"/>
        </w:rPr>
        <w:t xml:space="preserve">Section 2520-107-1 establishes standards concerning the use of electronic media for maintenance and retention of records. Under these rules, all pension and welfare plans covered under Title I of ERISA may use electronic media to satisfy disclosure and recordkeeping obligations, subject to specific safeguards.  </w:t>
      </w:r>
    </w:p>
    <w:p w14:paraId="3C9768CF" w14:textId="77777777" w:rsidR="00F31D9B" w:rsidRPr="00704591" w:rsidRDefault="00F31D9B" w:rsidP="00AF15A4">
      <w:pPr>
        <w:widowControl/>
        <w:ind w:left="720"/>
        <w:rPr>
          <w:rFonts w:ascii="Times New Roman" w:hAnsi="Times New Roman"/>
          <w:b/>
          <w:color w:val="000000" w:themeColor="text1"/>
        </w:rPr>
      </w:pPr>
    </w:p>
    <w:p w14:paraId="179C99DB" w14:textId="77777777" w:rsidR="00F31D9B" w:rsidRPr="00704591" w:rsidRDefault="00F31D9B" w:rsidP="00AF15A4">
      <w:pPr>
        <w:pStyle w:val="BodyText"/>
        <w:ind w:left="720"/>
        <w:rPr>
          <w:color w:val="000000" w:themeColor="text1"/>
        </w:rPr>
      </w:pPr>
      <w:r w:rsidRPr="00704591">
        <w:rPr>
          <w:color w:val="000000" w:themeColor="text1"/>
        </w:rPr>
        <w:t>The Government Paperwork Elimination Act (GPEA) requires agencies to allow customers the option to submit information or transact with the government electronically, when practicable.  Where feasible, and subject to resource availability and resolution of legal issues, EBSA has implemented the electronic acceptance of information submitted by custo</w:t>
      </w:r>
      <w:r w:rsidR="00697A72">
        <w:rPr>
          <w:color w:val="000000" w:themeColor="text1"/>
        </w:rPr>
        <w:t>mers to the federal government.</w:t>
      </w:r>
    </w:p>
    <w:p w14:paraId="6DC71310" w14:textId="77777777" w:rsidR="00F31D9B" w:rsidRPr="00704591" w:rsidRDefault="00F31D9B" w:rsidP="00AF15A4">
      <w:pPr>
        <w:widowControl/>
        <w:ind w:left="720"/>
        <w:rPr>
          <w:rFonts w:ascii="Times New Roman" w:hAnsi="Times New Roman"/>
          <w:color w:val="000000" w:themeColor="text1"/>
        </w:rPr>
      </w:pPr>
    </w:p>
    <w:p w14:paraId="093348F9" w14:textId="77777777" w:rsidR="00F31D9B" w:rsidRPr="00704591" w:rsidRDefault="00F31D9B" w:rsidP="00697A72">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4.</w:t>
      </w:r>
      <w:r w:rsidRPr="00704591">
        <w:rPr>
          <w:rFonts w:ascii="Times New Roman" w:hAnsi="Times New Roman"/>
          <w:color w:val="000000" w:themeColor="text1"/>
        </w:rPr>
        <w:tab/>
      </w:r>
      <w:r w:rsidRPr="00704591">
        <w:rPr>
          <w:rFonts w:ascii="Times New Roman" w:hAnsi="Times New Roman"/>
          <w:i/>
          <w:color w:val="000000" w:themeColor="text1"/>
        </w:rPr>
        <w:t>Describe efforts to identify duplication.  Show specifically why any similar information already available cannot be used or modified for use for the purposes described in Item 2 above.</w:t>
      </w:r>
    </w:p>
    <w:p w14:paraId="0F832B30" w14:textId="77777777" w:rsidR="00F31D9B" w:rsidRPr="00704591" w:rsidRDefault="00F31D9B" w:rsidP="00697A72">
      <w:pPr>
        <w:widowControl/>
        <w:tabs>
          <w:tab w:val="left" w:pos="-1440"/>
        </w:tabs>
        <w:ind w:left="720"/>
        <w:rPr>
          <w:rFonts w:ascii="Times New Roman" w:hAnsi="Times New Roman"/>
          <w:i/>
          <w:color w:val="000000" w:themeColor="text1"/>
        </w:rPr>
      </w:pPr>
    </w:p>
    <w:p w14:paraId="361C82CA" w14:textId="7198F6BC" w:rsidR="00F31D9B" w:rsidRPr="00704591" w:rsidRDefault="00F31D9B" w:rsidP="00AC461B">
      <w:pPr>
        <w:widowControl/>
        <w:ind w:left="720"/>
        <w:rPr>
          <w:rFonts w:ascii="Times New Roman" w:hAnsi="Times New Roman"/>
          <w:color w:val="000000" w:themeColor="text1"/>
        </w:rPr>
      </w:pPr>
      <w:r w:rsidRPr="00704591">
        <w:rPr>
          <w:rFonts w:ascii="Times New Roman" w:hAnsi="Times New Roman"/>
          <w:color w:val="000000" w:themeColor="text1"/>
        </w:rPr>
        <w:t xml:space="preserve">Much of the information required to be furnished in the notice is maintained in the normal business records of pension plans.  In addition, much of the information required to be included in the notice is provided on the Form 5500 Annual Return/Report and associated schedules, and </w:t>
      </w:r>
      <w:r w:rsidR="00440A15" w:rsidRPr="00704591">
        <w:rPr>
          <w:rFonts w:ascii="Times New Roman" w:hAnsi="Times New Roman"/>
          <w:color w:val="000000" w:themeColor="text1"/>
        </w:rPr>
        <w:t xml:space="preserve">the </w:t>
      </w:r>
      <w:r w:rsidR="00697A72">
        <w:rPr>
          <w:rFonts w:ascii="Times New Roman" w:hAnsi="Times New Roman"/>
          <w:color w:val="000000" w:themeColor="text1"/>
        </w:rPr>
        <w:t>Summary Plan Description.</w:t>
      </w:r>
      <w:r w:rsidR="00AC461B">
        <w:rPr>
          <w:rFonts w:ascii="Times New Roman" w:hAnsi="Times New Roman"/>
          <w:color w:val="000000" w:themeColor="text1"/>
        </w:rPr>
        <w:t xml:space="preserve"> </w:t>
      </w:r>
      <w:r w:rsidR="00435B82">
        <w:rPr>
          <w:rFonts w:ascii="Times New Roman" w:hAnsi="Times New Roman"/>
          <w:color w:val="000000" w:themeColor="text1"/>
        </w:rPr>
        <w:t xml:space="preserve"> The annual notice requirement is not duplicative, because it is required to be provided to participants and beneficiaries, while the Form 5500 is not (it is filed electronically with the Department and contains much information other the funding information required to be disclosed on the notice). Congress required </w:t>
      </w:r>
      <w:r w:rsidR="00132006">
        <w:rPr>
          <w:rFonts w:ascii="Times New Roman" w:hAnsi="Times New Roman"/>
          <w:color w:val="000000" w:themeColor="text1"/>
        </w:rPr>
        <w:t xml:space="preserve">defined benefit plan administrators to </w:t>
      </w:r>
      <w:r w:rsidR="00435B82">
        <w:rPr>
          <w:rFonts w:ascii="Times New Roman" w:hAnsi="Times New Roman"/>
          <w:color w:val="000000" w:themeColor="text1"/>
        </w:rPr>
        <w:t xml:space="preserve">provide participants and beneficiaries with </w:t>
      </w:r>
      <w:r w:rsidR="00132006">
        <w:rPr>
          <w:rFonts w:ascii="Times New Roman" w:hAnsi="Times New Roman"/>
          <w:color w:val="000000" w:themeColor="text1"/>
        </w:rPr>
        <w:t xml:space="preserve">the funding notice so they will have </w:t>
      </w:r>
      <w:r w:rsidR="008E0332">
        <w:rPr>
          <w:rFonts w:ascii="Times New Roman" w:hAnsi="Times New Roman"/>
          <w:color w:val="000000" w:themeColor="text1"/>
        </w:rPr>
        <w:t xml:space="preserve">immediate access to </w:t>
      </w:r>
      <w:r w:rsidR="00132006">
        <w:rPr>
          <w:rFonts w:ascii="Times New Roman" w:hAnsi="Times New Roman"/>
          <w:color w:val="000000" w:themeColor="text1"/>
        </w:rPr>
        <w:t xml:space="preserve">sufficient </w:t>
      </w:r>
      <w:r w:rsidR="008E0332">
        <w:rPr>
          <w:rFonts w:ascii="Times New Roman" w:hAnsi="Times New Roman"/>
          <w:color w:val="000000" w:themeColor="text1"/>
        </w:rPr>
        <w:t>information to access the funding status of their plans.</w:t>
      </w:r>
    </w:p>
    <w:p w14:paraId="7ED25B9E" w14:textId="77777777" w:rsidR="00F31D9B" w:rsidRPr="00704591" w:rsidRDefault="00F31D9B" w:rsidP="00697A72">
      <w:pPr>
        <w:widowControl/>
        <w:ind w:left="720"/>
        <w:rPr>
          <w:rFonts w:ascii="Times New Roman" w:hAnsi="Times New Roman"/>
          <w:color w:val="000000" w:themeColor="text1"/>
        </w:rPr>
      </w:pPr>
    </w:p>
    <w:p w14:paraId="6711AD3D" w14:textId="77777777" w:rsidR="00F31D9B" w:rsidRPr="00704591" w:rsidRDefault="00F31D9B" w:rsidP="00697A72">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5.</w:t>
      </w:r>
      <w:r w:rsidRPr="00704591">
        <w:rPr>
          <w:rFonts w:ascii="Times New Roman" w:hAnsi="Times New Roman"/>
          <w:color w:val="000000" w:themeColor="text1"/>
        </w:rPr>
        <w:tab/>
      </w:r>
      <w:r w:rsidRPr="00704591">
        <w:rPr>
          <w:rFonts w:ascii="Times New Roman" w:hAnsi="Times New Roman"/>
          <w:i/>
          <w:color w:val="000000" w:themeColor="text1"/>
        </w:rPr>
        <w:t>If the collection of information impacts small businesses or other small entities, describe any methods used to minimize burden.</w:t>
      </w:r>
    </w:p>
    <w:p w14:paraId="2C2FEC48" w14:textId="77777777" w:rsidR="00F31D9B" w:rsidRPr="00704591" w:rsidRDefault="00F31D9B" w:rsidP="00697A72">
      <w:pPr>
        <w:widowControl/>
        <w:tabs>
          <w:tab w:val="left" w:pos="-1440"/>
        </w:tabs>
        <w:ind w:left="720"/>
        <w:rPr>
          <w:rFonts w:ascii="Times New Roman" w:hAnsi="Times New Roman"/>
          <w:color w:val="000000" w:themeColor="text1"/>
        </w:rPr>
      </w:pPr>
    </w:p>
    <w:p w14:paraId="458847F1" w14:textId="0CE766C5" w:rsidR="00F31D9B" w:rsidRDefault="008E0332" w:rsidP="00697A72">
      <w:pPr>
        <w:widowControl/>
        <w:ind w:left="720"/>
        <w:rPr>
          <w:rFonts w:ascii="Times New Roman" w:hAnsi="Times New Roman"/>
          <w:color w:val="000000" w:themeColor="text1"/>
        </w:rPr>
      </w:pPr>
      <w:r>
        <w:rPr>
          <w:rFonts w:ascii="Times New Roman" w:hAnsi="Times New Roman"/>
          <w:color w:val="000000" w:themeColor="text1"/>
        </w:rPr>
        <w:t>In the final regulations, t</w:t>
      </w:r>
      <w:r w:rsidR="00AE1D66" w:rsidRPr="00704591">
        <w:rPr>
          <w:rFonts w:ascii="Times New Roman" w:hAnsi="Times New Roman"/>
          <w:color w:val="000000" w:themeColor="text1"/>
        </w:rPr>
        <w:t>he Department provide</w:t>
      </w:r>
      <w:r w:rsidR="00F74E32">
        <w:rPr>
          <w:rFonts w:ascii="Times New Roman" w:hAnsi="Times New Roman"/>
          <w:color w:val="000000" w:themeColor="text1"/>
        </w:rPr>
        <w:t>s</w:t>
      </w:r>
      <w:r w:rsidR="00AE1D66" w:rsidRPr="00704591">
        <w:rPr>
          <w:rFonts w:ascii="Times New Roman" w:hAnsi="Times New Roman"/>
          <w:color w:val="000000" w:themeColor="text1"/>
        </w:rPr>
        <w:t xml:space="preserve"> model notices</w:t>
      </w:r>
      <w:r w:rsidR="00EA42C9">
        <w:rPr>
          <w:rFonts w:ascii="Times New Roman" w:hAnsi="Times New Roman"/>
          <w:color w:val="000000" w:themeColor="text1"/>
        </w:rPr>
        <w:t xml:space="preserve"> for both single-employer and multiemployer plans</w:t>
      </w:r>
      <w:r w:rsidR="00AE1D66" w:rsidRPr="00704591">
        <w:rPr>
          <w:rFonts w:ascii="Times New Roman" w:hAnsi="Times New Roman"/>
          <w:color w:val="000000" w:themeColor="text1"/>
        </w:rPr>
        <w:t xml:space="preserve"> that will help reduce the burden on small plan</w:t>
      </w:r>
      <w:r>
        <w:rPr>
          <w:rFonts w:ascii="Times New Roman" w:hAnsi="Times New Roman"/>
          <w:color w:val="000000" w:themeColor="text1"/>
        </w:rPr>
        <w:t xml:space="preserve"> administrator</w:t>
      </w:r>
      <w:r w:rsidR="00AE1D66" w:rsidRPr="00704591">
        <w:rPr>
          <w:rFonts w:ascii="Times New Roman" w:hAnsi="Times New Roman"/>
          <w:color w:val="000000" w:themeColor="text1"/>
        </w:rPr>
        <w:t xml:space="preserve">s. </w:t>
      </w:r>
    </w:p>
    <w:p w14:paraId="183CD4D3" w14:textId="77777777" w:rsidR="00697A72" w:rsidRPr="00704591" w:rsidRDefault="00697A72" w:rsidP="00697A72">
      <w:pPr>
        <w:widowControl/>
        <w:ind w:left="720"/>
        <w:rPr>
          <w:rFonts w:ascii="Times New Roman" w:hAnsi="Times New Roman"/>
          <w:color w:val="000000" w:themeColor="text1"/>
        </w:rPr>
      </w:pPr>
    </w:p>
    <w:p w14:paraId="70BD682F" w14:textId="77777777" w:rsidR="00F31D9B" w:rsidRPr="00704591" w:rsidRDefault="00F31D9B" w:rsidP="00697A72">
      <w:pPr>
        <w:widowControl/>
        <w:tabs>
          <w:tab w:val="left" w:pos="-1440"/>
        </w:tabs>
        <w:ind w:left="720" w:hanging="720"/>
        <w:rPr>
          <w:rFonts w:ascii="Times New Roman" w:hAnsi="Times New Roman"/>
          <w:color w:val="000000" w:themeColor="text1"/>
        </w:rPr>
      </w:pPr>
      <w:r w:rsidRPr="00704591">
        <w:rPr>
          <w:rFonts w:ascii="Times New Roman" w:hAnsi="Times New Roman"/>
          <w:color w:val="000000" w:themeColor="text1"/>
        </w:rPr>
        <w:t>6.</w:t>
      </w:r>
      <w:r w:rsidRPr="00704591">
        <w:rPr>
          <w:rFonts w:ascii="Times New Roman" w:hAnsi="Times New Roman"/>
          <w:color w:val="000000" w:themeColor="text1"/>
        </w:rPr>
        <w:tab/>
      </w:r>
      <w:r w:rsidRPr="00704591">
        <w:rPr>
          <w:rFonts w:ascii="Times New Roman" w:hAnsi="Times New Roman"/>
          <w:i/>
          <w:color w:val="000000" w:themeColor="text1"/>
        </w:rPr>
        <w:t>Describe the consequence to Federal program or policy activities if the collection is not conducted or is conducted less frequently, as well as any technical or legal obstacles to reducing burden.</w:t>
      </w:r>
    </w:p>
    <w:p w14:paraId="2D52C27E" w14:textId="77777777" w:rsidR="00F31D9B" w:rsidRPr="00704591" w:rsidRDefault="00F31D9B" w:rsidP="00697A72">
      <w:pPr>
        <w:widowControl/>
        <w:ind w:left="720"/>
        <w:rPr>
          <w:rFonts w:ascii="Times New Roman" w:hAnsi="Times New Roman"/>
          <w:color w:val="000000" w:themeColor="text1"/>
        </w:rPr>
      </w:pPr>
    </w:p>
    <w:p w14:paraId="5AFC3982" w14:textId="6741D365" w:rsidR="00F31D9B" w:rsidRPr="00704591" w:rsidRDefault="00F31D9B" w:rsidP="00697A72">
      <w:pPr>
        <w:widowControl/>
        <w:ind w:left="720"/>
        <w:rPr>
          <w:rFonts w:ascii="Times New Roman" w:hAnsi="Times New Roman"/>
          <w:color w:val="000000" w:themeColor="text1"/>
        </w:rPr>
      </w:pPr>
      <w:r w:rsidRPr="00704591">
        <w:rPr>
          <w:rFonts w:ascii="Times New Roman" w:hAnsi="Times New Roman"/>
          <w:color w:val="000000" w:themeColor="text1"/>
        </w:rPr>
        <w:t>This information collection does not involve reporting to the Federal government.</w:t>
      </w:r>
      <w:r w:rsidR="008D1E97">
        <w:rPr>
          <w:rFonts w:ascii="Times New Roman" w:hAnsi="Times New Roman"/>
          <w:color w:val="000000" w:themeColor="text1"/>
        </w:rPr>
        <w:t xml:space="preserve">  Without this information collection, plan</w:t>
      </w:r>
      <w:r w:rsidR="008E0332">
        <w:rPr>
          <w:rFonts w:ascii="Times New Roman" w:hAnsi="Times New Roman"/>
          <w:color w:val="000000" w:themeColor="text1"/>
        </w:rPr>
        <w:t xml:space="preserve"> administrator</w:t>
      </w:r>
      <w:r w:rsidR="008D1E97">
        <w:rPr>
          <w:rFonts w:ascii="Times New Roman" w:hAnsi="Times New Roman"/>
          <w:color w:val="000000" w:themeColor="text1"/>
        </w:rPr>
        <w:t xml:space="preserve">s would have </w:t>
      </w:r>
      <w:r w:rsidR="008311E4">
        <w:rPr>
          <w:rFonts w:ascii="Times New Roman" w:hAnsi="Times New Roman"/>
          <w:color w:val="000000" w:themeColor="text1"/>
        </w:rPr>
        <w:t xml:space="preserve">not have sufficient guidance from the Department regard acceptable </w:t>
      </w:r>
      <w:r w:rsidR="008D1E97">
        <w:rPr>
          <w:rFonts w:ascii="Times New Roman" w:hAnsi="Times New Roman"/>
          <w:color w:val="000000" w:themeColor="text1"/>
        </w:rPr>
        <w:t xml:space="preserve">method </w:t>
      </w:r>
      <w:r w:rsidR="008311E4">
        <w:rPr>
          <w:rFonts w:ascii="Times New Roman" w:hAnsi="Times New Roman"/>
          <w:color w:val="000000" w:themeColor="text1"/>
        </w:rPr>
        <w:t xml:space="preserve">to comply </w:t>
      </w:r>
      <w:r w:rsidR="008D1E97">
        <w:rPr>
          <w:rFonts w:ascii="Times New Roman" w:hAnsi="Times New Roman"/>
          <w:color w:val="000000" w:themeColor="text1"/>
        </w:rPr>
        <w:t xml:space="preserve">with </w:t>
      </w:r>
      <w:r w:rsidR="001D0E94">
        <w:rPr>
          <w:rFonts w:ascii="Times New Roman" w:hAnsi="Times New Roman"/>
          <w:color w:val="000000" w:themeColor="text1"/>
        </w:rPr>
        <w:t>the statutory requirement</w:t>
      </w:r>
      <w:r w:rsidR="008311E4">
        <w:rPr>
          <w:rFonts w:ascii="Times New Roman" w:hAnsi="Times New Roman"/>
          <w:color w:val="000000" w:themeColor="text1"/>
        </w:rPr>
        <w:t xml:space="preserve"> to provide an annual fu</w:t>
      </w:r>
      <w:r w:rsidR="00704355">
        <w:rPr>
          <w:rFonts w:ascii="Times New Roman" w:hAnsi="Times New Roman"/>
          <w:color w:val="000000" w:themeColor="text1"/>
        </w:rPr>
        <w:t>n</w:t>
      </w:r>
      <w:r w:rsidR="008311E4">
        <w:rPr>
          <w:rFonts w:ascii="Times New Roman" w:hAnsi="Times New Roman"/>
          <w:color w:val="000000" w:themeColor="text1"/>
        </w:rPr>
        <w:t xml:space="preserve">ding notice pursuant to ERISA </w:t>
      </w:r>
      <w:r w:rsidR="008E0332">
        <w:rPr>
          <w:rFonts w:ascii="Times New Roman" w:hAnsi="Times New Roman"/>
          <w:color w:val="000000" w:themeColor="text1"/>
        </w:rPr>
        <w:t>section 101(f)</w:t>
      </w:r>
      <w:r w:rsidR="001D0E94">
        <w:rPr>
          <w:rFonts w:ascii="Times New Roman" w:hAnsi="Times New Roman"/>
          <w:color w:val="000000" w:themeColor="text1"/>
        </w:rPr>
        <w:t>.</w:t>
      </w:r>
    </w:p>
    <w:p w14:paraId="193712FC" w14:textId="77777777" w:rsidR="00F31D9B" w:rsidRPr="00704591" w:rsidRDefault="00F31D9B" w:rsidP="00697A72">
      <w:pPr>
        <w:widowControl/>
        <w:ind w:left="720"/>
        <w:rPr>
          <w:rFonts w:ascii="Times New Roman" w:hAnsi="Times New Roman"/>
          <w:color w:val="000000" w:themeColor="text1"/>
        </w:rPr>
      </w:pPr>
    </w:p>
    <w:p w14:paraId="70E01075" w14:textId="77777777" w:rsidR="00F31D9B" w:rsidRPr="00704591" w:rsidRDefault="00F31D9B" w:rsidP="00697A72">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7.</w:t>
      </w:r>
      <w:r w:rsidRPr="00704591">
        <w:rPr>
          <w:rFonts w:ascii="Times New Roman" w:hAnsi="Times New Roman"/>
          <w:color w:val="000000" w:themeColor="text1"/>
        </w:rPr>
        <w:tab/>
      </w:r>
      <w:r w:rsidRPr="00704591">
        <w:rPr>
          <w:rFonts w:ascii="Times New Roman" w:hAnsi="Times New Roman"/>
          <w:i/>
          <w:color w:val="000000" w:themeColor="text1"/>
        </w:rPr>
        <w:t>Explain any special circumstances that would cause an information collection to be conducted in a manner:</w:t>
      </w:r>
    </w:p>
    <w:p w14:paraId="5EE43A35"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requiring respondents to report information to the agency more often than quarterly;</w:t>
      </w:r>
    </w:p>
    <w:p w14:paraId="7499FE0F"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requiring respondents to prepare a written response to a collection of information in fewer than 30 days after receipt of it;</w:t>
      </w:r>
    </w:p>
    <w:p w14:paraId="52B47A7D"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requiring respondents to submit more than an original and two copies of any document;</w:t>
      </w:r>
    </w:p>
    <w:p w14:paraId="70CBDCC2"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requiring respondents to retain records, other than health, medical, government contract, grant-in-aid, or tax records for more than three years;</w:t>
      </w:r>
    </w:p>
    <w:p w14:paraId="57E0E607"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in connection with a statistical survey, that is not designed to produce valid and reliable results that can be generalized to the universe of study;</w:t>
      </w:r>
    </w:p>
    <w:p w14:paraId="69E57594"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requiring the use of a statistical data classification that has not been reviewed and approved by OMB;</w:t>
      </w:r>
    </w:p>
    <w:p w14:paraId="22DCA335"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56DE613" w14:textId="77777777" w:rsidR="00F31D9B" w:rsidRPr="00704591" w:rsidRDefault="00F31D9B" w:rsidP="00697A72">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requiring respondents to submit proprietary trade secret, or other confidential information unless the agency can demonstrate that it has instituted procedures to protect the information's confidentiality to the extent permitted by law.</w:t>
      </w:r>
    </w:p>
    <w:p w14:paraId="642014C2" w14:textId="77777777" w:rsidR="00F31D9B" w:rsidRPr="00704591" w:rsidRDefault="00F31D9B" w:rsidP="00697A72">
      <w:pPr>
        <w:widowControl/>
        <w:ind w:left="720"/>
        <w:rPr>
          <w:rFonts w:ascii="Times New Roman" w:hAnsi="Times New Roman"/>
          <w:color w:val="000000" w:themeColor="text1"/>
        </w:rPr>
      </w:pPr>
    </w:p>
    <w:p w14:paraId="3DC9369C" w14:textId="77777777" w:rsidR="00F31D9B" w:rsidRPr="00704591" w:rsidRDefault="00F31D9B" w:rsidP="00697A72">
      <w:pPr>
        <w:widowControl/>
        <w:ind w:left="720"/>
        <w:rPr>
          <w:rFonts w:ascii="Times New Roman" w:hAnsi="Times New Roman"/>
          <w:i/>
          <w:color w:val="000000" w:themeColor="text1"/>
        </w:rPr>
      </w:pPr>
      <w:r w:rsidRPr="00704591">
        <w:rPr>
          <w:rFonts w:ascii="Times New Roman" w:hAnsi="Times New Roman"/>
          <w:color w:val="000000" w:themeColor="text1"/>
        </w:rPr>
        <w:t>None</w:t>
      </w:r>
      <w:r w:rsidR="00E809AC">
        <w:rPr>
          <w:rFonts w:ascii="Times New Roman" w:hAnsi="Times New Roman"/>
          <w:color w:val="000000" w:themeColor="text1"/>
        </w:rPr>
        <w:t xml:space="preserve"> of the special circumstances apply</w:t>
      </w:r>
      <w:r w:rsidRPr="00704591">
        <w:rPr>
          <w:rFonts w:ascii="Times New Roman" w:hAnsi="Times New Roman"/>
          <w:color w:val="000000" w:themeColor="text1"/>
        </w:rPr>
        <w:t>.</w:t>
      </w:r>
    </w:p>
    <w:p w14:paraId="6B40DA3B" w14:textId="77777777" w:rsidR="00F31D9B" w:rsidRPr="00704591" w:rsidRDefault="00F31D9B" w:rsidP="00697A72">
      <w:pPr>
        <w:widowControl/>
        <w:tabs>
          <w:tab w:val="left" w:pos="-1440"/>
        </w:tabs>
        <w:ind w:left="720"/>
        <w:rPr>
          <w:rFonts w:ascii="Times New Roman" w:hAnsi="Times New Roman"/>
          <w:color w:val="000000" w:themeColor="text1"/>
        </w:rPr>
      </w:pPr>
    </w:p>
    <w:p w14:paraId="3201084A" w14:textId="77777777" w:rsidR="00F31D9B" w:rsidRPr="00704591" w:rsidRDefault="00F31D9B" w:rsidP="00697A72">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8.</w:t>
      </w:r>
      <w:r w:rsidRPr="00704591">
        <w:rPr>
          <w:rFonts w:ascii="Times New Roman" w:hAnsi="Times New Roman"/>
          <w:color w:val="000000" w:themeColor="text1"/>
        </w:rPr>
        <w:tab/>
      </w:r>
      <w:r w:rsidRPr="00704591">
        <w:rPr>
          <w:rFonts w:ascii="Times New Roman" w:hAnsi="Times New Roman"/>
          <w:i/>
          <w:color w:val="000000" w:themeColor="text1"/>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CA7C649" w14:textId="77777777" w:rsidR="00F31D9B" w:rsidRPr="00704591" w:rsidRDefault="00F31D9B" w:rsidP="00697A72">
      <w:pPr>
        <w:widowControl/>
        <w:ind w:left="720"/>
        <w:rPr>
          <w:rFonts w:ascii="Times New Roman" w:hAnsi="Times New Roman"/>
          <w:i/>
          <w:color w:val="000000" w:themeColor="text1"/>
        </w:rPr>
      </w:pPr>
    </w:p>
    <w:p w14:paraId="7B6EE2B1" w14:textId="77777777" w:rsidR="00F31D9B" w:rsidRPr="00704591" w:rsidRDefault="00F31D9B" w:rsidP="00697A72">
      <w:pPr>
        <w:widowControl/>
        <w:ind w:left="720"/>
        <w:rPr>
          <w:rFonts w:ascii="Times New Roman" w:hAnsi="Times New Roman"/>
          <w:i/>
          <w:color w:val="000000" w:themeColor="text1"/>
        </w:rPr>
      </w:pPr>
      <w:r w:rsidRPr="00704591">
        <w:rPr>
          <w:rFonts w:ascii="Times New Roman" w:hAnsi="Times New Roman"/>
          <w:i/>
          <w:color w:val="000000" w:themeColor="text1"/>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67FB8A06" w14:textId="77777777" w:rsidR="00F31D9B" w:rsidRPr="00704591" w:rsidRDefault="00F31D9B" w:rsidP="00697A72">
      <w:pPr>
        <w:widowControl/>
        <w:ind w:left="720"/>
        <w:rPr>
          <w:rFonts w:ascii="Times New Roman" w:hAnsi="Times New Roman"/>
          <w:i/>
          <w:color w:val="000000" w:themeColor="text1"/>
        </w:rPr>
      </w:pPr>
    </w:p>
    <w:p w14:paraId="37EAED69" w14:textId="77777777" w:rsidR="00F31D9B" w:rsidRPr="00704591" w:rsidRDefault="00F31D9B" w:rsidP="00697A72">
      <w:pPr>
        <w:widowControl/>
        <w:ind w:left="720"/>
        <w:rPr>
          <w:rFonts w:ascii="Times New Roman" w:hAnsi="Times New Roman"/>
          <w:i/>
          <w:color w:val="000000" w:themeColor="text1"/>
        </w:rPr>
      </w:pPr>
      <w:r w:rsidRPr="00704591">
        <w:rPr>
          <w:rFonts w:ascii="Times New Roman" w:hAnsi="Times New Roman"/>
          <w:i/>
          <w:color w:val="000000" w:themeColor="text1"/>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75186177" w14:textId="064A8A62" w:rsidR="0025269C" w:rsidRDefault="0025269C" w:rsidP="00F35013">
      <w:pPr>
        <w:widowControl/>
        <w:rPr>
          <w:rFonts w:ascii="Times New Roman" w:hAnsi="Times New Roman"/>
          <w:color w:val="000000" w:themeColor="text1"/>
        </w:rPr>
      </w:pPr>
    </w:p>
    <w:p w14:paraId="54AAC0EF" w14:textId="4FDAE912" w:rsidR="0025269C" w:rsidRDefault="0025269C" w:rsidP="00697A72">
      <w:pPr>
        <w:widowControl/>
        <w:ind w:left="720"/>
        <w:rPr>
          <w:rFonts w:ascii="Times New Roman" w:hAnsi="Times New Roman"/>
          <w:color w:val="000000" w:themeColor="text1"/>
        </w:rPr>
      </w:pPr>
      <w:r w:rsidRPr="0025269C">
        <w:rPr>
          <w:rFonts w:ascii="Times New Roman" w:hAnsi="Times New Roman"/>
          <w:color w:val="000000" w:themeColor="text1"/>
        </w:rPr>
        <w:t>In addition to requesting public comment on the proposed regulation, the NPRM solicits public comment on the paperwork burden of the proposed regulation.  It provides the public with 60 days for that purpose, as required by 5 CFR 1320.8(d).</w:t>
      </w:r>
    </w:p>
    <w:p w14:paraId="69C62C84" w14:textId="77777777" w:rsidR="00A538F1" w:rsidRPr="00704591" w:rsidRDefault="00A538F1" w:rsidP="00697A72">
      <w:pPr>
        <w:widowControl/>
        <w:ind w:left="720"/>
        <w:rPr>
          <w:rFonts w:ascii="Times New Roman" w:hAnsi="Times New Roman"/>
          <w:color w:val="000000" w:themeColor="text1"/>
        </w:rPr>
      </w:pPr>
    </w:p>
    <w:p w14:paraId="72A6B7DD" w14:textId="77777777" w:rsidR="00F31D9B" w:rsidRPr="00704591" w:rsidRDefault="00F31D9B" w:rsidP="0018014B">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9.</w:t>
      </w:r>
      <w:r w:rsidRPr="00704591">
        <w:rPr>
          <w:rFonts w:ascii="Times New Roman" w:hAnsi="Times New Roman"/>
          <w:color w:val="000000" w:themeColor="text1"/>
        </w:rPr>
        <w:tab/>
      </w:r>
      <w:r w:rsidRPr="00704591">
        <w:rPr>
          <w:rFonts w:ascii="Times New Roman" w:hAnsi="Times New Roman"/>
          <w:i/>
          <w:color w:val="000000" w:themeColor="text1"/>
        </w:rPr>
        <w:t>Explain any decision to provide any payment or gift to respondents, other than remuneration of contractors or grantees.</w:t>
      </w:r>
    </w:p>
    <w:p w14:paraId="00E8996B" w14:textId="77777777" w:rsidR="00F31D9B" w:rsidRPr="00704591" w:rsidRDefault="00F31D9B" w:rsidP="0018014B">
      <w:pPr>
        <w:widowControl/>
        <w:ind w:left="720"/>
        <w:rPr>
          <w:rFonts w:ascii="Times New Roman" w:hAnsi="Times New Roman"/>
          <w:color w:val="000000" w:themeColor="text1"/>
        </w:rPr>
      </w:pPr>
    </w:p>
    <w:p w14:paraId="7652425C" w14:textId="77777777" w:rsidR="00F31D9B" w:rsidRPr="00704591" w:rsidRDefault="00F31D9B" w:rsidP="0018014B">
      <w:pPr>
        <w:widowControl/>
        <w:ind w:left="720"/>
        <w:rPr>
          <w:rFonts w:ascii="Times New Roman" w:hAnsi="Times New Roman"/>
          <w:color w:val="000000" w:themeColor="text1"/>
        </w:rPr>
      </w:pPr>
      <w:r w:rsidRPr="00704591">
        <w:rPr>
          <w:rFonts w:ascii="Times New Roman" w:hAnsi="Times New Roman"/>
          <w:color w:val="000000" w:themeColor="text1"/>
        </w:rPr>
        <w:t>Not applicable.</w:t>
      </w:r>
    </w:p>
    <w:p w14:paraId="4CC8AEDF" w14:textId="77777777" w:rsidR="00F31D9B" w:rsidRPr="00704591" w:rsidRDefault="00F31D9B" w:rsidP="0018014B">
      <w:pPr>
        <w:widowControl/>
        <w:tabs>
          <w:tab w:val="left" w:pos="7035"/>
        </w:tabs>
        <w:ind w:left="720"/>
        <w:rPr>
          <w:rFonts w:ascii="Times New Roman" w:hAnsi="Times New Roman"/>
          <w:color w:val="000000" w:themeColor="text1"/>
        </w:rPr>
      </w:pPr>
    </w:p>
    <w:p w14:paraId="49E97229" w14:textId="77777777" w:rsidR="00F31D9B" w:rsidRPr="00704591" w:rsidRDefault="00F31D9B" w:rsidP="0018014B">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10.</w:t>
      </w:r>
      <w:r w:rsidRPr="00704591">
        <w:rPr>
          <w:rFonts w:ascii="Times New Roman" w:hAnsi="Times New Roman"/>
          <w:color w:val="000000" w:themeColor="text1"/>
        </w:rPr>
        <w:tab/>
      </w:r>
      <w:r w:rsidRPr="00704591">
        <w:rPr>
          <w:rFonts w:ascii="Times New Roman" w:hAnsi="Times New Roman"/>
          <w:i/>
          <w:color w:val="000000" w:themeColor="text1"/>
        </w:rPr>
        <w:t>Describe any assurance of confidentiality provided to respondents and the basis for the assurance in statute, regulation, or agency policy.</w:t>
      </w:r>
    </w:p>
    <w:p w14:paraId="1BCD5DDF" w14:textId="77777777" w:rsidR="00F31D9B" w:rsidRPr="00704591" w:rsidRDefault="00F31D9B" w:rsidP="0018014B">
      <w:pPr>
        <w:widowControl/>
        <w:tabs>
          <w:tab w:val="left" w:pos="-1440"/>
        </w:tabs>
        <w:ind w:left="720"/>
        <w:rPr>
          <w:rFonts w:ascii="Times New Roman" w:hAnsi="Times New Roman"/>
          <w:i/>
          <w:color w:val="000000" w:themeColor="text1"/>
        </w:rPr>
      </w:pPr>
    </w:p>
    <w:p w14:paraId="3096F8B9" w14:textId="77777777" w:rsidR="00F31D9B" w:rsidRPr="00704591" w:rsidRDefault="00F31D9B" w:rsidP="0018014B">
      <w:pPr>
        <w:widowControl/>
        <w:ind w:left="720"/>
        <w:rPr>
          <w:rFonts w:ascii="Times New Roman" w:hAnsi="Times New Roman"/>
          <w:color w:val="000000" w:themeColor="text1"/>
        </w:rPr>
      </w:pPr>
      <w:r w:rsidRPr="00704591">
        <w:rPr>
          <w:rFonts w:ascii="Times New Roman" w:hAnsi="Times New Roman"/>
          <w:color w:val="000000" w:themeColor="text1"/>
        </w:rPr>
        <w:t>No assurance of confidentiality has been provided.</w:t>
      </w:r>
    </w:p>
    <w:p w14:paraId="2AD09A57" w14:textId="77777777" w:rsidR="00F31D9B" w:rsidRPr="00704591" w:rsidRDefault="00F31D9B" w:rsidP="0018014B">
      <w:pPr>
        <w:widowControl/>
        <w:ind w:left="720"/>
        <w:rPr>
          <w:rFonts w:ascii="Times New Roman" w:hAnsi="Times New Roman"/>
          <w:color w:val="000000" w:themeColor="text1"/>
        </w:rPr>
      </w:pPr>
    </w:p>
    <w:p w14:paraId="1FBDB9E0" w14:textId="77777777" w:rsidR="00F31D9B" w:rsidRPr="00704591" w:rsidRDefault="00F31D9B" w:rsidP="0018014B">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11.</w:t>
      </w:r>
      <w:r w:rsidRPr="00704591">
        <w:rPr>
          <w:rFonts w:ascii="Times New Roman" w:hAnsi="Times New Roman"/>
          <w:color w:val="000000" w:themeColor="text1"/>
        </w:rPr>
        <w:tab/>
      </w:r>
      <w:r w:rsidRPr="00704591">
        <w:rPr>
          <w:rFonts w:ascii="Times New Roman" w:hAnsi="Times New Roman"/>
          <w:i/>
          <w:color w:val="000000" w:themeColor="text1"/>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4C9077AD" w14:textId="77777777" w:rsidR="00F31D9B" w:rsidRPr="00704591" w:rsidRDefault="00F31D9B" w:rsidP="0002334B">
      <w:pPr>
        <w:widowControl/>
        <w:ind w:left="720"/>
        <w:rPr>
          <w:rFonts w:ascii="Times New Roman" w:hAnsi="Times New Roman"/>
          <w:i/>
          <w:color w:val="000000" w:themeColor="text1"/>
        </w:rPr>
      </w:pPr>
    </w:p>
    <w:p w14:paraId="5D4C159E" w14:textId="77777777" w:rsidR="00F31D9B" w:rsidRPr="00704591" w:rsidRDefault="00F31D9B" w:rsidP="0002334B">
      <w:pPr>
        <w:widowControl/>
        <w:ind w:left="720"/>
        <w:rPr>
          <w:rFonts w:ascii="Times New Roman" w:hAnsi="Times New Roman"/>
          <w:color w:val="000000" w:themeColor="text1"/>
        </w:rPr>
      </w:pPr>
      <w:r w:rsidRPr="00704591">
        <w:rPr>
          <w:rFonts w:ascii="Times New Roman" w:hAnsi="Times New Roman"/>
          <w:color w:val="000000" w:themeColor="text1"/>
        </w:rPr>
        <w:t>Not applicable.</w:t>
      </w:r>
    </w:p>
    <w:p w14:paraId="4AE62C35" w14:textId="77777777" w:rsidR="00F31D9B" w:rsidRPr="00704591" w:rsidRDefault="00F31D9B" w:rsidP="0002334B">
      <w:pPr>
        <w:widowControl/>
        <w:ind w:left="720"/>
        <w:rPr>
          <w:rFonts w:ascii="Times New Roman" w:hAnsi="Times New Roman"/>
          <w:color w:val="000000" w:themeColor="text1"/>
        </w:rPr>
      </w:pPr>
    </w:p>
    <w:p w14:paraId="7B3AD6F9" w14:textId="77777777" w:rsidR="00F31D9B" w:rsidRPr="00704591" w:rsidRDefault="00F31D9B" w:rsidP="0002334B">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12.</w:t>
      </w:r>
      <w:r w:rsidRPr="00704591">
        <w:rPr>
          <w:rFonts w:ascii="Times New Roman" w:hAnsi="Times New Roman"/>
          <w:color w:val="000000" w:themeColor="text1"/>
        </w:rPr>
        <w:tab/>
      </w:r>
      <w:r w:rsidRPr="00704591">
        <w:rPr>
          <w:rFonts w:ascii="Times New Roman" w:hAnsi="Times New Roman"/>
          <w:i/>
          <w:color w:val="000000" w:themeColor="text1"/>
        </w:rPr>
        <w:t>Provide estimates of the hour burden of the collection of information.  The statement should:</w:t>
      </w:r>
    </w:p>
    <w:p w14:paraId="1B5619FA" w14:textId="77777777" w:rsidR="00F31D9B" w:rsidRPr="00704591" w:rsidRDefault="00F31D9B" w:rsidP="0002334B">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12F47B0" w14:textId="77777777" w:rsidR="00F31D9B" w:rsidRPr="00704591" w:rsidRDefault="00F31D9B" w:rsidP="0002334B">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If this request for approval covers more than one form, provide separate hour burden estimates for each form and aggregate the hour burdens.</w:t>
      </w:r>
    </w:p>
    <w:p w14:paraId="1DDE09CD" w14:textId="77777777" w:rsidR="00F31D9B" w:rsidRPr="00704591" w:rsidRDefault="00F31D9B" w:rsidP="0002334B">
      <w:pPr>
        <w:widowControl/>
        <w:tabs>
          <w:tab w:val="left" w:pos="-1440"/>
        </w:tabs>
        <w:ind w:left="1440" w:hanging="720"/>
        <w:rPr>
          <w:rFonts w:ascii="Times New Roman" w:hAnsi="Times New Roman"/>
          <w:i/>
          <w:color w:val="000000" w:themeColor="text1"/>
        </w:rPr>
      </w:pPr>
      <w:r w:rsidRPr="00704591">
        <w:rPr>
          <w:rFonts w:ascii="Times New Roman" w:hAnsi="Times New Roman"/>
          <w:i/>
          <w:color w:val="000000" w:themeColor="text1"/>
        </w:rPr>
        <w:t>•</w:t>
      </w:r>
      <w:r w:rsidRPr="00704591">
        <w:rPr>
          <w:rFonts w:ascii="Times New Roman" w:hAnsi="Times New Roman"/>
          <w:i/>
          <w:color w:val="000000" w:themeColor="text1"/>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w:t>
      </w:r>
      <w:r w:rsidR="0002334B">
        <w:rPr>
          <w:rFonts w:ascii="Times New Roman" w:hAnsi="Times New Roman"/>
          <w:i/>
          <w:color w:val="000000" w:themeColor="text1"/>
        </w:rPr>
        <w:t>luded in Item 14.</w:t>
      </w:r>
    </w:p>
    <w:p w14:paraId="6A2AAF4C" w14:textId="77777777" w:rsidR="00F31D9B" w:rsidRPr="00704591" w:rsidRDefault="00F31D9B" w:rsidP="003750B6">
      <w:pPr>
        <w:widowControl/>
        <w:ind w:left="720"/>
        <w:rPr>
          <w:rFonts w:ascii="Times New Roman" w:hAnsi="Times New Roman"/>
          <w:color w:val="000000" w:themeColor="text1"/>
        </w:rPr>
      </w:pPr>
    </w:p>
    <w:p w14:paraId="0293EECC" w14:textId="77777777" w:rsidR="00DE6469" w:rsidRPr="00704591" w:rsidRDefault="00DE6469" w:rsidP="003750B6">
      <w:pPr>
        <w:widowControl/>
        <w:ind w:left="720"/>
        <w:rPr>
          <w:rFonts w:ascii="Times New Roman" w:hAnsi="Times New Roman"/>
          <w:color w:val="000000" w:themeColor="text1"/>
        </w:rPr>
      </w:pPr>
      <w:r w:rsidRPr="00704591">
        <w:rPr>
          <w:rFonts w:ascii="Times New Roman" w:hAnsi="Times New Roman"/>
          <w:color w:val="000000" w:themeColor="text1"/>
        </w:rPr>
        <w:t xml:space="preserve">In order to estimate the potential costs of the notice provisions of section 101(f) of ERISA and the final rule, the Department estimated the number of single-employer and multiemployer defined benefit plans, and the numbers of participants, beneficiaries receiving benefits, labor organizations representing participants, and employers with an obligation to contribute to these plans. </w:t>
      </w:r>
    </w:p>
    <w:p w14:paraId="003CC914" w14:textId="77777777" w:rsidR="00DE6469" w:rsidRPr="00704591" w:rsidRDefault="00DE6469" w:rsidP="003750B6">
      <w:pPr>
        <w:widowControl/>
        <w:ind w:left="720"/>
        <w:rPr>
          <w:rFonts w:ascii="Times New Roman" w:hAnsi="Times New Roman"/>
          <w:color w:val="000000" w:themeColor="text1"/>
        </w:rPr>
      </w:pPr>
    </w:p>
    <w:p w14:paraId="36FAA3E3" w14:textId="77777777" w:rsidR="00DE6469" w:rsidRPr="00704591" w:rsidRDefault="00DE6469" w:rsidP="003750B6">
      <w:pPr>
        <w:widowControl/>
        <w:ind w:left="720"/>
        <w:rPr>
          <w:rFonts w:ascii="Times New Roman" w:hAnsi="Times New Roman"/>
          <w:color w:val="000000" w:themeColor="text1"/>
        </w:rPr>
      </w:pPr>
      <w:r w:rsidRPr="00704591">
        <w:rPr>
          <w:rFonts w:ascii="Times New Roman" w:hAnsi="Times New Roman"/>
          <w:color w:val="000000" w:themeColor="text1"/>
        </w:rPr>
        <w:t xml:space="preserve">The PBGC Pension Insurance Data </w:t>
      </w:r>
      <w:r w:rsidR="00EC3948" w:rsidRPr="00704591">
        <w:rPr>
          <w:rFonts w:ascii="Times New Roman" w:hAnsi="Times New Roman"/>
          <w:color w:val="000000" w:themeColor="text1"/>
        </w:rPr>
        <w:t>Tables 201</w:t>
      </w:r>
      <w:r w:rsidR="00CD7D4C">
        <w:rPr>
          <w:rFonts w:ascii="Times New Roman" w:hAnsi="Times New Roman"/>
          <w:color w:val="000000" w:themeColor="text1"/>
        </w:rPr>
        <w:t>5</w:t>
      </w:r>
      <w:r w:rsidRPr="00704591">
        <w:rPr>
          <w:rFonts w:ascii="Times New Roman" w:hAnsi="Times New Roman"/>
          <w:color w:val="000000" w:themeColor="text1"/>
        </w:rPr>
        <w:t xml:space="preserve"> indicates that there are 1,</w:t>
      </w:r>
      <w:r w:rsidR="00CD7D4C">
        <w:rPr>
          <w:rFonts w:ascii="Times New Roman" w:hAnsi="Times New Roman"/>
          <w:color w:val="000000" w:themeColor="text1"/>
        </w:rPr>
        <w:t>3</w:t>
      </w:r>
      <w:r w:rsidR="002F5F6B">
        <w:rPr>
          <w:rFonts w:ascii="Times New Roman" w:hAnsi="Times New Roman"/>
          <w:color w:val="000000" w:themeColor="text1"/>
        </w:rPr>
        <w:t>38</w:t>
      </w:r>
      <w:r w:rsidR="00CD7D4C" w:rsidRPr="00704591">
        <w:rPr>
          <w:rFonts w:ascii="Times New Roman" w:hAnsi="Times New Roman"/>
          <w:color w:val="000000" w:themeColor="text1"/>
        </w:rPr>
        <w:t xml:space="preserve"> </w:t>
      </w:r>
      <w:r w:rsidRPr="00704591">
        <w:rPr>
          <w:rFonts w:ascii="Times New Roman" w:hAnsi="Times New Roman"/>
          <w:color w:val="000000" w:themeColor="text1"/>
        </w:rPr>
        <w:t>multiemployer defined benefit plans with approximately 10</w:t>
      </w:r>
      <w:r w:rsidR="00917B70">
        <w:rPr>
          <w:rFonts w:ascii="Times New Roman" w:hAnsi="Times New Roman"/>
          <w:color w:val="000000" w:themeColor="text1"/>
        </w:rPr>
        <w:t>,300,000</w:t>
      </w:r>
      <w:r w:rsidRPr="00704591">
        <w:rPr>
          <w:rFonts w:ascii="Times New Roman" w:hAnsi="Times New Roman"/>
          <w:color w:val="000000" w:themeColor="text1"/>
        </w:rPr>
        <w:t xml:space="preserve"> participants and beneficiaries receiving benefits.  These estimates are based on premium filings with PBGC for </w:t>
      </w:r>
      <w:r w:rsidR="00EC3948" w:rsidRPr="00704591">
        <w:rPr>
          <w:rFonts w:ascii="Times New Roman" w:hAnsi="Times New Roman"/>
          <w:color w:val="000000" w:themeColor="text1"/>
        </w:rPr>
        <w:t>fiscal year 201</w:t>
      </w:r>
      <w:r w:rsidR="00CD7D4C">
        <w:rPr>
          <w:rFonts w:ascii="Times New Roman" w:hAnsi="Times New Roman"/>
          <w:color w:val="000000" w:themeColor="text1"/>
        </w:rPr>
        <w:t>5</w:t>
      </w:r>
      <w:r w:rsidRPr="00704591">
        <w:rPr>
          <w:rFonts w:ascii="Times New Roman" w:hAnsi="Times New Roman"/>
          <w:color w:val="000000" w:themeColor="text1"/>
        </w:rPr>
        <w:t xml:space="preserve"> the most recent information currently available</w:t>
      </w:r>
      <w:r w:rsidRPr="00704591">
        <w:rPr>
          <w:rFonts w:ascii="Times New Roman" w:hAnsi="Times New Roman"/>
          <w:b/>
          <w:color w:val="000000" w:themeColor="text1"/>
        </w:rPr>
        <w:t xml:space="preserve">.  </w:t>
      </w:r>
      <w:r w:rsidRPr="00704591">
        <w:rPr>
          <w:rFonts w:ascii="Times New Roman" w:hAnsi="Times New Roman"/>
          <w:color w:val="000000" w:themeColor="text1"/>
        </w:rPr>
        <w:t>This total has been adjusted slightly to reflect the exception from the requirement to furnish annual funding notices to plans that are receiving financial assistance from PBGC.</w:t>
      </w:r>
      <w:r w:rsidRPr="00704591">
        <w:rPr>
          <w:rStyle w:val="FootnoteReference"/>
          <w:rFonts w:ascii="Times New Roman" w:hAnsi="Times New Roman"/>
          <w:color w:val="000000" w:themeColor="text1"/>
          <w:vertAlign w:val="superscript"/>
        </w:rPr>
        <w:footnoteReference w:id="2"/>
      </w:r>
      <w:r w:rsidRPr="00704591">
        <w:rPr>
          <w:rFonts w:ascii="Times New Roman" w:hAnsi="Times New Roman"/>
          <w:color w:val="000000" w:themeColor="text1"/>
        </w:rPr>
        <w:t xml:space="preserve">  The PBGC Pension Insurance Data </w:t>
      </w:r>
      <w:r w:rsidR="00EC3948" w:rsidRPr="00704591">
        <w:rPr>
          <w:rFonts w:ascii="Times New Roman" w:hAnsi="Times New Roman"/>
          <w:color w:val="000000" w:themeColor="text1"/>
        </w:rPr>
        <w:t>Tables 201</w:t>
      </w:r>
      <w:r w:rsidR="00E73AE3">
        <w:rPr>
          <w:rFonts w:ascii="Times New Roman" w:hAnsi="Times New Roman"/>
          <w:color w:val="000000" w:themeColor="text1"/>
        </w:rPr>
        <w:t>5</w:t>
      </w:r>
      <w:r w:rsidRPr="00704591">
        <w:rPr>
          <w:rFonts w:ascii="Times New Roman" w:hAnsi="Times New Roman"/>
          <w:color w:val="000000" w:themeColor="text1"/>
        </w:rPr>
        <w:t xml:space="preserve"> also indicates</w:t>
      </w:r>
      <w:r w:rsidR="00EC3948" w:rsidRPr="00704591">
        <w:rPr>
          <w:rFonts w:ascii="Times New Roman" w:hAnsi="Times New Roman"/>
          <w:color w:val="000000" w:themeColor="text1"/>
        </w:rPr>
        <w:t xml:space="preserve"> that there are approximately 2</w:t>
      </w:r>
      <w:r w:rsidR="009F20B5">
        <w:rPr>
          <w:rFonts w:ascii="Times New Roman" w:hAnsi="Times New Roman"/>
          <w:color w:val="000000" w:themeColor="text1"/>
        </w:rPr>
        <w:t>2</w:t>
      </w:r>
      <w:r w:rsidR="00C6438C" w:rsidRPr="00704591">
        <w:rPr>
          <w:rFonts w:ascii="Times New Roman" w:hAnsi="Times New Roman"/>
          <w:color w:val="000000" w:themeColor="text1"/>
        </w:rPr>
        <w:t>,</w:t>
      </w:r>
      <w:r w:rsidR="002F5F6B">
        <w:rPr>
          <w:rFonts w:ascii="Times New Roman" w:hAnsi="Times New Roman"/>
          <w:color w:val="000000" w:themeColor="text1"/>
        </w:rPr>
        <w:t>137</w:t>
      </w:r>
      <w:r w:rsidR="00E73AE3" w:rsidRPr="00704591">
        <w:rPr>
          <w:rFonts w:ascii="Times New Roman" w:hAnsi="Times New Roman"/>
          <w:color w:val="000000" w:themeColor="text1"/>
        </w:rPr>
        <w:t xml:space="preserve"> </w:t>
      </w:r>
      <w:r w:rsidRPr="00704591">
        <w:rPr>
          <w:rFonts w:ascii="Times New Roman" w:hAnsi="Times New Roman"/>
          <w:color w:val="000000" w:themeColor="text1"/>
        </w:rPr>
        <w:t>single-employer defined benefit p</w:t>
      </w:r>
      <w:r w:rsidR="00EC3948" w:rsidRPr="00704591">
        <w:rPr>
          <w:rFonts w:ascii="Times New Roman" w:hAnsi="Times New Roman"/>
          <w:color w:val="000000" w:themeColor="text1"/>
        </w:rPr>
        <w:t xml:space="preserve">lans with approximately </w:t>
      </w:r>
      <w:r w:rsidR="00B21F69">
        <w:rPr>
          <w:rFonts w:ascii="Times New Roman" w:hAnsi="Times New Roman"/>
          <w:color w:val="000000" w:themeColor="text1"/>
        </w:rPr>
        <w:t>29,576,449</w:t>
      </w:r>
      <w:r w:rsidRPr="00704591">
        <w:rPr>
          <w:rFonts w:ascii="Times New Roman" w:hAnsi="Times New Roman"/>
          <w:color w:val="000000" w:themeColor="text1"/>
        </w:rPr>
        <w:t xml:space="preserve"> participants.</w:t>
      </w:r>
    </w:p>
    <w:p w14:paraId="486E1EF7" w14:textId="77777777" w:rsidR="00DE6469" w:rsidRPr="00704591" w:rsidRDefault="00DE6469" w:rsidP="003750B6">
      <w:pPr>
        <w:widowControl/>
        <w:ind w:left="720"/>
        <w:rPr>
          <w:rFonts w:ascii="Times New Roman" w:hAnsi="Times New Roman"/>
          <w:b/>
          <w:color w:val="000000" w:themeColor="text1"/>
        </w:rPr>
      </w:pPr>
    </w:p>
    <w:p w14:paraId="43A6BBB4" w14:textId="77777777" w:rsidR="00007652" w:rsidRDefault="002A1DB9" w:rsidP="003750B6">
      <w:pPr>
        <w:widowControl/>
        <w:ind w:left="720"/>
        <w:rPr>
          <w:rFonts w:ascii="Times New Roman" w:hAnsi="Times New Roman"/>
          <w:color w:val="000000" w:themeColor="text1"/>
        </w:rPr>
      </w:pPr>
      <w:bookmarkStart w:id="1" w:name="OLE_LINK2"/>
      <w:r w:rsidRPr="00704591">
        <w:rPr>
          <w:rFonts w:ascii="Times New Roman" w:hAnsi="Times New Roman"/>
          <w:color w:val="000000" w:themeColor="text1"/>
        </w:rPr>
        <w:t>The Department is not aware of a direct source of information for the number of notices that must be sent to labor organizations that represent participants of multiemployer defined benefit plans and that would be entitled to receive notice under section 101(f).  The Department has relied on data from the 1998 Form 5500 which collected information on plans that are collectively bargained to approximate the distribution of the number of unions per plan.  This leads to an estimated 1,</w:t>
      </w:r>
      <w:r w:rsidR="00874464">
        <w:rPr>
          <w:rFonts w:ascii="Times New Roman" w:hAnsi="Times New Roman"/>
          <w:color w:val="000000" w:themeColor="text1"/>
        </w:rPr>
        <w:t>7</w:t>
      </w:r>
      <w:r w:rsidR="00BE1082">
        <w:rPr>
          <w:rFonts w:ascii="Times New Roman" w:hAnsi="Times New Roman"/>
          <w:color w:val="000000" w:themeColor="text1"/>
        </w:rPr>
        <w:t>61</w:t>
      </w:r>
      <w:r w:rsidR="00874464" w:rsidRPr="00704591">
        <w:rPr>
          <w:rFonts w:ascii="Times New Roman" w:hAnsi="Times New Roman"/>
          <w:color w:val="000000" w:themeColor="text1"/>
        </w:rPr>
        <w:t xml:space="preserve"> </w:t>
      </w:r>
      <w:r w:rsidRPr="00704591">
        <w:rPr>
          <w:rFonts w:ascii="Times New Roman" w:hAnsi="Times New Roman"/>
          <w:color w:val="000000" w:themeColor="text1"/>
        </w:rPr>
        <w:t>labor organizations for the 1,</w:t>
      </w:r>
      <w:r w:rsidR="002F5F6B">
        <w:rPr>
          <w:rFonts w:ascii="Times New Roman" w:hAnsi="Times New Roman"/>
          <w:color w:val="000000" w:themeColor="text1"/>
        </w:rPr>
        <w:t>338</w:t>
      </w:r>
      <w:r w:rsidR="00874464" w:rsidRPr="00704591">
        <w:rPr>
          <w:rFonts w:ascii="Times New Roman" w:hAnsi="Times New Roman"/>
          <w:color w:val="000000" w:themeColor="text1"/>
        </w:rPr>
        <w:t xml:space="preserve"> </w:t>
      </w:r>
      <w:r w:rsidRPr="00704591">
        <w:rPr>
          <w:rFonts w:ascii="Times New Roman" w:hAnsi="Times New Roman"/>
          <w:color w:val="000000" w:themeColor="text1"/>
        </w:rPr>
        <w:t xml:space="preserve">multiemployer plans and </w:t>
      </w:r>
      <w:r w:rsidR="00874464">
        <w:rPr>
          <w:rFonts w:ascii="Times New Roman" w:hAnsi="Times New Roman"/>
          <w:color w:val="000000" w:themeColor="text1"/>
        </w:rPr>
        <w:t>29</w:t>
      </w:r>
      <w:r w:rsidRPr="00704591">
        <w:rPr>
          <w:rFonts w:ascii="Times New Roman" w:hAnsi="Times New Roman"/>
          <w:color w:val="000000" w:themeColor="text1"/>
        </w:rPr>
        <w:t>,</w:t>
      </w:r>
      <w:r w:rsidR="006F639F">
        <w:rPr>
          <w:rFonts w:ascii="Times New Roman" w:hAnsi="Times New Roman"/>
          <w:color w:val="000000" w:themeColor="text1"/>
        </w:rPr>
        <w:t>6</w:t>
      </w:r>
      <w:r w:rsidR="00874464" w:rsidRPr="00704591">
        <w:rPr>
          <w:rFonts w:ascii="Times New Roman" w:hAnsi="Times New Roman"/>
          <w:color w:val="000000" w:themeColor="text1"/>
        </w:rPr>
        <w:t>2</w:t>
      </w:r>
      <w:r w:rsidR="00874464">
        <w:rPr>
          <w:rFonts w:ascii="Times New Roman" w:hAnsi="Times New Roman"/>
          <w:color w:val="000000" w:themeColor="text1"/>
        </w:rPr>
        <w:t>1</w:t>
      </w:r>
      <w:r w:rsidR="00874464" w:rsidRPr="00704591">
        <w:rPr>
          <w:rFonts w:ascii="Times New Roman" w:hAnsi="Times New Roman"/>
          <w:color w:val="000000" w:themeColor="text1"/>
        </w:rPr>
        <w:t xml:space="preserve"> </w:t>
      </w:r>
      <w:r w:rsidRPr="00704591">
        <w:rPr>
          <w:rFonts w:ascii="Times New Roman" w:hAnsi="Times New Roman"/>
          <w:color w:val="000000" w:themeColor="text1"/>
        </w:rPr>
        <w:t xml:space="preserve">labor organizations for the </w:t>
      </w:r>
      <w:r w:rsidR="00874464" w:rsidRPr="00640F0A">
        <w:rPr>
          <w:rFonts w:ascii="Times New Roman" w:hAnsi="Times New Roman"/>
          <w:color w:val="000000" w:themeColor="text1"/>
        </w:rPr>
        <w:t>2</w:t>
      </w:r>
      <w:r w:rsidR="002F5F6B">
        <w:rPr>
          <w:rFonts w:ascii="Times New Roman" w:hAnsi="Times New Roman"/>
          <w:color w:val="000000" w:themeColor="text1"/>
        </w:rPr>
        <w:t>2</w:t>
      </w:r>
      <w:r w:rsidRPr="00640F0A">
        <w:rPr>
          <w:rFonts w:ascii="Times New Roman" w:hAnsi="Times New Roman"/>
          <w:color w:val="000000" w:themeColor="text1"/>
        </w:rPr>
        <w:t>,</w:t>
      </w:r>
      <w:r w:rsidR="002F5F6B">
        <w:rPr>
          <w:rFonts w:ascii="Times New Roman" w:hAnsi="Times New Roman"/>
          <w:color w:val="000000" w:themeColor="text1"/>
        </w:rPr>
        <w:t>137</w:t>
      </w:r>
      <w:r w:rsidR="00874464" w:rsidRPr="00704591">
        <w:rPr>
          <w:rFonts w:ascii="Times New Roman" w:hAnsi="Times New Roman"/>
          <w:color w:val="000000" w:themeColor="text1"/>
        </w:rPr>
        <w:t xml:space="preserve"> </w:t>
      </w:r>
      <w:r w:rsidRPr="00704591">
        <w:rPr>
          <w:rFonts w:ascii="Times New Roman" w:hAnsi="Times New Roman"/>
          <w:color w:val="000000" w:themeColor="text1"/>
        </w:rPr>
        <w:t>single employer plans (a total of 3</w:t>
      </w:r>
      <w:r w:rsidR="00874464">
        <w:rPr>
          <w:rFonts w:ascii="Times New Roman" w:hAnsi="Times New Roman"/>
          <w:color w:val="000000" w:themeColor="text1"/>
        </w:rPr>
        <w:t>1</w:t>
      </w:r>
      <w:r w:rsidRPr="00704591">
        <w:rPr>
          <w:rFonts w:ascii="Times New Roman" w:hAnsi="Times New Roman"/>
          <w:color w:val="000000" w:themeColor="text1"/>
        </w:rPr>
        <w:t>,</w:t>
      </w:r>
      <w:r w:rsidR="00BE1082">
        <w:rPr>
          <w:rFonts w:ascii="Times New Roman" w:hAnsi="Times New Roman"/>
          <w:color w:val="000000" w:themeColor="text1"/>
        </w:rPr>
        <w:t>382</w:t>
      </w:r>
      <w:r w:rsidR="004865F9">
        <w:rPr>
          <w:rFonts w:ascii="Times New Roman" w:hAnsi="Times New Roman"/>
          <w:color w:val="000000" w:themeColor="text1"/>
        </w:rPr>
        <w:t xml:space="preserve"> </w:t>
      </w:r>
      <w:r w:rsidRPr="00704591">
        <w:rPr>
          <w:rFonts w:ascii="Times New Roman" w:hAnsi="Times New Roman"/>
          <w:color w:val="000000" w:themeColor="text1"/>
        </w:rPr>
        <w:t>labor organizations).</w:t>
      </w:r>
    </w:p>
    <w:p w14:paraId="6E7BB74A" w14:textId="77777777" w:rsidR="00007652" w:rsidRPr="00704591" w:rsidRDefault="00007652" w:rsidP="003750B6">
      <w:pPr>
        <w:widowControl/>
        <w:ind w:left="720"/>
        <w:rPr>
          <w:rFonts w:ascii="Times New Roman" w:hAnsi="Times New Roman"/>
          <w:color w:val="000000" w:themeColor="text1"/>
        </w:rPr>
      </w:pPr>
    </w:p>
    <w:bookmarkEnd w:id="1"/>
    <w:p w14:paraId="1B3375FD" w14:textId="77777777" w:rsidR="00DE6469" w:rsidRPr="00704591" w:rsidRDefault="002A1DB9" w:rsidP="00A45F24">
      <w:pPr>
        <w:widowControl/>
        <w:ind w:left="720"/>
        <w:rPr>
          <w:rFonts w:ascii="Times New Roman" w:hAnsi="Times New Roman"/>
          <w:color w:val="000000" w:themeColor="text1"/>
        </w:rPr>
      </w:pPr>
      <w:r w:rsidRPr="00704591">
        <w:rPr>
          <w:rFonts w:ascii="Times New Roman" w:hAnsi="Times New Roman"/>
          <w:color w:val="000000" w:themeColor="text1"/>
        </w:rPr>
        <w:t xml:space="preserve">There are currently </w:t>
      </w:r>
      <w:r w:rsidR="00874464">
        <w:rPr>
          <w:rFonts w:ascii="Times New Roman" w:hAnsi="Times New Roman"/>
          <w:color w:val="000000" w:themeColor="text1"/>
        </w:rPr>
        <w:t>207</w:t>
      </w:r>
      <w:r w:rsidRPr="00704591">
        <w:rPr>
          <w:rFonts w:ascii="Times New Roman" w:hAnsi="Times New Roman"/>
          <w:color w:val="000000" w:themeColor="text1"/>
        </w:rPr>
        <w:t>,</w:t>
      </w:r>
      <w:r w:rsidR="006C2D8F">
        <w:rPr>
          <w:rFonts w:ascii="Times New Roman" w:hAnsi="Times New Roman"/>
          <w:color w:val="000000" w:themeColor="text1"/>
        </w:rPr>
        <w:t>9</w:t>
      </w:r>
      <w:r w:rsidR="00874464">
        <w:rPr>
          <w:rFonts w:ascii="Times New Roman" w:hAnsi="Times New Roman"/>
          <w:color w:val="000000" w:themeColor="text1"/>
        </w:rPr>
        <w:t>06</w:t>
      </w:r>
      <w:r w:rsidR="00874464" w:rsidRPr="00704591">
        <w:rPr>
          <w:rFonts w:ascii="Times New Roman" w:hAnsi="Times New Roman"/>
          <w:color w:val="000000" w:themeColor="text1"/>
        </w:rPr>
        <w:t xml:space="preserve"> </w:t>
      </w:r>
      <w:r w:rsidRPr="00704591">
        <w:rPr>
          <w:rFonts w:ascii="Times New Roman" w:hAnsi="Times New Roman"/>
          <w:color w:val="000000" w:themeColor="text1"/>
        </w:rPr>
        <w:t>employers obligated to contribute to multiemployer defined benefit plans that are required to receive a funding notice.</w:t>
      </w:r>
    </w:p>
    <w:p w14:paraId="2042382A" w14:textId="77777777" w:rsidR="00DE6469" w:rsidRPr="00704591" w:rsidRDefault="00DE6469" w:rsidP="003750B6">
      <w:pPr>
        <w:widowControl/>
        <w:ind w:left="720"/>
        <w:rPr>
          <w:rFonts w:ascii="Times New Roman" w:hAnsi="Times New Roman"/>
          <w:color w:val="000000" w:themeColor="text1"/>
        </w:rPr>
      </w:pPr>
    </w:p>
    <w:p w14:paraId="27716127" w14:textId="579C2AAC" w:rsidR="00DE6469" w:rsidRPr="00704591" w:rsidRDefault="00DE6469" w:rsidP="003750B6">
      <w:pPr>
        <w:widowControl/>
        <w:ind w:left="720"/>
        <w:rPr>
          <w:rFonts w:ascii="Times New Roman" w:hAnsi="Times New Roman"/>
          <w:color w:val="000000" w:themeColor="text1"/>
        </w:rPr>
      </w:pPr>
      <w:r w:rsidRPr="00704591">
        <w:rPr>
          <w:rFonts w:ascii="Times New Roman" w:hAnsi="Times New Roman"/>
          <w:color w:val="000000" w:themeColor="text1"/>
        </w:rPr>
        <w:t xml:space="preserve">For purposes of </w:t>
      </w:r>
      <w:r w:rsidR="00A24393">
        <w:rPr>
          <w:rFonts w:ascii="Times New Roman" w:hAnsi="Times New Roman"/>
          <w:color w:val="000000" w:themeColor="text1"/>
        </w:rPr>
        <w:t>paperwork burden</w:t>
      </w:r>
      <w:r w:rsidRPr="00704591">
        <w:rPr>
          <w:rFonts w:ascii="Times New Roman" w:hAnsi="Times New Roman"/>
          <w:color w:val="000000" w:themeColor="text1"/>
        </w:rPr>
        <w:t xml:space="preserve"> estimates, the Department has assumed that each plan will develop a </w:t>
      </w:r>
      <w:r w:rsidR="00EC3948" w:rsidRPr="00704591">
        <w:rPr>
          <w:rFonts w:ascii="Times New Roman" w:hAnsi="Times New Roman"/>
          <w:color w:val="000000" w:themeColor="text1"/>
        </w:rPr>
        <w:t>notice</w:t>
      </w:r>
      <w:r w:rsidRPr="00704591">
        <w:rPr>
          <w:rFonts w:ascii="Times New Roman" w:hAnsi="Times New Roman"/>
          <w:color w:val="000000" w:themeColor="text1"/>
        </w:rPr>
        <w:t xml:space="preserve"> and that each year approximately </w:t>
      </w:r>
      <w:r w:rsidR="00874464">
        <w:rPr>
          <w:rFonts w:ascii="Times New Roman" w:hAnsi="Times New Roman"/>
          <w:color w:val="000000" w:themeColor="text1"/>
        </w:rPr>
        <w:t>40,139,212</w:t>
      </w:r>
      <w:r w:rsidRPr="00704591">
        <w:rPr>
          <w:rFonts w:ascii="Times New Roman" w:hAnsi="Times New Roman"/>
          <w:color w:val="000000" w:themeColor="text1"/>
        </w:rPr>
        <w:t xml:space="preserve"> notices will be prepared and sent.  The </w:t>
      </w:r>
      <w:r w:rsidR="00874464">
        <w:rPr>
          <w:rFonts w:ascii="Times New Roman" w:hAnsi="Times New Roman"/>
          <w:color w:val="000000" w:themeColor="text1"/>
        </w:rPr>
        <w:t>40,139,212</w:t>
      </w:r>
      <w:r w:rsidRPr="00704591">
        <w:rPr>
          <w:rFonts w:ascii="Times New Roman" w:hAnsi="Times New Roman"/>
          <w:color w:val="000000" w:themeColor="text1"/>
        </w:rPr>
        <w:t xml:space="preserve"> breaks down as follows:  </w:t>
      </w:r>
      <w:r w:rsidR="00BE1082">
        <w:rPr>
          <w:rFonts w:ascii="Times New Roman" w:hAnsi="Times New Roman"/>
          <w:color w:val="000000" w:themeColor="text1"/>
        </w:rPr>
        <w:t>10,300,000</w:t>
      </w:r>
      <w:r w:rsidRPr="00704591">
        <w:rPr>
          <w:rFonts w:ascii="Times New Roman" w:hAnsi="Times New Roman"/>
          <w:color w:val="000000" w:themeColor="text1"/>
        </w:rPr>
        <w:t xml:space="preserve"> notices to participants a</w:t>
      </w:r>
      <w:r w:rsidR="00EC3948" w:rsidRPr="00704591">
        <w:rPr>
          <w:rFonts w:ascii="Times New Roman" w:hAnsi="Times New Roman"/>
          <w:color w:val="000000" w:themeColor="text1"/>
        </w:rPr>
        <w:t>nd beneficiaries of 1,</w:t>
      </w:r>
      <w:r w:rsidR="002F5F6B">
        <w:rPr>
          <w:rFonts w:ascii="Times New Roman" w:hAnsi="Times New Roman"/>
          <w:color w:val="000000" w:themeColor="text1"/>
        </w:rPr>
        <w:t>338</w:t>
      </w:r>
      <w:r w:rsidR="00BE1082" w:rsidRPr="00704591">
        <w:rPr>
          <w:rFonts w:ascii="Times New Roman" w:hAnsi="Times New Roman"/>
          <w:color w:val="000000" w:themeColor="text1"/>
        </w:rPr>
        <w:t xml:space="preserve"> </w:t>
      </w:r>
      <w:r w:rsidRPr="00704591">
        <w:rPr>
          <w:rFonts w:ascii="Times New Roman" w:hAnsi="Times New Roman"/>
          <w:color w:val="000000" w:themeColor="text1"/>
        </w:rPr>
        <w:t xml:space="preserve">multiemployer defined benefit plans;  </w:t>
      </w:r>
      <w:r w:rsidR="00BE1082">
        <w:rPr>
          <w:rFonts w:ascii="Times New Roman" w:hAnsi="Times New Roman"/>
          <w:color w:val="000000" w:themeColor="text1"/>
        </w:rPr>
        <w:t>29,576,449</w:t>
      </w:r>
      <w:r w:rsidRPr="00704591">
        <w:rPr>
          <w:rFonts w:ascii="Times New Roman" w:hAnsi="Times New Roman"/>
          <w:color w:val="000000" w:themeColor="text1"/>
        </w:rPr>
        <w:t xml:space="preserve"> notices to participants and beneficiaries of </w:t>
      </w:r>
      <w:r w:rsidR="00BE1082" w:rsidRPr="00704591">
        <w:rPr>
          <w:rFonts w:ascii="Times New Roman" w:hAnsi="Times New Roman"/>
          <w:color w:val="000000" w:themeColor="text1"/>
        </w:rPr>
        <w:t>2</w:t>
      </w:r>
      <w:r w:rsidR="00BE1082">
        <w:rPr>
          <w:rFonts w:ascii="Times New Roman" w:hAnsi="Times New Roman"/>
          <w:color w:val="000000" w:themeColor="text1"/>
        </w:rPr>
        <w:t>2</w:t>
      </w:r>
      <w:r w:rsidR="00C8574E" w:rsidRPr="00704591">
        <w:rPr>
          <w:rFonts w:ascii="Times New Roman" w:hAnsi="Times New Roman"/>
          <w:color w:val="000000" w:themeColor="text1"/>
        </w:rPr>
        <w:t>,</w:t>
      </w:r>
      <w:r w:rsidR="00BE1082">
        <w:rPr>
          <w:rFonts w:ascii="Times New Roman" w:hAnsi="Times New Roman"/>
          <w:color w:val="000000" w:themeColor="text1"/>
        </w:rPr>
        <w:t>137</w:t>
      </w:r>
      <w:r w:rsidR="00BE1082" w:rsidRPr="00704591">
        <w:rPr>
          <w:rFonts w:ascii="Times New Roman" w:hAnsi="Times New Roman"/>
          <w:color w:val="000000" w:themeColor="text1"/>
        </w:rPr>
        <w:t xml:space="preserve"> </w:t>
      </w:r>
      <w:r w:rsidRPr="00704591">
        <w:rPr>
          <w:rFonts w:ascii="Times New Roman" w:hAnsi="Times New Roman"/>
          <w:color w:val="000000" w:themeColor="text1"/>
        </w:rPr>
        <w:t xml:space="preserve">single employer plans; </w:t>
      </w:r>
      <w:r w:rsidR="00001CCC">
        <w:rPr>
          <w:rFonts w:ascii="Times New Roman" w:hAnsi="Times New Roman"/>
          <w:color w:val="000000" w:themeColor="text1"/>
        </w:rPr>
        <w:t>31,382</w:t>
      </w:r>
      <w:r w:rsidR="00BE1082" w:rsidRPr="00704591">
        <w:rPr>
          <w:rFonts w:ascii="Times New Roman" w:hAnsi="Times New Roman"/>
          <w:color w:val="000000" w:themeColor="text1"/>
        </w:rPr>
        <w:t xml:space="preserve"> </w:t>
      </w:r>
      <w:r w:rsidRPr="00704591">
        <w:rPr>
          <w:rFonts w:ascii="Times New Roman" w:hAnsi="Times New Roman"/>
          <w:color w:val="000000" w:themeColor="text1"/>
        </w:rPr>
        <w:t xml:space="preserve">notices to labor organizations; </w:t>
      </w:r>
      <w:r w:rsidR="00001CCC">
        <w:rPr>
          <w:rFonts w:ascii="Times New Roman" w:hAnsi="Times New Roman"/>
          <w:color w:val="000000" w:themeColor="text1"/>
        </w:rPr>
        <w:t>207</w:t>
      </w:r>
      <w:r w:rsidR="00C8574E" w:rsidRPr="00704591">
        <w:rPr>
          <w:rFonts w:ascii="Times New Roman" w:hAnsi="Times New Roman"/>
          <w:color w:val="000000" w:themeColor="text1"/>
        </w:rPr>
        <w:t>,</w:t>
      </w:r>
      <w:r w:rsidR="00001CCC">
        <w:rPr>
          <w:rFonts w:ascii="Times New Roman" w:hAnsi="Times New Roman"/>
          <w:color w:val="000000" w:themeColor="text1"/>
        </w:rPr>
        <w:t>906</w:t>
      </w:r>
      <w:r w:rsidR="00001CCC" w:rsidRPr="00704591">
        <w:rPr>
          <w:rFonts w:ascii="Times New Roman" w:hAnsi="Times New Roman"/>
          <w:color w:val="000000" w:themeColor="text1"/>
        </w:rPr>
        <w:t xml:space="preserve"> </w:t>
      </w:r>
      <w:r w:rsidRPr="00704591">
        <w:rPr>
          <w:rFonts w:ascii="Times New Roman" w:hAnsi="Times New Roman"/>
          <w:color w:val="000000" w:themeColor="text1"/>
        </w:rPr>
        <w:t xml:space="preserve">notices to contributing employers of multiemployer plans; and </w:t>
      </w:r>
      <w:r w:rsidR="00001CCC" w:rsidRPr="00704591">
        <w:rPr>
          <w:rFonts w:ascii="Times New Roman" w:hAnsi="Times New Roman"/>
          <w:color w:val="000000" w:themeColor="text1"/>
        </w:rPr>
        <w:t>2</w:t>
      </w:r>
      <w:r w:rsidR="00001CCC">
        <w:rPr>
          <w:rFonts w:ascii="Times New Roman" w:hAnsi="Times New Roman"/>
          <w:color w:val="000000" w:themeColor="text1"/>
        </w:rPr>
        <w:t>3</w:t>
      </w:r>
      <w:r w:rsidRPr="00704591">
        <w:rPr>
          <w:rFonts w:ascii="Times New Roman" w:hAnsi="Times New Roman"/>
          <w:color w:val="000000" w:themeColor="text1"/>
        </w:rPr>
        <w:t>,</w:t>
      </w:r>
      <w:r w:rsidR="00001CCC">
        <w:rPr>
          <w:rFonts w:ascii="Times New Roman" w:hAnsi="Times New Roman"/>
          <w:color w:val="000000" w:themeColor="text1"/>
        </w:rPr>
        <w:t>475</w:t>
      </w:r>
      <w:r w:rsidR="00001CCC" w:rsidRPr="00704591">
        <w:rPr>
          <w:rFonts w:ascii="Times New Roman" w:hAnsi="Times New Roman"/>
          <w:color w:val="000000" w:themeColor="text1"/>
        </w:rPr>
        <w:t xml:space="preserve"> </w:t>
      </w:r>
      <w:r w:rsidRPr="00704591">
        <w:rPr>
          <w:rFonts w:ascii="Times New Roman" w:hAnsi="Times New Roman"/>
          <w:color w:val="000000" w:themeColor="text1"/>
        </w:rPr>
        <w:t>notices to the PBGC.</w:t>
      </w:r>
    </w:p>
    <w:p w14:paraId="43A8C9FE" w14:textId="77777777" w:rsidR="00DE6469" w:rsidRPr="00704591" w:rsidRDefault="00DE6469" w:rsidP="003750B6">
      <w:pPr>
        <w:widowControl/>
        <w:ind w:left="720"/>
        <w:rPr>
          <w:rFonts w:ascii="Times New Roman" w:hAnsi="Times New Roman"/>
          <w:color w:val="000000" w:themeColor="text1"/>
        </w:rPr>
      </w:pPr>
    </w:p>
    <w:p w14:paraId="3D59F149" w14:textId="77777777" w:rsidR="00DE6469" w:rsidRPr="00704591" w:rsidRDefault="00C11E6E" w:rsidP="003750B6">
      <w:pPr>
        <w:widowControl/>
        <w:ind w:left="720"/>
        <w:rPr>
          <w:rFonts w:ascii="Times New Roman" w:hAnsi="Times New Roman"/>
          <w:color w:val="000000" w:themeColor="text1"/>
        </w:rPr>
      </w:pPr>
      <w:r w:rsidRPr="00704591">
        <w:rPr>
          <w:rFonts w:ascii="Times New Roman" w:hAnsi="Times New Roman"/>
          <w:color w:val="000000" w:themeColor="text1"/>
        </w:rPr>
        <w:t xml:space="preserve">Estimates of notice preparations are based on the assumption that plan service providers, actuaries, lawyers, and financial professionals will produce the notices.  It is assumed that the availability of a model notice will lessen the time otherwise required by a plan administrator to draft a required notice.  The </w:t>
      </w:r>
      <w:r w:rsidR="00194957">
        <w:rPr>
          <w:rFonts w:ascii="Times New Roman" w:hAnsi="Times New Roman"/>
          <w:color w:val="000000" w:themeColor="text1"/>
        </w:rPr>
        <w:t>Department</w:t>
      </w:r>
      <w:r w:rsidR="00502284">
        <w:rPr>
          <w:rFonts w:ascii="Times New Roman" w:hAnsi="Times New Roman"/>
          <w:color w:val="000000" w:themeColor="text1"/>
        </w:rPr>
        <w:t xml:space="preserve"> assumes </w:t>
      </w:r>
      <w:r w:rsidRPr="00704591">
        <w:rPr>
          <w:rFonts w:ascii="Times New Roman" w:hAnsi="Times New Roman"/>
          <w:color w:val="000000" w:themeColor="text1"/>
        </w:rPr>
        <w:t xml:space="preserve">actuaries will spend 2.5 hours for single-employer plans and two hours </w:t>
      </w:r>
      <w:r w:rsidR="00680697">
        <w:rPr>
          <w:rFonts w:ascii="Times New Roman" w:hAnsi="Times New Roman"/>
          <w:color w:val="000000" w:themeColor="text1"/>
        </w:rPr>
        <w:t>for multi-employer plans</w:t>
      </w:r>
      <w:r w:rsidR="00022303" w:rsidRPr="005A3799">
        <w:rPr>
          <w:rStyle w:val="FootnoteReference"/>
          <w:rFonts w:ascii="Times New Roman" w:hAnsi="Times New Roman"/>
          <w:color w:val="000000" w:themeColor="text1"/>
          <w:vertAlign w:val="superscript"/>
        </w:rPr>
        <w:footnoteReference w:id="3"/>
      </w:r>
      <w:r w:rsidRPr="00704591">
        <w:rPr>
          <w:rFonts w:ascii="Times New Roman" w:hAnsi="Times New Roman"/>
          <w:color w:val="000000" w:themeColor="text1"/>
        </w:rPr>
        <w:t xml:space="preserve"> making specific calculations for information that must be provided in the notice; legal professionals will spend 0.5 hours; and financial professionals will spend one hour drafting the notice.  The final preparation and distribution of the notice will be done by a clerical pro</w:t>
      </w:r>
      <w:r w:rsidR="00AC461B">
        <w:rPr>
          <w:rFonts w:ascii="Times New Roman" w:hAnsi="Times New Roman"/>
          <w:color w:val="000000" w:themeColor="text1"/>
        </w:rPr>
        <w:t>f</w:t>
      </w:r>
      <w:r w:rsidRPr="00704591">
        <w:rPr>
          <w:rFonts w:ascii="Times New Roman" w:hAnsi="Times New Roman"/>
          <w:color w:val="000000" w:themeColor="text1"/>
        </w:rPr>
        <w:t xml:space="preserve">essional using an estimate of </w:t>
      </w:r>
      <w:r w:rsidR="00007652">
        <w:rPr>
          <w:rFonts w:ascii="Times New Roman" w:hAnsi="Times New Roman"/>
          <w:color w:val="000000" w:themeColor="text1"/>
        </w:rPr>
        <w:t>two</w:t>
      </w:r>
      <w:r w:rsidRPr="00704591">
        <w:rPr>
          <w:rFonts w:ascii="Times New Roman" w:hAnsi="Times New Roman"/>
          <w:color w:val="000000" w:themeColor="text1"/>
        </w:rPr>
        <w:t xml:space="preserve"> minute</w:t>
      </w:r>
      <w:r w:rsidR="00007652">
        <w:rPr>
          <w:rFonts w:ascii="Times New Roman" w:hAnsi="Times New Roman"/>
          <w:color w:val="000000" w:themeColor="text1"/>
        </w:rPr>
        <w:t>s</w:t>
      </w:r>
      <w:r w:rsidRPr="00704591">
        <w:rPr>
          <w:rFonts w:ascii="Times New Roman" w:hAnsi="Times New Roman"/>
          <w:color w:val="000000" w:themeColor="text1"/>
        </w:rPr>
        <w:t xml:space="preserve"> per notice mailed.</w:t>
      </w:r>
    </w:p>
    <w:p w14:paraId="3E8A5975" w14:textId="77777777" w:rsidR="00DE6469" w:rsidRPr="00704591" w:rsidRDefault="00DE6469" w:rsidP="003750B6">
      <w:pPr>
        <w:widowControl/>
        <w:ind w:left="720"/>
        <w:rPr>
          <w:rFonts w:ascii="Times New Roman" w:hAnsi="Times New Roman"/>
          <w:color w:val="000000" w:themeColor="text1"/>
        </w:rPr>
      </w:pPr>
    </w:p>
    <w:p w14:paraId="5C96B279" w14:textId="74AB8B12" w:rsidR="00DE6469" w:rsidRPr="00704591" w:rsidRDefault="00CD2C9A" w:rsidP="003750B6">
      <w:pPr>
        <w:widowControl/>
        <w:ind w:left="720"/>
        <w:rPr>
          <w:rFonts w:ascii="Times New Roman" w:hAnsi="Times New Roman"/>
          <w:color w:val="000000" w:themeColor="text1"/>
        </w:rPr>
      </w:pPr>
      <w:r w:rsidRPr="00704591">
        <w:rPr>
          <w:rFonts w:ascii="Times New Roman" w:hAnsi="Times New Roman"/>
          <w:color w:val="000000" w:themeColor="text1"/>
        </w:rPr>
        <w:t xml:space="preserve">Assuming </w:t>
      </w:r>
      <w:r w:rsidR="0069038E">
        <w:rPr>
          <w:rFonts w:ascii="Times New Roman" w:hAnsi="Times New Roman"/>
          <w:color w:val="000000" w:themeColor="text1"/>
        </w:rPr>
        <w:t>40,139,212</w:t>
      </w:r>
      <w:r w:rsidRPr="00704591">
        <w:rPr>
          <w:rFonts w:ascii="Times New Roman" w:hAnsi="Times New Roman"/>
          <w:color w:val="000000" w:themeColor="text1"/>
        </w:rPr>
        <w:t xml:space="preserve"> notices are distributed,</w:t>
      </w:r>
      <w:r w:rsidR="00E92392">
        <w:rPr>
          <w:rFonts w:ascii="Times New Roman" w:hAnsi="Times New Roman"/>
          <w:color w:val="000000" w:themeColor="text1"/>
        </w:rPr>
        <w:t xml:space="preserve"> and 53.7 percent of notices are transmitted electronically,</w:t>
      </w:r>
      <w:r w:rsidRPr="007504A8">
        <w:rPr>
          <w:rStyle w:val="FootnoteReference"/>
          <w:rFonts w:ascii="Times New Roman" w:hAnsi="Times New Roman"/>
          <w:color w:val="000000" w:themeColor="text1"/>
          <w:vertAlign w:val="superscript"/>
        </w:rPr>
        <w:footnoteReference w:id="4"/>
      </w:r>
      <w:r w:rsidRPr="007504A8">
        <w:rPr>
          <w:rFonts w:ascii="Times New Roman" w:hAnsi="Times New Roman"/>
          <w:color w:val="000000" w:themeColor="text1"/>
          <w:vertAlign w:val="superscript"/>
        </w:rPr>
        <w:t xml:space="preserve"> </w:t>
      </w:r>
      <w:r w:rsidRPr="00704591">
        <w:rPr>
          <w:rFonts w:ascii="Times New Roman" w:hAnsi="Times New Roman"/>
          <w:color w:val="000000" w:themeColor="text1"/>
        </w:rPr>
        <w:t xml:space="preserve"> the burden hours are </w:t>
      </w:r>
      <w:r w:rsidR="00502284">
        <w:rPr>
          <w:rFonts w:ascii="Times New Roman" w:hAnsi="Times New Roman"/>
          <w:color w:val="000000" w:themeColor="text1"/>
        </w:rPr>
        <w:t>58,135</w:t>
      </w:r>
      <w:r w:rsidRPr="00704591">
        <w:rPr>
          <w:rFonts w:ascii="Times New Roman" w:hAnsi="Times New Roman"/>
          <w:color w:val="000000" w:themeColor="text1"/>
        </w:rPr>
        <w:t xml:space="preserve"> actuarial hours, </w:t>
      </w:r>
      <w:r w:rsidR="00502284">
        <w:rPr>
          <w:rFonts w:ascii="Times New Roman" w:hAnsi="Times New Roman"/>
          <w:color w:val="000000" w:themeColor="text1"/>
        </w:rPr>
        <w:t>23,533</w:t>
      </w:r>
      <w:r w:rsidRPr="00704591">
        <w:rPr>
          <w:rFonts w:ascii="Times New Roman" w:hAnsi="Times New Roman"/>
          <w:color w:val="000000" w:themeColor="text1"/>
        </w:rPr>
        <w:t xml:space="preserve"> financial professional hours, and </w:t>
      </w:r>
      <w:r w:rsidR="00502284">
        <w:rPr>
          <w:rFonts w:ascii="Times New Roman" w:hAnsi="Times New Roman"/>
          <w:color w:val="000000" w:themeColor="text1"/>
        </w:rPr>
        <w:t>11,767</w:t>
      </w:r>
      <w:r w:rsidRPr="00704591">
        <w:rPr>
          <w:rFonts w:ascii="Times New Roman" w:hAnsi="Times New Roman"/>
          <w:color w:val="000000" w:themeColor="text1"/>
        </w:rPr>
        <w:t xml:space="preserve"> legal professional hours.  Total clerical professional hours are calculated based on the total number of notices mailed and the preparation time of </w:t>
      </w:r>
      <w:r w:rsidR="00E4311E">
        <w:rPr>
          <w:rFonts w:ascii="Times New Roman" w:hAnsi="Times New Roman"/>
          <w:color w:val="000000" w:themeColor="text1"/>
        </w:rPr>
        <w:t>two</w:t>
      </w:r>
      <w:r w:rsidRPr="00704591">
        <w:rPr>
          <w:rFonts w:ascii="Times New Roman" w:hAnsi="Times New Roman"/>
          <w:color w:val="000000" w:themeColor="text1"/>
        </w:rPr>
        <w:t xml:space="preserve"> minute</w:t>
      </w:r>
      <w:r w:rsidR="00E4311E">
        <w:rPr>
          <w:rFonts w:ascii="Times New Roman" w:hAnsi="Times New Roman"/>
          <w:color w:val="000000" w:themeColor="text1"/>
        </w:rPr>
        <w:t>s</w:t>
      </w:r>
      <w:r w:rsidRPr="00704591">
        <w:rPr>
          <w:rFonts w:ascii="Times New Roman" w:hAnsi="Times New Roman"/>
          <w:color w:val="000000" w:themeColor="text1"/>
        </w:rPr>
        <w:t xml:space="preserve"> per notice resulting in </w:t>
      </w:r>
      <w:r w:rsidR="00502284">
        <w:rPr>
          <w:rFonts w:ascii="Times New Roman" w:hAnsi="Times New Roman"/>
          <w:color w:val="000000" w:themeColor="text1"/>
        </w:rPr>
        <w:t>619,482</w:t>
      </w:r>
      <w:r w:rsidRPr="00704591">
        <w:rPr>
          <w:rFonts w:ascii="Times New Roman" w:hAnsi="Times New Roman"/>
          <w:color w:val="000000" w:themeColor="text1"/>
        </w:rPr>
        <w:t xml:space="preserve"> hours.  The total </w:t>
      </w:r>
      <w:r w:rsidR="00E4311E">
        <w:rPr>
          <w:rFonts w:ascii="Times New Roman" w:hAnsi="Times New Roman"/>
          <w:color w:val="000000" w:themeColor="text1"/>
        </w:rPr>
        <w:t xml:space="preserve">annual </w:t>
      </w:r>
      <w:r w:rsidRPr="00704591">
        <w:rPr>
          <w:rFonts w:ascii="Times New Roman" w:hAnsi="Times New Roman"/>
          <w:color w:val="000000" w:themeColor="text1"/>
        </w:rPr>
        <w:t xml:space="preserve">hour burden is </w:t>
      </w:r>
      <w:r w:rsidR="00827D7D">
        <w:rPr>
          <w:rFonts w:ascii="Times New Roman" w:hAnsi="Times New Roman"/>
          <w:color w:val="000000" w:themeColor="text1"/>
        </w:rPr>
        <w:t>712,917</w:t>
      </w:r>
      <w:r w:rsidRPr="00704591">
        <w:rPr>
          <w:rFonts w:ascii="Times New Roman" w:hAnsi="Times New Roman"/>
          <w:color w:val="000000" w:themeColor="text1"/>
        </w:rPr>
        <w:t xml:space="preserve"> hours.</w:t>
      </w:r>
    </w:p>
    <w:p w14:paraId="1C49A50D" w14:textId="77777777" w:rsidR="00446B52" w:rsidRDefault="00446B52" w:rsidP="003750B6">
      <w:pPr>
        <w:widowControl/>
        <w:ind w:left="720"/>
        <w:rPr>
          <w:rFonts w:ascii="Times New Roman" w:hAnsi="Times New Roman"/>
          <w:color w:val="000000" w:themeColor="text1"/>
        </w:rPr>
      </w:pPr>
    </w:p>
    <w:p w14:paraId="504D9613" w14:textId="77777777" w:rsidR="00407604" w:rsidRPr="00704591" w:rsidRDefault="007D0EC8" w:rsidP="003750B6">
      <w:pPr>
        <w:widowControl/>
        <w:ind w:left="720"/>
        <w:rPr>
          <w:rFonts w:ascii="Times New Roman" w:hAnsi="Times New Roman"/>
          <w:color w:val="000000" w:themeColor="text1"/>
        </w:rPr>
      </w:pPr>
      <w:r w:rsidRPr="00704591">
        <w:rPr>
          <w:rFonts w:ascii="Times New Roman" w:hAnsi="Times New Roman"/>
          <w:color w:val="000000" w:themeColor="text1"/>
        </w:rPr>
        <w:t>Calculations of the 201</w:t>
      </w:r>
      <w:r w:rsidR="00502284">
        <w:rPr>
          <w:rFonts w:ascii="Times New Roman" w:hAnsi="Times New Roman"/>
          <w:color w:val="000000" w:themeColor="text1"/>
        </w:rPr>
        <w:t>8</w:t>
      </w:r>
      <w:r w:rsidRPr="00704591">
        <w:rPr>
          <w:rFonts w:ascii="Times New Roman" w:hAnsi="Times New Roman"/>
          <w:color w:val="000000" w:themeColor="text1"/>
        </w:rPr>
        <w:t xml:space="preserve"> hourly labor costs were $</w:t>
      </w:r>
      <w:r w:rsidR="00502284">
        <w:rPr>
          <w:rFonts w:ascii="Times New Roman" w:hAnsi="Times New Roman"/>
          <w:color w:val="000000" w:themeColor="text1"/>
        </w:rPr>
        <w:t>52.09</w:t>
      </w:r>
      <w:r w:rsidRPr="00704591">
        <w:rPr>
          <w:rFonts w:ascii="Times New Roman" w:hAnsi="Times New Roman"/>
          <w:color w:val="000000" w:themeColor="text1"/>
        </w:rPr>
        <w:t xml:space="preserve"> for a clerical professional, $</w:t>
      </w:r>
      <w:r w:rsidR="00502284">
        <w:rPr>
          <w:rFonts w:ascii="Times New Roman" w:hAnsi="Times New Roman"/>
          <w:color w:val="000000" w:themeColor="text1"/>
        </w:rPr>
        <w:t>157.90</w:t>
      </w:r>
      <w:r w:rsidRPr="00704591">
        <w:rPr>
          <w:rFonts w:ascii="Times New Roman" w:hAnsi="Times New Roman"/>
          <w:color w:val="000000" w:themeColor="text1"/>
        </w:rPr>
        <w:t xml:space="preserve"> for a financial professional, $</w:t>
      </w:r>
      <w:r w:rsidR="00502284">
        <w:rPr>
          <w:rFonts w:ascii="Times New Roman" w:hAnsi="Times New Roman"/>
          <w:color w:val="000000" w:themeColor="text1"/>
        </w:rPr>
        <w:t>134.57</w:t>
      </w:r>
      <w:r w:rsidRPr="00704591">
        <w:rPr>
          <w:rFonts w:ascii="Times New Roman" w:hAnsi="Times New Roman"/>
          <w:color w:val="000000" w:themeColor="text1"/>
        </w:rPr>
        <w:t xml:space="preserve"> for an actuary, and $</w:t>
      </w:r>
      <w:r w:rsidR="00502284">
        <w:rPr>
          <w:rFonts w:ascii="Times New Roman" w:hAnsi="Times New Roman"/>
          <w:color w:val="000000" w:themeColor="text1"/>
        </w:rPr>
        <w:t>133.29</w:t>
      </w:r>
      <w:r w:rsidRPr="00704591">
        <w:rPr>
          <w:rFonts w:ascii="Times New Roman" w:hAnsi="Times New Roman"/>
          <w:color w:val="000000" w:themeColor="text1"/>
        </w:rPr>
        <w:t xml:space="preserve"> for a legal professional.</w:t>
      </w:r>
      <w:r w:rsidRPr="00704591">
        <w:rPr>
          <w:rFonts w:ascii="Times New Roman" w:hAnsi="Times New Roman"/>
          <w:color w:val="000000" w:themeColor="text1"/>
          <w:vertAlign w:val="superscript"/>
        </w:rPr>
        <w:footnoteReference w:id="5"/>
      </w:r>
    </w:p>
    <w:p w14:paraId="4B833324" w14:textId="77777777" w:rsidR="00407604" w:rsidRPr="00704591" w:rsidRDefault="00407604" w:rsidP="003750B6">
      <w:pPr>
        <w:widowControl/>
        <w:ind w:left="720"/>
        <w:rPr>
          <w:rFonts w:ascii="Times New Roman" w:hAnsi="Times New Roman"/>
          <w:color w:val="000000" w:themeColor="text1"/>
        </w:rPr>
      </w:pPr>
    </w:p>
    <w:p w14:paraId="034DB690" w14:textId="77777777" w:rsidR="00E70027" w:rsidRDefault="00E70027" w:rsidP="003750B6">
      <w:pPr>
        <w:widowControl/>
        <w:ind w:left="720"/>
        <w:rPr>
          <w:rFonts w:ascii="Times New Roman" w:hAnsi="Times New Roman"/>
          <w:color w:val="000000" w:themeColor="text1"/>
        </w:rPr>
      </w:pPr>
      <w:r w:rsidRPr="00704591">
        <w:rPr>
          <w:rFonts w:ascii="Times New Roman" w:hAnsi="Times New Roman"/>
          <w:color w:val="000000" w:themeColor="text1"/>
        </w:rPr>
        <w:t xml:space="preserve">Based on the foregoing, the total equivalent cost </w:t>
      </w:r>
      <w:r w:rsidR="00C3175D">
        <w:rPr>
          <w:rFonts w:ascii="Times New Roman" w:hAnsi="Times New Roman"/>
          <w:color w:val="000000" w:themeColor="text1"/>
        </w:rPr>
        <w:t>is</w:t>
      </w:r>
      <w:r w:rsidRPr="00704591">
        <w:rPr>
          <w:rFonts w:ascii="Times New Roman" w:hAnsi="Times New Roman"/>
          <w:color w:val="000000" w:themeColor="text1"/>
        </w:rPr>
        <w:t xml:space="preserve"> $</w:t>
      </w:r>
      <w:r w:rsidR="00C3175D">
        <w:rPr>
          <w:rFonts w:ascii="Times New Roman" w:hAnsi="Times New Roman"/>
          <w:color w:val="000000" w:themeColor="text1"/>
        </w:rPr>
        <w:t>7,823,160</w:t>
      </w:r>
      <w:r w:rsidRPr="00704591">
        <w:rPr>
          <w:rFonts w:ascii="Times New Roman" w:hAnsi="Times New Roman"/>
          <w:color w:val="000000" w:themeColor="text1"/>
        </w:rPr>
        <w:t xml:space="preserve"> for actuarial services, $</w:t>
      </w:r>
      <w:r w:rsidR="00C3175D">
        <w:rPr>
          <w:rFonts w:ascii="Times New Roman" w:hAnsi="Times New Roman"/>
          <w:color w:val="000000" w:themeColor="text1"/>
        </w:rPr>
        <w:t>32,268,809</w:t>
      </w:r>
      <w:r w:rsidRPr="00704591">
        <w:rPr>
          <w:rFonts w:ascii="Times New Roman" w:hAnsi="Times New Roman"/>
          <w:color w:val="000000" w:themeColor="text1"/>
        </w:rPr>
        <w:t xml:space="preserve"> for clerical services, $</w:t>
      </w:r>
      <w:r w:rsidR="00C3175D">
        <w:rPr>
          <w:rFonts w:ascii="Times New Roman" w:hAnsi="Times New Roman"/>
          <w:color w:val="000000" w:themeColor="text1"/>
        </w:rPr>
        <w:t>3,715,861</w:t>
      </w:r>
      <w:r w:rsidRPr="00704591">
        <w:rPr>
          <w:rFonts w:ascii="Times New Roman" w:hAnsi="Times New Roman"/>
          <w:color w:val="000000" w:themeColor="text1"/>
        </w:rPr>
        <w:t xml:space="preserve"> for financial professional services, and $</w:t>
      </w:r>
      <w:r w:rsidR="00C3175D">
        <w:rPr>
          <w:rFonts w:ascii="Times New Roman" w:hAnsi="Times New Roman"/>
          <w:color w:val="000000" w:themeColor="text1"/>
        </w:rPr>
        <w:t>1,568,357</w:t>
      </w:r>
      <w:r w:rsidRPr="00704591">
        <w:rPr>
          <w:rFonts w:ascii="Times New Roman" w:hAnsi="Times New Roman"/>
          <w:color w:val="000000" w:themeColor="text1"/>
        </w:rPr>
        <w:t xml:space="preserve"> for legal professional services.  The total equivalent cost is approximately $</w:t>
      </w:r>
      <w:r w:rsidR="00C3175D">
        <w:rPr>
          <w:rFonts w:ascii="Times New Roman" w:hAnsi="Times New Roman"/>
          <w:color w:val="000000" w:themeColor="text1"/>
        </w:rPr>
        <w:t>45,376,</w:t>
      </w:r>
      <w:r w:rsidR="0033170F">
        <w:rPr>
          <w:rFonts w:ascii="Times New Roman" w:hAnsi="Times New Roman"/>
          <w:color w:val="000000" w:themeColor="text1"/>
        </w:rPr>
        <w:t>186</w:t>
      </w:r>
      <w:r w:rsidRPr="00704591">
        <w:rPr>
          <w:rFonts w:ascii="Times New Roman" w:hAnsi="Times New Roman"/>
          <w:color w:val="000000" w:themeColor="text1"/>
        </w:rPr>
        <w:t>.</w:t>
      </w:r>
    </w:p>
    <w:p w14:paraId="5761548E" w14:textId="77777777" w:rsidR="009F3DFF" w:rsidRDefault="009F3DFF" w:rsidP="003750B6">
      <w:pPr>
        <w:widowControl/>
        <w:ind w:left="720"/>
        <w:rPr>
          <w:rFonts w:ascii="Times New Roman" w:hAnsi="Times New Roman"/>
          <w:color w:val="000000" w:themeColor="text1"/>
        </w:rPr>
      </w:pPr>
    </w:p>
    <w:p w14:paraId="4BF5A5CD" w14:textId="77777777" w:rsidR="009F3DFF" w:rsidRDefault="009F3DFF" w:rsidP="003750B6">
      <w:pPr>
        <w:widowControl/>
        <w:ind w:left="720"/>
        <w:rPr>
          <w:rFonts w:ascii="Times New Roman" w:hAnsi="Times New Roman"/>
          <w:color w:val="000000" w:themeColor="text1"/>
        </w:rPr>
      </w:pPr>
      <w:r>
        <w:rPr>
          <w:rFonts w:ascii="Times New Roman" w:hAnsi="Times New Roman"/>
          <w:color w:val="000000" w:themeColor="text1"/>
        </w:rPr>
        <w:t xml:space="preserve">Total number of respondents: </w:t>
      </w:r>
      <w:r w:rsidR="00AC461B">
        <w:rPr>
          <w:rFonts w:ascii="Times New Roman" w:hAnsi="Times New Roman"/>
          <w:color w:val="000000" w:themeColor="text1"/>
        </w:rPr>
        <w:t>32,548 (23,533 Annual Notice Respondents + 9,015 MAP-21 Respondents)</w:t>
      </w:r>
    </w:p>
    <w:p w14:paraId="29E68EA1" w14:textId="77777777" w:rsidR="00AC461B" w:rsidRDefault="00AC461B" w:rsidP="003750B6">
      <w:pPr>
        <w:widowControl/>
        <w:ind w:left="720"/>
        <w:rPr>
          <w:rFonts w:ascii="Times New Roman" w:hAnsi="Times New Roman"/>
          <w:color w:val="000000" w:themeColor="text1"/>
        </w:rPr>
      </w:pPr>
    </w:p>
    <w:p w14:paraId="0CFA7236" w14:textId="77777777" w:rsidR="009F3DFF" w:rsidRDefault="009F3DFF" w:rsidP="009F3DFF">
      <w:pPr>
        <w:widowControl/>
        <w:ind w:left="720"/>
        <w:rPr>
          <w:rFonts w:ascii="Times New Roman" w:hAnsi="Times New Roman"/>
          <w:bCs/>
          <w:color w:val="000000" w:themeColor="text1"/>
        </w:rPr>
      </w:pPr>
      <w:r>
        <w:rPr>
          <w:rFonts w:ascii="Times New Roman" w:hAnsi="Times New Roman"/>
          <w:color w:val="000000" w:themeColor="text1"/>
        </w:rPr>
        <w:t>Total number of responses:</w:t>
      </w:r>
      <w:r w:rsidR="00AC461B">
        <w:rPr>
          <w:rFonts w:ascii="Times New Roman" w:hAnsi="Times New Roman"/>
          <w:color w:val="000000" w:themeColor="text1"/>
        </w:rPr>
        <w:t xml:space="preserve"> </w:t>
      </w:r>
      <w:r w:rsidR="00AC461B" w:rsidRPr="00AC461B">
        <w:rPr>
          <w:rFonts w:ascii="Times New Roman" w:hAnsi="Times New Roman"/>
          <w:bCs/>
          <w:color w:val="000000" w:themeColor="text1"/>
        </w:rPr>
        <w:t>69</w:t>
      </w:r>
      <w:r w:rsidR="00AC461B">
        <w:rPr>
          <w:rFonts w:ascii="Times New Roman" w:hAnsi="Times New Roman"/>
          <w:bCs/>
          <w:color w:val="000000" w:themeColor="text1"/>
        </w:rPr>
        <w:t>,</w:t>
      </w:r>
      <w:r w:rsidR="00AC461B" w:rsidRPr="00AC461B">
        <w:rPr>
          <w:rFonts w:ascii="Times New Roman" w:hAnsi="Times New Roman"/>
          <w:bCs/>
          <w:color w:val="000000" w:themeColor="text1"/>
        </w:rPr>
        <w:t>453</w:t>
      </w:r>
      <w:r w:rsidR="00AC461B">
        <w:rPr>
          <w:rFonts w:ascii="Times New Roman" w:hAnsi="Times New Roman"/>
          <w:bCs/>
          <w:color w:val="000000" w:themeColor="text1"/>
        </w:rPr>
        <w:t>,</w:t>
      </w:r>
      <w:r w:rsidR="00AC461B" w:rsidRPr="00AC461B">
        <w:rPr>
          <w:rFonts w:ascii="Times New Roman" w:hAnsi="Times New Roman"/>
          <w:bCs/>
          <w:color w:val="000000" w:themeColor="text1"/>
        </w:rPr>
        <w:t>490</w:t>
      </w:r>
      <w:r w:rsidR="00AC461B">
        <w:rPr>
          <w:rFonts w:ascii="Times New Roman" w:hAnsi="Times New Roman"/>
          <w:bCs/>
          <w:color w:val="000000" w:themeColor="text1"/>
        </w:rPr>
        <w:t xml:space="preserve"> (</w:t>
      </w:r>
      <w:r w:rsidR="00AC461B" w:rsidRPr="00AC461B">
        <w:rPr>
          <w:rFonts w:ascii="Times New Roman" w:hAnsi="Times New Roman"/>
          <w:bCs/>
          <w:color w:val="000000" w:themeColor="text1"/>
        </w:rPr>
        <w:t>40</w:t>
      </w:r>
      <w:r w:rsidR="00AC461B">
        <w:rPr>
          <w:rFonts w:ascii="Times New Roman" w:hAnsi="Times New Roman"/>
          <w:bCs/>
          <w:color w:val="000000" w:themeColor="text1"/>
        </w:rPr>
        <w:t>,</w:t>
      </w:r>
      <w:r w:rsidR="00AC461B" w:rsidRPr="00AC461B">
        <w:rPr>
          <w:rFonts w:ascii="Times New Roman" w:hAnsi="Times New Roman"/>
          <w:bCs/>
          <w:color w:val="000000" w:themeColor="text1"/>
        </w:rPr>
        <w:t>139</w:t>
      </w:r>
      <w:r w:rsidR="00AC461B">
        <w:rPr>
          <w:rFonts w:ascii="Times New Roman" w:hAnsi="Times New Roman"/>
          <w:bCs/>
          <w:color w:val="000000" w:themeColor="text1"/>
        </w:rPr>
        <w:t>,</w:t>
      </w:r>
      <w:r w:rsidR="00AC461B" w:rsidRPr="00AC461B">
        <w:rPr>
          <w:rFonts w:ascii="Times New Roman" w:hAnsi="Times New Roman"/>
          <w:bCs/>
          <w:color w:val="000000" w:themeColor="text1"/>
        </w:rPr>
        <w:t>212</w:t>
      </w:r>
      <w:r w:rsidR="00AC461B">
        <w:rPr>
          <w:rFonts w:ascii="Times New Roman" w:hAnsi="Times New Roman"/>
          <w:bCs/>
          <w:color w:val="000000" w:themeColor="text1"/>
        </w:rPr>
        <w:t xml:space="preserve"> Annual Notice Respondents + </w:t>
      </w:r>
      <w:r w:rsidR="00AC461B" w:rsidRPr="00AC461B">
        <w:rPr>
          <w:rFonts w:ascii="Times New Roman" w:hAnsi="Times New Roman"/>
          <w:bCs/>
          <w:color w:val="000000" w:themeColor="text1"/>
        </w:rPr>
        <w:t>29</w:t>
      </w:r>
      <w:r w:rsidR="00AC461B">
        <w:rPr>
          <w:rFonts w:ascii="Times New Roman" w:hAnsi="Times New Roman"/>
          <w:bCs/>
          <w:color w:val="000000" w:themeColor="text1"/>
        </w:rPr>
        <w:t>,</w:t>
      </w:r>
      <w:r w:rsidR="00AC461B" w:rsidRPr="00AC461B">
        <w:rPr>
          <w:rFonts w:ascii="Times New Roman" w:hAnsi="Times New Roman"/>
          <w:bCs/>
          <w:color w:val="000000" w:themeColor="text1"/>
        </w:rPr>
        <w:t>314</w:t>
      </w:r>
      <w:r w:rsidR="00AC461B">
        <w:rPr>
          <w:rFonts w:ascii="Times New Roman" w:hAnsi="Times New Roman"/>
          <w:bCs/>
          <w:color w:val="000000" w:themeColor="text1"/>
        </w:rPr>
        <w:t>,</w:t>
      </w:r>
      <w:r w:rsidR="00AC461B" w:rsidRPr="00AC461B">
        <w:rPr>
          <w:rFonts w:ascii="Times New Roman" w:hAnsi="Times New Roman"/>
          <w:bCs/>
          <w:color w:val="000000" w:themeColor="text1"/>
        </w:rPr>
        <w:t>278</w:t>
      </w:r>
      <w:r w:rsidR="00AC461B">
        <w:rPr>
          <w:rFonts w:ascii="Times New Roman" w:hAnsi="Times New Roman"/>
          <w:bCs/>
          <w:color w:val="000000" w:themeColor="text1"/>
        </w:rPr>
        <w:t xml:space="preserve"> MAP-21 Respondents)</w:t>
      </w:r>
    </w:p>
    <w:p w14:paraId="7EFC2C2C" w14:textId="77777777" w:rsidR="00AC461B" w:rsidRDefault="00AC461B" w:rsidP="009F3DFF">
      <w:pPr>
        <w:widowControl/>
        <w:ind w:left="720"/>
        <w:rPr>
          <w:rFonts w:ascii="Times New Roman" w:hAnsi="Times New Roman"/>
          <w:color w:val="000000" w:themeColor="text1"/>
        </w:rPr>
      </w:pPr>
    </w:p>
    <w:p w14:paraId="2B379AC8" w14:textId="44D94507" w:rsidR="009F3DFF" w:rsidRDefault="009F3DFF" w:rsidP="003750B6">
      <w:pPr>
        <w:widowControl/>
        <w:ind w:left="720"/>
        <w:rPr>
          <w:rFonts w:ascii="Times New Roman" w:hAnsi="Times New Roman"/>
          <w:color w:val="000000" w:themeColor="text1"/>
        </w:rPr>
      </w:pPr>
      <w:r>
        <w:rPr>
          <w:rFonts w:ascii="Times New Roman" w:hAnsi="Times New Roman"/>
          <w:color w:val="000000" w:themeColor="text1"/>
        </w:rPr>
        <w:t xml:space="preserve">Total annual time burden: </w:t>
      </w:r>
      <w:r w:rsidR="00827D7D">
        <w:rPr>
          <w:rFonts w:ascii="Times New Roman" w:hAnsi="Times New Roman"/>
          <w:color w:val="000000" w:themeColor="text1"/>
        </w:rPr>
        <w:t>712,917</w:t>
      </w:r>
      <w:r w:rsidR="00077DB1">
        <w:rPr>
          <w:rFonts w:ascii="Times New Roman" w:hAnsi="Times New Roman"/>
          <w:color w:val="000000" w:themeColor="text1"/>
        </w:rPr>
        <w:t xml:space="preserve"> (All Annual Notice)</w:t>
      </w:r>
    </w:p>
    <w:p w14:paraId="0F39BBCF" w14:textId="77777777" w:rsidR="00AC461B" w:rsidRDefault="00AC461B" w:rsidP="003750B6">
      <w:pPr>
        <w:widowControl/>
        <w:ind w:left="720"/>
        <w:rPr>
          <w:rFonts w:ascii="Times New Roman" w:hAnsi="Times New Roman"/>
          <w:color w:val="000000" w:themeColor="text1"/>
        </w:rPr>
      </w:pPr>
    </w:p>
    <w:p w14:paraId="2DE9F290" w14:textId="376080C1" w:rsidR="00AC461B" w:rsidRPr="00704591" w:rsidRDefault="00AC461B" w:rsidP="00077DB1">
      <w:pPr>
        <w:widowControl/>
        <w:ind w:left="720"/>
        <w:rPr>
          <w:rFonts w:ascii="Times New Roman" w:hAnsi="Times New Roman"/>
          <w:color w:val="000000" w:themeColor="text1"/>
        </w:rPr>
      </w:pPr>
      <w:r>
        <w:rPr>
          <w:rFonts w:ascii="Times New Roman" w:hAnsi="Times New Roman"/>
          <w:color w:val="000000" w:themeColor="text1"/>
        </w:rPr>
        <w:t>Frequency of responses: Once a year</w:t>
      </w:r>
    </w:p>
    <w:p w14:paraId="030B3C95" w14:textId="77777777" w:rsidR="00F31D9B" w:rsidRPr="00704591" w:rsidRDefault="00F31D9B" w:rsidP="009F3DFF">
      <w:pPr>
        <w:widowControl/>
        <w:rPr>
          <w:rFonts w:ascii="Times New Roman" w:hAnsi="Times New Roman"/>
          <w:color w:val="000000" w:themeColor="text1"/>
        </w:rPr>
      </w:pPr>
    </w:p>
    <w:p w14:paraId="611FD16E" w14:textId="77777777" w:rsidR="00F31D9B" w:rsidRPr="00704591" w:rsidRDefault="00F31D9B" w:rsidP="003750B6">
      <w:pPr>
        <w:pStyle w:val="Quick1"/>
        <w:widowControl/>
        <w:numPr>
          <w:ilvl w:val="0"/>
          <w:numId w:val="5"/>
        </w:numPr>
        <w:tabs>
          <w:tab w:val="left" w:pos="-1440"/>
        </w:tabs>
        <w:ind w:hanging="720"/>
        <w:rPr>
          <w:rFonts w:ascii="Times New Roman" w:hAnsi="Times New Roman"/>
          <w:i/>
          <w:color w:val="000000" w:themeColor="text1"/>
        </w:rPr>
      </w:pPr>
      <w:r w:rsidRPr="00704591">
        <w:rPr>
          <w:rFonts w:ascii="Times New Roman" w:hAnsi="Times New Roman"/>
          <w:i/>
          <w:color w:val="000000" w:themeColor="text1"/>
        </w:rPr>
        <w:t>Provide an estimate of the total annual cost burden to respondents or recordkeepers resulting from the collection of information.  (Do not include the cost of any hour burden shown in Items 12 or 14).</w:t>
      </w:r>
    </w:p>
    <w:p w14:paraId="1CB256BC" w14:textId="77777777" w:rsidR="0010313A" w:rsidRPr="00704591" w:rsidRDefault="0010313A" w:rsidP="00C74953">
      <w:pPr>
        <w:widowControl/>
        <w:ind w:left="720"/>
        <w:rPr>
          <w:rFonts w:ascii="Times New Roman" w:hAnsi="Times New Roman"/>
          <w:color w:val="000000" w:themeColor="text1"/>
        </w:rPr>
      </w:pPr>
    </w:p>
    <w:p w14:paraId="00B638C0" w14:textId="26AFC98A" w:rsidR="00DE6469" w:rsidRDefault="00F62DA6" w:rsidP="00C74953">
      <w:pPr>
        <w:widowControl/>
        <w:ind w:left="720"/>
        <w:rPr>
          <w:rFonts w:ascii="Times New Roman" w:hAnsi="Times New Roman"/>
          <w:color w:val="000000" w:themeColor="text1"/>
        </w:rPr>
      </w:pPr>
      <w:r w:rsidRPr="00704591">
        <w:rPr>
          <w:rFonts w:ascii="Times New Roman" w:hAnsi="Times New Roman"/>
          <w:color w:val="000000" w:themeColor="text1"/>
        </w:rPr>
        <w:t xml:space="preserve">The cost of mailing the notices was based on the assumption that each notice would be seven pages for single-employer plans and six pages for multiemployer plans, with printing costs of 5 cents per page and postage of </w:t>
      </w:r>
      <w:r w:rsidR="008404E8">
        <w:rPr>
          <w:rFonts w:ascii="Times New Roman" w:hAnsi="Times New Roman"/>
          <w:color w:val="000000" w:themeColor="text1"/>
        </w:rPr>
        <w:t>50</w:t>
      </w:r>
      <w:r w:rsidRPr="00704591">
        <w:rPr>
          <w:rFonts w:ascii="Times New Roman" w:hAnsi="Times New Roman"/>
          <w:color w:val="000000" w:themeColor="text1"/>
        </w:rPr>
        <w:t xml:space="preserve"> cents resulting in an estimated </w:t>
      </w:r>
      <w:r w:rsidR="00C3175D">
        <w:rPr>
          <w:rFonts w:ascii="Times New Roman" w:hAnsi="Times New Roman"/>
          <w:color w:val="000000" w:themeColor="text1"/>
        </w:rPr>
        <w:t>8</w:t>
      </w:r>
      <w:r w:rsidR="005645A0">
        <w:rPr>
          <w:rFonts w:ascii="Times New Roman" w:hAnsi="Times New Roman"/>
          <w:color w:val="000000" w:themeColor="text1"/>
        </w:rPr>
        <w:t>5</w:t>
      </w:r>
      <w:r w:rsidR="00C3175D" w:rsidRPr="00704591">
        <w:rPr>
          <w:rFonts w:ascii="Times New Roman" w:hAnsi="Times New Roman"/>
          <w:color w:val="000000" w:themeColor="text1"/>
        </w:rPr>
        <w:t xml:space="preserve"> </w:t>
      </w:r>
      <w:r w:rsidRPr="00704591">
        <w:rPr>
          <w:rFonts w:ascii="Times New Roman" w:hAnsi="Times New Roman"/>
          <w:color w:val="000000" w:themeColor="text1"/>
        </w:rPr>
        <w:t xml:space="preserve">cent cost per paper notice for single-employer plans and a </w:t>
      </w:r>
      <w:r w:rsidR="005645A0">
        <w:rPr>
          <w:rFonts w:ascii="Times New Roman" w:hAnsi="Times New Roman"/>
          <w:color w:val="000000" w:themeColor="text1"/>
        </w:rPr>
        <w:t>80</w:t>
      </w:r>
      <w:r w:rsidR="00C3175D" w:rsidRPr="00704591">
        <w:rPr>
          <w:rFonts w:ascii="Times New Roman" w:hAnsi="Times New Roman"/>
          <w:color w:val="000000" w:themeColor="text1"/>
        </w:rPr>
        <w:t xml:space="preserve"> </w:t>
      </w:r>
      <w:r w:rsidRPr="00704591">
        <w:rPr>
          <w:rFonts w:ascii="Times New Roman" w:hAnsi="Times New Roman"/>
          <w:color w:val="000000" w:themeColor="text1"/>
        </w:rPr>
        <w:t xml:space="preserve">cent cost per paper notice for multiemployer plans.  It was further assumed that </w:t>
      </w:r>
      <w:r w:rsidR="00C3175D">
        <w:rPr>
          <w:rFonts w:ascii="Times New Roman" w:hAnsi="Times New Roman"/>
          <w:color w:val="000000" w:themeColor="text1"/>
        </w:rPr>
        <w:t>53.7</w:t>
      </w:r>
      <w:r w:rsidR="00C3175D" w:rsidRPr="00704591">
        <w:rPr>
          <w:rFonts w:ascii="Times New Roman" w:hAnsi="Times New Roman"/>
          <w:color w:val="000000" w:themeColor="text1"/>
        </w:rPr>
        <w:t xml:space="preserve"> </w:t>
      </w:r>
      <w:r w:rsidRPr="00704591">
        <w:rPr>
          <w:rFonts w:ascii="Times New Roman" w:hAnsi="Times New Roman"/>
          <w:color w:val="000000" w:themeColor="text1"/>
        </w:rPr>
        <w:t xml:space="preserve">percent of notices would be sent electronically.  The Department has not estimated any additional burden for preparation or distribution of notices via electronic means, because the Department assumes that plans will utilize pre-existing electronic communications systems and e-mail lists for these purposes and the process of preparation and distribution involves only a de minimis additional effort, e.g., a few computer key strokes or the equivalent.  This assumption will result in a total </w:t>
      </w:r>
      <w:r w:rsidR="008404E8">
        <w:rPr>
          <w:rFonts w:ascii="Times New Roman" w:hAnsi="Times New Roman"/>
          <w:color w:val="000000" w:themeColor="text1"/>
        </w:rPr>
        <w:t xml:space="preserve">of </w:t>
      </w:r>
      <w:r w:rsidR="008A4202">
        <w:rPr>
          <w:rFonts w:ascii="Times New Roman" w:hAnsi="Times New Roman"/>
          <w:color w:val="000000" w:themeColor="text1"/>
        </w:rPr>
        <w:t>21,554,757</w:t>
      </w:r>
      <w:r w:rsidRPr="00704591">
        <w:rPr>
          <w:rFonts w:ascii="Times New Roman" w:hAnsi="Times New Roman"/>
          <w:color w:val="000000" w:themeColor="text1"/>
        </w:rPr>
        <w:t xml:space="preserve"> notices being sent electronically by multiemployer and single-employer plans.  Single-employer plans will mail out </w:t>
      </w:r>
      <w:r w:rsidR="008A4202">
        <w:rPr>
          <w:rFonts w:ascii="Times New Roman" w:hAnsi="Times New Roman"/>
          <w:color w:val="000000" w:themeColor="text1"/>
        </w:rPr>
        <w:t>13,717,860</w:t>
      </w:r>
      <w:r w:rsidRPr="00704591">
        <w:rPr>
          <w:rFonts w:ascii="Times New Roman" w:hAnsi="Times New Roman"/>
          <w:color w:val="000000" w:themeColor="text1"/>
        </w:rPr>
        <w:t xml:space="preserve"> paper notices and multiemployer plans will mail out </w:t>
      </w:r>
      <w:r w:rsidR="008A4202">
        <w:rPr>
          <w:rFonts w:ascii="Times New Roman" w:hAnsi="Times New Roman"/>
          <w:color w:val="000000" w:themeColor="text1"/>
        </w:rPr>
        <w:t>4,866,595</w:t>
      </w:r>
      <w:r w:rsidRPr="00704591">
        <w:rPr>
          <w:rFonts w:ascii="Times New Roman" w:hAnsi="Times New Roman"/>
          <w:color w:val="000000" w:themeColor="text1"/>
        </w:rPr>
        <w:t xml:space="preserve"> notices.  Total annual paper mailing costs are estimated to be </w:t>
      </w:r>
      <w:r w:rsidR="008A4202">
        <w:rPr>
          <w:rFonts w:ascii="Times New Roman" w:hAnsi="Times New Roman"/>
          <w:color w:val="000000" w:themeColor="text1"/>
        </w:rPr>
        <w:t>$15,</w:t>
      </w:r>
      <w:r w:rsidR="00162F3A">
        <w:rPr>
          <w:rFonts w:ascii="Times New Roman" w:hAnsi="Times New Roman"/>
          <w:color w:val="000000" w:themeColor="text1"/>
        </w:rPr>
        <w:t>553,457</w:t>
      </w:r>
      <w:r w:rsidRPr="00704591">
        <w:rPr>
          <w:rFonts w:ascii="Times New Roman" w:hAnsi="Times New Roman"/>
          <w:color w:val="000000" w:themeColor="text1"/>
        </w:rPr>
        <w:t>.</w:t>
      </w:r>
    </w:p>
    <w:p w14:paraId="168154EE" w14:textId="77777777" w:rsidR="008404E8" w:rsidRDefault="008404E8" w:rsidP="00C74953">
      <w:pPr>
        <w:widowControl/>
        <w:shd w:val="clear" w:color="auto" w:fill="FFFFFF"/>
        <w:ind w:left="720"/>
        <w:rPr>
          <w:rFonts w:ascii="Times New Roman" w:hAnsi="Times New Roman"/>
          <w:b/>
          <w:color w:val="000000" w:themeColor="text1"/>
        </w:rPr>
      </w:pPr>
    </w:p>
    <w:p w14:paraId="7AA3F065" w14:textId="74689430" w:rsidR="007E77B4" w:rsidRPr="00704591" w:rsidRDefault="00A3005E" w:rsidP="00C74953">
      <w:pPr>
        <w:widowControl/>
        <w:shd w:val="clear" w:color="auto" w:fill="FFFFFF"/>
        <w:ind w:left="720"/>
        <w:rPr>
          <w:rFonts w:ascii="Times New Roman" w:hAnsi="Times New Roman"/>
          <w:bCs/>
          <w:color w:val="000000" w:themeColor="text1"/>
        </w:rPr>
      </w:pPr>
      <w:r>
        <w:rPr>
          <w:rFonts w:ascii="Times New Roman" w:hAnsi="Times New Roman"/>
          <w:b/>
          <w:color w:val="000000" w:themeColor="text1"/>
        </w:rPr>
        <w:t xml:space="preserve">2012 </w:t>
      </w:r>
      <w:r w:rsidR="007E77B4" w:rsidRPr="00704591">
        <w:rPr>
          <w:rFonts w:ascii="Times New Roman" w:hAnsi="Times New Roman"/>
          <w:b/>
          <w:color w:val="000000" w:themeColor="text1"/>
        </w:rPr>
        <w:t xml:space="preserve">MAP-21 Amendment:  </w:t>
      </w:r>
      <w:r w:rsidR="007E77B4" w:rsidRPr="00704591">
        <w:rPr>
          <w:rFonts w:ascii="Times New Roman" w:hAnsi="Times New Roman"/>
          <w:color w:val="000000" w:themeColor="text1"/>
        </w:rPr>
        <w:t xml:space="preserve">The amendments to ERISA by MAP-21 affect only single employer defined benefits plans with more than 50 participants.  </w:t>
      </w:r>
      <w:r w:rsidR="007E77B4" w:rsidRPr="00704591">
        <w:rPr>
          <w:rFonts w:ascii="Times New Roman" w:hAnsi="Times New Roman"/>
          <w:bCs/>
          <w:color w:val="000000" w:themeColor="text1"/>
        </w:rPr>
        <w:t>The 201</w:t>
      </w:r>
      <w:r w:rsidR="008A4202">
        <w:rPr>
          <w:rFonts w:ascii="Times New Roman" w:hAnsi="Times New Roman"/>
          <w:bCs/>
          <w:color w:val="000000" w:themeColor="text1"/>
        </w:rPr>
        <w:t>5</w:t>
      </w:r>
      <w:r w:rsidR="007E77B4" w:rsidRPr="00704591">
        <w:rPr>
          <w:rFonts w:ascii="Times New Roman" w:hAnsi="Times New Roman"/>
          <w:bCs/>
          <w:color w:val="000000" w:themeColor="text1"/>
        </w:rPr>
        <w:t xml:space="preserve"> PBGC Databook</w:t>
      </w:r>
      <w:r w:rsidR="007E77B4" w:rsidRPr="00704591">
        <w:rPr>
          <w:rStyle w:val="FootnoteReference"/>
          <w:rFonts w:ascii="Times New Roman" w:hAnsi="Times New Roman"/>
          <w:bCs/>
          <w:color w:val="000000" w:themeColor="text1"/>
          <w:vertAlign w:val="superscript"/>
        </w:rPr>
        <w:footnoteReference w:id="6"/>
      </w:r>
      <w:r w:rsidR="007E77B4" w:rsidRPr="00704591">
        <w:rPr>
          <w:rFonts w:ascii="Times New Roman" w:hAnsi="Times New Roman"/>
          <w:bCs/>
          <w:color w:val="000000" w:themeColor="text1"/>
        </w:rPr>
        <w:t xml:space="preserve"> reports that there are </w:t>
      </w:r>
      <w:r w:rsidR="008A4202">
        <w:rPr>
          <w:rFonts w:ascii="Times New Roman" w:hAnsi="Times New Roman"/>
          <w:bCs/>
          <w:color w:val="000000" w:themeColor="text1"/>
        </w:rPr>
        <w:t>22,344</w:t>
      </w:r>
      <w:r w:rsidR="007E77B4" w:rsidRPr="00704591">
        <w:rPr>
          <w:rFonts w:ascii="Times New Roman" w:hAnsi="Times New Roman"/>
          <w:bCs/>
          <w:color w:val="000000" w:themeColor="text1"/>
        </w:rPr>
        <w:t xml:space="preserve"> single-employer defined benefit plans covering </w:t>
      </w:r>
      <w:r w:rsidR="006314E7" w:rsidRPr="00704591">
        <w:rPr>
          <w:rFonts w:ascii="Times New Roman" w:hAnsi="Times New Roman"/>
          <w:bCs/>
          <w:color w:val="000000" w:themeColor="text1"/>
        </w:rPr>
        <w:t xml:space="preserve">approximately </w:t>
      </w:r>
      <w:r w:rsidR="008A4202">
        <w:rPr>
          <w:rFonts w:ascii="Times New Roman" w:hAnsi="Times New Roman"/>
          <w:bCs/>
          <w:color w:val="000000" w:themeColor="text1"/>
        </w:rPr>
        <w:t>30,900,000</w:t>
      </w:r>
      <w:r w:rsidR="007E77B4" w:rsidRPr="00704591">
        <w:rPr>
          <w:rFonts w:ascii="Times New Roman" w:hAnsi="Times New Roman"/>
          <w:bCs/>
          <w:color w:val="000000" w:themeColor="text1"/>
        </w:rPr>
        <w:t xml:space="preserve"> participants and beneficiaries.  The PBGC </w:t>
      </w:r>
      <w:r w:rsidR="008754AB" w:rsidRPr="00704591">
        <w:rPr>
          <w:rFonts w:ascii="Times New Roman" w:hAnsi="Times New Roman"/>
          <w:bCs/>
          <w:color w:val="000000" w:themeColor="text1"/>
        </w:rPr>
        <w:t>D</w:t>
      </w:r>
      <w:r w:rsidR="007E77B4" w:rsidRPr="00704591">
        <w:rPr>
          <w:rFonts w:ascii="Times New Roman" w:hAnsi="Times New Roman"/>
          <w:bCs/>
          <w:color w:val="000000" w:themeColor="text1"/>
        </w:rPr>
        <w:t>atabook does not include a breakdown of plans by plan size. Therefore, the Department used data from the 201</w:t>
      </w:r>
      <w:r w:rsidR="008A4202">
        <w:rPr>
          <w:rFonts w:ascii="Times New Roman" w:hAnsi="Times New Roman"/>
          <w:bCs/>
          <w:color w:val="000000" w:themeColor="text1"/>
        </w:rPr>
        <w:t>4</w:t>
      </w:r>
      <w:r w:rsidR="007E77B4" w:rsidRPr="00704591">
        <w:rPr>
          <w:rFonts w:ascii="Times New Roman" w:hAnsi="Times New Roman"/>
          <w:bCs/>
          <w:color w:val="000000" w:themeColor="text1"/>
        </w:rPr>
        <w:t xml:space="preserve"> Form 5500 to estimate the percent of plans with 50 or more participants and participants and beneficiaries covered by such plans.  These percentages were then applied to the PBGC data to estimate that </w:t>
      </w:r>
      <w:r w:rsidR="00F66D07">
        <w:rPr>
          <w:rFonts w:ascii="Times New Roman" w:hAnsi="Times New Roman"/>
          <w:bCs/>
          <w:color w:val="000000" w:themeColor="text1"/>
        </w:rPr>
        <w:t>9,015</w:t>
      </w:r>
      <w:r w:rsidR="008A4202" w:rsidRPr="00704591">
        <w:rPr>
          <w:rFonts w:ascii="Times New Roman" w:hAnsi="Times New Roman"/>
          <w:bCs/>
          <w:color w:val="000000" w:themeColor="text1"/>
        </w:rPr>
        <w:t xml:space="preserve"> </w:t>
      </w:r>
      <w:r w:rsidR="007E77B4" w:rsidRPr="00704591">
        <w:rPr>
          <w:rFonts w:ascii="Times New Roman" w:hAnsi="Times New Roman"/>
          <w:bCs/>
          <w:color w:val="000000" w:themeColor="text1"/>
        </w:rPr>
        <w:t xml:space="preserve">plans with 50 or more participants covering a total of </w:t>
      </w:r>
      <w:r w:rsidR="00F66D07">
        <w:rPr>
          <w:rFonts w:ascii="Times New Roman" w:hAnsi="Times New Roman"/>
          <w:bCs/>
          <w:color w:val="000000" w:themeColor="text1"/>
        </w:rPr>
        <w:t>29,314,278</w:t>
      </w:r>
      <w:r w:rsidR="008A4202">
        <w:rPr>
          <w:rFonts w:ascii="Times New Roman" w:hAnsi="Times New Roman"/>
          <w:bCs/>
          <w:color w:val="000000" w:themeColor="text1"/>
        </w:rPr>
        <w:t xml:space="preserve"> </w:t>
      </w:r>
      <w:r w:rsidR="007E77B4" w:rsidRPr="00704591">
        <w:rPr>
          <w:rFonts w:ascii="Times New Roman" w:hAnsi="Times New Roman"/>
          <w:bCs/>
          <w:color w:val="000000" w:themeColor="text1"/>
        </w:rPr>
        <w:t>participants are subject to the MAP-21 disclosure requirements.  Based on conversation with industry experts, the Department expects that the calculations necessary to prepare the MAP-21 supplement to the annual funding notice will be performed by third-party service providers, primarily actuaries, at an average cost of $500 per respondent.</w:t>
      </w:r>
      <w:r w:rsidR="007E77B4" w:rsidRPr="00704591">
        <w:rPr>
          <w:rStyle w:val="FootnoteReference"/>
          <w:rFonts w:ascii="Times New Roman" w:hAnsi="Times New Roman"/>
          <w:bCs/>
          <w:color w:val="000000" w:themeColor="text1"/>
          <w:vertAlign w:val="superscript"/>
        </w:rPr>
        <w:footnoteReference w:id="7"/>
      </w:r>
      <w:r w:rsidR="007E77B4" w:rsidRPr="00704591">
        <w:rPr>
          <w:rFonts w:ascii="Times New Roman" w:hAnsi="Times New Roman"/>
          <w:bCs/>
          <w:color w:val="000000" w:themeColor="text1"/>
        </w:rPr>
        <w:t xml:space="preserve"> The Department estimates that the </w:t>
      </w:r>
      <w:r w:rsidR="008A4202">
        <w:rPr>
          <w:rFonts w:ascii="Times New Roman" w:hAnsi="Times New Roman"/>
          <w:bCs/>
          <w:color w:val="000000" w:themeColor="text1"/>
        </w:rPr>
        <w:t>46.3</w:t>
      </w:r>
      <w:r w:rsidR="008A4202" w:rsidRPr="00704591">
        <w:rPr>
          <w:rFonts w:ascii="Times New Roman" w:hAnsi="Times New Roman"/>
          <w:bCs/>
          <w:color w:val="000000" w:themeColor="text1"/>
        </w:rPr>
        <w:t xml:space="preserve"> </w:t>
      </w:r>
      <w:r w:rsidR="007E77B4" w:rsidRPr="00704591">
        <w:rPr>
          <w:rFonts w:ascii="Times New Roman" w:hAnsi="Times New Roman"/>
          <w:bCs/>
          <w:color w:val="000000" w:themeColor="text1"/>
        </w:rPr>
        <w:t>percent of plans that mail the annual funding notice will incur an incremental cost of five cents per notice to mail the one-page MAP-21 supplement with the notice.</w:t>
      </w:r>
    </w:p>
    <w:p w14:paraId="7E4A5866" w14:textId="77777777" w:rsidR="007E77B4" w:rsidRPr="00704591" w:rsidRDefault="007E77B4" w:rsidP="00C74953">
      <w:pPr>
        <w:widowControl/>
        <w:shd w:val="clear" w:color="auto" w:fill="FFFFFF"/>
        <w:ind w:left="720"/>
        <w:rPr>
          <w:rFonts w:ascii="Times New Roman" w:hAnsi="Times New Roman"/>
          <w:bCs/>
          <w:color w:val="000000" w:themeColor="text1"/>
        </w:rPr>
      </w:pPr>
    </w:p>
    <w:p w14:paraId="052E3379" w14:textId="0C383FD0" w:rsidR="007E77B4" w:rsidRPr="00704591" w:rsidRDefault="007E77B4" w:rsidP="00C74953">
      <w:pPr>
        <w:widowControl/>
        <w:shd w:val="clear" w:color="auto" w:fill="FFFFFF"/>
        <w:ind w:left="720"/>
        <w:rPr>
          <w:rFonts w:ascii="Times New Roman" w:hAnsi="Times New Roman"/>
          <w:bCs/>
          <w:color w:val="000000" w:themeColor="text1"/>
        </w:rPr>
      </w:pPr>
      <w:r w:rsidRPr="00704591">
        <w:rPr>
          <w:rFonts w:ascii="Times New Roman" w:hAnsi="Times New Roman"/>
          <w:bCs/>
          <w:color w:val="000000" w:themeColor="text1"/>
        </w:rPr>
        <w:t xml:space="preserve">Therefore, the Department estimates that the aggregate cost burden associated with this revision to the information collection is </w:t>
      </w:r>
      <w:r w:rsidR="00F66D07">
        <w:rPr>
          <w:rFonts w:ascii="Times New Roman" w:hAnsi="Times New Roman"/>
          <w:bCs/>
          <w:color w:val="000000" w:themeColor="text1"/>
        </w:rPr>
        <w:t>$5,186,139</w:t>
      </w:r>
      <w:r w:rsidRPr="00704591">
        <w:rPr>
          <w:rFonts w:ascii="Times New Roman" w:hAnsi="Times New Roman"/>
          <w:bCs/>
          <w:color w:val="000000" w:themeColor="text1"/>
        </w:rPr>
        <w:t xml:space="preserve"> including $</w:t>
      </w:r>
      <w:r w:rsidR="00F66D07">
        <w:rPr>
          <w:rFonts w:ascii="Times New Roman" w:hAnsi="Times New Roman"/>
          <w:bCs/>
          <w:color w:val="000000" w:themeColor="text1"/>
        </w:rPr>
        <w:t>4,507,514</w:t>
      </w:r>
      <w:r w:rsidRPr="00704591">
        <w:rPr>
          <w:rFonts w:ascii="Times New Roman" w:hAnsi="Times New Roman"/>
          <w:bCs/>
          <w:color w:val="000000" w:themeColor="text1"/>
        </w:rPr>
        <w:t xml:space="preserve"> to prepare the MAP-21 supplement ($500 x </w:t>
      </w:r>
      <w:r w:rsidR="00F66D07">
        <w:rPr>
          <w:rFonts w:ascii="Times New Roman" w:hAnsi="Times New Roman"/>
          <w:bCs/>
          <w:color w:val="000000" w:themeColor="text1"/>
        </w:rPr>
        <w:t>9,015</w:t>
      </w:r>
      <w:r w:rsidRPr="00704591">
        <w:rPr>
          <w:rFonts w:ascii="Times New Roman" w:hAnsi="Times New Roman"/>
          <w:bCs/>
          <w:color w:val="000000" w:themeColor="text1"/>
        </w:rPr>
        <w:t xml:space="preserve"> respondents), and </w:t>
      </w:r>
      <w:r w:rsidR="00F66D07">
        <w:rPr>
          <w:rFonts w:ascii="Times New Roman" w:hAnsi="Times New Roman"/>
          <w:bCs/>
          <w:color w:val="000000" w:themeColor="text1"/>
        </w:rPr>
        <w:t>$678,626</w:t>
      </w:r>
      <w:r w:rsidRPr="00704591">
        <w:rPr>
          <w:rFonts w:ascii="Times New Roman" w:hAnsi="Times New Roman"/>
          <w:bCs/>
          <w:color w:val="000000" w:themeColor="text1"/>
        </w:rPr>
        <w:t xml:space="preserve"> of additional mailing cost to distribute the supplement </w:t>
      </w:r>
      <w:r w:rsidR="006227E4">
        <w:rPr>
          <w:rFonts w:ascii="Times New Roman" w:hAnsi="Times New Roman"/>
          <w:bCs/>
          <w:color w:val="000000" w:themeColor="text1"/>
        </w:rPr>
        <w:t>(</w:t>
      </w:r>
      <w:r w:rsidR="00F66D07">
        <w:rPr>
          <w:rFonts w:ascii="Times New Roman" w:hAnsi="Times New Roman"/>
          <w:bCs/>
          <w:color w:val="000000" w:themeColor="text1"/>
        </w:rPr>
        <w:t>29,314,278</w:t>
      </w:r>
      <w:r w:rsidRPr="00704591">
        <w:rPr>
          <w:rFonts w:ascii="Times New Roman" w:hAnsi="Times New Roman"/>
          <w:bCs/>
          <w:color w:val="000000" w:themeColor="text1"/>
        </w:rPr>
        <w:t xml:space="preserve"> notices x $0.05 x </w:t>
      </w:r>
      <w:r w:rsidR="00F66D07">
        <w:rPr>
          <w:rFonts w:ascii="Times New Roman" w:hAnsi="Times New Roman"/>
          <w:bCs/>
          <w:color w:val="000000" w:themeColor="text1"/>
        </w:rPr>
        <w:t>46.3</w:t>
      </w:r>
      <w:r w:rsidRPr="00704591">
        <w:rPr>
          <w:rFonts w:ascii="Times New Roman" w:hAnsi="Times New Roman"/>
          <w:bCs/>
          <w:color w:val="000000" w:themeColor="text1"/>
        </w:rPr>
        <w:t>% of annual funding notices sent by mail).</w:t>
      </w:r>
    </w:p>
    <w:p w14:paraId="58796A85" w14:textId="77777777" w:rsidR="007E77B4" w:rsidRPr="00704591" w:rsidRDefault="007E77B4" w:rsidP="00C74953">
      <w:pPr>
        <w:pStyle w:val="BodyTextIndent2"/>
        <w:ind w:left="720" w:firstLine="0"/>
        <w:rPr>
          <w:color w:val="000000" w:themeColor="text1"/>
        </w:rPr>
      </w:pPr>
    </w:p>
    <w:p w14:paraId="44F847AF" w14:textId="77777777" w:rsidR="007E77B4" w:rsidRDefault="007E77B4" w:rsidP="00C74953">
      <w:pPr>
        <w:pStyle w:val="BodyTextIndent2"/>
        <w:ind w:left="720" w:firstLine="0"/>
        <w:rPr>
          <w:color w:val="000000" w:themeColor="text1"/>
        </w:rPr>
      </w:pPr>
      <w:r w:rsidRPr="00704591">
        <w:rPr>
          <w:color w:val="000000" w:themeColor="text1"/>
        </w:rPr>
        <w:t>Based on the foregoing, the total cost burden associated with the information collection is $</w:t>
      </w:r>
      <w:r w:rsidR="00F66D07">
        <w:rPr>
          <w:color w:val="000000" w:themeColor="text1"/>
        </w:rPr>
        <w:t>20,</w:t>
      </w:r>
      <w:r w:rsidR="00DF5206">
        <w:rPr>
          <w:color w:val="000000" w:themeColor="text1"/>
        </w:rPr>
        <w:t>739,596</w:t>
      </w:r>
      <w:r w:rsidRPr="00704591">
        <w:rPr>
          <w:color w:val="000000" w:themeColor="text1"/>
        </w:rPr>
        <w:t>.</w:t>
      </w:r>
      <w:r w:rsidR="00FC0285">
        <w:rPr>
          <w:color w:val="000000" w:themeColor="text1"/>
        </w:rPr>
        <w:t xml:space="preserve"> </w:t>
      </w:r>
    </w:p>
    <w:tbl>
      <w:tblPr>
        <w:tblW w:w="5758" w:type="dxa"/>
        <w:tblInd w:w="93" w:type="dxa"/>
        <w:tblLook w:val="04A0" w:firstRow="1" w:lastRow="0" w:firstColumn="1" w:lastColumn="0" w:noHBand="0" w:noVBand="1"/>
      </w:tblPr>
      <w:tblGrid>
        <w:gridCol w:w="8136"/>
      </w:tblGrid>
      <w:tr w:rsidR="00E338EF" w:rsidRPr="00AE5D87" w:rsidDel="00544254" w14:paraId="0A5AEDC6" w14:textId="77777777" w:rsidTr="00E338EF">
        <w:trPr>
          <w:trHeight w:val="270"/>
        </w:trPr>
        <w:tc>
          <w:tcPr>
            <w:tcW w:w="5758" w:type="dxa"/>
            <w:tcBorders>
              <w:top w:val="nil"/>
              <w:left w:val="nil"/>
              <w:bottom w:val="single" w:sz="8" w:space="0" w:color="auto"/>
              <w:right w:val="nil"/>
            </w:tcBorders>
            <w:shd w:val="clear" w:color="auto" w:fill="auto"/>
            <w:noWrap/>
            <w:vAlign w:val="bottom"/>
          </w:tcPr>
          <w:p w14:paraId="03E2D67A" w14:textId="77777777" w:rsidR="00E338EF" w:rsidRPr="00A45F24" w:rsidRDefault="00E338EF" w:rsidP="00AE5D87">
            <w:pPr>
              <w:widowControl/>
              <w:autoSpaceDE/>
              <w:autoSpaceDN/>
              <w:adjustRightInd/>
              <w:rPr>
                <w:rFonts w:ascii="Times New Roman" w:hAnsi="Times New Roman"/>
              </w:rPr>
            </w:pPr>
          </w:p>
          <w:tbl>
            <w:tblPr>
              <w:tblW w:w="7200" w:type="dxa"/>
              <w:tblInd w:w="720" w:type="dxa"/>
              <w:tblLook w:val="04A0" w:firstRow="1" w:lastRow="0" w:firstColumn="1" w:lastColumn="0" w:noHBand="0" w:noVBand="1"/>
            </w:tblPr>
            <w:tblGrid>
              <w:gridCol w:w="3599"/>
              <w:gridCol w:w="3601"/>
            </w:tblGrid>
            <w:tr w:rsidR="00E338EF" w:rsidRPr="00C74953" w14:paraId="3B1797B1" w14:textId="77777777" w:rsidTr="00104B73">
              <w:trPr>
                <w:trHeight w:val="255"/>
              </w:trPr>
              <w:tc>
                <w:tcPr>
                  <w:tcW w:w="7200" w:type="dxa"/>
                  <w:gridSpan w:val="2"/>
                  <w:tcBorders>
                    <w:top w:val="nil"/>
                    <w:left w:val="nil"/>
                    <w:bottom w:val="nil"/>
                    <w:right w:val="nil"/>
                  </w:tcBorders>
                  <w:shd w:val="clear" w:color="auto" w:fill="auto"/>
                  <w:noWrap/>
                  <w:vAlign w:val="bottom"/>
                  <w:hideMark/>
                </w:tcPr>
                <w:p w14:paraId="304AA7E4"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 xml:space="preserve">TABLE.-- Summary of Burden </w:t>
                  </w:r>
                </w:p>
              </w:tc>
            </w:tr>
            <w:tr w:rsidR="00104B73" w:rsidRPr="00C74953" w14:paraId="2D6E010E" w14:textId="77777777" w:rsidTr="00104B73">
              <w:trPr>
                <w:trHeight w:val="255"/>
              </w:trPr>
              <w:tc>
                <w:tcPr>
                  <w:tcW w:w="3599" w:type="dxa"/>
                  <w:tcBorders>
                    <w:top w:val="single" w:sz="4" w:space="0" w:color="auto"/>
                    <w:left w:val="nil"/>
                    <w:bottom w:val="nil"/>
                    <w:right w:val="nil"/>
                  </w:tcBorders>
                  <w:shd w:val="clear" w:color="auto" w:fill="auto"/>
                  <w:vAlign w:val="bottom"/>
                  <w:hideMark/>
                </w:tcPr>
                <w:p w14:paraId="13232E2E" w14:textId="77777777" w:rsidR="00E338EF" w:rsidRPr="00C74953" w:rsidRDefault="00E338EF" w:rsidP="00544254">
                  <w:pPr>
                    <w:widowControl/>
                    <w:autoSpaceDE/>
                    <w:autoSpaceDN/>
                    <w:adjustRightInd/>
                    <w:rPr>
                      <w:rFonts w:ascii="Times New Roman" w:hAnsi="Times New Roman"/>
                      <w:b/>
                      <w:bCs/>
                    </w:rPr>
                  </w:pPr>
                  <w:r w:rsidRPr="00C74953">
                    <w:rPr>
                      <w:rFonts w:ascii="Times New Roman" w:hAnsi="Times New Roman"/>
                      <w:b/>
                      <w:bCs/>
                    </w:rPr>
                    <w:t>Annual Funding Notice</w:t>
                  </w:r>
                </w:p>
              </w:tc>
              <w:tc>
                <w:tcPr>
                  <w:tcW w:w="3601" w:type="dxa"/>
                  <w:tcBorders>
                    <w:top w:val="single" w:sz="4" w:space="0" w:color="auto"/>
                    <w:left w:val="nil"/>
                    <w:bottom w:val="nil"/>
                    <w:right w:val="nil"/>
                  </w:tcBorders>
                  <w:shd w:val="clear" w:color="auto" w:fill="auto"/>
                  <w:vAlign w:val="bottom"/>
                  <w:hideMark/>
                </w:tcPr>
                <w:p w14:paraId="47AF5C20" w14:textId="77777777" w:rsidR="00E338EF" w:rsidRPr="00C74953" w:rsidRDefault="00E338EF" w:rsidP="00544254">
                  <w:pPr>
                    <w:widowControl/>
                    <w:autoSpaceDE/>
                    <w:autoSpaceDN/>
                    <w:adjustRightInd/>
                    <w:jc w:val="center"/>
                    <w:rPr>
                      <w:rFonts w:ascii="Times New Roman" w:hAnsi="Times New Roman"/>
                      <w:b/>
                      <w:bCs/>
                    </w:rPr>
                  </w:pPr>
                  <w:r w:rsidRPr="00C74953">
                    <w:rPr>
                      <w:rFonts w:ascii="Times New Roman" w:hAnsi="Times New Roman"/>
                      <w:b/>
                      <w:bCs/>
                    </w:rPr>
                    <w:t>Annual</w:t>
                  </w:r>
                </w:p>
              </w:tc>
            </w:tr>
            <w:tr w:rsidR="00104B73" w:rsidRPr="00C74953" w14:paraId="5DC4EEAB" w14:textId="77777777" w:rsidTr="00104B73">
              <w:trPr>
                <w:trHeight w:val="255"/>
              </w:trPr>
              <w:tc>
                <w:tcPr>
                  <w:tcW w:w="3599" w:type="dxa"/>
                  <w:tcBorders>
                    <w:top w:val="nil"/>
                    <w:left w:val="nil"/>
                    <w:bottom w:val="nil"/>
                    <w:right w:val="nil"/>
                  </w:tcBorders>
                  <w:shd w:val="clear" w:color="auto" w:fill="auto"/>
                  <w:noWrap/>
                  <w:vAlign w:val="bottom"/>
                  <w:hideMark/>
                </w:tcPr>
                <w:p w14:paraId="702B5039"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Number of respondents (Plans)</w:t>
                  </w:r>
                </w:p>
              </w:tc>
              <w:tc>
                <w:tcPr>
                  <w:tcW w:w="3601" w:type="dxa"/>
                  <w:tcBorders>
                    <w:top w:val="nil"/>
                    <w:left w:val="nil"/>
                    <w:bottom w:val="nil"/>
                    <w:right w:val="nil"/>
                  </w:tcBorders>
                  <w:shd w:val="clear" w:color="auto" w:fill="auto"/>
                  <w:noWrap/>
                  <w:vAlign w:val="bottom"/>
                  <w:hideMark/>
                </w:tcPr>
                <w:p w14:paraId="48B18841"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23,533</w:t>
                  </w:r>
                </w:p>
              </w:tc>
            </w:tr>
            <w:tr w:rsidR="00104B73" w:rsidRPr="00C74953" w14:paraId="2C6EAB73" w14:textId="77777777" w:rsidTr="00104B73">
              <w:trPr>
                <w:trHeight w:val="255"/>
              </w:trPr>
              <w:tc>
                <w:tcPr>
                  <w:tcW w:w="3599" w:type="dxa"/>
                  <w:tcBorders>
                    <w:top w:val="nil"/>
                    <w:left w:val="nil"/>
                    <w:bottom w:val="nil"/>
                    <w:right w:val="nil"/>
                  </w:tcBorders>
                  <w:shd w:val="clear" w:color="auto" w:fill="auto"/>
                  <w:noWrap/>
                  <w:vAlign w:val="bottom"/>
                  <w:hideMark/>
                </w:tcPr>
                <w:p w14:paraId="6704F3C8"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 xml:space="preserve">Number of responses </w:t>
                  </w:r>
                </w:p>
              </w:tc>
              <w:tc>
                <w:tcPr>
                  <w:tcW w:w="3601" w:type="dxa"/>
                  <w:tcBorders>
                    <w:top w:val="nil"/>
                    <w:left w:val="nil"/>
                    <w:bottom w:val="nil"/>
                    <w:right w:val="nil"/>
                  </w:tcBorders>
                  <w:shd w:val="clear" w:color="auto" w:fill="auto"/>
                  <w:noWrap/>
                  <w:vAlign w:val="bottom"/>
                  <w:hideMark/>
                </w:tcPr>
                <w:p w14:paraId="44091B72"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40,139,212</w:t>
                  </w:r>
                </w:p>
              </w:tc>
            </w:tr>
            <w:tr w:rsidR="00104B73" w:rsidRPr="00C74953" w14:paraId="58BA17F9" w14:textId="77777777" w:rsidTr="00104B73">
              <w:trPr>
                <w:trHeight w:val="255"/>
              </w:trPr>
              <w:tc>
                <w:tcPr>
                  <w:tcW w:w="3599" w:type="dxa"/>
                  <w:tcBorders>
                    <w:top w:val="nil"/>
                    <w:left w:val="nil"/>
                    <w:bottom w:val="nil"/>
                    <w:right w:val="nil"/>
                  </w:tcBorders>
                  <w:shd w:val="clear" w:color="auto" w:fill="auto"/>
                  <w:noWrap/>
                  <w:vAlign w:val="bottom"/>
                  <w:hideMark/>
                </w:tcPr>
                <w:p w14:paraId="2CB415BF"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Total hour burden</w:t>
                  </w:r>
                </w:p>
              </w:tc>
              <w:tc>
                <w:tcPr>
                  <w:tcW w:w="3601" w:type="dxa"/>
                  <w:tcBorders>
                    <w:top w:val="nil"/>
                    <w:left w:val="nil"/>
                    <w:bottom w:val="nil"/>
                    <w:right w:val="nil"/>
                  </w:tcBorders>
                  <w:shd w:val="clear" w:color="auto" w:fill="auto"/>
                  <w:noWrap/>
                  <w:vAlign w:val="bottom"/>
                  <w:hideMark/>
                </w:tcPr>
                <w:p w14:paraId="13B3185B" w14:textId="6D6C7D04" w:rsidR="00E338EF" w:rsidRPr="00C74953" w:rsidRDefault="00827D7D" w:rsidP="00544254">
                  <w:pPr>
                    <w:widowControl/>
                    <w:autoSpaceDE/>
                    <w:autoSpaceDN/>
                    <w:adjustRightInd/>
                    <w:jc w:val="right"/>
                    <w:rPr>
                      <w:rFonts w:ascii="Times New Roman" w:hAnsi="Times New Roman"/>
                    </w:rPr>
                  </w:pPr>
                  <w:r>
                    <w:rPr>
                      <w:rFonts w:ascii="Times New Roman" w:hAnsi="Times New Roman"/>
                    </w:rPr>
                    <w:t>712,917</w:t>
                  </w:r>
                </w:p>
              </w:tc>
            </w:tr>
            <w:tr w:rsidR="00104B73" w:rsidRPr="00C74953" w14:paraId="73A505E6" w14:textId="77777777" w:rsidTr="00104B73">
              <w:trPr>
                <w:trHeight w:val="255"/>
              </w:trPr>
              <w:tc>
                <w:tcPr>
                  <w:tcW w:w="3599" w:type="dxa"/>
                  <w:tcBorders>
                    <w:top w:val="nil"/>
                    <w:left w:val="nil"/>
                    <w:bottom w:val="nil"/>
                    <w:right w:val="nil"/>
                  </w:tcBorders>
                  <w:shd w:val="clear" w:color="auto" w:fill="auto"/>
                  <w:noWrap/>
                  <w:vAlign w:val="bottom"/>
                  <w:hideMark/>
                </w:tcPr>
                <w:p w14:paraId="76369F25"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Equivalent costs of total hour burden</w:t>
                  </w:r>
                </w:p>
              </w:tc>
              <w:tc>
                <w:tcPr>
                  <w:tcW w:w="3601" w:type="dxa"/>
                  <w:tcBorders>
                    <w:top w:val="nil"/>
                    <w:left w:val="nil"/>
                    <w:bottom w:val="nil"/>
                    <w:right w:val="nil"/>
                  </w:tcBorders>
                  <w:shd w:val="clear" w:color="auto" w:fill="auto"/>
                  <w:noWrap/>
                  <w:vAlign w:val="bottom"/>
                  <w:hideMark/>
                </w:tcPr>
                <w:p w14:paraId="288439AA"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$45,376,186</w:t>
                  </w:r>
                </w:p>
              </w:tc>
            </w:tr>
            <w:tr w:rsidR="00104B73" w:rsidRPr="00C74953" w14:paraId="52836708" w14:textId="77777777" w:rsidTr="00104B73">
              <w:trPr>
                <w:trHeight w:val="255"/>
              </w:trPr>
              <w:tc>
                <w:tcPr>
                  <w:tcW w:w="3599" w:type="dxa"/>
                  <w:tcBorders>
                    <w:top w:val="nil"/>
                    <w:left w:val="nil"/>
                    <w:bottom w:val="nil"/>
                    <w:right w:val="nil"/>
                  </w:tcBorders>
                  <w:shd w:val="clear" w:color="auto" w:fill="auto"/>
                  <w:noWrap/>
                  <w:vAlign w:val="bottom"/>
                  <w:hideMark/>
                </w:tcPr>
                <w:p w14:paraId="1CE02BE9"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Total cost burden</w:t>
                  </w:r>
                </w:p>
              </w:tc>
              <w:tc>
                <w:tcPr>
                  <w:tcW w:w="3601" w:type="dxa"/>
                  <w:tcBorders>
                    <w:top w:val="nil"/>
                    <w:left w:val="nil"/>
                    <w:bottom w:val="nil"/>
                    <w:right w:val="nil"/>
                  </w:tcBorders>
                  <w:shd w:val="clear" w:color="auto" w:fill="auto"/>
                  <w:noWrap/>
                  <w:vAlign w:val="bottom"/>
                  <w:hideMark/>
                </w:tcPr>
                <w:p w14:paraId="5F015E16" w14:textId="77777777" w:rsidR="00E338EF" w:rsidRPr="00C74953" w:rsidRDefault="00E338EF" w:rsidP="003020D6">
                  <w:pPr>
                    <w:widowControl/>
                    <w:autoSpaceDE/>
                    <w:autoSpaceDN/>
                    <w:adjustRightInd/>
                    <w:jc w:val="right"/>
                    <w:rPr>
                      <w:rFonts w:ascii="Times New Roman" w:hAnsi="Times New Roman"/>
                    </w:rPr>
                  </w:pPr>
                  <w:r w:rsidRPr="00C74953">
                    <w:rPr>
                      <w:rFonts w:ascii="Times New Roman" w:hAnsi="Times New Roman"/>
                    </w:rPr>
                    <w:t>$15,553,457</w:t>
                  </w:r>
                </w:p>
              </w:tc>
            </w:tr>
            <w:tr w:rsidR="00104B73" w:rsidRPr="00C74953" w14:paraId="2FC0D85E" w14:textId="77777777" w:rsidTr="00104B73">
              <w:trPr>
                <w:trHeight w:val="255"/>
              </w:trPr>
              <w:tc>
                <w:tcPr>
                  <w:tcW w:w="3599" w:type="dxa"/>
                  <w:tcBorders>
                    <w:top w:val="nil"/>
                    <w:left w:val="nil"/>
                    <w:bottom w:val="nil"/>
                    <w:right w:val="nil"/>
                  </w:tcBorders>
                  <w:shd w:val="clear" w:color="auto" w:fill="auto"/>
                  <w:noWrap/>
                  <w:vAlign w:val="bottom"/>
                  <w:hideMark/>
                </w:tcPr>
                <w:p w14:paraId="16146D1C" w14:textId="77777777" w:rsidR="00E338EF" w:rsidRPr="00C74953" w:rsidRDefault="00E338EF" w:rsidP="00544254">
                  <w:pPr>
                    <w:widowControl/>
                    <w:autoSpaceDE/>
                    <w:autoSpaceDN/>
                    <w:adjustRightInd/>
                    <w:rPr>
                      <w:rFonts w:ascii="Times New Roman" w:hAnsi="Times New Roman"/>
                    </w:rPr>
                  </w:pPr>
                </w:p>
              </w:tc>
              <w:tc>
                <w:tcPr>
                  <w:tcW w:w="3601" w:type="dxa"/>
                  <w:tcBorders>
                    <w:top w:val="nil"/>
                    <w:left w:val="nil"/>
                    <w:bottom w:val="nil"/>
                    <w:right w:val="nil"/>
                  </w:tcBorders>
                  <w:shd w:val="clear" w:color="auto" w:fill="auto"/>
                  <w:noWrap/>
                  <w:vAlign w:val="bottom"/>
                  <w:hideMark/>
                </w:tcPr>
                <w:p w14:paraId="28AA7E6D" w14:textId="77777777" w:rsidR="00E338EF" w:rsidRPr="00C74953" w:rsidRDefault="00E338EF" w:rsidP="00544254">
                  <w:pPr>
                    <w:widowControl/>
                    <w:autoSpaceDE/>
                    <w:autoSpaceDN/>
                    <w:adjustRightInd/>
                    <w:rPr>
                      <w:rFonts w:ascii="Times New Roman" w:hAnsi="Times New Roman"/>
                    </w:rPr>
                  </w:pPr>
                </w:p>
              </w:tc>
            </w:tr>
            <w:tr w:rsidR="00104B73" w:rsidRPr="00C74953" w14:paraId="1057F81E" w14:textId="77777777" w:rsidTr="00104B73">
              <w:trPr>
                <w:trHeight w:val="255"/>
              </w:trPr>
              <w:tc>
                <w:tcPr>
                  <w:tcW w:w="3599" w:type="dxa"/>
                  <w:tcBorders>
                    <w:top w:val="nil"/>
                    <w:left w:val="nil"/>
                    <w:bottom w:val="nil"/>
                    <w:right w:val="nil"/>
                  </w:tcBorders>
                  <w:shd w:val="clear" w:color="auto" w:fill="auto"/>
                  <w:noWrap/>
                  <w:vAlign w:val="bottom"/>
                  <w:hideMark/>
                </w:tcPr>
                <w:p w14:paraId="14394D8A" w14:textId="77777777" w:rsidR="00E338EF" w:rsidRPr="00C74953" w:rsidRDefault="00E338EF" w:rsidP="00544254">
                  <w:pPr>
                    <w:widowControl/>
                    <w:autoSpaceDE/>
                    <w:autoSpaceDN/>
                    <w:adjustRightInd/>
                    <w:rPr>
                      <w:rFonts w:ascii="Times New Roman" w:hAnsi="Times New Roman"/>
                      <w:b/>
                      <w:bCs/>
                    </w:rPr>
                  </w:pPr>
                  <w:r w:rsidRPr="00C74953">
                    <w:rPr>
                      <w:rFonts w:ascii="Times New Roman" w:hAnsi="Times New Roman"/>
                      <w:b/>
                      <w:bCs/>
                    </w:rPr>
                    <w:t>MAP-21</w:t>
                  </w:r>
                </w:p>
              </w:tc>
              <w:tc>
                <w:tcPr>
                  <w:tcW w:w="3601" w:type="dxa"/>
                  <w:tcBorders>
                    <w:top w:val="nil"/>
                    <w:left w:val="nil"/>
                    <w:bottom w:val="nil"/>
                    <w:right w:val="nil"/>
                  </w:tcBorders>
                  <w:shd w:val="clear" w:color="auto" w:fill="auto"/>
                  <w:noWrap/>
                  <w:vAlign w:val="bottom"/>
                  <w:hideMark/>
                </w:tcPr>
                <w:p w14:paraId="7560743B" w14:textId="77777777" w:rsidR="00E338EF" w:rsidRPr="00C74953" w:rsidRDefault="00E338EF" w:rsidP="00544254">
                  <w:pPr>
                    <w:widowControl/>
                    <w:autoSpaceDE/>
                    <w:autoSpaceDN/>
                    <w:adjustRightInd/>
                    <w:rPr>
                      <w:rFonts w:ascii="Times New Roman" w:hAnsi="Times New Roman"/>
                    </w:rPr>
                  </w:pPr>
                </w:p>
              </w:tc>
            </w:tr>
            <w:tr w:rsidR="00104B73" w:rsidRPr="00C74953" w14:paraId="54D2C441" w14:textId="77777777" w:rsidTr="00104B73">
              <w:trPr>
                <w:trHeight w:val="255"/>
              </w:trPr>
              <w:tc>
                <w:tcPr>
                  <w:tcW w:w="3599" w:type="dxa"/>
                  <w:tcBorders>
                    <w:top w:val="nil"/>
                    <w:left w:val="nil"/>
                    <w:bottom w:val="nil"/>
                    <w:right w:val="nil"/>
                  </w:tcBorders>
                  <w:shd w:val="clear" w:color="auto" w:fill="auto"/>
                  <w:noWrap/>
                  <w:vAlign w:val="bottom"/>
                  <w:hideMark/>
                </w:tcPr>
                <w:p w14:paraId="19D653F8"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Number of respondents (Plans)</w:t>
                  </w:r>
                </w:p>
              </w:tc>
              <w:tc>
                <w:tcPr>
                  <w:tcW w:w="3601" w:type="dxa"/>
                  <w:tcBorders>
                    <w:top w:val="nil"/>
                    <w:left w:val="nil"/>
                    <w:bottom w:val="nil"/>
                    <w:right w:val="nil"/>
                  </w:tcBorders>
                  <w:shd w:val="clear" w:color="auto" w:fill="auto"/>
                  <w:noWrap/>
                  <w:vAlign w:val="bottom"/>
                  <w:hideMark/>
                </w:tcPr>
                <w:p w14:paraId="4E6005FE"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9,015</w:t>
                  </w:r>
                </w:p>
              </w:tc>
            </w:tr>
            <w:tr w:rsidR="00104B73" w:rsidRPr="00C74953" w14:paraId="47BEC3E7" w14:textId="77777777" w:rsidTr="00104B73">
              <w:trPr>
                <w:trHeight w:val="255"/>
              </w:trPr>
              <w:tc>
                <w:tcPr>
                  <w:tcW w:w="3599" w:type="dxa"/>
                  <w:tcBorders>
                    <w:top w:val="nil"/>
                    <w:left w:val="nil"/>
                    <w:bottom w:val="nil"/>
                    <w:right w:val="nil"/>
                  </w:tcBorders>
                  <w:shd w:val="clear" w:color="auto" w:fill="auto"/>
                  <w:noWrap/>
                  <w:vAlign w:val="bottom"/>
                  <w:hideMark/>
                </w:tcPr>
                <w:p w14:paraId="34BFC96E"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Number of responses</w:t>
                  </w:r>
                </w:p>
              </w:tc>
              <w:tc>
                <w:tcPr>
                  <w:tcW w:w="3601" w:type="dxa"/>
                  <w:tcBorders>
                    <w:top w:val="nil"/>
                    <w:left w:val="nil"/>
                    <w:bottom w:val="nil"/>
                    <w:right w:val="nil"/>
                  </w:tcBorders>
                  <w:shd w:val="clear" w:color="auto" w:fill="auto"/>
                  <w:noWrap/>
                  <w:vAlign w:val="bottom"/>
                  <w:hideMark/>
                </w:tcPr>
                <w:p w14:paraId="3C9F564E"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29,314,278</w:t>
                  </w:r>
                </w:p>
              </w:tc>
            </w:tr>
            <w:tr w:rsidR="00104B73" w:rsidRPr="00C74953" w14:paraId="266370EC" w14:textId="77777777" w:rsidTr="00104B73">
              <w:trPr>
                <w:trHeight w:val="255"/>
              </w:trPr>
              <w:tc>
                <w:tcPr>
                  <w:tcW w:w="3599" w:type="dxa"/>
                  <w:tcBorders>
                    <w:top w:val="nil"/>
                    <w:left w:val="nil"/>
                    <w:bottom w:val="nil"/>
                    <w:right w:val="nil"/>
                  </w:tcBorders>
                  <w:shd w:val="clear" w:color="auto" w:fill="auto"/>
                  <w:noWrap/>
                  <w:vAlign w:val="bottom"/>
                  <w:hideMark/>
                </w:tcPr>
                <w:p w14:paraId="7C6E5F63"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Total hour burden</w:t>
                  </w:r>
                </w:p>
              </w:tc>
              <w:tc>
                <w:tcPr>
                  <w:tcW w:w="3601" w:type="dxa"/>
                  <w:tcBorders>
                    <w:top w:val="nil"/>
                    <w:left w:val="nil"/>
                    <w:bottom w:val="nil"/>
                    <w:right w:val="nil"/>
                  </w:tcBorders>
                  <w:shd w:val="clear" w:color="auto" w:fill="auto"/>
                  <w:noWrap/>
                  <w:vAlign w:val="bottom"/>
                  <w:hideMark/>
                </w:tcPr>
                <w:p w14:paraId="314E5D70"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0</w:t>
                  </w:r>
                </w:p>
              </w:tc>
            </w:tr>
            <w:tr w:rsidR="00104B73" w:rsidRPr="00C74953" w14:paraId="23DB5BD7" w14:textId="77777777" w:rsidTr="00104B73">
              <w:trPr>
                <w:trHeight w:val="255"/>
              </w:trPr>
              <w:tc>
                <w:tcPr>
                  <w:tcW w:w="3599" w:type="dxa"/>
                  <w:tcBorders>
                    <w:top w:val="nil"/>
                    <w:left w:val="nil"/>
                    <w:bottom w:val="nil"/>
                    <w:right w:val="nil"/>
                  </w:tcBorders>
                  <w:shd w:val="clear" w:color="auto" w:fill="auto"/>
                  <w:noWrap/>
                  <w:vAlign w:val="bottom"/>
                  <w:hideMark/>
                </w:tcPr>
                <w:p w14:paraId="4FEFE267"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Equivalent costs of total hour burden</w:t>
                  </w:r>
                </w:p>
              </w:tc>
              <w:tc>
                <w:tcPr>
                  <w:tcW w:w="3601" w:type="dxa"/>
                  <w:tcBorders>
                    <w:top w:val="nil"/>
                    <w:left w:val="nil"/>
                    <w:bottom w:val="nil"/>
                    <w:right w:val="nil"/>
                  </w:tcBorders>
                  <w:shd w:val="clear" w:color="auto" w:fill="auto"/>
                  <w:noWrap/>
                  <w:vAlign w:val="bottom"/>
                  <w:hideMark/>
                </w:tcPr>
                <w:p w14:paraId="40CD6CFF"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$0</w:t>
                  </w:r>
                </w:p>
              </w:tc>
            </w:tr>
            <w:tr w:rsidR="00104B73" w:rsidRPr="00C74953" w14:paraId="41DF438D" w14:textId="77777777" w:rsidTr="00104B73">
              <w:trPr>
                <w:trHeight w:val="255"/>
              </w:trPr>
              <w:tc>
                <w:tcPr>
                  <w:tcW w:w="3599" w:type="dxa"/>
                  <w:tcBorders>
                    <w:top w:val="nil"/>
                    <w:left w:val="nil"/>
                    <w:bottom w:val="nil"/>
                    <w:right w:val="nil"/>
                  </w:tcBorders>
                  <w:shd w:val="clear" w:color="auto" w:fill="auto"/>
                  <w:noWrap/>
                  <w:vAlign w:val="bottom"/>
                  <w:hideMark/>
                </w:tcPr>
                <w:p w14:paraId="315EFB7B" w14:textId="77777777" w:rsidR="00E338EF" w:rsidRPr="00C74953" w:rsidRDefault="00E338EF" w:rsidP="00544254">
                  <w:pPr>
                    <w:widowControl/>
                    <w:autoSpaceDE/>
                    <w:autoSpaceDN/>
                    <w:adjustRightInd/>
                    <w:rPr>
                      <w:rFonts w:ascii="Times New Roman" w:hAnsi="Times New Roman"/>
                    </w:rPr>
                  </w:pPr>
                  <w:r w:rsidRPr="00C74953">
                    <w:rPr>
                      <w:rFonts w:ascii="Times New Roman" w:hAnsi="Times New Roman"/>
                    </w:rPr>
                    <w:t>Total cost burden</w:t>
                  </w:r>
                </w:p>
              </w:tc>
              <w:tc>
                <w:tcPr>
                  <w:tcW w:w="3601" w:type="dxa"/>
                  <w:tcBorders>
                    <w:top w:val="nil"/>
                    <w:left w:val="nil"/>
                    <w:bottom w:val="nil"/>
                    <w:right w:val="nil"/>
                  </w:tcBorders>
                  <w:shd w:val="clear" w:color="auto" w:fill="auto"/>
                  <w:noWrap/>
                  <w:vAlign w:val="bottom"/>
                  <w:hideMark/>
                </w:tcPr>
                <w:p w14:paraId="23E27640" w14:textId="77777777" w:rsidR="00E338EF" w:rsidRPr="00C74953" w:rsidRDefault="00E338EF" w:rsidP="00544254">
                  <w:pPr>
                    <w:widowControl/>
                    <w:autoSpaceDE/>
                    <w:autoSpaceDN/>
                    <w:adjustRightInd/>
                    <w:jc w:val="right"/>
                    <w:rPr>
                      <w:rFonts w:ascii="Times New Roman" w:hAnsi="Times New Roman"/>
                    </w:rPr>
                  </w:pPr>
                  <w:r w:rsidRPr="00C74953">
                    <w:rPr>
                      <w:rFonts w:ascii="Times New Roman" w:hAnsi="Times New Roman"/>
                    </w:rPr>
                    <w:t>$5,186,139</w:t>
                  </w:r>
                </w:p>
              </w:tc>
            </w:tr>
          </w:tbl>
          <w:p w14:paraId="2D2F4AF2" w14:textId="77777777" w:rsidR="00E338EF" w:rsidRPr="00AE5D87" w:rsidDel="00544254" w:rsidRDefault="00E338EF" w:rsidP="00AE5D87">
            <w:pPr>
              <w:widowControl/>
              <w:autoSpaceDE/>
              <w:autoSpaceDN/>
              <w:adjustRightInd/>
              <w:rPr>
                <w:rFonts w:ascii="Arial" w:hAnsi="Arial" w:cs="Arial"/>
                <w:sz w:val="20"/>
                <w:szCs w:val="20"/>
              </w:rPr>
            </w:pPr>
          </w:p>
        </w:tc>
      </w:tr>
    </w:tbl>
    <w:p w14:paraId="5D607FD2" w14:textId="55F34E37" w:rsidR="00F31D9B" w:rsidRDefault="00F31D9B" w:rsidP="00704591">
      <w:pPr>
        <w:widowControl/>
        <w:rPr>
          <w:rFonts w:ascii="Times New Roman" w:hAnsi="Times New Roman"/>
          <w:color w:val="000000" w:themeColor="text1"/>
        </w:rPr>
      </w:pPr>
    </w:p>
    <w:p w14:paraId="5D57714A" w14:textId="0AEB7CD6" w:rsidR="0025269C" w:rsidRPr="00F35013" w:rsidRDefault="0025269C" w:rsidP="00F35013">
      <w:pPr>
        <w:ind w:left="720"/>
        <w:rPr>
          <w:rFonts w:ascii="Times New Roman" w:hAnsi="Times New Roman"/>
        </w:rPr>
      </w:pPr>
      <w:r>
        <w:rPr>
          <w:rFonts w:ascii="Times New Roman" w:hAnsi="Times New Roman"/>
        </w:rPr>
        <w:t>This results in a total cost prior to the proposed regulation of $20,739,596.</w:t>
      </w:r>
    </w:p>
    <w:p w14:paraId="2A5B33AE" w14:textId="77777777" w:rsidR="0025269C" w:rsidRDefault="0025269C" w:rsidP="00F35013">
      <w:pPr>
        <w:ind w:left="720"/>
        <w:rPr>
          <w:rFonts w:ascii="Times New Roman" w:hAnsi="Times New Roman"/>
          <w:b/>
        </w:rPr>
      </w:pPr>
    </w:p>
    <w:p w14:paraId="696BC21F" w14:textId="7EA21060" w:rsidR="001B7A42" w:rsidRPr="00F35013" w:rsidRDefault="001B7A42" w:rsidP="00F35013">
      <w:pPr>
        <w:ind w:left="720"/>
        <w:rPr>
          <w:rFonts w:ascii="Times New Roman" w:hAnsi="Times New Roman"/>
          <w:b/>
        </w:rPr>
      </w:pPr>
      <w:r>
        <w:rPr>
          <w:rFonts w:ascii="Times New Roman" w:hAnsi="Times New Roman"/>
          <w:b/>
        </w:rPr>
        <w:t xml:space="preserve">2019 </w:t>
      </w:r>
      <w:r w:rsidRPr="00E93BC3">
        <w:rPr>
          <w:rFonts w:ascii="Times New Roman" w:hAnsi="Times New Roman"/>
          <w:b/>
        </w:rPr>
        <w:t>Electronic Disclosure Proposed Regulation</w:t>
      </w:r>
      <w:r w:rsidR="006C11E5">
        <w:rPr>
          <w:rFonts w:ascii="Times New Roman" w:hAnsi="Times New Roman"/>
          <w:b/>
        </w:rPr>
        <w:t xml:space="preserve">: </w:t>
      </w:r>
      <w:r>
        <w:rPr>
          <w:rFonts w:ascii="Times New Roman" w:hAnsi="Times New Roman"/>
        </w:rPr>
        <w:t xml:space="preserve">The proposed changes would provide plan administrators with more flexibility to deliver pension plan disclosures electronically.  Expanded electronic disclosure would lower the cost associated with delivering the annual funding notice disclosure by mail.  </w:t>
      </w:r>
    </w:p>
    <w:p w14:paraId="79F5DEB0" w14:textId="77777777" w:rsidR="001B7A42" w:rsidRDefault="001B7A42" w:rsidP="00F35013">
      <w:pPr>
        <w:ind w:left="720"/>
        <w:rPr>
          <w:rFonts w:ascii="Times New Roman" w:hAnsi="Times New Roman"/>
        </w:rPr>
      </w:pPr>
    </w:p>
    <w:p w14:paraId="05F16FEE" w14:textId="77777777" w:rsidR="00A30D32" w:rsidRPr="00E93BC3" w:rsidRDefault="00A30D32" w:rsidP="00A30D32">
      <w:pPr>
        <w:ind w:left="720"/>
        <w:rPr>
          <w:rFonts w:ascii="Times New Roman" w:hAnsi="Times New Roman"/>
        </w:rPr>
      </w:pPr>
      <w:r>
        <w:rPr>
          <w:rFonts w:ascii="Times New Roman" w:hAnsi="Times New Roman"/>
        </w:rPr>
        <w:t xml:space="preserve">The Department estimates that in the first year, </w:t>
      </w:r>
      <w:r w:rsidRPr="003D0C06">
        <w:rPr>
          <w:rFonts w:ascii="Times New Roman" w:hAnsi="Times New Roman"/>
        </w:rPr>
        <w:t>8</w:t>
      </w:r>
      <w:r w:rsidRPr="00745D94">
        <w:rPr>
          <w:rFonts w:ascii="Times New Roman" w:hAnsi="Times New Roman"/>
        </w:rPr>
        <w:t>1.5</w:t>
      </w:r>
      <w:r>
        <w:rPr>
          <w:rFonts w:ascii="Times New Roman" w:hAnsi="Times New Roman"/>
        </w:rPr>
        <w:t xml:space="preserve"> percent of participants and beneficiaries currently receiving the annual funding notice disclosure by mail in the base year would begin receiving the annual funding notice disclosure electronically.  This percentage would increase to </w:t>
      </w:r>
      <w:r w:rsidRPr="003D0C06">
        <w:rPr>
          <w:rFonts w:ascii="Times New Roman" w:hAnsi="Times New Roman"/>
        </w:rPr>
        <w:t>83.</w:t>
      </w:r>
      <w:r w:rsidRPr="00745D94">
        <w:rPr>
          <w:rFonts w:ascii="Times New Roman" w:hAnsi="Times New Roman"/>
        </w:rPr>
        <w:t>3</w:t>
      </w:r>
      <w:r>
        <w:rPr>
          <w:rFonts w:ascii="Times New Roman" w:hAnsi="Times New Roman"/>
        </w:rPr>
        <w:t xml:space="preserve"> percent in the second year and 84.9 percent in the third year resulting in a cost burden </w:t>
      </w:r>
      <w:r w:rsidRPr="003D0C06">
        <w:rPr>
          <w:rFonts w:ascii="Times New Roman" w:hAnsi="Times New Roman"/>
        </w:rPr>
        <w:t>reduction of $13</w:t>
      </w:r>
      <w:r w:rsidRPr="00745D94">
        <w:rPr>
          <w:rFonts w:ascii="Times New Roman" w:hAnsi="Times New Roman"/>
        </w:rPr>
        <w:t>.38 million in year one, $13.77 million in year two and $14.14 million in year three.  The total cost burden would total $7.51 million in year one, $7.12 million in year two, and $6.76 million in year three with a three-year average cost of $7.13 million.</w:t>
      </w:r>
    </w:p>
    <w:p w14:paraId="6F12784C" w14:textId="3E1A74CF" w:rsidR="006067DC" w:rsidRPr="00704591" w:rsidRDefault="006067DC" w:rsidP="00704591">
      <w:pPr>
        <w:widowControl/>
        <w:rPr>
          <w:rFonts w:ascii="Times New Roman" w:hAnsi="Times New Roman"/>
          <w:color w:val="000000" w:themeColor="text1"/>
        </w:rPr>
      </w:pPr>
    </w:p>
    <w:p w14:paraId="5A1492A6" w14:textId="77777777" w:rsidR="00F31D9B" w:rsidRPr="00704591" w:rsidRDefault="00F31D9B" w:rsidP="008520EE">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14.</w:t>
      </w:r>
      <w:r w:rsidRPr="00704591">
        <w:rPr>
          <w:rFonts w:ascii="Times New Roman" w:hAnsi="Times New Roman"/>
          <w:color w:val="000000" w:themeColor="text1"/>
        </w:rPr>
        <w:tab/>
      </w:r>
      <w:r w:rsidRPr="00704591">
        <w:rPr>
          <w:rFonts w:ascii="Times New Roman" w:hAnsi="Times New Roman"/>
          <w:i/>
          <w:color w:val="000000" w:themeColor="text1"/>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624AD1B4" w14:textId="77777777" w:rsidR="00F31D9B" w:rsidRPr="00704591" w:rsidRDefault="00F31D9B" w:rsidP="008520EE">
      <w:pPr>
        <w:widowControl/>
        <w:tabs>
          <w:tab w:val="left" w:pos="-1440"/>
        </w:tabs>
        <w:ind w:left="720"/>
        <w:rPr>
          <w:rFonts w:ascii="Times New Roman" w:hAnsi="Times New Roman"/>
          <w:i/>
          <w:color w:val="000000" w:themeColor="text1"/>
        </w:rPr>
      </w:pPr>
    </w:p>
    <w:p w14:paraId="6B5BD9B4" w14:textId="5C7F9565" w:rsidR="00F31D9B" w:rsidRPr="00704591" w:rsidRDefault="00F31D9B" w:rsidP="008520EE">
      <w:pPr>
        <w:widowControl/>
        <w:tabs>
          <w:tab w:val="left" w:pos="-1440"/>
        </w:tabs>
        <w:ind w:left="720"/>
        <w:rPr>
          <w:rFonts w:ascii="Times New Roman" w:hAnsi="Times New Roman"/>
          <w:color w:val="000000" w:themeColor="text1"/>
        </w:rPr>
      </w:pPr>
      <w:r w:rsidRPr="00704591">
        <w:rPr>
          <w:rFonts w:ascii="Times New Roman" w:hAnsi="Times New Roman"/>
          <w:color w:val="000000" w:themeColor="text1"/>
        </w:rPr>
        <w:t>None</w:t>
      </w:r>
      <w:r w:rsidR="007831AB">
        <w:rPr>
          <w:rFonts w:ascii="Times New Roman" w:hAnsi="Times New Roman"/>
          <w:color w:val="000000" w:themeColor="text1"/>
        </w:rPr>
        <w:t xml:space="preserve">.  The requirements </w:t>
      </w:r>
      <w:r w:rsidR="00D20B50">
        <w:rPr>
          <w:rFonts w:ascii="Times New Roman" w:hAnsi="Times New Roman"/>
          <w:color w:val="000000" w:themeColor="text1"/>
        </w:rPr>
        <w:t>for</w:t>
      </w:r>
      <w:r w:rsidR="007831AB">
        <w:rPr>
          <w:rFonts w:ascii="Times New Roman" w:hAnsi="Times New Roman"/>
          <w:color w:val="000000" w:themeColor="text1"/>
        </w:rPr>
        <w:t xml:space="preserve"> this information collection are</w:t>
      </w:r>
      <w:r w:rsidR="00FC0285">
        <w:rPr>
          <w:rFonts w:ascii="Times New Roman" w:hAnsi="Times New Roman"/>
          <w:color w:val="000000" w:themeColor="text1"/>
        </w:rPr>
        <w:t xml:space="preserve"> </w:t>
      </w:r>
      <w:r w:rsidR="007831AB">
        <w:rPr>
          <w:rFonts w:ascii="Times New Roman" w:hAnsi="Times New Roman"/>
          <w:color w:val="000000" w:themeColor="text1"/>
        </w:rPr>
        <w:t>third-party disclosures.</w:t>
      </w:r>
      <w:r w:rsidRPr="00704591">
        <w:rPr>
          <w:rFonts w:ascii="Times New Roman" w:hAnsi="Times New Roman"/>
          <w:color w:val="000000" w:themeColor="text1"/>
        </w:rPr>
        <w:t xml:space="preserve">  </w:t>
      </w:r>
    </w:p>
    <w:p w14:paraId="3DBBBD23" w14:textId="77777777" w:rsidR="009C39EB" w:rsidRPr="00704591" w:rsidRDefault="009C39EB" w:rsidP="008520EE">
      <w:pPr>
        <w:widowControl/>
        <w:ind w:left="720"/>
        <w:rPr>
          <w:rFonts w:ascii="Times New Roman" w:hAnsi="Times New Roman"/>
          <w:color w:val="000000" w:themeColor="text1"/>
        </w:rPr>
      </w:pPr>
    </w:p>
    <w:p w14:paraId="6653AD2C" w14:textId="77777777" w:rsidR="00F31D9B" w:rsidRPr="00704591" w:rsidRDefault="00F31D9B" w:rsidP="008520EE">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15.</w:t>
      </w:r>
      <w:r w:rsidRPr="00704591">
        <w:rPr>
          <w:rFonts w:ascii="Times New Roman" w:hAnsi="Times New Roman"/>
          <w:color w:val="000000" w:themeColor="text1"/>
        </w:rPr>
        <w:tab/>
      </w:r>
      <w:r w:rsidRPr="00704591">
        <w:rPr>
          <w:rFonts w:ascii="Times New Roman" w:hAnsi="Times New Roman"/>
          <w:i/>
          <w:color w:val="000000" w:themeColor="text1"/>
        </w:rPr>
        <w:t>Explain the reasons for any program changes or adjustments reporting in Items 1</w:t>
      </w:r>
      <w:r w:rsidR="002A29DC">
        <w:rPr>
          <w:rFonts w:ascii="Times New Roman" w:hAnsi="Times New Roman"/>
          <w:i/>
          <w:color w:val="000000" w:themeColor="text1"/>
        </w:rPr>
        <w:t xml:space="preserve">2 </w:t>
      </w:r>
      <w:r w:rsidRPr="00704591">
        <w:rPr>
          <w:rFonts w:ascii="Times New Roman" w:hAnsi="Times New Roman"/>
          <w:i/>
          <w:color w:val="000000" w:themeColor="text1"/>
        </w:rPr>
        <w:t>or 1</w:t>
      </w:r>
      <w:r w:rsidR="002A29DC">
        <w:rPr>
          <w:rFonts w:ascii="Times New Roman" w:hAnsi="Times New Roman"/>
          <w:i/>
          <w:color w:val="000000" w:themeColor="text1"/>
        </w:rPr>
        <w:t>3</w:t>
      </w:r>
      <w:r w:rsidRPr="00704591">
        <w:rPr>
          <w:rFonts w:ascii="Times New Roman" w:hAnsi="Times New Roman"/>
          <w:i/>
          <w:color w:val="000000" w:themeColor="text1"/>
        </w:rPr>
        <w:t>.</w:t>
      </w:r>
    </w:p>
    <w:p w14:paraId="3327596F" w14:textId="77777777" w:rsidR="00F31D9B" w:rsidRPr="00704591" w:rsidRDefault="00F31D9B" w:rsidP="002F65C7">
      <w:pPr>
        <w:widowControl/>
        <w:tabs>
          <w:tab w:val="left" w:pos="-1440"/>
        </w:tabs>
        <w:ind w:left="720"/>
        <w:rPr>
          <w:rFonts w:ascii="Times New Roman" w:hAnsi="Times New Roman"/>
          <w:color w:val="000000" w:themeColor="text1"/>
        </w:rPr>
      </w:pPr>
    </w:p>
    <w:p w14:paraId="79EB4EB0" w14:textId="5336AA13" w:rsidR="00BE09A7" w:rsidRPr="00BE09A7" w:rsidRDefault="00BE09A7" w:rsidP="002F65C7">
      <w:pPr>
        <w:widowControl/>
        <w:ind w:left="720"/>
        <w:rPr>
          <w:rFonts w:ascii="Times New Roman" w:hAnsi="Times New Roman"/>
          <w:color w:val="000000" w:themeColor="text1"/>
        </w:rPr>
      </w:pPr>
      <w:r w:rsidRPr="00F35013">
        <w:rPr>
          <w:rFonts w:ascii="Times New Roman" w:hAnsi="Times New Roman"/>
        </w:rPr>
        <w:t>In accordance with Executive Order 13847, the Department proposed a new safe harbor for the use of electronic media by administrators of retirement plans covered by ERISA.  This amendment enables plan administrators to furnish documents to plan participants and beneficiaries by means of electronic delivery if they have electronic addresses and if they do not opt out of electronic delivery. This rule creates cost savings by increasing the number of electronically delivered documents, thereby reducing printing and mailing costs. This cost savings is reflected in the lower estimated costs for materials and postage reflected in Item 13 above.</w:t>
      </w:r>
    </w:p>
    <w:p w14:paraId="73FBBC38" w14:textId="77777777" w:rsidR="008520EE" w:rsidRDefault="008520EE" w:rsidP="0061373D">
      <w:pPr>
        <w:widowControl/>
        <w:tabs>
          <w:tab w:val="left" w:pos="-1440"/>
        </w:tabs>
        <w:rPr>
          <w:rFonts w:ascii="Times New Roman" w:hAnsi="Times New Roman"/>
          <w:color w:val="000000" w:themeColor="text1"/>
        </w:rPr>
      </w:pPr>
    </w:p>
    <w:p w14:paraId="1B70A143" w14:textId="77777777" w:rsidR="00F31D9B" w:rsidRPr="00704591" w:rsidRDefault="00F31D9B" w:rsidP="002F65C7">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16.</w:t>
      </w:r>
      <w:r w:rsidRPr="00704591">
        <w:rPr>
          <w:rFonts w:ascii="Times New Roman" w:hAnsi="Times New Roman"/>
          <w:color w:val="000000" w:themeColor="text1"/>
        </w:rPr>
        <w:tab/>
      </w:r>
      <w:r w:rsidRPr="00704591">
        <w:rPr>
          <w:rFonts w:ascii="Times New Roman" w:hAnsi="Times New Roman"/>
          <w:i/>
          <w:color w:val="000000" w:themeColor="text1"/>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4AE756FD" w14:textId="77777777" w:rsidR="00F31D9B" w:rsidRPr="00704591" w:rsidRDefault="00F31D9B" w:rsidP="002F65C7">
      <w:pPr>
        <w:widowControl/>
        <w:ind w:left="720"/>
        <w:rPr>
          <w:rFonts w:ascii="Times New Roman" w:hAnsi="Times New Roman"/>
          <w:color w:val="000000" w:themeColor="text1"/>
        </w:rPr>
      </w:pPr>
    </w:p>
    <w:p w14:paraId="280104F9" w14:textId="77777777" w:rsidR="00F31D9B" w:rsidRPr="00704591" w:rsidRDefault="00F31D9B" w:rsidP="002F65C7">
      <w:pPr>
        <w:widowControl/>
        <w:ind w:left="720"/>
        <w:rPr>
          <w:rFonts w:ascii="Times New Roman" w:hAnsi="Times New Roman"/>
          <w:color w:val="000000" w:themeColor="text1"/>
        </w:rPr>
      </w:pPr>
      <w:r w:rsidRPr="00704591">
        <w:rPr>
          <w:rFonts w:ascii="Times New Roman" w:hAnsi="Times New Roman"/>
          <w:color w:val="000000" w:themeColor="text1"/>
        </w:rPr>
        <w:t>There are no plans to publish the results of this collection of information.</w:t>
      </w:r>
    </w:p>
    <w:p w14:paraId="4A288EDC" w14:textId="77777777" w:rsidR="00F31D9B" w:rsidRPr="00704591" w:rsidRDefault="00F31D9B" w:rsidP="002F65C7">
      <w:pPr>
        <w:widowControl/>
        <w:ind w:left="720"/>
        <w:rPr>
          <w:rFonts w:ascii="Times New Roman" w:hAnsi="Times New Roman"/>
          <w:color w:val="000000" w:themeColor="text1"/>
        </w:rPr>
      </w:pPr>
    </w:p>
    <w:p w14:paraId="10FD75ED" w14:textId="77777777" w:rsidR="00F31D9B" w:rsidRPr="00704591" w:rsidRDefault="00F31D9B" w:rsidP="002F65C7">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17.</w:t>
      </w:r>
      <w:r w:rsidRPr="00704591">
        <w:rPr>
          <w:rFonts w:ascii="Times New Roman" w:hAnsi="Times New Roman"/>
          <w:color w:val="000000" w:themeColor="text1"/>
        </w:rPr>
        <w:tab/>
      </w:r>
      <w:r w:rsidRPr="00704591">
        <w:rPr>
          <w:rFonts w:ascii="Times New Roman" w:hAnsi="Times New Roman"/>
          <w:i/>
          <w:color w:val="000000" w:themeColor="text1"/>
        </w:rPr>
        <w:t>If seeking approval to not display the expiration date for OMB approval of the information collection, explain the reasons that display would be inappropriate.</w:t>
      </w:r>
    </w:p>
    <w:p w14:paraId="66A1BD11" w14:textId="77777777" w:rsidR="00F31D9B" w:rsidRPr="00704591" w:rsidRDefault="00F31D9B" w:rsidP="002F65C7">
      <w:pPr>
        <w:widowControl/>
        <w:ind w:left="720"/>
        <w:rPr>
          <w:rFonts w:ascii="Times New Roman" w:hAnsi="Times New Roman"/>
          <w:color w:val="000000" w:themeColor="text1"/>
        </w:rPr>
      </w:pPr>
    </w:p>
    <w:p w14:paraId="65DF2950" w14:textId="77777777" w:rsidR="00F31D9B" w:rsidRPr="00704591" w:rsidRDefault="00F31D9B" w:rsidP="002F65C7">
      <w:pPr>
        <w:widowControl/>
        <w:ind w:left="720"/>
        <w:rPr>
          <w:rFonts w:ascii="Times New Roman" w:hAnsi="Times New Roman"/>
          <w:color w:val="000000" w:themeColor="text1"/>
        </w:rPr>
      </w:pPr>
      <w:r w:rsidRPr="00704591">
        <w:rPr>
          <w:rFonts w:ascii="Times New Roman" w:hAnsi="Times New Roman"/>
          <w:color w:val="000000" w:themeColor="text1"/>
        </w:rPr>
        <w:t>The OMB expiration date will be published in the Federal Register following OMB approval.</w:t>
      </w:r>
    </w:p>
    <w:p w14:paraId="3D40D0BB" w14:textId="77777777" w:rsidR="00F31D9B" w:rsidRPr="00704591" w:rsidRDefault="00F31D9B" w:rsidP="002F65C7">
      <w:pPr>
        <w:widowControl/>
        <w:ind w:left="720"/>
        <w:rPr>
          <w:rFonts w:ascii="Times New Roman" w:hAnsi="Times New Roman"/>
          <w:color w:val="000000" w:themeColor="text1"/>
        </w:rPr>
      </w:pPr>
    </w:p>
    <w:p w14:paraId="7A947AA2" w14:textId="77777777" w:rsidR="00F31D9B" w:rsidRPr="00704591" w:rsidRDefault="00F31D9B" w:rsidP="00704591">
      <w:pPr>
        <w:widowControl/>
        <w:tabs>
          <w:tab w:val="left" w:pos="-1440"/>
        </w:tabs>
        <w:ind w:left="720" w:hanging="720"/>
        <w:rPr>
          <w:rFonts w:ascii="Times New Roman" w:hAnsi="Times New Roman"/>
          <w:i/>
          <w:color w:val="000000" w:themeColor="text1"/>
        </w:rPr>
      </w:pPr>
      <w:r w:rsidRPr="00704591">
        <w:rPr>
          <w:rFonts w:ascii="Times New Roman" w:hAnsi="Times New Roman"/>
          <w:color w:val="000000" w:themeColor="text1"/>
        </w:rPr>
        <w:t>18.</w:t>
      </w:r>
      <w:r w:rsidRPr="00704591">
        <w:rPr>
          <w:rFonts w:ascii="Times New Roman" w:hAnsi="Times New Roman"/>
          <w:color w:val="000000" w:themeColor="text1"/>
        </w:rPr>
        <w:tab/>
      </w:r>
      <w:r w:rsidRPr="00704591">
        <w:rPr>
          <w:rFonts w:ascii="Times New Roman" w:hAnsi="Times New Roman"/>
          <w:i/>
          <w:color w:val="000000" w:themeColor="text1"/>
        </w:rPr>
        <w:t>Explain each exception to the Certification for Paperwork Reduction Act Submission.</w:t>
      </w:r>
    </w:p>
    <w:p w14:paraId="2D319DDA" w14:textId="77777777" w:rsidR="00F31D9B" w:rsidRPr="00704591" w:rsidRDefault="00F31D9B" w:rsidP="002F65C7">
      <w:pPr>
        <w:widowControl/>
        <w:ind w:left="720"/>
        <w:rPr>
          <w:rFonts w:ascii="Times New Roman" w:hAnsi="Times New Roman"/>
          <w:color w:val="000000" w:themeColor="text1"/>
        </w:rPr>
      </w:pPr>
    </w:p>
    <w:p w14:paraId="6381778E" w14:textId="77777777" w:rsidR="00F31D9B" w:rsidRPr="00704591" w:rsidRDefault="00F31D9B" w:rsidP="002F65C7">
      <w:pPr>
        <w:widowControl/>
        <w:ind w:left="720"/>
        <w:rPr>
          <w:rFonts w:ascii="Times New Roman" w:hAnsi="Times New Roman"/>
          <w:color w:val="000000" w:themeColor="text1"/>
        </w:rPr>
      </w:pPr>
      <w:r w:rsidRPr="00704591">
        <w:rPr>
          <w:rFonts w:ascii="Times New Roman" w:hAnsi="Times New Roman"/>
          <w:color w:val="000000" w:themeColor="text1"/>
        </w:rPr>
        <w:t>Not applicable; no exceptions to the certification statement.</w:t>
      </w:r>
    </w:p>
    <w:p w14:paraId="78D467BC" w14:textId="77777777" w:rsidR="00F31D9B" w:rsidRPr="00704591" w:rsidRDefault="00F31D9B" w:rsidP="0061373D">
      <w:pPr>
        <w:widowControl/>
        <w:ind w:left="720"/>
        <w:rPr>
          <w:rFonts w:ascii="Times New Roman" w:hAnsi="Times New Roman"/>
          <w:color w:val="000000" w:themeColor="text1"/>
        </w:rPr>
      </w:pPr>
    </w:p>
    <w:p w14:paraId="079C9FBF" w14:textId="77777777" w:rsidR="00F31D9B" w:rsidRPr="00704591" w:rsidRDefault="00F31D9B" w:rsidP="0061373D">
      <w:pPr>
        <w:widowControl/>
        <w:tabs>
          <w:tab w:val="left" w:pos="-1440"/>
        </w:tabs>
        <w:ind w:left="720" w:hanging="720"/>
        <w:rPr>
          <w:rFonts w:ascii="Times New Roman" w:hAnsi="Times New Roman"/>
          <w:color w:val="000000" w:themeColor="text1"/>
        </w:rPr>
      </w:pPr>
      <w:r w:rsidRPr="00704591">
        <w:rPr>
          <w:rFonts w:ascii="Times New Roman" w:hAnsi="Times New Roman"/>
          <w:b/>
          <w:color w:val="000000" w:themeColor="text1"/>
        </w:rPr>
        <w:t>B.</w:t>
      </w:r>
      <w:r w:rsidRPr="00704591">
        <w:rPr>
          <w:rFonts w:ascii="Times New Roman" w:hAnsi="Times New Roman"/>
          <w:b/>
          <w:color w:val="000000" w:themeColor="text1"/>
        </w:rPr>
        <w:tab/>
        <w:t>Collections of Information Employing Statistical Methods</w:t>
      </w:r>
    </w:p>
    <w:p w14:paraId="1EA90D06" w14:textId="77777777" w:rsidR="00F31D9B" w:rsidRPr="00704591" w:rsidRDefault="00F31D9B" w:rsidP="0061373D">
      <w:pPr>
        <w:widowControl/>
        <w:ind w:left="720"/>
        <w:rPr>
          <w:rFonts w:ascii="Times New Roman" w:hAnsi="Times New Roman"/>
          <w:color w:val="000000" w:themeColor="text1"/>
        </w:rPr>
      </w:pPr>
    </w:p>
    <w:p w14:paraId="56656037" w14:textId="77777777" w:rsidR="00F31D9B" w:rsidRPr="00704591" w:rsidRDefault="00F31D9B" w:rsidP="0061373D">
      <w:pPr>
        <w:widowControl/>
        <w:ind w:left="720"/>
        <w:rPr>
          <w:rFonts w:ascii="Times New Roman" w:hAnsi="Times New Roman"/>
          <w:color w:val="000000" w:themeColor="text1"/>
        </w:rPr>
      </w:pPr>
      <w:r w:rsidRPr="00704591">
        <w:rPr>
          <w:rFonts w:ascii="Times New Roman" w:hAnsi="Times New Roman"/>
          <w:color w:val="000000" w:themeColor="text1"/>
        </w:rPr>
        <w:t>Not applicable.  The use of statistical methods is not relevant to this collection of information.</w:t>
      </w:r>
    </w:p>
    <w:sectPr w:rsidR="00F31D9B" w:rsidRPr="00704591">
      <w:headerReference w:type="default" r:id="rId9"/>
      <w:endnotePr>
        <w:numFmt w:val="decimal"/>
      </w:endnotePr>
      <w:type w:val="continuous"/>
      <w:pgSz w:w="12240" w:h="15840"/>
      <w:pgMar w:top="1350" w:right="1440" w:bottom="1440" w:left="1440" w:header="135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85BA4" w14:textId="77777777" w:rsidR="004A3ADA" w:rsidRDefault="004A3ADA">
      <w:r>
        <w:separator/>
      </w:r>
    </w:p>
  </w:endnote>
  <w:endnote w:type="continuationSeparator" w:id="0">
    <w:p w14:paraId="28499DF4" w14:textId="77777777" w:rsidR="004A3ADA" w:rsidRDefault="004A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3C1C4" w14:textId="77777777" w:rsidR="004A3ADA" w:rsidRDefault="004A3ADA">
      <w:r>
        <w:separator/>
      </w:r>
    </w:p>
  </w:footnote>
  <w:footnote w:type="continuationSeparator" w:id="0">
    <w:p w14:paraId="65950CA1" w14:textId="77777777" w:rsidR="004A3ADA" w:rsidRDefault="004A3ADA">
      <w:r>
        <w:continuationSeparator/>
      </w:r>
    </w:p>
  </w:footnote>
  <w:footnote w:id="1">
    <w:p w14:paraId="6089FD82" w14:textId="1757CBA8" w:rsidR="008311E4" w:rsidRPr="008311E4" w:rsidRDefault="008311E4">
      <w:pPr>
        <w:pStyle w:val="FootnoteText"/>
        <w:rPr>
          <w:rFonts w:ascii="Times New Roman" w:hAnsi="Times New Roman"/>
        </w:rPr>
      </w:pPr>
      <w:r w:rsidRPr="008311E4">
        <w:rPr>
          <w:rStyle w:val="FootnoteReference"/>
          <w:rFonts w:ascii="Times New Roman" w:hAnsi="Times New Roman"/>
          <w:vertAlign w:val="superscript"/>
        </w:rPr>
        <w:footnoteRef/>
      </w:r>
      <w:r w:rsidRPr="008311E4">
        <w:rPr>
          <w:rFonts w:ascii="Times New Roman" w:hAnsi="Times New Roman"/>
          <w:vertAlign w:val="superscript"/>
        </w:rPr>
        <w:t xml:space="preserve"> </w:t>
      </w:r>
      <w:r w:rsidRPr="008311E4">
        <w:rPr>
          <w:rFonts w:ascii="Times New Roman" w:hAnsi="Times New Roman"/>
        </w:rPr>
        <w:t>80 Fed. Reg. 5626.</w:t>
      </w:r>
    </w:p>
  </w:footnote>
  <w:footnote w:id="2">
    <w:p w14:paraId="2DF47D58" w14:textId="77777777" w:rsidR="00A86AE1" w:rsidRPr="00DE6469" w:rsidRDefault="00A86AE1" w:rsidP="00DE6469">
      <w:pPr>
        <w:pStyle w:val="FootnoteText"/>
        <w:rPr>
          <w:rFonts w:ascii="Times New Roman" w:hAnsi="Times New Roman"/>
        </w:rPr>
      </w:pPr>
      <w:r w:rsidRPr="00DE6469">
        <w:rPr>
          <w:rStyle w:val="FootnoteReference"/>
          <w:rFonts w:ascii="Times New Roman" w:hAnsi="Times New Roman"/>
        </w:rPr>
        <w:footnoteRef/>
      </w:r>
      <w:r w:rsidRPr="00DE6469">
        <w:rPr>
          <w:rFonts w:ascii="Times New Roman" w:hAnsi="Times New Roman"/>
        </w:rPr>
        <w:t xml:space="preserve"> </w:t>
      </w:r>
      <w:r w:rsidRPr="00C6438C">
        <w:rPr>
          <w:rFonts w:ascii="Times New Roman" w:hAnsi="Times New Roman"/>
        </w:rPr>
        <w:t>According to the PBGC Pension Insurance Data Tables 201</w:t>
      </w:r>
      <w:r>
        <w:rPr>
          <w:rFonts w:ascii="Times New Roman" w:hAnsi="Times New Roman"/>
        </w:rPr>
        <w:t>5</w:t>
      </w:r>
      <w:r w:rsidRPr="00C6438C">
        <w:rPr>
          <w:rFonts w:ascii="Times New Roman" w:hAnsi="Times New Roman"/>
        </w:rPr>
        <w:t>, there were 1,</w:t>
      </w:r>
      <w:r>
        <w:rPr>
          <w:rFonts w:ascii="Times New Roman" w:hAnsi="Times New Roman"/>
        </w:rPr>
        <w:t>396</w:t>
      </w:r>
      <w:r w:rsidRPr="00C6438C">
        <w:rPr>
          <w:rFonts w:ascii="Times New Roman" w:hAnsi="Times New Roman"/>
        </w:rPr>
        <w:t xml:space="preserve"> multiemployer defined benefit plans in 201</w:t>
      </w:r>
      <w:r>
        <w:rPr>
          <w:rFonts w:ascii="Times New Roman" w:hAnsi="Times New Roman"/>
        </w:rPr>
        <w:t>5</w:t>
      </w:r>
      <w:r w:rsidRPr="00C6438C">
        <w:rPr>
          <w:rFonts w:ascii="Times New Roman" w:hAnsi="Times New Roman"/>
        </w:rPr>
        <w:t xml:space="preserve">.  This number was reduced by </w:t>
      </w:r>
      <w:r>
        <w:rPr>
          <w:rFonts w:ascii="Times New Roman" w:hAnsi="Times New Roman"/>
        </w:rPr>
        <w:t>58</w:t>
      </w:r>
      <w:r w:rsidRPr="00C6438C">
        <w:rPr>
          <w:rFonts w:ascii="Times New Roman" w:hAnsi="Times New Roman"/>
        </w:rPr>
        <w:t xml:space="preserve"> in order to account for the </w:t>
      </w:r>
      <w:r>
        <w:rPr>
          <w:rFonts w:ascii="Times New Roman" w:hAnsi="Times New Roman"/>
        </w:rPr>
        <w:t>58</w:t>
      </w:r>
      <w:r w:rsidRPr="00C6438C">
        <w:rPr>
          <w:rFonts w:ascii="Times New Roman" w:hAnsi="Times New Roman"/>
        </w:rPr>
        <w:t xml:space="preserve"> plans that received financial assistance and are not required to furnish an annual funding notice.</w:t>
      </w:r>
    </w:p>
  </w:footnote>
  <w:footnote w:id="3">
    <w:p w14:paraId="177965B3" w14:textId="77777777" w:rsidR="00A86AE1" w:rsidRPr="00022303" w:rsidRDefault="00A86AE1">
      <w:pPr>
        <w:pStyle w:val="FootnoteText"/>
        <w:rPr>
          <w:rFonts w:ascii="Times New Roman" w:hAnsi="Times New Roman"/>
        </w:rPr>
      </w:pPr>
      <w:r w:rsidRPr="00022303">
        <w:rPr>
          <w:rStyle w:val="FootnoteReference"/>
          <w:vertAlign w:val="superscript"/>
        </w:rPr>
        <w:footnoteRef/>
      </w:r>
      <w:r w:rsidRPr="00022303">
        <w:rPr>
          <w:vertAlign w:val="superscript"/>
        </w:rPr>
        <w:t xml:space="preserve"> </w:t>
      </w:r>
      <w:r>
        <w:rPr>
          <w:rFonts w:ascii="Times New Roman" w:hAnsi="Times New Roman"/>
        </w:rPr>
        <w:t xml:space="preserve">This estimate includes the time for plans in critical and declining status to include the projected date for insolvency, a clear statement that such insolvency may result in benefit reductions, and a statement describing whether the plan sponsor has taken legally permitted actions to prevent insolvency as required by the MPRA amendments to ERISA section 101(f). </w:t>
      </w:r>
    </w:p>
  </w:footnote>
  <w:footnote w:id="4">
    <w:p w14:paraId="273F3781" w14:textId="77777777" w:rsidR="00A86AE1" w:rsidRPr="007504A8" w:rsidRDefault="00A86AE1" w:rsidP="00A45F24">
      <w:pPr>
        <w:rPr>
          <w:rFonts w:ascii="Times New Roman" w:hAnsi="Times New Roman"/>
        </w:rPr>
      </w:pPr>
      <w:r w:rsidRPr="007504A8">
        <w:rPr>
          <w:rStyle w:val="FootnoteReference"/>
          <w:rFonts w:ascii="Times New Roman" w:hAnsi="Times New Roman"/>
          <w:vertAlign w:val="superscript"/>
        </w:rPr>
        <w:footnoteRef/>
      </w:r>
      <w:r w:rsidRPr="00502284">
        <w:rPr>
          <w:rFonts w:ascii="Times New Roman" w:hAnsi="Times New Roman"/>
          <w:color w:val="000000"/>
          <w:sz w:val="20"/>
          <w:szCs w:val="20"/>
        </w:rPr>
        <w:t>According to data from the National Telecommunications and Information Agency (NTIA), 36.0 percent of individuals age 25 and over have access to the Internet at work.  According to a Greenwald &amp; Associates survey, 84 percent of plan participants find it acceptable to make electronic delivery the default option, which is used as the proxy for the number of participants who will not opt-out of electronic disclosure that are automatically enrolled (for a total of 30.2 percent receiving electronic disclosure at work).  Additionally, the NTIA reports that 38.5 percent of individuals age 25 and over have access to the internet outside of work.  According to a Pew Research Center survey, 61 percent of internet users use online banking, which is used as the proxy for the number of internet users who will affirmatively consent to receiving  electronic disclosures (for a total of 23.5 percent receiving electronic disclosure outside of work).  Combining the 30.2 percent who receive electronic disclosure at work with the 23.5 percent who receive electronic disclosure outside of work produces a total of 53.7 percent who will receive electronic disclosure overall.</w:t>
      </w:r>
    </w:p>
  </w:footnote>
  <w:footnote w:id="5">
    <w:p w14:paraId="3F412189" w14:textId="77777777" w:rsidR="00A86AE1" w:rsidRPr="007504A8" w:rsidRDefault="00A86AE1" w:rsidP="007D0EC8">
      <w:pPr>
        <w:pStyle w:val="FootnoteText"/>
        <w:rPr>
          <w:rFonts w:ascii="Times New Roman" w:hAnsi="Times New Roman"/>
        </w:rPr>
      </w:pPr>
      <w:r w:rsidRPr="007504A8">
        <w:rPr>
          <w:rStyle w:val="FootnoteReference"/>
          <w:rFonts w:ascii="Times New Roman" w:hAnsi="Times New Roman"/>
          <w:vertAlign w:val="superscript"/>
        </w:rPr>
        <w:footnoteRef/>
      </w:r>
      <w:r w:rsidRPr="007504A8">
        <w:rPr>
          <w:rFonts w:ascii="Times New Roman" w:hAnsi="Times New Roman"/>
        </w:rPr>
        <w:t xml:space="preserve"> </w:t>
      </w:r>
      <w:r>
        <w:rPr>
          <w:rFonts w:ascii="Times New Roman" w:hAnsi="Times New Roman"/>
        </w:rPr>
        <w:t xml:space="preserve">For more information on how the Department estimates labor costs see: </w:t>
      </w:r>
      <w:r w:rsidRPr="00502284">
        <w:rPr>
          <w:rFonts w:ascii="Times New Roman" w:hAnsi="Times New Roman"/>
        </w:rPr>
        <w:t>https://www.dol.gov/sites/default/files/ebsa/laws-and-regulations/rules-and-regulations/technical-appendices/labor-cost-inputs-used-in-ebsa-opr-ria-and-pra-burden-calculations-july-2017.pdf</w:t>
      </w:r>
    </w:p>
  </w:footnote>
  <w:footnote w:id="6">
    <w:p w14:paraId="40B05E29" w14:textId="77777777" w:rsidR="00A86AE1" w:rsidRPr="00F7784D" w:rsidRDefault="00A86AE1" w:rsidP="007E77B4">
      <w:pPr>
        <w:pStyle w:val="FootnoteText"/>
        <w:rPr>
          <w:rFonts w:ascii="Times New Roman" w:hAnsi="Times New Roman"/>
        </w:rPr>
      </w:pPr>
      <w:r w:rsidRPr="00F7784D">
        <w:rPr>
          <w:rStyle w:val="FootnoteReference"/>
          <w:rFonts w:ascii="Times New Roman" w:hAnsi="Times New Roman"/>
          <w:vertAlign w:val="superscript"/>
        </w:rPr>
        <w:footnoteRef/>
      </w:r>
      <w:r w:rsidRPr="00F7784D">
        <w:rPr>
          <w:rFonts w:ascii="Times New Roman" w:hAnsi="Times New Roman"/>
        </w:rPr>
        <w:t xml:space="preserve"> http://www.pbgc.gov/res/data-books.html</w:t>
      </w:r>
    </w:p>
  </w:footnote>
  <w:footnote w:id="7">
    <w:p w14:paraId="4919191F" w14:textId="77777777" w:rsidR="00A86AE1" w:rsidRPr="002D126B" w:rsidRDefault="00A86AE1" w:rsidP="007E77B4">
      <w:pPr>
        <w:pStyle w:val="FootnoteText"/>
      </w:pPr>
      <w:r w:rsidRPr="00F7784D">
        <w:rPr>
          <w:rStyle w:val="FootnoteReference"/>
          <w:vertAlign w:val="superscript"/>
        </w:rPr>
        <w:footnoteRef/>
      </w:r>
      <w:r w:rsidRPr="00F7784D">
        <w:rPr>
          <w:vertAlign w:val="superscript"/>
        </w:rPr>
        <w:t xml:space="preserve"> </w:t>
      </w:r>
      <w:r w:rsidRPr="002D126B">
        <w:rPr>
          <w:rFonts w:ascii="Times New Roman" w:hAnsi="Times New Roman"/>
          <w:bCs/>
          <w:color w:val="000000"/>
        </w:rPr>
        <w:t>The hour burden required to distribute the annual funding notice already has been accounted for and is not impacted by th</w:t>
      </w:r>
      <w:r>
        <w:rPr>
          <w:rFonts w:ascii="Times New Roman" w:hAnsi="Times New Roman"/>
          <w:bCs/>
          <w:color w:val="000000"/>
        </w:rPr>
        <w:t>e MAP-21 Amendment</w:t>
      </w:r>
      <w:r w:rsidRPr="002D126B">
        <w:rPr>
          <w:rFonts w:ascii="Times New Roman" w:hAnsi="Times New Roman"/>
          <w:bCs/>
          <w:color w:val="000000"/>
        </w:rPr>
        <w:t xml:space="preserve"> to the information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90088" w14:textId="77777777" w:rsidR="00A86AE1" w:rsidRDefault="00A86AE1" w:rsidP="00080015">
    <w:pPr>
      <w:jc w:val="right"/>
      <w:rPr>
        <w:rFonts w:ascii="CG Times" w:hAnsi="CG Times"/>
        <w:b/>
        <w:sz w:val="20"/>
      </w:rPr>
    </w:pPr>
    <w:r>
      <w:rPr>
        <w:rFonts w:ascii="CG Times" w:hAnsi="CG Times"/>
        <w:b/>
        <w:sz w:val="20"/>
      </w:rPr>
      <w:t>Defined Benefit Plan Annual Funding Notice</w:t>
    </w:r>
  </w:p>
  <w:p w14:paraId="60264CDA" w14:textId="77777777" w:rsidR="00A86AE1" w:rsidRDefault="00A86AE1" w:rsidP="00080015">
    <w:pPr>
      <w:jc w:val="right"/>
      <w:rPr>
        <w:rFonts w:ascii="CG Times" w:hAnsi="CG Times"/>
        <w:b/>
        <w:sz w:val="20"/>
      </w:rPr>
    </w:pPr>
    <w:r>
      <w:rPr>
        <w:rFonts w:ascii="CG Times" w:hAnsi="CG Times"/>
        <w:b/>
        <w:sz w:val="20"/>
      </w:rPr>
      <w:t>OMB Control Number 1210-0126</w:t>
    </w:r>
  </w:p>
  <w:p w14:paraId="385F332B" w14:textId="0D97D8D7" w:rsidR="00A86AE1" w:rsidRDefault="00760D2D" w:rsidP="00080015">
    <w:pPr>
      <w:jc w:val="right"/>
      <w:rPr>
        <w:rFonts w:ascii="Times New Roman" w:hAnsi="Times New Roman"/>
        <w:sz w:val="20"/>
      </w:rPr>
    </w:pPr>
    <w:r>
      <w:rPr>
        <w:rFonts w:ascii="CG Times" w:hAnsi="CG Times"/>
        <w:b/>
        <w:sz w:val="20"/>
      </w:rPr>
      <w:t>September 2019</w:t>
    </w:r>
  </w:p>
  <w:p w14:paraId="373AC8A5" w14:textId="77777777" w:rsidR="00A86AE1" w:rsidRDefault="00A86AE1">
    <w:pPr>
      <w:spacing w:line="235" w:lineRule="exact"/>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2011E09"/>
    <w:multiLevelType w:val="hybridMultilevel"/>
    <w:tmpl w:val="A894DF2C"/>
    <w:lvl w:ilvl="0" w:tplc="0409000F">
      <w:start w:val="13"/>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FE1078"/>
    <w:multiLevelType w:val="hybridMultilevel"/>
    <w:tmpl w:val="EFD20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6472AE"/>
    <w:multiLevelType w:val="hybridMultilevel"/>
    <w:tmpl w:val="B0509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651678"/>
    <w:multiLevelType w:val="hybridMultilevel"/>
    <w:tmpl w:val="47B8F49E"/>
    <w:lvl w:ilvl="0" w:tplc="B118686A">
      <w:start w:val="1"/>
      <w:numFmt w:val="decimal"/>
      <w:lvlText w:val="(%1)"/>
      <w:lvlJc w:val="left"/>
      <w:pPr>
        <w:tabs>
          <w:tab w:val="num" w:pos="720"/>
        </w:tabs>
        <w:ind w:left="720" w:hanging="4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51695E09"/>
    <w:multiLevelType w:val="hybridMultilevel"/>
    <w:tmpl w:val="7922A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75F635E"/>
    <w:multiLevelType w:val="hybridMultilevel"/>
    <w:tmpl w:val="8CB47B6A"/>
    <w:lvl w:ilvl="0" w:tplc="F3B89F08">
      <w:start w:val="2"/>
      <w:numFmt w:val="decimal"/>
      <w:lvlText w:val="(%1)"/>
      <w:lvlJc w:val="left"/>
      <w:pPr>
        <w:tabs>
          <w:tab w:val="num" w:pos="1020"/>
        </w:tabs>
        <w:ind w:left="1020" w:hanging="72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nsid w:val="69DC7CB7"/>
    <w:multiLevelType w:val="hybridMultilevel"/>
    <w:tmpl w:val="ADD66E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85D69CC"/>
    <w:multiLevelType w:val="hybridMultilevel"/>
    <w:tmpl w:val="0C9C2B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6"/>
  </w:num>
  <w:num w:numId="4">
    <w:abstractNumId w:val="4"/>
  </w:num>
  <w:num w:numId="5">
    <w:abstractNumId w:val="1"/>
  </w:num>
  <w:num w:numId="6">
    <w:abstractNumId w:val="8"/>
  </w:num>
  <w:num w:numId="7">
    <w:abstractNumId w:val="2"/>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891"/>
    <w:rsid w:val="00001203"/>
    <w:rsid w:val="00001CCC"/>
    <w:rsid w:val="00002B99"/>
    <w:rsid w:val="000044CD"/>
    <w:rsid w:val="00007652"/>
    <w:rsid w:val="000128E7"/>
    <w:rsid w:val="00022303"/>
    <w:rsid w:val="0002334B"/>
    <w:rsid w:val="00033771"/>
    <w:rsid w:val="0003607F"/>
    <w:rsid w:val="00071A43"/>
    <w:rsid w:val="00072D73"/>
    <w:rsid w:val="00077A81"/>
    <w:rsid w:val="00077DB1"/>
    <w:rsid w:val="00080015"/>
    <w:rsid w:val="000C4A3C"/>
    <w:rsid w:val="000E2A2D"/>
    <w:rsid w:val="000E2C8A"/>
    <w:rsid w:val="000E372D"/>
    <w:rsid w:val="0010313A"/>
    <w:rsid w:val="00104B73"/>
    <w:rsid w:val="00107C51"/>
    <w:rsid w:val="00113FD3"/>
    <w:rsid w:val="0013158E"/>
    <w:rsid w:val="00132006"/>
    <w:rsid w:val="00150D55"/>
    <w:rsid w:val="00162F3A"/>
    <w:rsid w:val="0018014B"/>
    <w:rsid w:val="001844D5"/>
    <w:rsid w:val="001862CA"/>
    <w:rsid w:val="00191FA1"/>
    <w:rsid w:val="00194957"/>
    <w:rsid w:val="001A586C"/>
    <w:rsid w:val="001B216E"/>
    <w:rsid w:val="001B7A42"/>
    <w:rsid w:val="001B7B4A"/>
    <w:rsid w:val="001D0E94"/>
    <w:rsid w:val="001D620D"/>
    <w:rsid w:val="001F6CA1"/>
    <w:rsid w:val="00201610"/>
    <w:rsid w:val="00214D31"/>
    <w:rsid w:val="00226588"/>
    <w:rsid w:val="00250759"/>
    <w:rsid w:val="0025269C"/>
    <w:rsid w:val="002556A6"/>
    <w:rsid w:val="00262785"/>
    <w:rsid w:val="00277B66"/>
    <w:rsid w:val="0028202C"/>
    <w:rsid w:val="00282E31"/>
    <w:rsid w:val="002852FD"/>
    <w:rsid w:val="002943B1"/>
    <w:rsid w:val="002A1DB9"/>
    <w:rsid w:val="002A2326"/>
    <w:rsid w:val="002A29DC"/>
    <w:rsid w:val="002B078D"/>
    <w:rsid w:val="002E3288"/>
    <w:rsid w:val="002F5F6B"/>
    <w:rsid w:val="002F65C7"/>
    <w:rsid w:val="002F7693"/>
    <w:rsid w:val="003020D6"/>
    <w:rsid w:val="0031361A"/>
    <w:rsid w:val="003217AC"/>
    <w:rsid w:val="0033170F"/>
    <w:rsid w:val="003475A1"/>
    <w:rsid w:val="00365AF1"/>
    <w:rsid w:val="003750B6"/>
    <w:rsid w:val="003813EE"/>
    <w:rsid w:val="00382D6C"/>
    <w:rsid w:val="003873AA"/>
    <w:rsid w:val="003D6AE8"/>
    <w:rsid w:val="003F3742"/>
    <w:rsid w:val="003F5D9B"/>
    <w:rsid w:val="003F667F"/>
    <w:rsid w:val="003F7FB4"/>
    <w:rsid w:val="00400C31"/>
    <w:rsid w:val="00407604"/>
    <w:rsid w:val="004302C3"/>
    <w:rsid w:val="00435B82"/>
    <w:rsid w:val="00437EFF"/>
    <w:rsid w:val="00440A15"/>
    <w:rsid w:val="004454F9"/>
    <w:rsid w:val="00446B52"/>
    <w:rsid w:val="00462FE3"/>
    <w:rsid w:val="004865F9"/>
    <w:rsid w:val="0049520C"/>
    <w:rsid w:val="004A2770"/>
    <w:rsid w:val="004A3ADA"/>
    <w:rsid w:val="004A59AB"/>
    <w:rsid w:val="004A7BC2"/>
    <w:rsid w:val="004C58DF"/>
    <w:rsid w:val="004D198B"/>
    <w:rsid w:val="004D705A"/>
    <w:rsid w:val="004E3174"/>
    <w:rsid w:val="00502284"/>
    <w:rsid w:val="005239D5"/>
    <w:rsid w:val="00525FD9"/>
    <w:rsid w:val="00532A8B"/>
    <w:rsid w:val="00544254"/>
    <w:rsid w:val="00545A3F"/>
    <w:rsid w:val="00551A94"/>
    <w:rsid w:val="005645A0"/>
    <w:rsid w:val="0057133D"/>
    <w:rsid w:val="00584052"/>
    <w:rsid w:val="00585172"/>
    <w:rsid w:val="00592F94"/>
    <w:rsid w:val="005A1037"/>
    <w:rsid w:val="005A3799"/>
    <w:rsid w:val="00602C5E"/>
    <w:rsid w:val="006067DC"/>
    <w:rsid w:val="00612F47"/>
    <w:rsid w:val="0061373D"/>
    <w:rsid w:val="00617234"/>
    <w:rsid w:val="006227E4"/>
    <w:rsid w:val="00626B8B"/>
    <w:rsid w:val="006314E7"/>
    <w:rsid w:val="00636575"/>
    <w:rsid w:val="00640F0A"/>
    <w:rsid w:val="0065493E"/>
    <w:rsid w:val="00657C8E"/>
    <w:rsid w:val="00680697"/>
    <w:rsid w:val="0069038E"/>
    <w:rsid w:val="00695AAE"/>
    <w:rsid w:val="00697A72"/>
    <w:rsid w:val="006B4B01"/>
    <w:rsid w:val="006C11E5"/>
    <w:rsid w:val="006C2D8F"/>
    <w:rsid w:val="006C717E"/>
    <w:rsid w:val="006D62F1"/>
    <w:rsid w:val="006E005A"/>
    <w:rsid w:val="006F0EEF"/>
    <w:rsid w:val="006F557D"/>
    <w:rsid w:val="006F5D0B"/>
    <w:rsid w:val="006F639F"/>
    <w:rsid w:val="006F6521"/>
    <w:rsid w:val="00704041"/>
    <w:rsid w:val="00704355"/>
    <w:rsid w:val="00704591"/>
    <w:rsid w:val="00706FBF"/>
    <w:rsid w:val="00743383"/>
    <w:rsid w:val="0074750F"/>
    <w:rsid w:val="007504A8"/>
    <w:rsid w:val="00760D2D"/>
    <w:rsid w:val="00761BCF"/>
    <w:rsid w:val="007831AB"/>
    <w:rsid w:val="00786852"/>
    <w:rsid w:val="007D0EC8"/>
    <w:rsid w:val="007E2479"/>
    <w:rsid w:val="007E77B4"/>
    <w:rsid w:val="007F4E9F"/>
    <w:rsid w:val="007F54E1"/>
    <w:rsid w:val="008047B5"/>
    <w:rsid w:val="00813B67"/>
    <w:rsid w:val="008273C2"/>
    <w:rsid w:val="00827D7D"/>
    <w:rsid w:val="008311E4"/>
    <w:rsid w:val="008318F5"/>
    <w:rsid w:val="008404E8"/>
    <w:rsid w:val="008520EE"/>
    <w:rsid w:val="00864C4A"/>
    <w:rsid w:val="00874464"/>
    <w:rsid w:val="008754AB"/>
    <w:rsid w:val="00884F71"/>
    <w:rsid w:val="008857BC"/>
    <w:rsid w:val="00885E0B"/>
    <w:rsid w:val="008977BE"/>
    <w:rsid w:val="008A2F8E"/>
    <w:rsid w:val="008A4202"/>
    <w:rsid w:val="008A69CC"/>
    <w:rsid w:val="008D1E97"/>
    <w:rsid w:val="008E0332"/>
    <w:rsid w:val="00905814"/>
    <w:rsid w:val="009149B0"/>
    <w:rsid w:val="00917B70"/>
    <w:rsid w:val="00921ABD"/>
    <w:rsid w:val="00932A2B"/>
    <w:rsid w:val="00937C49"/>
    <w:rsid w:val="009448DF"/>
    <w:rsid w:val="0094496B"/>
    <w:rsid w:val="00955E8B"/>
    <w:rsid w:val="00993A2C"/>
    <w:rsid w:val="009A26AA"/>
    <w:rsid w:val="009A2D23"/>
    <w:rsid w:val="009A382F"/>
    <w:rsid w:val="009C39EB"/>
    <w:rsid w:val="009D17C1"/>
    <w:rsid w:val="009D1F39"/>
    <w:rsid w:val="009D3A98"/>
    <w:rsid w:val="009F0475"/>
    <w:rsid w:val="009F20B5"/>
    <w:rsid w:val="009F31C6"/>
    <w:rsid w:val="009F3DFF"/>
    <w:rsid w:val="009F6076"/>
    <w:rsid w:val="009F6F63"/>
    <w:rsid w:val="00A006B1"/>
    <w:rsid w:val="00A16D69"/>
    <w:rsid w:val="00A235F1"/>
    <w:rsid w:val="00A24393"/>
    <w:rsid w:val="00A2720E"/>
    <w:rsid w:val="00A3005E"/>
    <w:rsid w:val="00A30D32"/>
    <w:rsid w:val="00A32E34"/>
    <w:rsid w:val="00A45F24"/>
    <w:rsid w:val="00A47C37"/>
    <w:rsid w:val="00A538F1"/>
    <w:rsid w:val="00A565C8"/>
    <w:rsid w:val="00A62DA5"/>
    <w:rsid w:val="00A721B5"/>
    <w:rsid w:val="00A86AE1"/>
    <w:rsid w:val="00A905E7"/>
    <w:rsid w:val="00AA239F"/>
    <w:rsid w:val="00AC3EC3"/>
    <w:rsid w:val="00AC461B"/>
    <w:rsid w:val="00AE1D66"/>
    <w:rsid w:val="00AE4027"/>
    <w:rsid w:val="00AE5D87"/>
    <w:rsid w:val="00AE6857"/>
    <w:rsid w:val="00AF15A4"/>
    <w:rsid w:val="00AF5C4C"/>
    <w:rsid w:val="00B008EB"/>
    <w:rsid w:val="00B17B4A"/>
    <w:rsid w:val="00B207C3"/>
    <w:rsid w:val="00B214D8"/>
    <w:rsid w:val="00B21F69"/>
    <w:rsid w:val="00B22623"/>
    <w:rsid w:val="00B2411E"/>
    <w:rsid w:val="00B25294"/>
    <w:rsid w:val="00B26B2E"/>
    <w:rsid w:val="00B31679"/>
    <w:rsid w:val="00B41D36"/>
    <w:rsid w:val="00B536F7"/>
    <w:rsid w:val="00B626BD"/>
    <w:rsid w:val="00B62844"/>
    <w:rsid w:val="00B63DB1"/>
    <w:rsid w:val="00B70A69"/>
    <w:rsid w:val="00B87215"/>
    <w:rsid w:val="00BA09D6"/>
    <w:rsid w:val="00BA6EDD"/>
    <w:rsid w:val="00BB1742"/>
    <w:rsid w:val="00BE09A7"/>
    <w:rsid w:val="00BE1082"/>
    <w:rsid w:val="00C11E6E"/>
    <w:rsid w:val="00C3175D"/>
    <w:rsid w:val="00C42F3E"/>
    <w:rsid w:val="00C51CF8"/>
    <w:rsid w:val="00C6438C"/>
    <w:rsid w:val="00C709E0"/>
    <w:rsid w:val="00C70B07"/>
    <w:rsid w:val="00C74953"/>
    <w:rsid w:val="00C8019D"/>
    <w:rsid w:val="00C82016"/>
    <w:rsid w:val="00C8574E"/>
    <w:rsid w:val="00C858A7"/>
    <w:rsid w:val="00C96710"/>
    <w:rsid w:val="00CA39BF"/>
    <w:rsid w:val="00CB0682"/>
    <w:rsid w:val="00CC2D2C"/>
    <w:rsid w:val="00CD2C9A"/>
    <w:rsid w:val="00CD3CE7"/>
    <w:rsid w:val="00CD604D"/>
    <w:rsid w:val="00CD7D4C"/>
    <w:rsid w:val="00CF051C"/>
    <w:rsid w:val="00CF319B"/>
    <w:rsid w:val="00D11226"/>
    <w:rsid w:val="00D1557C"/>
    <w:rsid w:val="00D20B50"/>
    <w:rsid w:val="00D2625A"/>
    <w:rsid w:val="00D5732B"/>
    <w:rsid w:val="00D63C8C"/>
    <w:rsid w:val="00D7698D"/>
    <w:rsid w:val="00D96B78"/>
    <w:rsid w:val="00D97246"/>
    <w:rsid w:val="00DB1C4E"/>
    <w:rsid w:val="00DC1278"/>
    <w:rsid w:val="00DD3CC2"/>
    <w:rsid w:val="00DD4471"/>
    <w:rsid w:val="00DE6469"/>
    <w:rsid w:val="00DF5206"/>
    <w:rsid w:val="00DF63CE"/>
    <w:rsid w:val="00E02694"/>
    <w:rsid w:val="00E07950"/>
    <w:rsid w:val="00E121D0"/>
    <w:rsid w:val="00E338EF"/>
    <w:rsid w:val="00E33E73"/>
    <w:rsid w:val="00E41889"/>
    <w:rsid w:val="00E4311E"/>
    <w:rsid w:val="00E50FFA"/>
    <w:rsid w:val="00E5430D"/>
    <w:rsid w:val="00E5667F"/>
    <w:rsid w:val="00E70027"/>
    <w:rsid w:val="00E73AE3"/>
    <w:rsid w:val="00E809AC"/>
    <w:rsid w:val="00E8267F"/>
    <w:rsid w:val="00E92392"/>
    <w:rsid w:val="00E949D9"/>
    <w:rsid w:val="00E95822"/>
    <w:rsid w:val="00EA42C9"/>
    <w:rsid w:val="00EA4907"/>
    <w:rsid w:val="00EC127C"/>
    <w:rsid w:val="00EC3948"/>
    <w:rsid w:val="00ED3359"/>
    <w:rsid w:val="00EE1753"/>
    <w:rsid w:val="00EF2851"/>
    <w:rsid w:val="00F00F3B"/>
    <w:rsid w:val="00F259E0"/>
    <w:rsid w:val="00F31D9B"/>
    <w:rsid w:val="00F35013"/>
    <w:rsid w:val="00F464F0"/>
    <w:rsid w:val="00F46C5B"/>
    <w:rsid w:val="00F56DB7"/>
    <w:rsid w:val="00F62DA6"/>
    <w:rsid w:val="00F66D07"/>
    <w:rsid w:val="00F67FDB"/>
    <w:rsid w:val="00F739DD"/>
    <w:rsid w:val="00F74E32"/>
    <w:rsid w:val="00F75D93"/>
    <w:rsid w:val="00F80694"/>
    <w:rsid w:val="00F86AB1"/>
    <w:rsid w:val="00F95700"/>
    <w:rsid w:val="00F96B01"/>
    <w:rsid w:val="00FA156F"/>
    <w:rsid w:val="00FC0285"/>
    <w:rsid w:val="00FD798E"/>
    <w:rsid w:val="00FF2D32"/>
    <w:rsid w:val="00FF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503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autoSpaceDE/>
      <w:autoSpaceDN/>
      <w:adjustRightInd/>
      <w:ind w:firstLine="720"/>
    </w:pPr>
    <w:rPr>
      <w:rFonts w:ascii="Times New Roman" w:hAnsi="Times New Roman"/>
    </w:rPr>
  </w:style>
  <w:style w:type="paragraph" w:styleId="BodyText2">
    <w:name w:val="Body Text 2"/>
    <w:basedOn w:val="Normal"/>
    <w:pPr>
      <w:widowControl/>
      <w:autoSpaceDE/>
      <w:autoSpaceDN/>
      <w:adjustRightInd/>
    </w:pPr>
    <w:rPr>
      <w:rFonts w:ascii="Times New Roman" w:hAnsi="Times New Roman"/>
      <w:b/>
      <w:bCs/>
      <w:color w:val="000000"/>
      <w:szCs w:val="21"/>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widowControl/>
      <w:autoSpaceDE/>
      <w:autoSpaceDN/>
      <w:adjustRightInd/>
    </w:pPr>
    <w:rPr>
      <w:rFonts w:ascii="Times New Roman" w:hAnsi="Times New Roman"/>
      <w:sz w:val="20"/>
    </w:rPr>
  </w:style>
  <w:style w:type="paragraph" w:styleId="FootnoteText">
    <w:name w:val="footnote text"/>
    <w:basedOn w:val="Normal"/>
    <w:link w:val="FootnoteTextChar"/>
    <w:rPr>
      <w:sz w:val="20"/>
      <w:szCs w:val="20"/>
    </w:rPr>
  </w:style>
  <w:style w:type="paragraph" w:styleId="BodyText3">
    <w:name w:val="Body Text 3"/>
    <w:basedOn w:val="Normal"/>
    <w:rPr>
      <w:color w:val="000000"/>
    </w:rPr>
  </w:style>
  <w:style w:type="paragraph" w:styleId="BalloonText">
    <w:name w:val="Balloon Text"/>
    <w:basedOn w:val="Normal"/>
    <w:semiHidden/>
    <w:rsid w:val="00F80694"/>
    <w:rPr>
      <w:rFonts w:ascii="Tahoma" w:hAnsi="Tahoma" w:cs="Tahoma"/>
      <w:sz w:val="16"/>
      <w:szCs w:val="16"/>
    </w:rPr>
  </w:style>
  <w:style w:type="character" w:customStyle="1" w:styleId="HeaderChar">
    <w:name w:val="Header Char"/>
    <w:link w:val="Header"/>
    <w:uiPriority w:val="99"/>
    <w:rsid w:val="00C70B07"/>
    <w:rPr>
      <w:rFonts w:ascii="Courier" w:hAnsi="Courier"/>
      <w:sz w:val="24"/>
      <w:szCs w:val="24"/>
    </w:rPr>
  </w:style>
  <w:style w:type="paragraph" w:styleId="CommentSubject">
    <w:name w:val="annotation subject"/>
    <w:basedOn w:val="CommentText"/>
    <w:next w:val="CommentText"/>
    <w:link w:val="CommentSubjectChar"/>
    <w:rsid w:val="000044CD"/>
    <w:pPr>
      <w:widowControl w:val="0"/>
      <w:autoSpaceDE w:val="0"/>
      <w:autoSpaceDN w:val="0"/>
      <w:adjustRightInd w:val="0"/>
    </w:pPr>
    <w:rPr>
      <w:rFonts w:ascii="Courier" w:hAnsi="Courier"/>
      <w:b/>
      <w:bCs/>
      <w:szCs w:val="20"/>
    </w:rPr>
  </w:style>
  <w:style w:type="character" w:customStyle="1" w:styleId="CommentTextChar">
    <w:name w:val="Comment Text Char"/>
    <w:basedOn w:val="DefaultParagraphFont"/>
    <w:link w:val="CommentText"/>
    <w:semiHidden/>
    <w:rsid w:val="000044CD"/>
    <w:rPr>
      <w:szCs w:val="24"/>
    </w:rPr>
  </w:style>
  <w:style w:type="character" w:customStyle="1" w:styleId="CommentSubjectChar">
    <w:name w:val="Comment Subject Char"/>
    <w:basedOn w:val="CommentTextChar"/>
    <w:link w:val="CommentSubject"/>
    <w:rsid w:val="000044CD"/>
    <w:rPr>
      <w:rFonts w:ascii="Courier" w:hAnsi="Courier"/>
      <w:b/>
      <w:bCs/>
      <w:szCs w:val="24"/>
    </w:rPr>
  </w:style>
  <w:style w:type="character" w:customStyle="1" w:styleId="FootnoteTextChar">
    <w:name w:val="Footnote Text Char"/>
    <w:link w:val="FootnoteText"/>
    <w:rsid w:val="00CD2C9A"/>
    <w:rPr>
      <w:rFonts w:ascii="Courier" w:hAnsi="Courier"/>
    </w:rPr>
  </w:style>
  <w:style w:type="character" w:styleId="Hyperlink">
    <w:name w:val="Hyperlink"/>
    <w:uiPriority w:val="99"/>
    <w:rsid w:val="00786852"/>
    <w:rPr>
      <w:rFonts w:cs="Times New Roman"/>
      <w:color w:val="0000FF"/>
      <w:u w:val="single"/>
    </w:rPr>
  </w:style>
  <w:style w:type="paragraph" w:styleId="Revision">
    <w:name w:val="Revision"/>
    <w:hidden/>
    <w:uiPriority w:val="99"/>
    <w:semiHidden/>
    <w:rsid w:val="00F96B01"/>
    <w:rPr>
      <w:rFonts w:ascii="Courier" w:hAnsi="Courier"/>
      <w:sz w:val="24"/>
      <w:szCs w:val="24"/>
    </w:rPr>
  </w:style>
  <w:style w:type="table" w:styleId="TableGrid">
    <w:name w:val="Table Grid"/>
    <w:basedOn w:val="TableNormal"/>
    <w:uiPriority w:val="59"/>
    <w:rsid w:val="00214D31"/>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C5B"/>
    <w:pPr>
      <w:widowControl/>
      <w:autoSpaceDE/>
      <w:autoSpaceDN/>
      <w:adjustRightInd/>
      <w:spacing w:after="160" w:line="259" w:lineRule="auto"/>
      <w:ind w:left="720"/>
      <w:contextualSpacing/>
    </w:pPr>
    <w:rPr>
      <w:rFonts w:ascii="Times New Roman" w:eastAsiaTheme="minorHAnsi"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pPr>
      <w:numPr>
        <w:numId w:val="2"/>
      </w:numPr>
      <w:ind w:left="720" w:hanging="720"/>
    </w:pPr>
  </w:style>
  <w:style w:type="paragraph" w:styleId="BodyTextIndent">
    <w:name w:val="Body Text Indent"/>
    <w:basedOn w:val="Normal"/>
    <w:pPr>
      <w:ind w:left="720"/>
    </w:pPr>
  </w:style>
  <w:style w:type="paragraph" w:styleId="BodyText">
    <w:name w:val="Body Text"/>
    <w:basedOn w:val="Normal"/>
    <w:pPr>
      <w:widowControl/>
    </w:pPr>
    <w:rPr>
      <w:rFonts w:ascii="Times New Roman" w:hAnsi="Times New Roman"/>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widowControl/>
      <w:autoSpaceDE/>
      <w:autoSpaceDN/>
      <w:adjustRightInd/>
      <w:ind w:firstLine="720"/>
    </w:pPr>
    <w:rPr>
      <w:rFonts w:ascii="Times New Roman" w:hAnsi="Times New Roman"/>
    </w:rPr>
  </w:style>
  <w:style w:type="paragraph" w:styleId="BodyText2">
    <w:name w:val="Body Text 2"/>
    <w:basedOn w:val="Normal"/>
    <w:pPr>
      <w:widowControl/>
      <w:autoSpaceDE/>
      <w:autoSpaceDN/>
      <w:adjustRightInd/>
    </w:pPr>
    <w:rPr>
      <w:rFonts w:ascii="Times New Roman" w:hAnsi="Times New Roman"/>
      <w:b/>
      <w:bCs/>
      <w:color w:val="000000"/>
      <w:szCs w:val="21"/>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pPr>
      <w:widowControl/>
      <w:autoSpaceDE/>
      <w:autoSpaceDN/>
      <w:adjustRightInd/>
    </w:pPr>
    <w:rPr>
      <w:rFonts w:ascii="Times New Roman" w:hAnsi="Times New Roman"/>
      <w:sz w:val="20"/>
    </w:rPr>
  </w:style>
  <w:style w:type="paragraph" w:styleId="FootnoteText">
    <w:name w:val="footnote text"/>
    <w:basedOn w:val="Normal"/>
    <w:link w:val="FootnoteTextChar"/>
    <w:rPr>
      <w:sz w:val="20"/>
      <w:szCs w:val="20"/>
    </w:rPr>
  </w:style>
  <w:style w:type="paragraph" w:styleId="BodyText3">
    <w:name w:val="Body Text 3"/>
    <w:basedOn w:val="Normal"/>
    <w:rPr>
      <w:color w:val="000000"/>
    </w:rPr>
  </w:style>
  <w:style w:type="paragraph" w:styleId="BalloonText">
    <w:name w:val="Balloon Text"/>
    <w:basedOn w:val="Normal"/>
    <w:semiHidden/>
    <w:rsid w:val="00F80694"/>
    <w:rPr>
      <w:rFonts w:ascii="Tahoma" w:hAnsi="Tahoma" w:cs="Tahoma"/>
      <w:sz w:val="16"/>
      <w:szCs w:val="16"/>
    </w:rPr>
  </w:style>
  <w:style w:type="character" w:customStyle="1" w:styleId="HeaderChar">
    <w:name w:val="Header Char"/>
    <w:link w:val="Header"/>
    <w:uiPriority w:val="99"/>
    <w:rsid w:val="00C70B07"/>
    <w:rPr>
      <w:rFonts w:ascii="Courier" w:hAnsi="Courier"/>
      <w:sz w:val="24"/>
      <w:szCs w:val="24"/>
    </w:rPr>
  </w:style>
  <w:style w:type="paragraph" w:styleId="CommentSubject">
    <w:name w:val="annotation subject"/>
    <w:basedOn w:val="CommentText"/>
    <w:next w:val="CommentText"/>
    <w:link w:val="CommentSubjectChar"/>
    <w:rsid w:val="000044CD"/>
    <w:pPr>
      <w:widowControl w:val="0"/>
      <w:autoSpaceDE w:val="0"/>
      <w:autoSpaceDN w:val="0"/>
      <w:adjustRightInd w:val="0"/>
    </w:pPr>
    <w:rPr>
      <w:rFonts w:ascii="Courier" w:hAnsi="Courier"/>
      <w:b/>
      <w:bCs/>
      <w:szCs w:val="20"/>
    </w:rPr>
  </w:style>
  <w:style w:type="character" w:customStyle="1" w:styleId="CommentTextChar">
    <w:name w:val="Comment Text Char"/>
    <w:basedOn w:val="DefaultParagraphFont"/>
    <w:link w:val="CommentText"/>
    <w:semiHidden/>
    <w:rsid w:val="000044CD"/>
    <w:rPr>
      <w:szCs w:val="24"/>
    </w:rPr>
  </w:style>
  <w:style w:type="character" w:customStyle="1" w:styleId="CommentSubjectChar">
    <w:name w:val="Comment Subject Char"/>
    <w:basedOn w:val="CommentTextChar"/>
    <w:link w:val="CommentSubject"/>
    <w:rsid w:val="000044CD"/>
    <w:rPr>
      <w:rFonts w:ascii="Courier" w:hAnsi="Courier"/>
      <w:b/>
      <w:bCs/>
      <w:szCs w:val="24"/>
    </w:rPr>
  </w:style>
  <w:style w:type="character" w:customStyle="1" w:styleId="FootnoteTextChar">
    <w:name w:val="Footnote Text Char"/>
    <w:link w:val="FootnoteText"/>
    <w:rsid w:val="00CD2C9A"/>
    <w:rPr>
      <w:rFonts w:ascii="Courier" w:hAnsi="Courier"/>
    </w:rPr>
  </w:style>
  <w:style w:type="character" w:styleId="Hyperlink">
    <w:name w:val="Hyperlink"/>
    <w:uiPriority w:val="99"/>
    <w:rsid w:val="00786852"/>
    <w:rPr>
      <w:rFonts w:cs="Times New Roman"/>
      <w:color w:val="0000FF"/>
      <w:u w:val="single"/>
    </w:rPr>
  </w:style>
  <w:style w:type="paragraph" w:styleId="Revision">
    <w:name w:val="Revision"/>
    <w:hidden/>
    <w:uiPriority w:val="99"/>
    <w:semiHidden/>
    <w:rsid w:val="00F96B01"/>
    <w:rPr>
      <w:rFonts w:ascii="Courier" w:hAnsi="Courier"/>
      <w:sz w:val="24"/>
      <w:szCs w:val="24"/>
    </w:rPr>
  </w:style>
  <w:style w:type="table" w:styleId="TableGrid">
    <w:name w:val="Table Grid"/>
    <w:basedOn w:val="TableNormal"/>
    <w:uiPriority w:val="59"/>
    <w:rsid w:val="00214D31"/>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6C5B"/>
    <w:pPr>
      <w:widowControl/>
      <w:autoSpaceDE/>
      <w:autoSpaceDN/>
      <w:adjustRightInd/>
      <w:spacing w:after="160" w:line="259" w:lineRule="auto"/>
      <w:ind w:left="720"/>
      <w:contextualSpacing/>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45648">
      <w:bodyDiv w:val="1"/>
      <w:marLeft w:val="0"/>
      <w:marRight w:val="0"/>
      <w:marTop w:val="0"/>
      <w:marBottom w:val="0"/>
      <w:divBdr>
        <w:top w:val="none" w:sz="0" w:space="0" w:color="auto"/>
        <w:left w:val="none" w:sz="0" w:space="0" w:color="auto"/>
        <w:bottom w:val="none" w:sz="0" w:space="0" w:color="auto"/>
        <w:right w:val="none" w:sz="0" w:space="0" w:color="auto"/>
      </w:divBdr>
    </w:div>
    <w:div w:id="317928008">
      <w:bodyDiv w:val="1"/>
      <w:marLeft w:val="0"/>
      <w:marRight w:val="0"/>
      <w:marTop w:val="0"/>
      <w:marBottom w:val="0"/>
      <w:divBdr>
        <w:top w:val="none" w:sz="0" w:space="0" w:color="auto"/>
        <w:left w:val="none" w:sz="0" w:space="0" w:color="auto"/>
        <w:bottom w:val="none" w:sz="0" w:space="0" w:color="auto"/>
        <w:right w:val="none" w:sz="0" w:space="0" w:color="auto"/>
      </w:divBdr>
    </w:div>
    <w:div w:id="796682783">
      <w:bodyDiv w:val="1"/>
      <w:marLeft w:val="0"/>
      <w:marRight w:val="0"/>
      <w:marTop w:val="0"/>
      <w:marBottom w:val="0"/>
      <w:divBdr>
        <w:top w:val="none" w:sz="0" w:space="0" w:color="auto"/>
        <w:left w:val="none" w:sz="0" w:space="0" w:color="auto"/>
        <w:bottom w:val="none" w:sz="0" w:space="0" w:color="auto"/>
        <w:right w:val="none" w:sz="0" w:space="0" w:color="auto"/>
      </w:divBdr>
    </w:div>
    <w:div w:id="1662735803">
      <w:bodyDiv w:val="1"/>
      <w:marLeft w:val="0"/>
      <w:marRight w:val="0"/>
      <w:marTop w:val="0"/>
      <w:marBottom w:val="0"/>
      <w:divBdr>
        <w:top w:val="none" w:sz="0" w:space="0" w:color="auto"/>
        <w:left w:val="none" w:sz="0" w:space="0" w:color="auto"/>
        <w:bottom w:val="none" w:sz="0" w:space="0" w:color="auto"/>
        <w:right w:val="none" w:sz="0" w:space="0" w:color="auto"/>
      </w:divBdr>
    </w:div>
    <w:div w:id="1688605624">
      <w:bodyDiv w:val="1"/>
      <w:marLeft w:val="0"/>
      <w:marRight w:val="0"/>
      <w:marTop w:val="0"/>
      <w:marBottom w:val="0"/>
      <w:divBdr>
        <w:top w:val="none" w:sz="0" w:space="0" w:color="auto"/>
        <w:left w:val="none" w:sz="0" w:space="0" w:color="auto"/>
        <w:bottom w:val="none" w:sz="0" w:space="0" w:color="auto"/>
        <w:right w:val="none" w:sz="0" w:space="0" w:color="auto"/>
      </w:divBdr>
    </w:div>
    <w:div w:id="17957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4910D-B54D-43C5-B37C-A88189B0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29001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kellyc</dc:creator>
  <cp:lastModifiedBy>SYSTEM</cp:lastModifiedBy>
  <cp:revision>2</cp:revision>
  <cp:lastPrinted>2018-04-18T14:41:00Z</cp:lastPrinted>
  <dcterms:created xsi:type="dcterms:W3CDTF">2019-09-23T19:22:00Z</dcterms:created>
  <dcterms:modified xsi:type="dcterms:W3CDTF">2019-09-23T19:22:00Z</dcterms:modified>
</cp:coreProperties>
</file>