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D3" w:rsidP="001A1AD3" w:rsidRDefault="001A1AD3" w14:paraId="7D67A890" w14:textId="62C30DE0">
      <w:pPr>
        <w:pStyle w:val="H2Chapter"/>
      </w:pPr>
      <w:bookmarkStart w:name="_Toc496104729" w:id="0"/>
      <w:r w:rsidRPr="00E54502">
        <w:t>Part A: Justification</w:t>
      </w:r>
      <w:bookmarkEnd w:id="0"/>
    </w:p>
    <w:p w:rsidR="00707247" w:rsidP="00C84DB0" w:rsidRDefault="00707247" w14:paraId="2EB3A9CE" w14:textId="6ADD6299">
      <w:pPr>
        <w:spacing w:line="240" w:lineRule="auto"/>
        <w:contextualSpacing/>
      </w:pPr>
      <w:r>
        <w:t>The Chief Evaluation Office of the U.S. Department of Labor (DOL) has commissioned an evaluation of the America’s Promise Job-Driven Grant program (America’s Promise). This program aims to create or expand regional partnerships that will identify the needs of specific industry sectors relying on the H-1B visa program to hire skilled foreign workers and prepare the domestic workforce for middle- and high-skilled, high-growth jobs in those sectors. The America’s Promise evaluation offers a unique opportunity to build knowledge about the implementation and effectiveness of these regional partnerships.</w:t>
      </w:r>
      <w:r w:rsidR="003A5CB4">
        <w:t xml:space="preserve"> Additionally,</w:t>
      </w:r>
      <w:r w:rsidR="00937C89">
        <w:t xml:space="preserve"> as the grants are in a mature state of operation, this evaluation is in a unique position to be able to learn about how grantees’ established programs, employer partnerships, and service delivery approaches might be changing as a result of the COVID-19 pandemic. </w:t>
      </w:r>
      <w:r>
        <w:t xml:space="preserve">Mathematica Policy Research and its subcontractor Social Policy Research Associates have been contracted to conduct an implementation and impact evaluation. </w:t>
      </w:r>
      <w:r w:rsidR="00C84DB0">
        <w:t xml:space="preserve">A </w:t>
      </w:r>
      <w:r w:rsidR="000E5529">
        <w:t xml:space="preserve">request to collect information for data collection activities associated with the implementation evaluation, as required by the </w:t>
      </w:r>
      <w:r w:rsidR="00C84DB0">
        <w:t>P</w:t>
      </w:r>
      <w:r w:rsidR="000E5529">
        <w:t>aperwork Reduction Act (P</w:t>
      </w:r>
      <w:r w:rsidR="00C84DB0">
        <w:t>RA</w:t>
      </w:r>
      <w:r w:rsidR="000E5529">
        <w:t>)</w:t>
      </w:r>
      <w:r w:rsidR="0034044F">
        <w:t xml:space="preserve"> was approved </w:t>
      </w:r>
      <w:r w:rsidR="000E5529">
        <w:t>by the Office of Management and Budget (OMB)</w:t>
      </w:r>
      <w:r w:rsidR="00DE567D">
        <w:t xml:space="preserve"> (</w:t>
      </w:r>
      <w:r w:rsidR="0034044F">
        <w:t>OMB Control Number 1290-0020</w:t>
      </w:r>
      <w:r w:rsidR="00DE567D">
        <w:t>)</w:t>
      </w:r>
      <w:r w:rsidR="0034044F">
        <w:t xml:space="preserve"> on February 2, 2019</w:t>
      </w:r>
      <w:r w:rsidRPr="00872B5D" w:rsidR="00C84DB0">
        <w:t>.</w:t>
      </w:r>
      <w:r w:rsidR="00C84DB0">
        <w:t xml:space="preserve"> </w:t>
      </w:r>
      <w:r>
        <w:t xml:space="preserve">This package requests clearance for </w:t>
      </w:r>
      <w:r w:rsidR="00150E00">
        <w:t>f</w:t>
      </w:r>
      <w:r w:rsidR="00EC2325">
        <w:t>ive</w:t>
      </w:r>
      <w:r w:rsidR="00150E00">
        <w:t xml:space="preserve"> </w:t>
      </w:r>
      <w:r w:rsidR="003B3E57">
        <w:t xml:space="preserve">additional </w:t>
      </w:r>
      <w:r>
        <w:t>data collection activities</w:t>
      </w:r>
      <w:r w:rsidR="00A87A24">
        <w:t xml:space="preserve"> as part of the implementation evaluation</w:t>
      </w:r>
      <w:r>
        <w:t>:</w:t>
      </w:r>
    </w:p>
    <w:p w:rsidR="00C84DB0" w:rsidP="00C84DB0" w:rsidRDefault="00C84DB0" w14:paraId="0FE60933" w14:textId="77777777">
      <w:pPr>
        <w:spacing w:line="240" w:lineRule="auto"/>
        <w:contextualSpacing/>
      </w:pPr>
    </w:p>
    <w:p w:rsidR="00707247" w:rsidP="00707247" w:rsidRDefault="00BA48EF" w14:paraId="3D85FE5B" w14:textId="7A1D5492">
      <w:pPr>
        <w:pStyle w:val="NumberedBullet"/>
      </w:pPr>
      <w:r w:rsidRPr="00BA48EF">
        <w:t xml:space="preserve">Program stakeholder interview protocol </w:t>
      </w:r>
      <w:r w:rsidR="00EC2325">
        <w:t>(in-person</w:t>
      </w:r>
      <w:r w:rsidR="00937C89">
        <w:t>, if feasible</w:t>
      </w:r>
      <w:r w:rsidR="00D67945">
        <w:t>, or else virtual</w:t>
      </w:r>
      <w:r w:rsidR="00EC2325">
        <w:t>)</w:t>
      </w:r>
    </w:p>
    <w:p w:rsidRPr="00BA48EF" w:rsidR="00BA48EF" w:rsidP="00BA48EF" w:rsidRDefault="00BA48EF" w14:paraId="40EEDF43" w14:textId="77777777">
      <w:pPr>
        <w:pStyle w:val="NumberedBullet"/>
      </w:pPr>
      <w:r w:rsidRPr="00BA48EF">
        <w:t>Employer interview protocol</w:t>
      </w:r>
    </w:p>
    <w:p w:rsidR="00C84DB0" w:rsidP="00C84DB0" w:rsidRDefault="00BA48EF" w14:paraId="6E6A89DB" w14:textId="3D407660">
      <w:pPr>
        <w:pStyle w:val="NumberedBullet"/>
      </w:pPr>
      <w:r>
        <w:t>Participant focus group protocol</w:t>
      </w:r>
    </w:p>
    <w:p w:rsidR="00150E00" w:rsidP="00150E00" w:rsidRDefault="00150E00" w14:paraId="7EE6B5AB" w14:textId="654A7615">
      <w:pPr>
        <w:pStyle w:val="NumberedBullet"/>
      </w:pPr>
      <w:r w:rsidRPr="00150E00">
        <w:t>Participant focus group information form</w:t>
      </w:r>
    </w:p>
    <w:p w:rsidRPr="00C84DB0" w:rsidR="00EC2325" w:rsidP="00150E00" w:rsidRDefault="00EC2325" w14:paraId="7A677B2C" w14:textId="6EED4B88">
      <w:pPr>
        <w:pStyle w:val="NumberedBullet"/>
      </w:pPr>
      <w:r>
        <w:t>Program stakeholder interview protocol (telephone)</w:t>
      </w:r>
    </w:p>
    <w:p w:rsidR="00707247" w:rsidP="005C45D4" w:rsidRDefault="00871FB8" w14:paraId="750A9D72" w14:textId="42D4444D">
      <w:pPr>
        <w:pStyle w:val="H3Alpha"/>
        <w:ind w:left="0" w:firstLine="0"/>
      </w:pPr>
      <w:bookmarkStart w:name="_Toc496104730" w:id="1"/>
      <w:r w:rsidRPr="00871FB8">
        <w:t>1.</w:t>
      </w:r>
      <w:r>
        <w:t xml:space="preserve"> </w:t>
      </w:r>
      <w:r w:rsidRPr="00C51490" w:rsidR="002D7F1C">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707247" w:rsidP="00707247" w:rsidRDefault="00707247" w14:paraId="33470FA2" w14:textId="017F9AD5">
      <w:pPr>
        <w:pStyle w:val="NormalSS"/>
      </w:pPr>
      <w:r>
        <w:t>A skill gap between the qualifications of American workers and the needs of many American businesses has persisted. U.S. firms annually sponsor hundreds of thousands of nonimmigrant H-1B visas to fill skilled positions.</w:t>
      </w:r>
      <w:r w:rsidR="000F68DE">
        <w:rPr>
          <w:rStyle w:val="FootnoteReference"/>
        </w:rPr>
        <w:footnoteReference w:id="2"/>
      </w:r>
      <w:r>
        <w:t xml:space="preserve"> To reclaim some of these jobs for the American workforce, in January 2017, DOL awarded more than $110 million to 23 grantees for America’s Promise. The purpose of these four-year grants is to support local partnerships between workforce agencies, employers, industry representatives, training providers, community-based organizations, and economic development agencies to identify the needs of specific industry sectors relying on the H-1B visa program for workers and implement career pathway programs that build the skills of the domestic workforce for middle- and high-skilled jobs in those sectors.</w:t>
      </w:r>
      <w:r w:rsidR="003A5CB4">
        <w:t xml:space="preserve"> </w:t>
      </w:r>
    </w:p>
    <w:p w:rsidR="002F31D9" w:rsidP="005C45D4" w:rsidRDefault="002D7F1C" w14:paraId="33AD4A81" w14:textId="76BF7A68">
      <w:pPr>
        <w:pStyle w:val="NormalSS"/>
        <w:ind w:firstLine="0"/>
      </w:pPr>
      <w:r w:rsidRPr="0031638A">
        <w:rPr>
          <w:b/>
        </w:rPr>
        <w:lastRenderedPageBreak/>
        <w:t>Citation of sections of laws that justify this information collection:</w:t>
      </w:r>
      <w:r>
        <w:t xml:space="preserve"> </w:t>
      </w:r>
      <w:r w:rsidR="00707247">
        <w:t>The America’s Promise grant program and subsequent evaluation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w:t>
      </w:r>
      <w:r w:rsidR="00FA18D4">
        <w:t>29</w:t>
      </w:r>
      <w:r w:rsidR="00E019A0">
        <w:t xml:space="preserve"> </w:t>
      </w:r>
      <w:r w:rsidR="00FA18D4">
        <w:t>USC</w:t>
      </w:r>
      <w:r w:rsidR="00E019A0">
        <w:t xml:space="preserve"> </w:t>
      </w:r>
      <w:r w:rsidR="00FA18D4">
        <w:t>3224(a))</w:t>
      </w:r>
      <w:r w:rsidR="00707247">
        <w:t xml:space="preserve">.” </w:t>
      </w:r>
    </w:p>
    <w:p w:rsidR="00707247" w:rsidP="00707247" w:rsidRDefault="002F31D9" w14:paraId="482F7F03" w14:textId="03BBAE7A">
      <w:pPr>
        <w:pStyle w:val="NormalSS"/>
      </w:pPr>
      <w:r w:rsidRPr="002F31D9">
        <w:t>A request to collect information for data collection activities associated with th</w:t>
      </w:r>
      <w:r>
        <w:t xml:space="preserve">e implementation evaluation </w:t>
      </w:r>
      <w:r w:rsidRPr="002F31D9">
        <w:t xml:space="preserve">was approved by the </w:t>
      </w:r>
      <w:r>
        <w:t>OMB (</w:t>
      </w:r>
      <w:r w:rsidRPr="002F31D9">
        <w:t xml:space="preserve">1290-0020) on February 2, 2019. This package requests clearance for five additional data collection activities </w:t>
      </w:r>
      <w:r>
        <w:t xml:space="preserve">which need to start in </w:t>
      </w:r>
      <w:r w:rsidR="001A01C9">
        <w:t xml:space="preserve">May </w:t>
      </w:r>
      <w:r>
        <w:t xml:space="preserve">2020 </w:t>
      </w:r>
      <w:r w:rsidRPr="002F31D9">
        <w:t>as part o</w:t>
      </w:r>
      <w:r>
        <w:t>f the implementation evaluation.</w:t>
      </w:r>
      <w:r w:rsidRPr="00924CD3" w:rsidR="00924CD3">
        <w:t xml:space="preserve"> </w:t>
      </w:r>
      <w:r w:rsidR="00924CD3">
        <w:t xml:space="preserve">Given that the America’s Promise grants end in December 2020, a timely start to the information collection is critical for providing DOL </w:t>
      </w:r>
      <w:r w:rsidR="00937C89">
        <w:t>near real-time</w:t>
      </w:r>
      <w:r w:rsidR="00924CD3">
        <w:t xml:space="preserve"> information about how the grants were </w:t>
      </w:r>
      <w:r w:rsidR="00937C89">
        <w:t xml:space="preserve">implemented as well as </w:t>
      </w:r>
      <w:r w:rsidR="00D67945">
        <w:t xml:space="preserve">if and how they were </w:t>
      </w:r>
      <w:r w:rsidR="00924CD3">
        <w:t>adapted during the COVID-19 pandemic.</w:t>
      </w:r>
    </w:p>
    <w:p w:rsidR="008E1F00" w:rsidP="005C45D4" w:rsidRDefault="008E1F00" w14:paraId="38F491EA" w14:textId="34D72CBA">
      <w:pPr>
        <w:pStyle w:val="H3Alpha"/>
        <w:ind w:left="0" w:firstLine="0"/>
      </w:pPr>
      <w:bookmarkStart w:name="_Toc496104734" w:id="2"/>
      <w:r>
        <w:t xml:space="preserve">2. </w:t>
      </w:r>
      <w:r w:rsidRPr="00C51490" w:rsidR="002D7F1C">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2"/>
    </w:p>
    <w:p w:rsidR="00B24C5A" w:rsidP="008E1F00" w:rsidRDefault="008E1F00" w14:paraId="06AD18FB" w14:textId="22F54E11">
      <w:pPr>
        <w:pStyle w:val="NormalSS"/>
      </w:pPr>
      <w:r>
        <w:t>The data collected through the activities summarized in this request will be used by DOL to comprehensively describe implementation of the America’s Promise grant program, including its partnerships, training and support services provided, target population, and common implementation successes and challenges</w:t>
      </w:r>
      <w:r w:rsidR="00937C89">
        <w:t>, incl</w:t>
      </w:r>
      <w:r w:rsidR="00336EA2">
        <w:t>uding how they adapted during the COVID-19 pandemic</w:t>
      </w:r>
      <w:r>
        <w:t xml:space="preserve">. </w:t>
      </w:r>
      <w:r w:rsidR="00CB0699">
        <w:t xml:space="preserve">Although not addressed through instruments included in this request, </w:t>
      </w:r>
      <w:r w:rsidR="00E86E56">
        <w:t>the</w:t>
      </w:r>
      <w:r>
        <w:t xml:space="preserve"> evaluation will also assess the impacts of America’s Promise on participant outcomes</w:t>
      </w:r>
      <w:r w:rsidR="00D67945">
        <w:t xml:space="preserve"> (during time periods that will examine participant outcomes both before and after the pandemic began)</w:t>
      </w:r>
      <w:r>
        <w:t xml:space="preserve">. </w:t>
      </w:r>
      <w:r w:rsidR="0034044F">
        <w:t xml:space="preserve">This analysis will involve existing administrative data sets, which does not require OMB approval. </w:t>
      </w:r>
      <w:r>
        <w:t xml:space="preserve">These data and the </w:t>
      </w:r>
      <w:r w:rsidR="00AF7247">
        <w:t>evaluation</w:t>
      </w:r>
      <w:r>
        <w:t xml:space="preserve"> team’s descriptive and impact analyses will provide DOL and other policymakers with important information to guide management decisions</w:t>
      </w:r>
      <w:r w:rsidR="000E5529">
        <w:t>, support</w:t>
      </w:r>
      <w:r>
        <w:t xml:space="preserve"> future planning efforts regarding such grant programs</w:t>
      </w:r>
      <w:r w:rsidR="000E5529">
        <w:t xml:space="preserve">, </w:t>
      </w:r>
      <w:r w:rsidR="00336EA2">
        <w:t xml:space="preserve">including those that will be funded during the pandemic, </w:t>
      </w:r>
      <w:r w:rsidR="000E5529">
        <w:t xml:space="preserve">and share evidence of </w:t>
      </w:r>
      <w:r w:rsidR="0036189F">
        <w:t xml:space="preserve">the effectiveness of </w:t>
      </w:r>
      <w:r w:rsidR="003B147F">
        <w:t>training approaches for middle- and high-skill occupations</w:t>
      </w:r>
      <w:r>
        <w:t xml:space="preserve">. </w:t>
      </w:r>
    </w:p>
    <w:p w:rsidR="00B24C5A" w:rsidP="00B24C5A" w:rsidRDefault="002A75EB" w14:paraId="43652B52" w14:textId="4B2CD2FA">
      <w:pPr>
        <w:pStyle w:val="H4Number"/>
      </w:pPr>
      <w:r>
        <w:t>1</w:t>
      </w:r>
      <w:r w:rsidR="00B24C5A">
        <w:t>.</w:t>
      </w:r>
      <w:r w:rsidR="00B24C5A">
        <w:tab/>
        <w:t>Overview of the evaluation</w:t>
      </w:r>
    </w:p>
    <w:p w:rsidR="00B24C5A" w:rsidP="00976EC6" w:rsidRDefault="00B24C5A" w14:paraId="5D86F917" w14:textId="0BE07E9B">
      <w:pPr>
        <w:pStyle w:val="NormalSS"/>
      </w:pPr>
      <w:r>
        <w:t xml:space="preserve">The evaluation of America’s Promise includes two components: (1) an implementation evaluation to understand program implementation and partnership development and (2) an impact evaluation to measure the effects of America’s Promise on participant outcomes. </w:t>
      </w:r>
      <w:r w:rsidR="00E86E56">
        <w:t xml:space="preserve">Both components </w:t>
      </w:r>
      <w:r>
        <w:t>will take place over five years (2017 to 2022)</w:t>
      </w:r>
      <w:r w:rsidR="006F4AC9">
        <w:t xml:space="preserve"> and</w:t>
      </w:r>
      <w:r>
        <w:t xml:space="preserve"> will address the following research questions:</w:t>
      </w:r>
    </w:p>
    <w:p w:rsidR="00B24C5A" w:rsidP="00B24C5A" w:rsidRDefault="00B24C5A" w14:paraId="1E0EDD38" w14:textId="4CB6DDBF">
      <w:pPr>
        <w:pStyle w:val="NumberedBullet"/>
        <w:numPr>
          <w:ilvl w:val="0"/>
          <w:numId w:val="34"/>
        </w:numPr>
        <w:ind w:left="432" w:hanging="432"/>
      </w:pPr>
      <w:r>
        <w:t>How were regional partnerships developed and maintained?</w:t>
      </w:r>
      <w:r w:rsidR="00881F7F">
        <w:t xml:space="preserve"> What factors did site visit respondents report as influencing partnership development and employer engagement?</w:t>
      </w:r>
      <w:r>
        <w:t xml:space="preserve"> </w:t>
      </w:r>
      <w:r w:rsidR="00145790">
        <w:t>(implementation evaluation)</w:t>
      </w:r>
    </w:p>
    <w:p w:rsidR="00B24C5A" w:rsidP="00B24C5A" w:rsidRDefault="00B24C5A" w14:paraId="3B497C78" w14:textId="1D952CD9">
      <w:pPr>
        <w:pStyle w:val="NumberedBullet"/>
        <w:numPr>
          <w:ilvl w:val="0"/>
          <w:numId w:val="34"/>
        </w:numPr>
        <w:ind w:left="432" w:hanging="432"/>
      </w:pPr>
      <w:r>
        <w:t>What types and combinations of services and approaches were provided? How were they implemented?</w:t>
      </w:r>
      <w:r w:rsidR="00145790">
        <w:t xml:space="preserve"> (implementation evaluation)</w:t>
      </w:r>
    </w:p>
    <w:p w:rsidR="00B24C5A" w:rsidP="00B24C5A" w:rsidRDefault="00B24C5A" w14:paraId="0D38DA3E" w14:textId="7BDF7F60">
      <w:pPr>
        <w:pStyle w:val="NumberedBullet"/>
        <w:numPr>
          <w:ilvl w:val="0"/>
          <w:numId w:val="34"/>
        </w:numPr>
        <w:ind w:left="432" w:hanging="432"/>
      </w:pPr>
      <w:r>
        <w:t>What were the characteristics of enrolled participants?</w:t>
      </w:r>
      <w:r w:rsidR="003A5858">
        <w:t xml:space="preserve"> (implementation evaluation)</w:t>
      </w:r>
    </w:p>
    <w:p w:rsidR="003A5CB4" w:rsidP="005C45D4" w:rsidRDefault="00B24C5A" w14:paraId="42753EA2" w14:textId="3DDBAF0A">
      <w:pPr>
        <w:pStyle w:val="NumberedBullet"/>
        <w:numPr>
          <w:ilvl w:val="0"/>
          <w:numId w:val="54"/>
        </w:numPr>
        <w:tabs>
          <w:tab w:val="clear" w:pos="432"/>
          <w:tab w:val="clear" w:pos="792"/>
          <w:tab w:val="num" w:pos="450"/>
          <w:tab w:val="left" w:pos="720"/>
        </w:tabs>
        <w:ind w:left="450"/>
      </w:pPr>
      <w:r>
        <w:t xml:space="preserve">What was the </w:t>
      </w:r>
      <w:r w:rsidR="00B857F7">
        <w:t xml:space="preserve">regional and </w:t>
      </w:r>
      <w:r>
        <w:t>community context of the America’s Promise grantees?</w:t>
      </w:r>
      <w:r w:rsidR="003A5858">
        <w:t xml:space="preserve"> (implementation evaluation)</w:t>
      </w:r>
      <w:r w:rsidR="003A5CB4">
        <w:t>What changes did America’s Promise grantees make to their programs as a result of the COVID-19 pandemic?</w:t>
      </w:r>
    </w:p>
    <w:p w:rsidR="00B24C5A" w:rsidRDefault="00B24C5A" w14:paraId="1F873FE6" w14:textId="77777777">
      <w:pPr>
        <w:pStyle w:val="NumberedBullet"/>
        <w:numPr>
          <w:ilvl w:val="0"/>
          <w:numId w:val="34"/>
        </w:numPr>
        <w:ind w:left="432" w:hanging="432"/>
      </w:pPr>
      <w:r>
        <w:t>What impact did America’s Promise have on participants’ labor market outcomes?</w:t>
      </w:r>
    </w:p>
    <w:p w:rsidR="00B24C5A" w:rsidP="00B24C5A" w:rsidRDefault="00B24C5A" w14:paraId="22AB15C0" w14:textId="77777777">
      <w:pPr>
        <w:pStyle w:val="NumberedBullet"/>
        <w:numPr>
          <w:ilvl w:val="0"/>
          <w:numId w:val="34"/>
        </w:numPr>
        <w:ind w:left="432" w:hanging="432"/>
      </w:pPr>
      <w:r>
        <w:t>How did the impact of America’s Promise vary by participant characteristics or program components?</w:t>
      </w:r>
    </w:p>
    <w:p w:rsidR="00B24C5A" w:rsidP="00B24C5A" w:rsidRDefault="00B24C5A" w14:paraId="186E2D43" w14:textId="0A662D6B">
      <w:pPr>
        <w:pStyle w:val="NormalSS"/>
      </w:pPr>
      <w:r>
        <w:t xml:space="preserve">The implementation </w:t>
      </w:r>
      <w:r w:rsidR="009233DF">
        <w:t>evaluation component</w:t>
      </w:r>
      <w:r w:rsidR="00F746C3">
        <w:t xml:space="preserve"> </w:t>
      </w:r>
      <w:r w:rsidR="00501DBD">
        <w:t xml:space="preserve">will answer research questions 1-4.  </w:t>
      </w:r>
      <w:r w:rsidR="00F746C3">
        <w:t xml:space="preserve">This </w:t>
      </w:r>
      <w:r w:rsidR="009233DF">
        <w:t>component</w:t>
      </w:r>
      <w:r w:rsidR="00F746C3">
        <w:t xml:space="preserve"> includes</w:t>
      </w:r>
      <w:r w:rsidR="002B0C44">
        <w:t xml:space="preserve"> a</w:t>
      </w:r>
      <w:r>
        <w:t xml:space="preserve"> grantee survey</w:t>
      </w:r>
      <w:r w:rsidR="002B0C44">
        <w:t xml:space="preserve"> involving all 23 grantees</w:t>
      </w:r>
      <w:r w:rsidR="002340AB">
        <w:t>;</w:t>
      </w:r>
      <w:r>
        <w:t xml:space="preserve"> review of grant documents</w:t>
      </w:r>
      <w:r w:rsidR="002B0C44">
        <w:t xml:space="preserve"> from all</w:t>
      </w:r>
      <w:r w:rsidR="003B28AD">
        <w:t xml:space="preserve"> 23</w:t>
      </w:r>
      <w:r w:rsidR="002B0C44">
        <w:t xml:space="preserve"> grantees</w:t>
      </w:r>
      <w:r w:rsidR="002340AB">
        <w:t>;</w:t>
      </w:r>
      <w:r w:rsidR="00F746C3">
        <w:t xml:space="preserve"> a partner network survey involving </w:t>
      </w:r>
      <w:r w:rsidR="007A6226">
        <w:t xml:space="preserve">approximately </w:t>
      </w:r>
      <w:r w:rsidR="00F746C3">
        <w:t>six grantees</w:t>
      </w:r>
      <w:r w:rsidR="002340AB">
        <w:t>;</w:t>
      </w:r>
      <w:r w:rsidR="00F746C3">
        <w:t xml:space="preserve"> </w:t>
      </w:r>
      <w:r w:rsidR="002340AB">
        <w:t xml:space="preserve">interviews with </w:t>
      </w:r>
      <w:r w:rsidRPr="00F746C3" w:rsidR="00F746C3">
        <w:t>program stakeholder</w:t>
      </w:r>
      <w:r w:rsidR="000E5529">
        <w:t>s</w:t>
      </w:r>
      <w:r w:rsidR="002340AB">
        <w:t xml:space="preserve"> and </w:t>
      </w:r>
      <w:r w:rsidR="00357209">
        <w:t>employer</w:t>
      </w:r>
      <w:r w:rsidR="002340AB">
        <w:t>s as well as</w:t>
      </w:r>
      <w:r w:rsidR="00357209">
        <w:t xml:space="preserve"> partic</w:t>
      </w:r>
      <w:r w:rsidR="0096578D">
        <w:t>i</w:t>
      </w:r>
      <w:r w:rsidR="00357209">
        <w:t>pant</w:t>
      </w:r>
      <w:r w:rsidRPr="00F746C3" w:rsidR="00F746C3">
        <w:t xml:space="preserve"> </w:t>
      </w:r>
      <w:r w:rsidR="00707ED3">
        <w:t xml:space="preserve">focus groups </w:t>
      </w:r>
      <w:r w:rsidR="002E1A05">
        <w:t xml:space="preserve">during </w:t>
      </w:r>
      <w:r>
        <w:t>site visits to 12 grantees</w:t>
      </w:r>
      <w:r w:rsidR="00336EA2">
        <w:t xml:space="preserve"> (planned to be in-person, if feasible)</w:t>
      </w:r>
      <w:r w:rsidR="002340AB">
        <w:t>;</w:t>
      </w:r>
      <w:r w:rsidR="002B0C44">
        <w:t xml:space="preserve"> </w:t>
      </w:r>
      <w:r>
        <w:t>and</w:t>
      </w:r>
      <w:r w:rsidR="002E1A05">
        <w:t xml:space="preserve"> </w:t>
      </w:r>
      <w:r>
        <w:t xml:space="preserve">telephone interviews with </w:t>
      </w:r>
      <w:r w:rsidR="00AA4A33">
        <w:t xml:space="preserve">program stakeholders </w:t>
      </w:r>
      <w:r w:rsidR="00AC0600">
        <w:t xml:space="preserve">from </w:t>
      </w:r>
      <w:r w:rsidR="000E5529">
        <w:t xml:space="preserve">the remaining </w:t>
      </w:r>
      <w:r>
        <w:t>11 grantees</w:t>
      </w:r>
      <w:r w:rsidR="00F746C3">
        <w:t xml:space="preserve">. </w:t>
      </w:r>
      <w:r w:rsidR="00C62874">
        <w:t>The PRA</w:t>
      </w:r>
      <w:r w:rsidR="0034044F">
        <w:t xml:space="preserve"> </w:t>
      </w:r>
      <w:r w:rsidR="00C62874">
        <w:t xml:space="preserve">request </w:t>
      </w:r>
      <w:r w:rsidR="007615DA">
        <w:t xml:space="preserve">approved by OMB </w:t>
      </w:r>
      <w:r w:rsidRPr="007615DA" w:rsidR="007615DA">
        <w:t>on February 5, 2019 (OMB Control Number 1290-</w:t>
      </w:r>
      <w:r w:rsidR="00C62874">
        <w:t xml:space="preserve"> includes the grantee survey and the partner network. </w:t>
      </w:r>
      <w:r w:rsidR="003B28AD">
        <w:t>Th</w:t>
      </w:r>
      <w:r w:rsidR="006D176B">
        <w:t xml:space="preserve">is PRA </w:t>
      </w:r>
      <w:r w:rsidR="003B28AD">
        <w:t>clearance request includes</w:t>
      </w:r>
      <w:r w:rsidR="00E86E56">
        <w:t xml:space="preserve"> the protocols that will be used during the </w:t>
      </w:r>
      <w:r w:rsidR="00C62874">
        <w:t xml:space="preserve">on-site and telephone </w:t>
      </w:r>
      <w:r w:rsidR="00E86E56">
        <w:t>interviews and focus groups</w:t>
      </w:r>
      <w:r w:rsidR="009233DF">
        <w:t>.</w:t>
      </w:r>
      <w:r>
        <w:t xml:space="preserve"> </w:t>
      </w:r>
      <w:r w:rsidR="002B0C44">
        <w:t xml:space="preserve">The impact </w:t>
      </w:r>
      <w:r w:rsidR="009233DF">
        <w:t xml:space="preserve">evaluation component </w:t>
      </w:r>
      <w:r w:rsidRPr="00741BEF">
        <w:t xml:space="preserve">will use </w:t>
      </w:r>
      <w:r w:rsidRPr="008F1145" w:rsidR="008F1145">
        <w:t xml:space="preserve">administrative data </w:t>
      </w:r>
      <w:r w:rsidRPr="00741BEF">
        <w:t xml:space="preserve">to address research questions </w:t>
      </w:r>
      <w:r w:rsidRPr="00741BEF" w:rsidR="00404C29">
        <w:t>6</w:t>
      </w:r>
      <w:r w:rsidR="00336EA2">
        <w:t xml:space="preserve"> and 7</w:t>
      </w:r>
      <w:r w:rsidRPr="00741BEF">
        <w:t xml:space="preserve">. </w:t>
      </w:r>
      <w:r w:rsidRPr="00741BEF" w:rsidR="00404C29">
        <w:t xml:space="preserve"> </w:t>
      </w:r>
    </w:p>
    <w:p w:rsidR="00B24C5A" w:rsidP="00B24C5A" w:rsidRDefault="00462140" w14:paraId="55CB13E4" w14:textId="6765CC2A">
      <w:pPr>
        <w:pStyle w:val="NormalSS"/>
      </w:pPr>
      <w:r>
        <w:t xml:space="preserve">The 12 sites selected for in-person site visits will </w:t>
      </w:r>
      <w:r w:rsidR="00C70841">
        <w:t xml:space="preserve">include the </w:t>
      </w:r>
      <w:r w:rsidR="001F7901">
        <w:t xml:space="preserve">six </w:t>
      </w:r>
      <w:r w:rsidR="00C70841">
        <w:t>sites selected for the partner network survey</w:t>
      </w:r>
      <w:r w:rsidR="002432D3">
        <w:t xml:space="preserve"> (</w:t>
      </w:r>
      <w:r w:rsidR="00C62874">
        <w:t xml:space="preserve">see </w:t>
      </w:r>
      <w:r w:rsidRPr="002432D3" w:rsidR="002432D3">
        <w:t>83 FR 51984)</w:t>
      </w:r>
      <w:r w:rsidR="00C70841">
        <w:t>, as well as an additional six sites</w:t>
      </w:r>
      <w:r>
        <w:t xml:space="preserve"> identified through data collected in the grantee </w:t>
      </w:r>
      <w:r w:rsidR="00C70841">
        <w:t>survey</w:t>
      </w:r>
      <w:r w:rsidR="002432D3">
        <w:t xml:space="preserve"> </w:t>
      </w:r>
      <w:r w:rsidRPr="002432D3" w:rsidR="002432D3">
        <w:t>(</w:t>
      </w:r>
      <w:r w:rsidR="00C62874">
        <w:t xml:space="preserve">see, again, </w:t>
      </w:r>
      <w:r w:rsidRPr="002432D3" w:rsidR="002432D3">
        <w:t>83 FR 51984)</w:t>
      </w:r>
      <w:r w:rsidR="00C70841">
        <w:t xml:space="preserve"> that</w:t>
      </w:r>
      <w:r>
        <w:t xml:space="preserve"> appears to meet key criteria of interest to DOL. These criteria include</w:t>
      </w:r>
      <w:r w:rsidR="00396F0A">
        <w:t xml:space="preserve"> </w:t>
      </w:r>
      <w:r w:rsidR="00B24C5A">
        <w:t>the structure and maturity of partnerships, number and strength of employer partnerships, type of sector, population served, type of training, urbanicity, and region.</w:t>
      </w:r>
      <w:r w:rsidR="00C70841">
        <w:t xml:space="preserve"> The 11 sites not selected for in-person site visits will </w:t>
      </w:r>
      <w:r w:rsidR="00CB0699">
        <w:t>participate in</w:t>
      </w:r>
      <w:r w:rsidR="00C70841">
        <w:t xml:space="preserve"> telephone interviews</w:t>
      </w:r>
      <w:r w:rsidR="002F02CE">
        <w:t>.</w:t>
      </w:r>
      <w:r w:rsidR="009233DF">
        <w:t xml:space="preserve"> </w:t>
      </w:r>
    </w:p>
    <w:p w:rsidR="00B24C5A" w:rsidP="00B24C5A" w:rsidRDefault="002A75EB" w14:paraId="469ABDED" w14:textId="4B7597E0">
      <w:pPr>
        <w:pStyle w:val="H4Number"/>
      </w:pPr>
      <w:r>
        <w:t>2</w:t>
      </w:r>
      <w:r w:rsidR="00B24C5A">
        <w:t>.</w:t>
      </w:r>
      <w:r w:rsidR="00B24C5A">
        <w:tab/>
        <w:t>Overview of the data collection</w:t>
      </w:r>
    </w:p>
    <w:p w:rsidR="00B24C5A" w:rsidP="00B24C5A" w:rsidRDefault="00B24C5A" w14:paraId="3974F6C1" w14:textId="26CD068F">
      <w:pPr>
        <w:pStyle w:val="NormalSS"/>
      </w:pPr>
      <w:r>
        <w:t>Understanding the implementation and effectiveness of America’s Promise requires data collection from multiple sources. The implementation evaluation data collection</w:t>
      </w:r>
      <w:r w:rsidR="006527B6">
        <w:t xml:space="preserve"> instruments included in</w:t>
      </w:r>
      <w:r>
        <w:t xml:space="preserve"> th</w:t>
      </w:r>
      <w:r w:rsidR="00FB43C7">
        <w:t>is clearance request include</w:t>
      </w:r>
      <w:r w:rsidR="00397B93">
        <w:t xml:space="preserve"> the protocols </w:t>
      </w:r>
      <w:r w:rsidR="00393278">
        <w:t>that will be used to conduct</w:t>
      </w:r>
      <w:r w:rsidR="00FB43C7">
        <w:t xml:space="preserve"> in-person </w:t>
      </w:r>
      <w:r w:rsidR="00D67945">
        <w:t xml:space="preserve">(if feasible) </w:t>
      </w:r>
      <w:r w:rsidR="00FB43C7">
        <w:t>interviews</w:t>
      </w:r>
      <w:r w:rsidR="00FF3FDB">
        <w:t xml:space="preserve"> </w:t>
      </w:r>
      <w:r w:rsidR="00393278">
        <w:t xml:space="preserve">and focus groups </w:t>
      </w:r>
      <w:r w:rsidR="00C27EB8">
        <w:t xml:space="preserve">during site visits </w:t>
      </w:r>
      <w:r w:rsidR="00AF3F7F">
        <w:t>for</w:t>
      </w:r>
      <w:r w:rsidR="001101A5">
        <w:t xml:space="preserve"> </w:t>
      </w:r>
      <w:r w:rsidR="003A5858">
        <w:t xml:space="preserve">approximately </w:t>
      </w:r>
      <w:r w:rsidR="00FF3FDB">
        <w:t xml:space="preserve">12 of 23 grantees and </w:t>
      </w:r>
      <w:r w:rsidR="00FB43C7">
        <w:t>telephone interviews</w:t>
      </w:r>
      <w:r w:rsidR="00FF3FDB">
        <w:t xml:space="preserve"> </w:t>
      </w:r>
      <w:r w:rsidR="00AF3F7F">
        <w:t>for</w:t>
      </w:r>
      <w:r w:rsidR="00FF3FDB">
        <w:t xml:space="preserve"> </w:t>
      </w:r>
      <w:r w:rsidR="00C27EB8">
        <w:t>the 11 remaining grantees, beginning</w:t>
      </w:r>
      <w:r w:rsidR="00336EA2">
        <w:t xml:space="preserve"> in May 2020</w:t>
      </w:r>
      <w:r w:rsidR="00EF3159">
        <w:t>.</w:t>
      </w:r>
      <w:r w:rsidRPr="005145F6" w:rsidR="005145F6">
        <w:t xml:space="preserve"> </w:t>
      </w:r>
      <w:r w:rsidR="001101A5">
        <w:t>Interviews conducted in person will be in-depth</w:t>
      </w:r>
      <w:r w:rsidR="00BD086A">
        <w:t>, using a semi-structured master protocol with open-ended question prompts</w:t>
      </w:r>
      <w:r w:rsidR="001101A5">
        <w:t xml:space="preserve">; </w:t>
      </w:r>
      <w:r w:rsidR="00BD086A">
        <w:t>telephone interviews will be conducted using</w:t>
      </w:r>
      <w:r w:rsidRPr="006C4422" w:rsidR="00BD086A">
        <w:t xml:space="preserve"> </w:t>
      </w:r>
      <w:r w:rsidR="00BD086A">
        <w:t xml:space="preserve">a subset of questions from </w:t>
      </w:r>
      <w:r w:rsidRPr="006C4422" w:rsidR="00BD086A">
        <w:t>the same semi-structured protocols use</w:t>
      </w:r>
      <w:r w:rsidR="00BD086A">
        <w:t>d for the in-depth site visits.</w:t>
      </w:r>
      <w:r w:rsidR="00647968">
        <w:t xml:space="preserve"> </w:t>
      </w:r>
      <w:r w:rsidR="00BD086A">
        <w:t>Telephone interviews will prioritize topics of interest to DOL and the analysis: community context, organization, and administrative structure; recruitment, enrollment, and participant characteristics; America’s Promise services; and alternative services, outcomes, and sustainability.</w:t>
      </w:r>
      <w:r w:rsidR="001101A5">
        <w:t xml:space="preserve"> </w:t>
      </w:r>
      <w:r w:rsidR="005145F6">
        <w:t>This package seeks clearance for</w:t>
      </w:r>
      <w:r w:rsidRPr="00B61EED" w:rsidR="005145F6">
        <w:t xml:space="preserve"> </w:t>
      </w:r>
      <w:r w:rsidR="00AF3F7F">
        <w:t xml:space="preserve">interview </w:t>
      </w:r>
      <w:r w:rsidR="00A60ABF">
        <w:t xml:space="preserve">protocols for </w:t>
      </w:r>
      <w:r w:rsidR="00AF3F7F">
        <w:t>three types of respondents:</w:t>
      </w:r>
      <w:r w:rsidR="005145F6">
        <w:t xml:space="preserve"> program stakeholders, employers, and </w:t>
      </w:r>
      <w:r w:rsidR="006527B6">
        <w:t xml:space="preserve">small groups of current and former </w:t>
      </w:r>
      <w:r w:rsidR="005145F6">
        <w:t>program participants.</w:t>
      </w:r>
      <w:r w:rsidR="00EF3159">
        <w:t xml:space="preserve"> </w:t>
      </w:r>
    </w:p>
    <w:p w:rsidRPr="00931AB6" w:rsidR="00B24C5A" w:rsidP="00B24C5A" w:rsidRDefault="00C27EB8" w14:paraId="572B12CB" w14:textId="6C6654DA">
      <w:pPr>
        <w:pStyle w:val="NumberedBullet"/>
        <w:numPr>
          <w:ilvl w:val="0"/>
          <w:numId w:val="35"/>
        </w:numPr>
        <w:ind w:left="432" w:hanging="432"/>
      </w:pPr>
      <w:r w:rsidRPr="00B67A6B">
        <w:rPr>
          <w:b/>
        </w:rPr>
        <w:t xml:space="preserve">Program </w:t>
      </w:r>
      <w:r w:rsidRPr="00B67A6B" w:rsidR="00095854">
        <w:rPr>
          <w:b/>
        </w:rPr>
        <w:t>stakeholder</w:t>
      </w:r>
      <w:r w:rsidRPr="00B67A6B" w:rsidR="00FF3FDB">
        <w:rPr>
          <w:b/>
        </w:rPr>
        <w:t xml:space="preserve"> </w:t>
      </w:r>
      <w:r w:rsidR="00AC1D7D">
        <w:rPr>
          <w:b/>
        </w:rPr>
        <w:t>interview protocol</w:t>
      </w:r>
      <w:r w:rsidR="00EC2325">
        <w:rPr>
          <w:b/>
        </w:rPr>
        <w:t xml:space="preserve"> (in-person)</w:t>
      </w:r>
      <w:r w:rsidRPr="00B67A6B" w:rsidR="00B24C5A">
        <w:rPr>
          <w:b/>
        </w:rPr>
        <w:t>.</w:t>
      </w:r>
      <w:r w:rsidRPr="00B67A6B" w:rsidR="00017E28">
        <w:rPr>
          <w:b/>
        </w:rPr>
        <w:t xml:space="preserve"> </w:t>
      </w:r>
      <w:r w:rsidR="00AC1D7D">
        <w:t>This protocol will be used to conduct i</w:t>
      </w:r>
      <w:r w:rsidRPr="00B67A6B" w:rsidR="00017E28">
        <w:t>n-</w:t>
      </w:r>
      <w:r w:rsidRPr="00B67A6B" w:rsidR="003B5912">
        <w:t xml:space="preserve">person </w:t>
      </w:r>
      <w:r w:rsidRPr="00B67A6B" w:rsidR="00017E28">
        <w:t xml:space="preserve">interviews </w:t>
      </w:r>
      <w:r w:rsidRPr="00B67A6B" w:rsidR="001101A5">
        <w:t>with</w:t>
      </w:r>
      <w:r w:rsidRPr="00B67A6B">
        <w:t xml:space="preserve"> grantee managers, staff, and key members of the regional partnership</w:t>
      </w:r>
      <w:r w:rsidR="00D67945">
        <w:t xml:space="preserve"> (again, if feasible; if not, these will be done virtually)</w:t>
      </w:r>
      <w:r w:rsidRPr="00B67A6B" w:rsidR="00017E28">
        <w:t xml:space="preserve">. </w:t>
      </w:r>
      <w:r w:rsidRPr="00B67A6B" w:rsidR="005535C7">
        <w:t>Th</w:t>
      </w:r>
      <w:r w:rsidR="00CB1511">
        <w:t xml:space="preserve">is protocol </w:t>
      </w:r>
      <w:r w:rsidRPr="00B67A6B" w:rsidR="00F64AE8">
        <w:t xml:space="preserve">will cover </w:t>
      </w:r>
      <w:r w:rsidR="008F10BA">
        <w:t>program structure, community context, recruitment, service overview, alternative services available</w:t>
      </w:r>
      <w:r w:rsidR="001A35A9">
        <w:t xml:space="preserve">, </w:t>
      </w:r>
      <w:r w:rsidR="00BA512D">
        <w:t>what changes</w:t>
      </w:r>
      <w:r w:rsidR="005C45D4">
        <w:t xml:space="preserve"> to</w:t>
      </w:r>
      <w:r w:rsidR="00BA512D">
        <w:t xml:space="preserve"> the program made as a result of the COVID-19 pandemic (including whether and how employer partnerships were influenced), </w:t>
      </w:r>
      <w:r w:rsidR="007A5809">
        <w:t xml:space="preserve">participant characteristics and </w:t>
      </w:r>
      <w:r w:rsidR="001A35A9">
        <w:t>outcomes</w:t>
      </w:r>
      <w:r w:rsidR="007A5809">
        <w:t>,</w:t>
      </w:r>
      <w:r w:rsidR="001A35A9">
        <w:t xml:space="preserve"> and sustainability. </w:t>
      </w:r>
      <w:r w:rsidRPr="00B67A6B" w:rsidR="001273A8">
        <w:t>The</w:t>
      </w:r>
      <w:r w:rsidRPr="00B67A6B" w:rsidR="003B5912">
        <w:t xml:space="preserve"> in-person</w:t>
      </w:r>
      <w:r w:rsidRPr="00B67A6B" w:rsidR="001273A8">
        <w:t xml:space="preserve"> interview</w:t>
      </w:r>
      <w:r w:rsidR="00EC2325">
        <w:t>s</w:t>
      </w:r>
      <w:r w:rsidRPr="00B67A6B" w:rsidR="00B24C5A">
        <w:t xml:space="preserve"> </w:t>
      </w:r>
      <w:r w:rsidR="00EC2325">
        <w:t>are</w:t>
      </w:r>
      <w:r w:rsidRPr="00B67A6B" w:rsidR="00B24C5A">
        <w:t xml:space="preserve"> expected to take </w:t>
      </w:r>
      <w:r w:rsidR="00AC0600">
        <w:t xml:space="preserve">between 60 and </w:t>
      </w:r>
      <w:r w:rsidR="001F7901">
        <w:t xml:space="preserve">105 </w:t>
      </w:r>
      <w:r w:rsidR="00AC0600">
        <w:t>minutes, depending on respondent type.</w:t>
      </w:r>
      <w:r w:rsidRPr="00931AB6" w:rsidR="003B5912">
        <w:t xml:space="preserve"> </w:t>
      </w:r>
      <w:r w:rsidR="00FA4FA9">
        <w:t>In the event that an in-person interview cannot be conducted during the site visit, the interview will be conducted via telephone using the in-person interview protocol</w:t>
      </w:r>
      <w:r w:rsidR="00647968">
        <w:t xml:space="preserve"> to ensure that similar topics are discussed with all respondents</w:t>
      </w:r>
      <w:r w:rsidR="00FA4FA9">
        <w:t>.</w:t>
      </w:r>
    </w:p>
    <w:p w:rsidRPr="00931AB6" w:rsidR="00B24C5A" w:rsidP="00B24C5A" w:rsidRDefault="00FF3FDB" w14:paraId="2A7CD6EE" w14:textId="597FD37C">
      <w:pPr>
        <w:pStyle w:val="NumberedBullet"/>
        <w:numPr>
          <w:ilvl w:val="0"/>
          <w:numId w:val="35"/>
        </w:numPr>
        <w:ind w:left="432" w:hanging="432"/>
      </w:pPr>
      <w:r w:rsidRPr="00B67A6B">
        <w:rPr>
          <w:b/>
        </w:rPr>
        <w:t>Employer</w:t>
      </w:r>
      <w:r w:rsidR="00AC1D7D">
        <w:rPr>
          <w:b/>
        </w:rPr>
        <w:t xml:space="preserve"> interview protocol</w:t>
      </w:r>
      <w:r w:rsidRPr="00B67A6B" w:rsidR="00B24C5A">
        <w:rPr>
          <w:b/>
        </w:rPr>
        <w:t>.</w:t>
      </w:r>
      <w:r w:rsidRPr="00B67A6B" w:rsidR="002E7BD6">
        <w:rPr>
          <w:b/>
        </w:rPr>
        <w:t xml:space="preserve"> </w:t>
      </w:r>
      <w:r w:rsidRPr="00AC1D7D" w:rsidR="00AC1D7D">
        <w:t>This protocol will be used in</w:t>
      </w:r>
      <w:r w:rsidR="00AC1D7D">
        <w:rPr>
          <w:b/>
        </w:rPr>
        <w:t xml:space="preserve"> </w:t>
      </w:r>
      <w:r w:rsidRPr="00B67A6B" w:rsidR="00286FCA">
        <w:t>semi-structured</w:t>
      </w:r>
      <w:r w:rsidR="00AC1D7D">
        <w:t xml:space="preserve"> interviews</w:t>
      </w:r>
      <w:r w:rsidRPr="00B67A6B" w:rsidR="002E7BD6">
        <w:t xml:space="preserve"> to collect info</w:t>
      </w:r>
      <w:r w:rsidRPr="00B67A6B" w:rsidR="008E7A30">
        <w:t xml:space="preserve">rmation </w:t>
      </w:r>
      <w:r w:rsidRPr="00B67A6B" w:rsidR="00286FCA">
        <w:t xml:space="preserve">on </w:t>
      </w:r>
      <w:r w:rsidRPr="00B67A6B" w:rsidR="008E7A30">
        <w:t>employers</w:t>
      </w:r>
      <w:r w:rsidRPr="00B67A6B" w:rsidR="00286FCA">
        <w:t>’ roles</w:t>
      </w:r>
      <w:r w:rsidRPr="00B67A6B" w:rsidR="002E7BD6">
        <w:t xml:space="preserve"> in </w:t>
      </w:r>
      <w:r w:rsidR="002340AB">
        <w:t>service</w:t>
      </w:r>
      <w:r w:rsidRPr="00B67A6B" w:rsidR="002340AB">
        <w:t xml:space="preserve"> </w:t>
      </w:r>
      <w:r w:rsidRPr="00B67A6B" w:rsidR="002E7BD6">
        <w:t>design and implementation</w:t>
      </w:r>
      <w:r w:rsidR="00BA512D">
        <w:t xml:space="preserve"> (including whether COVID-19 changed their training needs or role in the program)</w:t>
      </w:r>
      <w:r w:rsidRPr="00B67A6B" w:rsidR="002E7BD6">
        <w:t>, their perception of the quality and effectiveness of program services,</w:t>
      </w:r>
      <w:r w:rsidRPr="00B67A6B" w:rsidR="00286FCA">
        <w:t xml:space="preserve"> whether they hire or advance participants, and whether participants acquire the skills required to be successful. </w:t>
      </w:r>
      <w:r w:rsidR="00BA512D">
        <w:t xml:space="preserve">It will also provide important insight on the local economic context, including how COVID-19 has affected their industry locally. </w:t>
      </w:r>
      <w:r w:rsidRPr="00B67A6B" w:rsidR="001273A8">
        <w:t>Th</w:t>
      </w:r>
      <w:r w:rsidRPr="00B67A6B" w:rsidR="003B5912">
        <w:t>is interview will be conducted in</w:t>
      </w:r>
      <w:r w:rsidR="00CB0699">
        <w:t xml:space="preserve"> </w:t>
      </w:r>
      <w:r w:rsidRPr="00B67A6B" w:rsidR="003B5912">
        <w:t xml:space="preserve">person </w:t>
      </w:r>
      <w:r w:rsidR="008F10BA">
        <w:t xml:space="preserve">during the site visits </w:t>
      </w:r>
      <w:r w:rsidRPr="00B67A6B" w:rsidR="003B5912">
        <w:t>and</w:t>
      </w:r>
      <w:r w:rsidRPr="00B67A6B" w:rsidR="00740A5E">
        <w:t xml:space="preserve"> </w:t>
      </w:r>
      <w:r w:rsidRPr="00B67A6B" w:rsidR="003B5912">
        <w:t>is</w:t>
      </w:r>
      <w:r w:rsidRPr="00B67A6B" w:rsidR="00B24C5A">
        <w:t xml:space="preserve"> expected to take </w:t>
      </w:r>
      <w:r w:rsidRPr="00931AB6" w:rsidR="00B24C5A">
        <w:t xml:space="preserve">approximately </w:t>
      </w:r>
      <w:r w:rsidR="008F10BA">
        <w:t>60</w:t>
      </w:r>
      <w:r w:rsidRPr="00931AB6" w:rsidR="008F10BA">
        <w:t xml:space="preserve"> </w:t>
      </w:r>
      <w:r w:rsidRPr="00931AB6" w:rsidR="00B24C5A">
        <w:t>minutes to complete</w:t>
      </w:r>
      <w:r w:rsidRPr="00931AB6" w:rsidR="003B5912">
        <w:t>.</w:t>
      </w:r>
      <w:r w:rsidRPr="00931AB6" w:rsidR="00B24C5A">
        <w:t xml:space="preserve"> </w:t>
      </w:r>
      <w:r w:rsidR="008F10BA">
        <w:t>If we are unable to schedule interview</w:t>
      </w:r>
      <w:r w:rsidR="002340AB">
        <w:t>s</w:t>
      </w:r>
      <w:r w:rsidR="008F10BA">
        <w:t xml:space="preserve"> while on-site, they </w:t>
      </w:r>
      <w:r w:rsidR="00CB0699">
        <w:t xml:space="preserve">will </w:t>
      </w:r>
      <w:r w:rsidR="008F10BA">
        <w:t xml:space="preserve">be conducted via telephone at a later date. </w:t>
      </w:r>
    </w:p>
    <w:p w:rsidRPr="00B67A6B" w:rsidR="00FB43C7" w:rsidP="00B24C5A" w:rsidRDefault="00AC1D7D" w14:paraId="7DA9CC1A" w14:textId="77FCA4B3">
      <w:pPr>
        <w:pStyle w:val="NumberedBullet"/>
        <w:numPr>
          <w:ilvl w:val="0"/>
          <w:numId w:val="35"/>
        </w:numPr>
        <w:ind w:left="432" w:hanging="432"/>
      </w:pPr>
      <w:r>
        <w:rPr>
          <w:b/>
        </w:rPr>
        <w:t xml:space="preserve">Participant </w:t>
      </w:r>
      <w:r w:rsidR="008F10BA">
        <w:rPr>
          <w:b/>
        </w:rPr>
        <w:t xml:space="preserve">focus group </w:t>
      </w:r>
      <w:r>
        <w:rPr>
          <w:b/>
        </w:rPr>
        <w:t>protocol</w:t>
      </w:r>
      <w:r w:rsidRPr="00B67A6B" w:rsidR="00FB43C7">
        <w:rPr>
          <w:b/>
        </w:rPr>
        <w:t>.</w:t>
      </w:r>
      <w:r>
        <w:rPr>
          <w:b/>
        </w:rPr>
        <w:t xml:space="preserve"> </w:t>
      </w:r>
      <w:r w:rsidRPr="00AC1D7D">
        <w:t>This protocol will be used to conduct</w:t>
      </w:r>
      <w:r>
        <w:rPr>
          <w:b/>
        </w:rPr>
        <w:t xml:space="preserve"> </w:t>
      </w:r>
      <w:r w:rsidR="008F10BA">
        <w:t xml:space="preserve">focus groups </w:t>
      </w:r>
      <w:r w:rsidRPr="00B67A6B" w:rsidR="001273A8">
        <w:t>with a small number of participants at each</w:t>
      </w:r>
      <w:r w:rsidRPr="00B67A6B" w:rsidR="00A7074C">
        <w:t xml:space="preserve"> visited</w:t>
      </w:r>
      <w:r w:rsidRPr="00B67A6B" w:rsidR="001273A8">
        <w:t xml:space="preserve"> site. </w:t>
      </w:r>
      <w:r w:rsidR="00CB1511">
        <w:t>This protocol</w:t>
      </w:r>
      <w:r w:rsidRPr="00B67A6B" w:rsidR="00FC6E7D">
        <w:t xml:space="preserve"> will gather</w:t>
      </w:r>
      <w:r w:rsidRPr="00B67A6B" w:rsidR="001273A8">
        <w:t xml:space="preserve"> data on their backgrounds, reasons for seeking program services, experiences with America’s Promise, and outcomes after participating. </w:t>
      </w:r>
      <w:r w:rsidRPr="00B61EED" w:rsidR="00D32578">
        <w:t xml:space="preserve">Consent to participate in the research study will be obtained from all focus group participants. To fully </w:t>
      </w:r>
      <w:r w:rsidR="00D32578">
        <w:t>ensure informed consent</w:t>
      </w:r>
      <w:r w:rsidRPr="00B61EED" w:rsidR="00D32578">
        <w:t>, the study team will collect written consent from all parti</w:t>
      </w:r>
      <w:r w:rsidR="00D32578">
        <w:t xml:space="preserve">cipants </w:t>
      </w:r>
      <w:r w:rsidRPr="00B61EED" w:rsidR="00D32578">
        <w:t xml:space="preserve">at the start of each focus group. Written consent forms will describe the purpose of the study; outline the information that will be collected; explain the risks, benefits, and voluntary nature of participation; and collect participants’ consent to participate in the focus groups. </w:t>
      </w:r>
      <w:r w:rsidRPr="00B67A6B" w:rsidR="001273A8">
        <w:t xml:space="preserve"> </w:t>
      </w:r>
      <w:r w:rsidRPr="00B67A6B" w:rsidR="000D0EAE">
        <w:t>Th</w:t>
      </w:r>
      <w:r w:rsidR="00B324C5">
        <w:t xml:space="preserve">ese groups </w:t>
      </w:r>
      <w:r w:rsidRPr="00B67A6B" w:rsidR="00A7074C">
        <w:t xml:space="preserve">will be conducted in </w:t>
      </w:r>
      <w:r w:rsidRPr="00B67A6B" w:rsidR="000D0EAE">
        <w:t xml:space="preserve">person and </w:t>
      </w:r>
      <w:r w:rsidR="00D943E8">
        <w:t>are</w:t>
      </w:r>
      <w:r w:rsidRPr="00B67A6B" w:rsidR="00D943E8">
        <w:t xml:space="preserve"> </w:t>
      </w:r>
      <w:r w:rsidRPr="00B67A6B" w:rsidR="000D0EAE">
        <w:t xml:space="preserve">expected to take approximately </w:t>
      </w:r>
      <w:r w:rsidR="008F10BA">
        <w:t>90</w:t>
      </w:r>
      <w:r w:rsidRPr="00B67A6B" w:rsidR="008F10BA">
        <w:t xml:space="preserve"> </w:t>
      </w:r>
      <w:r w:rsidRPr="00B67A6B" w:rsidR="000D0EAE">
        <w:t>minutes to complete.</w:t>
      </w:r>
    </w:p>
    <w:p w:rsidRPr="00E703A0" w:rsidR="00A569DC" w:rsidP="00E703A0" w:rsidRDefault="00A569DC" w14:paraId="173F32B8" w14:textId="32474CEE">
      <w:pPr>
        <w:pStyle w:val="NumberedBullet"/>
        <w:numPr>
          <w:ilvl w:val="0"/>
          <w:numId w:val="35"/>
        </w:numPr>
        <w:ind w:left="432" w:hanging="432"/>
        <w:rPr>
          <w:b/>
        </w:rPr>
      </w:pPr>
      <w:r w:rsidRPr="00E703A0">
        <w:rPr>
          <w:b/>
        </w:rPr>
        <w:t xml:space="preserve">Participant focus group </w:t>
      </w:r>
      <w:r w:rsidRPr="00A569DC">
        <w:rPr>
          <w:b/>
        </w:rPr>
        <w:t xml:space="preserve">information form. </w:t>
      </w:r>
      <w:r w:rsidRPr="00F318E2">
        <w:t xml:space="preserve">This form will be distributed to focus group participants for completion at the beginning of each focus group. </w:t>
      </w:r>
      <w:r w:rsidRPr="00DC5669">
        <w:t>The information form will collect details on participant demographics, education and employment history and A</w:t>
      </w:r>
      <w:r w:rsidRPr="00994A4D">
        <w:t>merica’s Promise program participation.</w:t>
      </w:r>
      <w:r w:rsidRPr="00994A4D" w:rsidR="00857D21">
        <w:t xml:space="preserve"> The form is expected to take approximately five minutes to complete.</w:t>
      </w:r>
    </w:p>
    <w:p w:rsidRPr="00931AB6" w:rsidR="00EC2325" w:rsidP="00EC2325" w:rsidRDefault="00EC2325" w14:paraId="441C39E9" w14:textId="488D61C8">
      <w:pPr>
        <w:pStyle w:val="NumberedBullet"/>
        <w:numPr>
          <w:ilvl w:val="0"/>
          <w:numId w:val="35"/>
        </w:numPr>
        <w:ind w:left="432" w:hanging="432"/>
      </w:pPr>
      <w:r w:rsidRPr="00B67A6B">
        <w:rPr>
          <w:b/>
        </w:rPr>
        <w:t xml:space="preserve">Program stakeholder </w:t>
      </w:r>
      <w:r>
        <w:rPr>
          <w:b/>
        </w:rPr>
        <w:t>interview protocol (telephone)</w:t>
      </w:r>
      <w:r w:rsidRPr="00B67A6B">
        <w:rPr>
          <w:b/>
        </w:rPr>
        <w:t xml:space="preserve">. </w:t>
      </w:r>
      <w:r>
        <w:t xml:space="preserve">This protocol will be used to conduct </w:t>
      </w:r>
      <w:r w:rsidRPr="00B67A6B">
        <w:t>telephone interviews with grantee managers, staff, and key members of the regional partnership. Th</w:t>
      </w:r>
      <w:r>
        <w:t xml:space="preserve">is protocol </w:t>
      </w:r>
      <w:r w:rsidRPr="00B67A6B">
        <w:t xml:space="preserve">will cover </w:t>
      </w:r>
      <w:r w:rsidRPr="00647968" w:rsidR="00647968">
        <w:t>community context, organization, and administrative structure; recruitment, enrollment, and participant characteristics; America’s Promise services; and alternative services, outcomes, and sustainability</w:t>
      </w:r>
      <w:r w:rsidR="00647968">
        <w:t xml:space="preserve">. </w:t>
      </w:r>
      <w:r>
        <w:t>T</w:t>
      </w:r>
      <w:r w:rsidRPr="00931AB6">
        <w:t>he telephone interview</w:t>
      </w:r>
      <w:r>
        <w:t>s</w:t>
      </w:r>
      <w:r w:rsidRPr="00931AB6">
        <w:t xml:space="preserve"> </w:t>
      </w:r>
      <w:r>
        <w:t>are</w:t>
      </w:r>
      <w:r w:rsidRPr="00931AB6">
        <w:t xml:space="preserve"> expected to take approximately </w:t>
      </w:r>
      <w:r>
        <w:t>120</w:t>
      </w:r>
      <w:r w:rsidRPr="00931AB6">
        <w:t xml:space="preserve"> minutes to complete</w:t>
      </w:r>
      <w:r>
        <w:t xml:space="preserve">. </w:t>
      </w:r>
      <w:r w:rsidRPr="00931AB6">
        <w:t xml:space="preserve"> </w:t>
      </w:r>
    </w:p>
    <w:p w:rsidR="008E1F00" w:rsidP="008E1F00" w:rsidRDefault="008E1F00" w14:paraId="198E9E5E" w14:textId="0011091F">
      <w:pPr>
        <w:pStyle w:val="NormalSS"/>
      </w:pPr>
      <w:r w:rsidRPr="00B67A6B">
        <w:t xml:space="preserve">Proposed uses for each data collection activity are described in Table A.1. </w:t>
      </w:r>
    </w:p>
    <w:p w:rsidR="000D0779" w:rsidP="008E1F00" w:rsidRDefault="008E1F00" w14:paraId="0F5E4641" w14:textId="77777777">
      <w:pPr>
        <w:pStyle w:val="MarkforTableTitle"/>
      </w:pPr>
      <w:r>
        <w:t>Table A.1. How data will be used, by data collection activity</w:t>
      </w:r>
    </w:p>
    <w:tbl>
      <w:tblPr>
        <w:tblStyle w:val="MPRBaseTable"/>
        <w:tblW w:w="5000" w:type="pct"/>
        <w:tblLook w:val="04A0" w:firstRow="1" w:lastRow="0" w:firstColumn="1" w:lastColumn="0" w:noHBand="0" w:noVBand="1"/>
      </w:tblPr>
      <w:tblGrid>
        <w:gridCol w:w="2304"/>
        <w:gridCol w:w="7056"/>
      </w:tblGrid>
      <w:tr w:rsidRPr="005B281E" w:rsidR="008E1F00" w:rsidTr="003F44C3" w14:paraId="5D1FC6F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1" w:type="pct"/>
          </w:tcPr>
          <w:p w:rsidRPr="008E1F00" w:rsidR="008E1F00" w:rsidP="008E1F00" w:rsidRDefault="008E1F00" w14:paraId="2EB9F7BE" w14:textId="77777777">
            <w:pPr>
              <w:pStyle w:val="TableHeaderLeft"/>
              <w:rPr>
                <w:b/>
              </w:rPr>
            </w:pPr>
            <w:r w:rsidRPr="008E1F00">
              <w:rPr>
                <w:b/>
              </w:rPr>
              <w:t>Data collection activity</w:t>
            </w:r>
          </w:p>
        </w:tc>
        <w:tc>
          <w:tcPr>
            <w:tcW w:w="3769" w:type="pct"/>
          </w:tcPr>
          <w:p w:rsidRPr="008E1F00" w:rsidR="008E1F00" w:rsidP="008E1F00" w:rsidRDefault="008E1F00" w14:paraId="2F61FC7B"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8E1F00">
              <w:rPr>
                <w:b/>
              </w:rPr>
              <w:t>How the data will be used</w:t>
            </w:r>
          </w:p>
        </w:tc>
      </w:tr>
      <w:tr w:rsidRPr="005B281E" w:rsidR="008E1F00" w:rsidTr="003F44C3" w14:paraId="23525D8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986786" w:rsidR="008E1F00" w:rsidP="003F44C3" w:rsidRDefault="003F44C3" w14:paraId="2720A1C3" w14:textId="2294ADC1">
            <w:pPr>
              <w:pStyle w:val="TableText"/>
              <w:spacing w:before="60" w:after="60"/>
              <w:ind w:left="360" w:hanging="360"/>
              <w:contextualSpacing w:val="0"/>
            </w:pPr>
            <w:r w:rsidRPr="00986786">
              <w:t>1.</w:t>
            </w:r>
            <w:r w:rsidRPr="00986786">
              <w:tab/>
            </w:r>
            <w:r w:rsidR="00095854">
              <w:t xml:space="preserve">Program stakeholder </w:t>
            </w:r>
            <w:r w:rsidRPr="00986786" w:rsidR="00986786">
              <w:t xml:space="preserve"> interviews</w:t>
            </w:r>
            <w:r w:rsidRPr="00986786" w:rsidR="008E1F00">
              <w:t xml:space="preserve"> </w:t>
            </w:r>
            <w:r w:rsidR="00EC2325">
              <w:t>(in-person)</w:t>
            </w:r>
          </w:p>
        </w:tc>
        <w:tc>
          <w:tcPr>
            <w:tcW w:w="3769" w:type="pct"/>
          </w:tcPr>
          <w:p w:rsidRPr="00986786" w:rsidR="008E1F00" w:rsidP="00BA512D" w:rsidRDefault="007A6226" w14:paraId="29EA79E0" w14:textId="0B98EB9D">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986786">
              <w:t>We</w:t>
            </w:r>
            <w:r w:rsidRPr="00986786" w:rsidR="008E1F00">
              <w:t xml:space="preserve"> will conduct</w:t>
            </w:r>
            <w:r w:rsidR="002863D7">
              <w:t xml:space="preserve"> in-person </w:t>
            </w:r>
            <w:r w:rsidRPr="00986786" w:rsidR="00986786">
              <w:t>interviews</w:t>
            </w:r>
            <w:r w:rsidRPr="00986786" w:rsidR="008E1F00">
              <w:t xml:space="preserve"> </w:t>
            </w:r>
            <w:r w:rsidR="00BA512D">
              <w:t xml:space="preserve">(if feasible) </w:t>
            </w:r>
            <w:r w:rsidR="002F3061">
              <w:t xml:space="preserve">with America’s Promise </w:t>
            </w:r>
            <w:r w:rsidR="00B324C5">
              <w:t>grantee</w:t>
            </w:r>
            <w:r w:rsidR="002F3061">
              <w:t xml:space="preserve"> and partner staff to describe </w:t>
            </w:r>
            <w:r w:rsidRPr="00393278" w:rsidR="00393278">
              <w:t xml:space="preserve">program structure, community context, recruitment and participant characteristics, service overview, alternative services available, </w:t>
            </w:r>
            <w:r w:rsidR="00BA512D">
              <w:t xml:space="preserve">changes the program made as a result of COVID-19, </w:t>
            </w:r>
            <w:r w:rsidRPr="00393278" w:rsidR="00393278">
              <w:t>outcomes and sustainability</w:t>
            </w:r>
            <w:r w:rsidRPr="00986786" w:rsidR="008E1F00">
              <w:t>.</w:t>
            </w:r>
          </w:p>
        </w:tc>
      </w:tr>
      <w:tr w:rsidRPr="005B281E" w:rsidR="008E1F00" w:rsidTr="003F44C3" w14:paraId="4C8DCD6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F3061" w:rsidR="008E1F00" w:rsidP="00986786" w:rsidRDefault="003F44C3" w14:paraId="29DA744F" w14:textId="11FB6CD1">
            <w:pPr>
              <w:pStyle w:val="TableText"/>
              <w:spacing w:before="60" w:after="60"/>
              <w:ind w:left="360" w:hanging="360"/>
              <w:contextualSpacing w:val="0"/>
            </w:pPr>
            <w:r w:rsidRPr="002F3061">
              <w:t>2.</w:t>
            </w:r>
            <w:r w:rsidRPr="002F3061">
              <w:tab/>
            </w:r>
            <w:r w:rsidRPr="002F3061" w:rsidR="00986786">
              <w:t>Employer interviews</w:t>
            </w:r>
          </w:p>
        </w:tc>
        <w:tc>
          <w:tcPr>
            <w:tcW w:w="3769" w:type="pct"/>
          </w:tcPr>
          <w:p w:rsidRPr="002F3061" w:rsidR="008E1F00" w:rsidP="00BA512D" w:rsidRDefault="002F3061" w14:paraId="3CACCEFE" w14:textId="2281765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986786">
              <w:t>We will conduct</w:t>
            </w:r>
            <w:r w:rsidR="002863D7">
              <w:t xml:space="preserve"> in-person </w:t>
            </w:r>
            <w:r w:rsidRPr="00986786">
              <w:t xml:space="preserve">interviews </w:t>
            </w:r>
            <w:r w:rsidR="00BA512D">
              <w:t xml:space="preserve">(if feasible) </w:t>
            </w:r>
            <w:r>
              <w:t xml:space="preserve">with employers to describe their role in </w:t>
            </w:r>
            <w:r w:rsidR="00B324C5">
              <w:t xml:space="preserve">service </w:t>
            </w:r>
            <w:r>
              <w:t>design and implementation, their perception of the quality and effectiveness of services, whether they hire or advance</w:t>
            </w:r>
            <w:r w:rsidR="00B324C5">
              <w:t xml:space="preserve"> </w:t>
            </w:r>
            <w:r>
              <w:t>participants, whether participants acquire the skills required to be successful</w:t>
            </w:r>
            <w:r w:rsidR="00BA512D">
              <w:t>, and whether their training needs or role in the program changed as a result of COVID-19</w:t>
            </w:r>
            <w:r w:rsidRPr="00986786">
              <w:t>.</w:t>
            </w:r>
          </w:p>
        </w:tc>
      </w:tr>
      <w:tr w:rsidRPr="005B281E" w:rsidR="00986786" w:rsidTr="003F44C3" w14:paraId="3A17574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863D7" w:rsidR="00986786" w:rsidRDefault="00986786" w14:paraId="37E44EEA" w14:textId="0CE68279">
            <w:pPr>
              <w:pStyle w:val="TableText"/>
              <w:spacing w:before="60" w:after="60"/>
              <w:ind w:left="360" w:hanging="360"/>
            </w:pPr>
            <w:r w:rsidRPr="002863D7">
              <w:t>3.</w:t>
            </w:r>
            <w:r w:rsidRPr="002863D7">
              <w:tab/>
              <w:t xml:space="preserve">Participant </w:t>
            </w:r>
            <w:r w:rsidR="00707ED3">
              <w:t>focus groups</w:t>
            </w:r>
          </w:p>
        </w:tc>
        <w:tc>
          <w:tcPr>
            <w:tcW w:w="3769" w:type="pct"/>
          </w:tcPr>
          <w:p w:rsidRPr="002863D7" w:rsidR="00986786" w:rsidRDefault="00986786" w14:paraId="4CB44066" w14:textId="091357E1">
            <w:pPr>
              <w:pStyle w:val="TableText"/>
              <w:spacing w:before="60" w:after="60"/>
              <w:cnfStyle w:val="000000100000" w:firstRow="0" w:lastRow="0" w:firstColumn="0" w:lastColumn="0" w:oddVBand="0" w:evenVBand="0" w:oddHBand="1" w:evenHBand="0" w:firstRowFirstColumn="0" w:firstRowLastColumn="0" w:lastRowFirstColumn="0" w:lastRowLastColumn="0"/>
            </w:pPr>
            <w:r w:rsidRPr="002863D7">
              <w:t xml:space="preserve">We will conduct </w:t>
            </w:r>
            <w:r w:rsidR="002863D7">
              <w:t xml:space="preserve">in-person </w:t>
            </w:r>
            <w:r w:rsidR="00707ED3">
              <w:t>focus groups</w:t>
            </w:r>
            <w:r w:rsidRPr="002863D7" w:rsidR="00896C83">
              <w:t xml:space="preserve"> with</w:t>
            </w:r>
            <w:r w:rsidRPr="002863D7">
              <w:t xml:space="preserve"> a subset of</w:t>
            </w:r>
            <w:r w:rsidRPr="002863D7" w:rsidR="00896C83">
              <w:t xml:space="preserve"> participants </w:t>
            </w:r>
            <w:r w:rsidRPr="002863D7">
              <w:t xml:space="preserve">to describe </w:t>
            </w:r>
            <w:r w:rsidRPr="002863D7" w:rsidR="00896C83">
              <w:t xml:space="preserve">participant </w:t>
            </w:r>
            <w:r w:rsidRPr="002863D7" w:rsidR="002863D7">
              <w:t>characteristics, reasons for seeking services, experiences with America’s Promise, and outcomes after participating.</w:t>
            </w:r>
          </w:p>
        </w:tc>
      </w:tr>
      <w:tr w:rsidRPr="005B281E" w:rsidR="00857D21" w:rsidTr="003F44C3" w14:paraId="3687E36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863D7" w:rsidR="00857D21" w:rsidP="00857D21" w:rsidRDefault="00857D21" w14:paraId="16066B17" w14:textId="73C852D6">
            <w:pPr>
              <w:pStyle w:val="TableText"/>
              <w:spacing w:before="60" w:after="60"/>
              <w:ind w:left="360" w:hanging="360"/>
            </w:pPr>
            <w:r>
              <w:t>4</w:t>
            </w:r>
            <w:r w:rsidRPr="002863D7">
              <w:t>.</w:t>
            </w:r>
            <w:r w:rsidRPr="002863D7">
              <w:tab/>
              <w:t xml:space="preserve">Participant </w:t>
            </w:r>
            <w:r>
              <w:t>focus group information form</w:t>
            </w:r>
          </w:p>
        </w:tc>
        <w:tc>
          <w:tcPr>
            <w:tcW w:w="3769" w:type="pct"/>
          </w:tcPr>
          <w:p w:rsidRPr="002863D7" w:rsidR="00857D21" w:rsidRDefault="00857D21" w14:paraId="0F471F49" w14:textId="782D1285">
            <w:pPr>
              <w:pStyle w:val="TableText"/>
              <w:spacing w:before="60" w:after="60"/>
              <w:cnfStyle w:val="000000010000" w:firstRow="0" w:lastRow="0" w:firstColumn="0" w:lastColumn="0" w:oddVBand="0" w:evenVBand="0" w:oddHBand="0" w:evenHBand="1" w:firstRowFirstColumn="0" w:firstRowLastColumn="0" w:lastRowFirstColumn="0" w:lastRowLastColumn="0"/>
            </w:pPr>
            <w:r w:rsidRPr="002863D7">
              <w:t xml:space="preserve">We will </w:t>
            </w:r>
            <w:r>
              <w:t xml:space="preserve">administer the information form to </w:t>
            </w:r>
            <w:r w:rsidRPr="002863D7">
              <w:t xml:space="preserve">describe </w:t>
            </w:r>
            <w:r>
              <w:t>characteristics of the population participating in the focus groups.</w:t>
            </w:r>
          </w:p>
        </w:tc>
      </w:tr>
      <w:tr w:rsidRPr="005B281E" w:rsidR="00EC2325" w:rsidTr="003F44C3" w14:paraId="07E8D2A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00EC2325" w:rsidP="00EC2325" w:rsidRDefault="00EC2325" w14:paraId="1A8A4A03" w14:textId="3CDA7B5D">
            <w:pPr>
              <w:pStyle w:val="TableText"/>
              <w:spacing w:before="60" w:after="60"/>
              <w:ind w:left="360" w:hanging="360"/>
            </w:pPr>
            <w:r>
              <w:t>5</w:t>
            </w:r>
            <w:r w:rsidRPr="00986786">
              <w:t>.</w:t>
            </w:r>
            <w:r w:rsidRPr="00986786">
              <w:tab/>
            </w:r>
            <w:r>
              <w:t xml:space="preserve">Program stakeholder </w:t>
            </w:r>
            <w:r w:rsidRPr="00986786">
              <w:t xml:space="preserve"> interviews </w:t>
            </w:r>
            <w:r>
              <w:t>(telephone)</w:t>
            </w:r>
          </w:p>
        </w:tc>
        <w:tc>
          <w:tcPr>
            <w:tcW w:w="3769" w:type="pct"/>
          </w:tcPr>
          <w:p w:rsidRPr="002863D7" w:rsidR="00EC2325" w:rsidRDefault="00EC2325" w14:paraId="4646098A" w14:textId="1BD7560C">
            <w:pPr>
              <w:pStyle w:val="TableText"/>
              <w:spacing w:before="60" w:after="60"/>
              <w:cnfStyle w:val="000000100000" w:firstRow="0" w:lastRow="0" w:firstColumn="0" w:lastColumn="0" w:oddVBand="0" w:evenVBand="0" w:oddHBand="1" w:evenHBand="0" w:firstRowFirstColumn="0" w:firstRowLastColumn="0" w:lastRowFirstColumn="0" w:lastRowLastColumn="0"/>
            </w:pPr>
            <w:r w:rsidRPr="00986786">
              <w:t>We will conduct</w:t>
            </w:r>
            <w:r>
              <w:t xml:space="preserve"> telephone</w:t>
            </w:r>
            <w:r w:rsidRPr="00986786">
              <w:t xml:space="preserve"> interviews </w:t>
            </w:r>
            <w:r>
              <w:t xml:space="preserve">with America’s Promise grantee and partner staff to describe </w:t>
            </w:r>
            <w:r w:rsidRPr="00647968" w:rsidR="00647968">
              <w:t>community context, organization, and administrative structure; recruitment, enrollment, and participant characteristics; America’s Promise services; and alternative services, outcomes, and sustainabilit</w:t>
            </w:r>
            <w:r w:rsidR="00647968">
              <w:t>y</w:t>
            </w:r>
            <w:r w:rsidRPr="00986786">
              <w:t>.</w:t>
            </w:r>
          </w:p>
        </w:tc>
      </w:tr>
    </w:tbl>
    <w:p w:rsidR="00C046EB" w:rsidP="00C046EB" w:rsidRDefault="00C046EB" w14:paraId="1E04CEE3" w14:textId="0EC1EDA3">
      <w:pPr>
        <w:pStyle w:val="NormalSS"/>
      </w:pPr>
      <w:bookmarkStart w:name="_Toc496104735" w:id="3"/>
    </w:p>
    <w:p w:rsidR="003F44C3" w:rsidP="005C45D4" w:rsidRDefault="003F44C3" w14:paraId="414D334B" w14:textId="5CBD7B3B">
      <w:pPr>
        <w:pStyle w:val="H3Alpha"/>
        <w:ind w:left="0" w:firstLine="0"/>
      </w:pPr>
      <w:r>
        <w:t xml:space="preserve">3. </w:t>
      </w:r>
      <w:r w:rsidRPr="00946B48" w:rsidR="002D7F1C">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871FB8">
        <w:rPr>
          <w:rFonts w:ascii="Times New Roman" w:hAnsi="Times New Roman"/>
          <w:i/>
        </w:rPr>
        <w:t xml:space="preserve">ting this means of collection. </w:t>
      </w:r>
      <w:r w:rsidRPr="00946B48" w:rsidR="002D7F1C">
        <w:rPr>
          <w:rFonts w:ascii="Times New Roman" w:hAnsi="Times New Roman"/>
          <w:i/>
        </w:rPr>
        <w:t>Also describe any consideration of using information technology to reduce burden.</w:t>
      </w:r>
      <w:bookmarkEnd w:id="3"/>
    </w:p>
    <w:p w:rsidRPr="00B61EED" w:rsidR="002863D7" w:rsidP="002863D7" w:rsidRDefault="00583CD1" w14:paraId="6832CE46" w14:textId="1CC71AEE">
      <w:pPr>
        <w:pStyle w:val="NormalSS"/>
      </w:pPr>
      <w:bookmarkStart w:name="_Toc496104736" w:id="4"/>
      <w:r>
        <w:t xml:space="preserve">The evaluation team will primarily use email to help facilitate the logistics and scheduling of the site visits and interviews to reduce the burden on participants. </w:t>
      </w:r>
      <w:r w:rsidR="002863D7">
        <w:t>Site visitors for the</w:t>
      </w:r>
      <w:r w:rsidR="00785B52">
        <w:t xml:space="preserve"> evaluation of</w:t>
      </w:r>
      <w:r w:rsidR="002863D7">
        <w:t xml:space="preserve"> America’s Promise will use electronic audio recorders to record the semi-structured interviews. This will allow the visitors to conduct interviews in the shortest amount of time possible, as they will not be required to use interview time to take notes on the content of the conversation. There will be no other information technology used by site visitors. </w:t>
      </w:r>
    </w:p>
    <w:p w:rsidR="003F44C3" w:rsidP="005C45D4" w:rsidRDefault="003F44C3" w14:paraId="2524D3E5" w14:textId="78EF0741">
      <w:pPr>
        <w:pStyle w:val="H3Alpha"/>
        <w:ind w:left="0" w:firstLine="0"/>
      </w:pPr>
      <w:r>
        <w:t xml:space="preserve">4. </w:t>
      </w:r>
      <w:r w:rsidRPr="00946B48" w:rsidR="002D7F1C">
        <w:rPr>
          <w:rFonts w:ascii="Times New Roman" w:hAnsi="Times New Roman"/>
          <w:i/>
        </w:rPr>
        <w:t>Describe efforts to identify duplication. Show specifically why any similar information already available cannot be used or modified for use for the purposes described in Item 2 above.</w:t>
      </w:r>
      <w:bookmarkEnd w:id="4"/>
    </w:p>
    <w:p w:rsidR="003F44C3" w:rsidP="003F44C3" w:rsidRDefault="003F44C3" w14:paraId="10E1B749" w14:textId="1F51340D">
      <w:pPr>
        <w:pStyle w:val="NormalSS"/>
      </w:pPr>
      <w:r>
        <w:t>The evaluation</w:t>
      </w:r>
      <w:r w:rsidR="00785B52">
        <w:t xml:space="preserve"> of America’s Promise</w:t>
      </w:r>
      <w:r>
        <w:t xml:space="preserve"> will not require collection of information that is available through alternate sources. For example, </w:t>
      </w:r>
      <w:r w:rsidR="00BC5EAE">
        <w:t xml:space="preserve">the </w:t>
      </w:r>
      <w:r w:rsidR="00AF7247">
        <w:t>evaluation</w:t>
      </w:r>
      <w:r w:rsidR="00BC5EAE">
        <w:t xml:space="preserve"> </w:t>
      </w:r>
      <w:r>
        <w:t xml:space="preserve">will use available information from grantee applications and existing administrative data sets to ensure that </w:t>
      </w:r>
      <w:r w:rsidR="00BC5EAE">
        <w:t xml:space="preserve">data collected </w:t>
      </w:r>
      <w:r>
        <w:t xml:space="preserve">through </w:t>
      </w:r>
      <w:r w:rsidR="00AB34B8">
        <w:t xml:space="preserve">interview and focus groups </w:t>
      </w:r>
      <w:r w:rsidR="00031F73">
        <w:t xml:space="preserve">are </w:t>
      </w:r>
      <w:r w:rsidR="00AB34B8">
        <w:t>not available elsewhere</w:t>
      </w:r>
      <w:r w:rsidR="00B03384">
        <w:t>.</w:t>
      </w:r>
    </w:p>
    <w:p w:rsidR="003F44C3" w:rsidP="005C45D4" w:rsidRDefault="003F44C3" w14:paraId="3E411CBF" w14:textId="422FD6F5">
      <w:pPr>
        <w:pStyle w:val="H3Alpha"/>
        <w:ind w:left="0" w:firstLine="0"/>
      </w:pPr>
      <w:bookmarkStart w:name="_Toc496104737" w:id="5"/>
      <w:r>
        <w:t xml:space="preserve">5. </w:t>
      </w:r>
      <w:r w:rsidRPr="00946B48" w:rsidR="002D7F1C">
        <w:rPr>
          <w:rFonts w:ascii="Times New Roman" w:hAnsi="Times New Roman"/>
          <w:i/>
        </w:rPr>
        <w:t>If the collection of information impacts small businesses or other small entities, describe any methods used to minimize burden.</w:t>
      </w:r>
      <w:bookmarkEnd w:id="5"/>
    </w:p>
    <w:p w:rsidR="003F44C3" w:rsidP="003F44C3" w:rsidRDefault="00AB11A2" w14:paraId="62F8B230" w14:textId="14B0D93E">
      <w:pPr>
        <w:pStyle w:val="NormalSS"/>
      </w:pPr>
      <w:r>
        <w:t>Interviews could be conducted with</w:t>
      </w:r>
      <w:r w:rsidR="00564491">
        <w:t xml:space="preserve"> employers </w:t>
      </w:r>
      <w:r>
        <w:t>or program stakeholders</w:t>
      </w:r>
      <w:r w:rsidR="00293AC3">
        <w:t xml:space="preserve"> </w:t>
      </w:r>
      <w:r w:rsidR="00283CBE">
        <w:t>from</w:t>
      </w:r>
      <w:r w:rsidR="00564491">
        <w:t xml:space="preserve"> </w:t>
      </w:r>
      <w:r w:rsidR="003F44C3">
        <w:t xml:space="preserve">small </w:t>
      </w:r>
      <w:r w:rsidR="00B03384">
        <w:t xml:space="preserve">businesses or other small entities. </w:t>
      </w:r>
      <w:r w:rsidR="002A1D82">
        <w:t>We</w:t>
      </w:r>
      <w:r w:rsidR="00C03BFC">
        <w:t xml:space="preserve"> </w:t>
      </w:r>
      <w:r w:rsidR="003F44C3">
        <w:t>will only request information required for the intended use and minimize burden by restricting the length of</w:t>
      </w:r>
      <w:r w:rsidR="00564491">
        <w:t xml:space="preserve"> interviews </w:t>
      </w:r>
      <w:r w:rsidR="003F44C3">
        <w:t>to the minimum required</w:t>
      </w:r>
      <w:r w:rsidR="00283CBE">
        <w:t xml:space="preserve"> time</w:t>
      </w:r>
      <w:r w:rsidR="003F44C3">
        <w:t>.</w:t>
      </w:r>
    </w:p>
    <w:p w:rsidR="003F44C3" w:rsidP="005C45D4" w:rsidRDefault="003F44C3" w14:paraId="79D8BD5E" w14:textId="347B3988">
      <w:pPr>
        <w:pStyle w:val="H3Alpha"/>
        <w:ind w:left="0" w:firstLine="0"/>
      </w:pPr>
      <w:bookmarkStart w:name="_Toc496104738" w:id="6"/>
      <w:r>
        <w:t xml:space="preserve">6. </w:t>
      </w:r>
      <w:r w:rsidRPr="00946B48" w:rsidR="002D7F1C">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6"/>
    </w:p>
    <w:p w:rsidR="00A2291C" w:rsidP="00A2291C" w:rsidRDefault="00C2151E" w14:paraId="1483DB6E" w14:textId="166C9449">
      <w:pPr>
        <w:pStyle w:val="NormalSS"/>
      </w:pPr>
      <w:r>
        <w:t>If the in-person and telephone interview</w:t>
      </w:r>
      <w:r w:rsidR="00CB1511">
        <w:t>s</w:t>
      </w:r>
      <w:r>
        <w:t xml:space="preserve"> are not conducted</w:t>
      </w:r>
      <w:r w:rsidR="003F44C3">
        <w:t xml:space="preserve">, DOL and other stakeholders will not have the information necessary to </w:t>
      </w:r>
      <w:r w:rsidR="0080183F">
        <w:t>answer key</w:t>
      </w:r>
      <w:r w:rsidR="0045560A">
        <w:t xml:space="preserve"> research questions of the </w:t>
      </w:r>
      <w:r w:rsidR="005A0972">
        <w:t>evaluation.</w:t>
      </w:r>
      <w:r w:rsidR="00F2675A">
        <w:t xml:space="preserve"> </w:t>
      </w:r>
      <w:r w:rsidRPr="00F2675A" w:rsidR="00F2675A">
        <w:t>Without collecting the information specified in the site visit and telephone interviews, a comprehensive implementation analysis of America’s Promise could not occur. This would prevent information being provided to policymakers about the context in which the partnerships and programs operate</w:t>
      </w:r>
      <w:r w:rsidR="00CB0699">
        <w:t>d</w:t>
      </w:r>
      <w:r w:rsidR="000A484D">
        <w:t xml:space="preserve"> (both before and during the pandemic)</w:t>
      </w:r>
      <w:r w:rsidRPr="00F2675A" w:rsidR="00F2675A">
        <w:t xml:space="preserve">, any operational challenges faced by grantees and partners, how the partnerships and services </w:t>
      </w:r>
      <w:r w:rsidRPr="00F2675A" w:rsidR="00CB0699">
        <w:t>evolve</w:t>
      </w:r>
      <w:r w:rsidR="00CB0699">
        <w:t xml:space="preserve">d </w:t>
      </w:r>
      <w:r w:rsidRPr="00F2675A" w:rsidR="00F2675A">
        <w:t>over time</w:t>
      </w:r>
      <w:r w:rsidR="000A484D">
        <w:t>, how grantees adapted during the pandemic</w:t>
      </w:r>
      <w:r w:rsidR="006527B6">
        <w:t xml:space="preserve">, whether the approaches were effective and </w:t>
      </w:r>
      <w:r w:rsidR="0036189F">
        <w:t>implications for interpreting results</w:t>
      </w:r>
      <w:r w:rsidR="00BA512D">
        <w:t xml:space="preserve"> (particularly </w:t>
      </w:r>
      <w:r w:rsidR="000A484D">
        <w:t>as the evaluation will measure participant outcomes at time periods covering both before and during the pandemic)</w:t>
      </w:r>
      <w:r w:rsidR="0036189F">
        <w:t xml:space="preserve">, or implications for program improvement </w:t>
      </w:r>
      <w:r w:rsidR="006527B6">
        <w:t>based on evidence obtained through the evaluation</w:t>
      </w:r>
      <w:r w:rsidR="000A484D">
        <w:t xml:space="preserve"> – particularly those being funded in the next several months</w:t>
      </w:r>
      <w:r w:rsidRPr="00F2675A" w:rsidR="00F2675A">
        <w:t>.</w:t>
      </w:r>
      <w:r w:rsidR="005A0972">
        <w:t xml:space="preserve"> </w:t>
      </w:r>
    </w:p>
    <w:p w:rsidR="003F44C3" w:rsidP="005C45D4" w:rsidRDefault="003F44C3" w14:paraId="26C4D3A1" w14:textId="07D192E0">
      <w:pPr>
        <w:pStyle w:val="H3Alpha"/>
        <w:ind w:left="0" w:firstLine="0"/>
        <w:rPr>
          <w:rFonts w:ascii="Times New Roman" w:hAnsi="Times New Roman"/>
          <w:i/>
        </w:rPr>
      </w:pPr>
      <w:bookmarkStart w:name="_Toc496104739" w:id="7"/>
      <w:r>
        <w:t xml:space="preserve">7. </w:t>
      </w:r>
      <w:r w:rsidRPr="00946B48" w:rsidR="002D7F1C">
        <w:rPr>
          <w:rFonts w:ascii="Times New Roman" w:hAnsi="Times New Roman"/>
          <w:i/>
        </w:rPr>
        <w:t>Explain any special circumstances that would cause an information collection to be conducted in a manner:</w:t>
      </w:r>
      <w:bookmarkEnd w:id="7"/>
    </w:p>
    <w:p w:rsidRPr="00B31391" w:rsidR="003D046E" w:rsidP="003D046E" w:rsidRDefault="003D046E" w14:paraId="3CF0521C" w14:textId="77777777">
      <w:pPr>
        <w:pStyle w:val="NormalSS"/>
        <w:rPr>
          <w:i/>
        </w:rPr>
      </w:pPr>
      <w:r w:rsidRPr="00B31391">
        <w:rPr>
          <w:i/>
        </w:rPr>
        <w:t xml:space="preserve">* Requiring respondents to report information to the agency more often than quarterly; </w:t>
      </w:r>
    </w:p>
    <w:p w:rsidRPr="00B31391" w:rsidR="003D046E" w:rsidP="003D046E" w:rsidRDefault="003D046E" w14:paraId="6A8AE1EC" w14:textId="77777777">
      <w:pPr>
        <w:pStyle w:val="NormalSS"/>
        <w:rPr>
          <w:i/>
        </w:rPr>
      </w:pPr>
      <w:r w:rsidRPr="00B31391">
        <w:rPr>
          <w:i/>
        </w:rPr>
        <w:t xml:space="preserve">* Requiring respondents to prepare a written response to a collection of information in fewer than 30 days after receipt of it; </w:t>
      </w:r>
    </w:p>
    <w:p w:rsidRPr="00B31391" w:rsidR="003D046E" w:rsidP="003D046E" w:rsidRDefault="003D046E" w14:paraId="6D0A0E32" w14:textId="77777777">
      <w:pPr>
        <w:pStyle w:val="NormalSS"/>
        <w:rPr>
          <w:i/>
        </w:rPr>
      </w:pPr>
      <w:r w:rsidRPr="00B31391">
        <w:rPr>
          <w:i/>
        </w:rPr>
        <w:t xml:space="preserve">* Requiring respondents to submit more than an original and two copies of any document; </w:t>
      </w:r>
    </w:p>
    <w:p w:rsidRPr="00B31391" w:rsidR="003D046E" w:rsidP="003D046E" w:rsidRDefault="003D046E" w14:paraId="35CF90D8" w14:textId="77777777">
      <w:pPr>
        <w:pStyle w:val="NormalSS"/>
        <w:rPr>
          <w:i/>
        </w:rPr>
      </w:pPr>
      <w:r w:rsidRPr="00B31391">
        <w:rPr>
          <w:i/>
        </w:rPr>
        <w:t xml:space="preserve">* Requiring respondents to retain records, other than health, medical, government contract, grant-in-aid, or tax records, for more than three years; </w:t>
      </w:r>
    </w:p>
    <w:p w:rsidRPr="00B31391" w:rsidR="003D046E" w:rsidP="003D046E" w:rsidRDefault="003D046E" w14:paraId="76F491E5" w14:textId="77777777">
      <w:pPr>
        <w:pStyle w:val="NormalSS"/>
        <w:rPr>
          <w:i/>
        </w:rPr>
      </w:pPr>
      <w:r w:rsidRPr="00B31391">
        <w:rPr>
          <w:i/>
        </w:rPr>
        <w:t xml:space="preserve">* In connection with a statistical survey, that is not designed to produce valid and reliable results that can be generalized to the universe of study; </w:t>
      </w:r>
    </w:p>
    <w:p w:rsidRPr="00B31391" w:rsidR="003D046E" w:rsidP="003D046E" w:rsidRDefault="003D046E" w14:paraId="1F8DFFD2" w14:textId="77777777">
      <w:pPr>
        <w:pStyle w:val="NormalSS"/>
        <w:rPr>
          <w:i/>
        </w:rPr>
      </w:pPr>
      <w:r w:rsidRPr="00B31391">
        <w:rPr>
          <w:i/>
        </w:rPr>
        <w:t xml:space="preserve">* Requiring the use of a statistical data classification that has not been reviewed and approved by OMB; </w:t>
      </w:r>
    </w:p>
    <w:p w:rsidRPr="00B31391" w:rsidR="003D046E" w:rsidP="003D046E" w:rsidRDefault="003D046E" w14:paraId="259BD80F" w14:textId="77777777">
      <w:pPr>
        <w:pStyle w:val="NormalSS"/>
        <w:rPr>
          <w:i/>
        </w:rPr>
      </w:pPr>
      <w:r w:rsidRPr="00B31391">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31391" w:rsidR="003D046E" w:rsidP="00B31391" w:rsidRDefault="003D046E" w14:paraId="65687164" w14:textId="66BC76D6">
      <w:pPr>
        <w:pStyle w:val="NormalSS"/>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p w:rsidR="003F44C3" w:rsidP="003F44C3" w:rsidRDefault="003F44C3" w14:paraId="67F78E4B" w14:textId="77777777">
      <w:pPr>
        <w:pStyle w:val="NormalSS"/>
      </w:pPr>
      <w:r>
        <w:t>No special circumstances apply to this data collection.</w:t>
      </w:r>
    </w:p>
    <w:p w:rsidRPr="005C45D4" w:rsidR="005455E1" w:rsidP="005C45D4" w:rsidRDefault="003F44C3" w14:paraId="2673F2A5" w14:textId="638AE54E">
      <w:pPr>
        <w:pStyle w:val="H3Alpha"/>
        <w:ind w:left="0" w:firstLine="0"/>
        <w:rPr>
          <w:i/>
        </w:rPr>
      </w:pPr>
      <w:bookmarkStart w:name="_Toc496104740" w:id="8"/>
      <w:r>
        <w:t>8.</w:t>
      </w:r>
      <w:r w:rsidR="00871FB8">
        <w:t xml:space="preserve"> </w:t>
      </w:r>
      <w:bookmarkStart w:name="_Toc496104741" w:id="9"/>
      <w:bookmarkEnd w:id="8"/>
      <w:r w:rsidRPr="005C45D4" w:rsidR="005455E1">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bookmarkEnd w:id="9"/>
    <w:p w:rsidR="003F44C3" w:rsidP="003F44C3" w:rsidRDefault="003F44C3" w14:paraId="76916EBC" w14:textId="235C5FA6">
      <w:pPr>
        <w:pStyle w:val="NormalSS"/>
      </w:pPr>
      <w:r>
        <w:t xml:space="preserve">A 60-day notice to solicit public comments was published in the </w:t>
      </w:r>
      <w:r w:rsidRPr="003F44C3">
        <w:rPr>
          <w:i/>
        </w:rPr>
        <w:t>Federal Register</w:t>
      </w:r>
      <w:r>
        <w:t xml:space="preserve">, </w:t>
      </w:r>
      <w:r w:rsidRPr="00DB7515" w:rsidR="003F597A">
        <w:t>8</w:t>
      </w:r>
      <w:r w:rsidR="003F597A">
        <w:t>3</w:t>
      </w:r>
      <w:r w:rsidRPr="00DB7515" w:rsidR="003F597A">
        <w:t xml:space="preserve"> </w:t>
      </w:r>
      <w:r w:rsidRPr="00DB7515" w:rsidR="00DB7515">
        <w:t xml:space="preserve">FR </w:t>
      </w:r>
      <w:r w:rsidRPr="003F597A" w:rsidR="003F597A">
        <w:t>54943</w:t>
      </w:r>
      <w:r w:rsidR="007A6226">
        <w:t xml:space="preserve"> </w:t>
      </w:r>
      <w:r>
        <w:t>on</w:t>
      </w:r>
      <w:r w:rsidR="00931AB6">
        <w:t xml:space="preserve"> </w:t>
      </w:r>
      <w:r w:rsidR="00C42903">
        <w:t>November 1, 2018</w:t>
      </w:r>
      <w:r w:rsidR="005830B5">
        <w:t xml:space="preserve"> (title correction was published on 83 FR 55561 on November 6, 2018). </w:t>
      </w:r>
      <w:r w:rsidR="005E210F">
        <w:t>One comment was received.</w:t>
      </w:r>
      <w:r w:rsidR="00C03BFC">
        <w:t xml:space="preserve"> It suggested that the program was ineffective and costly, but </w:t>
      </w:r>
      <w:r w:rsidR="00234A99">
        <w:t xml:space="preserve">no </w:t>
      </w:r>
      <w:r w:rsidR="00884EED">
        <w:t>evidence was provided in support of th</w:t>
      </w:r>
      <w:r w:rsidR="00C03BFC">
        <w:t>e</w:t>
      </w:r>
      <w:r w:rsidR="00884EED">
        <w:t xml:space="preserve"> </w:t>
      </w:r>
      <w:r w:rsidR="001C0F00">
        <w:t>statement</w:t>
      </w:r>
      <w:r w:rsidR="00884EED">
        <w:t xml:space="preserve">. </w:t>
      </w:r>
      <w:r w:rsidR="00C03BFC">
        <w:t xml:space="preserve">DOL acknowledged receipt of the comment. </w:t>
      </w:r>
      <w:r w:rsidR="004A05A7">
        <w:t>In fact, t</w:t>
      </w:r>
      <w:r w:rsidR="00884EED">
        <w:t xml:space="preserve">he purpose of this </w:t>
      </w:r>
      <w:r w:rsidR="00AF7247">
        <w:t>evaluation</w:t>
      </w:r>
      <w:r w:rsidR="00884EED">
        <w:t xml:space="preserve"> is to provide evidence </w:t>
      </w:r>
      <w:r w:rsidR="001C0F00">
        <w:t>as to the effectiveness of the program and understand strategies to support on-going program improvements.</w:t>
      </w:r>
      <w:r w:rsidR="00884EED">
        <w:t xml:space="preserve">  </w:t>
      </w:r>
    </w:p>
    <w:p w:rsidRPr="00946B48" w:rsidR="005455E1" w:rsidP="005C45D4" w:rsidRDefault="005455E1" w14:paraId="19C05BAB" w14:textId="56290FA7">
      <w:pPr>
        <w:spacing w:line="240" w:lineRule="auto"/>
        <w:rPr>
          <w:i/>
        </w:rPr>
      </w:pPr>
      <w:bookmarkStart w:name="_Toc496104742" w:id="10"/>
      <w:r w:rsidRPr="00946B48">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46B48" w:rsidR="005455E1" w:rsidP="005C45D4" w:rsidRDefault="005455E1" w14:paraId="03897482" w14:textId="77777777">
      <w:pPr>
        <w:spacing w:line="240" w:lineRule="auto"/>
        <w:rPr>
          <w:i/>
        </w:rPr>
      </w:pPr>
    </w:p>
    <w:p w:rsidR="005455E1" w:rsidP="005C45D4" w:rsidRDefault="005455E1" w14:paraId="4B475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sidRPr="00946B4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0"/>
    <w:p w:rsidR="003F44C3" w:rsidP="003F44C3" w:rsidRDefault="003F44C3" w14:paraId="4452208D" w14:textId="3D9DBD78">
      <w:pPr>
        <w:pStyle w:val="H4Number"/>
      </w:pPr>
    </w:p>
    <w:p w:rsidR="003F44C3" w:rsidP="003F44C3" w:rsidRDefault="003F44C3" w14:paraId="28264217" w14:textId="4617ACA7">
      <w:pPr>
        <w:pStyle w:val="NormalSS"/>
      </w:pPr>
      <w:r>
        <w:t xml:space="preserve">Consultation on the research design and data needs </w:t>
      </w:r>
      <w:r w:rsidR="001C0F00">
        <w:t>is being</w:t>
      </w:r>
      <w:r w:rsidR="00173AAA">
        <w:t xml:space="preserve"> coordinated by the </w:t>
      </w:r>
      <w:r w:rsidR="00AF7247">
        <w:t>evaluation</w:t>
      </w:r>
      <w:r w:rsidR="00173AAA">
        <w:t xml:space="preserve"> team and </w:t>
      </w:r>
      <w:r w:rsidR="0024609D">
        <w:t>involve</w:t>
      </w:r>
      <w:r w:rsidR="001C0F00">
        <w:t>s</w:t>
      </w:r>
      <w:r w:rsidR="0024609D">
        <w:t xml:space="preserve"> discussions with experts </w:t>
      </w:r>
      <w:r w:rsidR="004A05A7">
        <w:t xml:space="preserve">and site-level </w:t>
      </w:r>
      <w:r w:rsidR="00173AAA">
        <w:t>program staff</w:t>
      </w:r>
      <w:r w:rsidR="001C0F00">
        <w:t xml:space="preserve">. </w:t>
      </w:r>
      <w:r>
        <w:t xml:space="preserve">The purpose of consultation </w:t>
      </w:r>
      <w:r w:rsidR="00173AAA">
        <w:t xml:space="preserve">with outside experts </w:t>
      </w:r>
      <w:r w:rsidR="006A2735">
        <w:t>i</w:t>
      </w:r>
      <w:r w:rsidR="00173AAA">
        <w:t>s</w:t>
      </w:r>
      <w:r>
        <w:t xml:space="preserve"> to ensure the technical soundness of the </w:t>
      </w:r>
      <w:r w:rsidR="00AF7247">
        <w:t>evaluation</w:t>
      </w:r>
      <w:r>
        <w:t xml:space="preserve"> and the relevance of </w:t>
      </w:r>
      <w:r w:rsidR="00AF7247">
        <w:t>evaluation</w:t>
      </w:r>
      <w:r>
        <w:t xml:space="preserve"> findings and to verify the importance, relevance, and accessibility of the information sought in the </w:t>
      </w:r>
      <w:r w:rsidR="00AF7247">
        <w:t>evaluation</w:t>
      </w:r>
      <w:r>
        <w:t>.</w:t>
      </w:r>
      <w:r w:rsidR="00173AAA">
        <w:t xml:space="preserve"> </w:t>
      </w:r>
      <w:r w:rsidRPr="00EA0518" w:rsidR="00EA0518">
        <w:t>The</w:t>
      </w:r>
      <w:r w:rsidR="00EA0518">
        <w:t>se</w:t>
      </w:r>
      <w:r w:rsidRPr="00EA0518" w:rsidR="00EA0518">
        <w:t xml:space="preserve"> experts </w:t>
      </w:r>
      <w:r w:rsidR="00EA0518">
        <w:t xml:space="preserve">participating in the evaluation technical working group </w:t>
      </w:r>
      <w:r w:rsidRPr="00EA0518" w:rsidR="00EA0518">
        <w:t>are listed in Table A.2</w:t>
      </w:r>
      <w:r w:rsidR="00EA0518">
        <w:t xml:space="preserve">. </w:t>
      </w:r>
      <w:r w:rsidR="00173AAA">
        <w:t>The purpose of the consultation with program staff was to better understand the feasibility of the research design</w:t>
      </w:r>
      <w:r w:rsidR="001C0F00">
        <w:t xml:space="preserve"> within the regional context of grantees</w:t>
      </w:r>
      <w:r w:rsidR="00173AAA">
        <w:t>.</w:t>
      </w:r>
    </w:p>
    <w:p w:rsidRPr="00EA0518" w:rsidR="00EA0518" w:rsidP="006A2735" w:rsidRDefault="00EA0518" w14:paraId="67369FA8" w14:textId="67E6B06E">
      <w:pPr>
        <w:pStyle w:val="MarkforTableTitle"/>
      </w:pPr>
      <w:r w:rsidRPr="00EA0518">
        <w:t>Table A.</w:t>
      </w:r>
      <w:r>
        <w:t>2</w:t>
      </w:r>
      <w:r w:rsidRPr="00EA0518">
        <w:t xml:space="preserve">. </w:t>
      </w:r>
      <w:r>
        <w:t>Individuals providing consultation on America’</w:t>
      </w:r>
      <w:r w:rsidR="00770B61">
        <w:t>s</w:t>
      </w:r>
      <w:r>
        <w:t xml:space="preserve"> Promise evaluation design</w:t>
      </w:r>
    </w:p>
    <w:tbl>
      <w:tblPr>
        <w:tblStyle w:val="MPRBaseTable"/>
        <w:tblW w:w="4952" w:type="pct"/>
        <w:tblBorders>
          <w:top w:val="single" w:color="auto" w:sz="4" w:space="0"/>
        </w:tblBorders>
        <w:tblLook w:val="04A0" w:firstRow="1" w:lastRow="0" w:firstColumn="1" w:lastColumn="0" w:noHBand="0" w:noVBand="1"/>
      </w:tblPr>
      <w:tblGrid>
        <w:gridCol w:w="9270"/>
      </w:tblGrid>
      <w:tr w:rsidRPr="00EA0518" w:rsidR="00EA0518" w:rsidTr="004551EC" w14:paraId="2E99710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themeFill="background1"/>
          </w:tcPr>
          <w:p w:rsidR="00EA0518" w:rsidP="006A2735" w:rsidRDefault="00EA0518" w14:paraId="521DE116" w14:textId="72852005">
            <w:pPr>
              <w:spacing w:before="0" w:line="240" w:lineRule="auto"/>
              <w:ind w:firstLine="0"/>
              <w:contextualSpacing/>
              <w:textboxTightWrap w:val="none"/>
              <w:rPr>
                <w:rFonts w:ascii="Times New Roman" w:hAnsi="Times New Roman"/>
                <w:b w:val="0"/>
                <w:color w:val="auto"/>
                <w:position w:val="0"/>
                <w:sz w:val="24"/>
              </w:rPr>
            </w:pPr>
            <w:r w:rsidRPr="006A2735">
              <w:rPr>
                <w:rFonts w:ascii="Times New Roman" w:hAnsi="Times New Roman"/>
                <w:b w:val="0"/>
                <w:color w:val="auto"/>
                <w:position w:val="0"/>
                <w:sz w:val="24"/>
              </w:rPr>
              <w:t>Peter Mueser</w:t>
            </w:r>
            <w:r>
              <w:rPr>
                <w:rFonts w:ascii="Times New Roman" w:hAnsi="Times New Roman"/>
                <w:b w:val="0"/>
                <w:color w:val="auto"/>
                <w:position w:val="0"/>
                <w:sz w:val="24"/>
              </w:rPr>
              <w:t>, PhD</w:t>
            </w:r>
          </w:p>
          <w:p w:rsidR="00EA0518" w:rsidP="006A2735" w:rsidRDefault="00BF61B7" w14:paraId="667CEE4F" w14:textId="6B465EBF">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 xml:space="preserve">Professor, </w:t>
            </w:r>
            <w:r w:rsidR="00EA0518">
              <w:rPr>
                <w:rFonts w:ascii="Times New Roman" w:hAnsi="Times New Roman"/>
                <w:b w:val="0"/>
                <w:color w:val="auto"/>
                <w:position w:val="0"/>
                <w:sz w:val="24"/>
              </w:rPr>
              <w:t xml:space="preserve">Department of Economics and Truman School of Public </w:t>
            </w:r>
            <w:r w:rsidR="00283CBE">
              <w:rPr>
                <w:rFonts w:ascii="Times New Roman" w:hAnsi="Times New Roman"/>
                <w:b w:val="0"/>
                <w:color w:val="auto"/>
                <w:position w:val="0"/>
                <w:sz w:val="24"/>
              </w:rPr>
              <w:t>Affairs</w:t>
            </w:r>
          </w:p>
          <w:p w:rsidR="00EA0518" w:rsidP="006A2735" w:rsidRDefault="00EA0518" w14:paraId="67ECF827" w14:textId="77777777">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University of Missouri</w:t>
            </w:r>
          </w:p>
          <w:p w:rsidR="00EA0518" w:rsidP="006A2735" w:rsidRDefault="00EA0518" w14:paraId="1E5649DC" w14:textId="696B6E52">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Columbia</w:t>
            </w:r>
            <w:r w:rsidR="00BF61B7">
              <w:rPr>
                <w:rFonts w:ascii="Times New Roman" w:hAnsi="Times New Roman"/>
                <w:b w:val="0"/>
                <w:color w:val="auto"/>
                <w:position w:val="0"/>
                <w:sz w:val="24"/>
              </w:rPr>
              <w:t>,</w:t>
            </w:r>
            <w:r>
              <w:rPr>
                <w:rFonts w:ascii="Times New Roman" w:hAnsi="Times New Roman"/>
                <w:b w:val="0"/>
                <w:color w:val="auto"/>
                <w:position w:val="0"/>
                <w:sz w:val="24"/>
              </w:rPr>
              <w:t xml:space="preserve"> MO 65211</w:t>
            </w:r>
          </w:p>
          <w:p w:rsidRPr="006A2735" w:rsidR="00BF61B7" w:rsidP="006A2735" w:rsidRDefault="00BF61B7" w14:paraId="2063C56C" w14:textId="6A61D8A1">
            <w:pPr>
              <w:spacing w:before="0" w:line="240" w:lineRule="auto"/>
              <w:ind w:firstLine="0"/>
              <w:contextualSpacing/>
              <w:textboxTightWrap w:val="none"/>
              <w:rPr>
                <w:rFonts w:ascii="Times New Roman" w:hAnsi="Times New Roman"/>
                <w:b w:val="0"/>
                <w:color w:val="auto"/>
                <w:position w:val="0"/>
                <w:sz w:val="24"/>
              </w:rPr>
            </w:pPr>
          </w:p>
        </w:tc>
      </w:tr>
      <w:tr w:rsidRPr="00EA0518" w:rsidR="00EA0518" w:rsidTr="004551EC" w14:paraId="11D966D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EA0518" w:rsidP="006A2735" w:rsidRDefault="00BF61B7" w14:paraId="402F39EA" w14:textId="59BFA507">
            <w:pPr>
              <w:spacing w:line="240" w:lineRule="auto"/>
              <w:ind w:firstLine="0"/>
              <w:textboxTightWrap w:val="none"/>
              <w:rPr>
                <w:rFonts w:ascii="Times New Roman" w:hAnsi="Times New Roman"/>
                <w:sz w:val="24"/>
              </w:rPr>
            </w:pPr>
            <w:r>
              <w:rPr>
                <w:rFonts w:ascii="Times New Roman" w:hAnsi="Times New Roman"/>
                <w:sz w:val="24"/>
              </w:rPr>
              <w:t>Mary Alice McCarthy</w:t>
            </w:r>
          </w:p>
          <w:p w:rsidR="00BF61B7" w:rsidP="006A2735" w:rsidRDefault="00BF61B7" w14:paraId="619C97F3" w14:textId="77777777">
            <w:pPr>
              <w:spacing w:line="240" w:lineRule="auto"/>
              <w:ind w:firstLine="0"/>
              <w:textboxTightWrap w:val="none"/>
              <w:rPr>
                <w:rFonts w:ascii="Times New Roman" w:hAnsi="Times New Roman"/>
                <w:sz w:val="24"/>
              </w:rPr>
            </w:pPr>
            <w:r>
              <w:rPr>
                <w:rFonts w:ascii="Times New Roman" w:hAnsi="Times New Roman"/>
                <w:sz w:val="24"/>
              </w:rPr>
              <w:t>Director, Center on Education and Skills</w:t>
            </w:r>
          </w:p>
          <w:p w:rsidR="00BF61B7" w:rsidP="006A2735" w:rsidRDefault="00BF61B7" w14:paraId="38876504" w14:textId="77777777">
            <w:pPr>
              <w:spacing w:line="240" w:lineRule="auto"/>
              <w:ind w:firstLine="0"/>
              <w:textboxTightWrap w:val="none"/>
              <w:rPr>
                <w:rFonts w:ascii="Times New Roman" w:hAnsi="Times New Roman"/>
                <w:sz w:val="24"/>
              </w:rPr>
            </w:pPr>
            <w:r>
              <w:rPr>
                <w:rFonts w:ascii="Times New Roman" w:hAnsi="Times New Roman"/>
                <w:sz w:val="24"/>
              </w:rPr>
              <w:t>New America</w:t>
            </w:r>
          </w:p>
          <w:p w:rsidR="00BF61B7" w:rsidP="006A2735" w:rsidRDefault="00BF61B7" w14:paraId="1CFE102F" w14:textId="77777777">
            <w:pPr>
              <w:spacing w:line="240" w:lineRule="auto"/>
              <w:ind w:firstLine="0"/>
              <w:textboxTightWrap w:val="none"/>
              <w:rPr>
                <w:rFonts w:ascii="Times New Roman" w:hAnsi="Times New Roman"/>
                <w:sz w:val="24"/>
              </w:rPr>
            </w:pPr>
            <w:r>
              <w:rPr>
                <w:rFonts w:ascii="Times New Roman" w:hAnsi="Times New Roman"/>
                <w:sz w:val="24"/>
              </w:rPr>
              <w:t>740 15th Street NW, Suite 900</w:t>
            </w:r>
          </w:p>
          <w:p w:rsidRPr="00EA0518" w:rsidR="00BF61B7" w:rsidP="006A2735" w:rsidRDefault="00BF61B7" w14:paraId="17A0E0B6" w14:textId="282AE219">
            <w:pPr>
              <w:spacing w:line="240" w:lineRule="auto"/>
              <w:ind w:firstLine="0"/>
              <w:textboxTightWrap w:val="none"/>
              <w:rPr>
                <w:rFonts w:ascii="Times New Roman" w:hAnsi="Times New Roman"/>
                <w:sz w:val="24"/>
              </w:rPr>
            </w:pPr>
            <w:r>
              <w:rPr>
                <w:rFonts w:ascii="Times New Roman" w:hAnsi="Times New Roman"/>
                <w:sz w:val="24"/>
              </w:rPr>
              <w:t>Washington, DC 20005</w:t>
            </w:r>
          </w:p>
        </w:tc>
      </w:tr>
      <w:tr w:rsidRPr="00EA0518" w:rsidR="00BF61B7" w:rsidTr="004551EC" w14:paraId="0CAECD83" w14:textId="77777777">
        <w:trPr>
          <w:cnfStyle w:val="000000010000" w:firstRow="0" w:lastRow="0" w:firstColumn="0" w:lastColumn="0" w:oddVBand="0" w:evenVBand="0" w:oddHBand="0" w:evenHBand="1" w:firstRowFirstColumn="0" w:firstRowLastColumn="0" w:lastRowFirstColumn="0" w:lastRowLastColumn="0"/>
          <w:cantSplit/>
          <w:trHeight w:val="117"/>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Pr="006A2735" w:rsidR="00BF61B7" w:rsidP="006A2735" w:rsidRDefault="00BF61B7" w14:paraId="35EE292F" w14:textId="77777777">
            <w:pPr>
              <w:spacing w:line="240" w:lineRule="auto"/>
              <w:ind w:firstLine="0"/>
              <w:textboxTightWrap w:val="none"/>
              <w:rPr>
                <w:rFonts w:ascii="Times New Roman" w:hAnsi="Times New Roman"/>
                <w:sz w:val="24"/>
              </w:rPr>
            </w:pPr>
          </w:p>
        </w:tc>
      </w:tr>
      <w:tr w:rsidRPr="00EA0518" w:rsidR="00BF61B7" w:rsidTr="004551EC" w14:paraId="258306E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BF61B7" w:rsidP="006A2735" w:rsidRDefault="00BF61B7" w14:paraId="63E37BC5" w14:textId="34857EAB">
            <w:pPr>
              <w:spacing w:line="240" w:lineRule="auto"/>
              <w:ind w:firstLine="0"/>
              <w:textboxTightWrap w:val="none"/>
              <w:rPr>
                <w:rFonts w:ascii="Times New Roman" w:hAnsi="Times New Roman"/>
                <w:sz w:val="24"/>
              </w:rPr>
            </w:pPr>
            <w:r w:rsidRPr="006A2735">
              <w:rPr>
                <w:rFonts w:ascii="Times New Roman" w:hAnsi="Times New Roman"/>
                <w:sz w:val="24"/>
              </w:rPr>
              <w:t>Margare</w:t>
            </w:r>
            <w:r>
              <w:rPr>
                <w:rFonts w:ascii="Times New Roman" w:hAnsi="Times New Roman"/>
                <w:sz w:val="24"/>
              </w:rPr>
              <w:t>t Hargreaves</w:t>
            </w:r>
          </w:p>
          <w:p w:rsidR="00BF61B7" w:rsidP="006A2735" w:rsidRDefault="00BF61B7" w14:paraId="4CA6C2A1" w14:textId="77777777">
            <w:pPr>
              <w:spacing w:line="240" w:lineRule="auto"/>
              <w:ind w:firstLine="0"/>
              <w:textboxTightWrap w:val="none"/>
              <w:rPr>
                <w:rFonts w:ascii="Times New Roman" w:hAnsi="Times New Roman"/>
                <w:sz w:val="24"/>
              </w:rPr>
            </w:pPr>
            <w:r>
              <w:rPr>
                <w:rFonts w:ascii="Times New Roman" w:hAnsi="Times New Roman"/>
                <w:sz w:val="24"/>
              </w:rPr>
              <w:t>Principal Associate</w:t>
            </w:r>
          </w:p>
          <w:p w:rsidR="00BF61B7" w:rsidP="006A2735" w:rsidRDefault="00BF61B7" w14:paraId="6B58572C" w14:textId="77777777">
            <w:pPr>
              <w:spacing w:line="240" w:lineRule="auto"/>
              <w:ind w:firstLine="0"/>
              <w:textboxTightWrap w:val="none"/>
              <w:rPr>
                <w:rFonts w:ascii="Times New Roman" w:hAnsi="Times New Roman"/>
                <w:sz w:val="24"/>
              </w:rPr>
            </w:pPr>
            <w:r>
              <w:rPr>
                <w:rFonts w:ascii="Times New Roman" w:hAnsi="Times New Roman"/>
                <w:sz w:val="24"/>
              </w:rPr>
              <w:t>Community Science</w:t>
            </w:r>
          </w:p>
          <w:p w:rsidR="00BF61B7" w:rsidP="006A2735" w:rsidRDefault="00BF61B7" w14:paraId="3EB37FBA" w14:textId="77777777">
            <w:pPr>
              <w:spacing w:line="240" w:lineRule="auto"/>
              <w:ind w:firstLine="0"/>
              <w:textboxTightWrap w:val="none"/>
              <w:rPr>
                <w:rFonts w:ascii="Times New Roman" w:hAnsi="Times New Roman"/>
                <w:sz w:val="24"/>
              </w:rPr>
            </w:pPr>
            <w:r>
              <w:rPr>
                <w:rFonts w:ascii="Times New Roman" w:hAnsi="Times New Roman"/>
                <w:sz w:val="24"/>
              </w:rPr>
              <w:t>438 N. Frederick Avenue, Suite 315</w:t>
            </w:r>
          </w:p>
          <w:p w:rsidRPr="006A2735" w:rsidR="00BF61B7" w:rsidP="006A2735" w:rsidRDefault="00BF61B7" w14:paraId="3AECB25A" w14:textId="59743C8C">
            <w:pPr>
              <w:spacing w:line="240" w:lineRule="auto"/>
              <w:ind w:firstLine="0"/>
              <w:textboxTightWrap w:val="none"/>
              <w:rPr>
                <w:rFonts w:ascii="Times New Roman" w:hAnsi="Times New Roman"/>
                <w:sz w:val="24"/>
              </w:rPr>
            </w:pPr>
            <w:r>
              <w:rPr>
                <w:rFonts w:ascii="Times New Roman" w:hAnsi="Times New Roman"/>
                <w:sz w:val="24"/>
              </w:rPr>
              <w:t>Gaithersburg, MD 20877</w:t>
            </w:r>
          </w:p>
        </w:tc>
      </w:tr>
    </w:tbl>
    <w:p w:rsidR="00EE33B1" w:rsidRDefault="00EE33B1" w14:paraId="5EC22CB8" w14:textId="0AF70A91">
      <w:pPr>
        <w:spacing w:after="240" w:line="240" w:lineRule="auto"/>
        <w:ind w:firstLine="0"/>
        <w:rPr>
          <w:rFonts w:ascii="Arial Black" w:hAnsi="Arial Black"/>
          <w:sz w:val="22"/>
        </w:rPr>
      </w:pPr>
    </w:p>
    <w:p w:rsidR="005455E1" w:rsidP="005C45D4" w:rsidRDefault="00EE33B1" w14:paraId="02D9CC35" w14:textId="2F2E3B41">
      <w:pPr>
        <w:spacing w:line="240" w:lineRule="auto"/>
        <w:ind w:firstLine="0"/>
        <w:rPr>
          <w:i/>
        </w:rPr>
      </w:pPr>
      <w:bookmarkStart w:name="_Toc496104743" w:id="11"/>
      <w:r w:rsidRPr="005C45D4">
        <w:rPr>
          <w:rFonts w:ascii="Arial Black" w:hAnsi="Arial Black"/>
          <w:sz w:val="22"/>
        </w:rPr>
        <w:t>9.</w:t>
      </w:r>
      <w:r>
        <w:t xml:space="preserve"> </w:t>
      </w:r>
      <w:r w:rsidRPr="00946B48" w:rsidR="005455E1">
        <w:rPr>
          <w:i/>
        </w:rPr>
        <w:t>Explain any decision to provide any payment or gift to respondents, other than remuneration of contractors or grantees.</w:t>
      </w:r>
    </w:p>
    <w:p w:rsidRPr="00946B48" w:rsidR="00871FB8" w:rsidP="005C45D4" w:rsidRDefault="00871FB8" w14:paraId="6777259A" w14:textId="77777777">
      <w:pPr>
        <w:spacing w:line="240" w:lineRule="auto"/>
        <w:ind w:firstLine="0"/>
        <w:rPr>
          <w:i/>
        </w:rPr>
      </w:pPr>
    </w:p>
    <w:bookmarkEnd w:id="11"/>
    <w:p w:rsidR="00EE33B1" w:rsidP="00EE33B1" w:rsidRDefault="00EE33B1" w14:paraId="49C8C157" w14:textId="584897D9">
      <w:pPr>
        <w:pStyle w:val="NormalSS"/>
      </w:pPr>
      <w:r>
        <w:t>There are no payments or gifts to program and partner staff</w:t>
      </w:r>
      <w:r w:rsidR="00F2675A">
        <w:t>, as activities</w:t>
      </w:r>
      <w:r>
        <w:t xml:space="preserve"> are expected to be carried out in the course of their employment, and no additional compensation will be provided outside of their normal pay. </w:t>
      </w:r>
      <w:r w:rsidR="00F2675A">
        <w:t>Respondents participating in the participant focus groups will receive a $25 gift card.</w:t>
      </w:r>
    </w:p>
    <w:p w:rsidR="00EE33B1" w:rsidP="005C45D4" w:rsidRDefault="00EE33B1" w14:paraId="35AE1427" w14:textId="32162372">
      <w:pPr>
        <w:pStyle w:val="H3Alpha"/>
        <w:ind w:left="0" w:firstLine="0"/>
      </w:pPr>
      <w:bookmarkStart w:name="_Toc496104744" w:id="12"/>
      <w:r>
        <w:t xml:space="preserve">10. </w:t>
      </w:r>
      <w:r w:rsidRPr="00946B48" w:rsidR="005455E1">
        <w:rPr>
          <w:rFonts w:ascii="Times New Roman" w:hAnsi="Times New Roman"/>
          <w:i/>
        </w:rPr>
        <w:t xml:space="preserve">Describe any assurance of </w:t>
      </w:r>
      <w:r w:rsidR="005455E1">
        <w:rPr>
          <w:rFonts w:ascii="Times New Roman" w:hAnsi="Times New Roman"/>
          <w:i/>
        </w:rPr>
        <w:t>privacy</w:t>
      </w:r>
      <w:r w:rsidRPr="00946B48" w:rsidR="005455E1">
        <w:rPr>
          <w:rFonts w:ascii="Times New Roman" w:hAnsi="Times New Roman"/>
          <w:i/>
        </w:rPr>
        <w:t xml:space="preserve"> provided to respondents and the basis for the assurance in statute, regulation, or agency policy.</w:t>
      </w:r>
      <w:bookmarkEnd w:id="12"/>
    </w:p>
    <w:p w:rsidR="00EE33B1" w:rsidP="00EE33B1" w:rsidRDefault="00EE33B1" w14:paraId="545DFC80" w14:textId="1ABBB252">
      <w:pPr>
        <w:pStyle w:val="NormalSS"/>
      </w:pPr>
      <w:r>
        <w:t xml:space="preserve">Information collected will be kept private to the extent permitted by law. The </w:t>
      </w:r>
      <w:r w:rsidR="00AF7247">
        <w:t>evaluation</w:t>
      </w:r>
      <w:r w:rsidR="001C0F00">
        <w:t xml:space="preserve"> team</w:t>
      </w:r>
      <w:r>
        <w:t xml:space="preserve"> complies with DOL data security requirements by implementing security controls for processes that it routinely uses in projects that involve sensitive data. Further, the </w:t>
      </w:r>
      <w:r w:rsidR="00AF7247">
        <w:t>evaluation</w:t>
      </w:r>
      <w:r>
        <w:t xml:space="preserve"> is being conducted in accordance with all relevant regulations and requirements</w:t>
      </w:r>
      <w:r w:rsidR="00F01C78">
        <w:t>.</w:t>
      </w:r>
      <w:r>
        <w:t xml:space="preserve"> </w:t>
      </w:r>
    </w:p>
    <w:p w:rsidR="00871FB8" w:rsidP="005C45D4" w:rsidRDefault="00EE33B1" w14:paraId="40C9EDFE" w14:textId="165A8F67">
      <w:pPr>
        <w:pStyle w:val="H3Alpha"/>
        <w:ind w:left="0" w:firstLine="0"/>
        <w:rPr>
          <w:rFonts w:ascii="Times New Roman" w:hAnsi="Times New Roman"/>
          <w:i/>
        </w:rPr>
      </w:pPr>
      <w:bookmarkStart w:name="_Toc496104745" w:id="13"/>
      <w:r>
        <w:t xml:space="preserve">11. </w:t>
      </w:r>
      <w:r w:rsidRPr="00946B48" w:rsidR="005455E1">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3"/>
    <w:p w:rsidRPr="005C45D4" w:rsidR="00EE33B1" w:rsidP="005C45D4" w:rsidRDefault="00F707EE" w14:paraId="5CB7F448" w14:textId="1075EEFF">
      <w:pPr>
        <w:pStyle w:val="H3Alpha"/>
        <w:ind w:left="0" w:firstLine="0"/>
        <w:rPr>
          <w:rFonts w:ascii="Times New Roman" w:hAnsi="Times New Roman"/>
          <w:sz w:val="24"/>
        </w:rPr>
      </w:pPr>
      <w:r w:rsidRPr="005C45D4">
        <w:rPr>
          <w:rFonts w:ascii="Times New Roman" w:hAnsi="Times New Roman"/>
          <w:sz w:val="24"/>
        </w:rPr>
        <w:t xml:space="preserve">There are no sensitive questions included in </w:t>
      </w:r>
      <w:r w:rsidRPr="005C45D4" w:rsidR="00B21E40">
        <w:rPr>
          <w:rFonts w:ascii="Times New Roman" w:hAnsi="Times New Roman"/>
          <w:sz w:val="24"/>
        </w:rPr>
        <w:t xml:space="preserve">the interview protocols for </w:t>
      </w:r>
      <w:r w:rsidRPr="005C45D4" w:rsidR="00B769E6">
        <w:rPr>
          <w:rFonts w:ascii="Times New Roman" w:hAnsi="Times New Roman"/>
          <w:sz w:val="24"/>
        </w:rPr>
        <w:t xml:space="preserve">program stakeholders or </w:t>
      </w:r>
      <w:r w:rsidRPr="005C45D4" w:rsidR="00B21E40">
        <w:rPr>
          <w:rFonts w:ascii="Times New Roman" w:hAnsi="Times New Roman"/>
          <w:sz w:val="24"/>
        </w:rPr>
        <w:t>employers</w:t>
      </w:r>
      <w:r w:rsidRPr="005C45D4" w:rsidR="00B769E6">
        <w:rPr>
          <w:rFonts w:ascii="Times New Roman" w:hAnsi="Times New Roman"/>
          <w:sz w:val="24"/>
        </w:rPr>
        <w:t xml:space="preserve">. Participant </w:t>
      </w:r>
      <w:r w:rsidRPr="005C45D4" w:rsidR="00707ED3">
        <w:rPr>
          <w:rFonts w:ascii="Times New Roman" w:hAnsi="Times New Roman"/>
          <w:sz w:val="24"/>
        </w:rPr>
        <w:t xml:space="preserve">focus groups </w:t>
      </w:r>
      <w:r w:rsidRPr="005C45D4" w:rsidR="00B769E6">
        <w:rPr>
          <w:rFonts w:ascii="Times New Roman" w:hAnsi="Times New Roman"/>
          <w:sz w:val="24"/>
        </w:rPr>
        <w:t xml:space="preserve">will collect </w:t>
      </w:r>
      <w:r w:rsidRPr="005C45D4" w:rsidR="00A7074C">
        <w:rPr>
          <w:rFonts w:ascii="Times New Roman" w:hAnsi="Times New Roman"/>
          <w:sz w:val="24"/>
        </w:rPr>
        <w:t xml:space="preserve">demographic </w:t>
      </w:r>
      <w:r w:rsidRPr="005C45D4" w:rsidR="00B769E6">
        <w:rPr>
          <w:rFonts w:ascii="Times New Roman" w:hAnsi="Times New Roman"/>
          <w:sz w:val="24"/>
        </w:rPr>
        <w:t>data such as gender,</w:t>
      </w:r>
      <w:r w:rsidRPr="005C45D4" w:rsidR="00A7074C">
        <w:rPr>
          <w:rFonts w:ascii="Times New Roman" w:hAnsi="Times New Roman"/>
          <w:sz w:val="24"/>
        </w:rPr>
        <w:t xml:space="preserve"> employment status</w:t>
      </w:r>
      <w:r w:rsidRPr="005C45D4" w:rsidR="00B769E6">
        <w:rPr>
          <w:rFonts w:ascii="Times New Roman" w:hAnsi="Times New Roman"/>
          <w:sz w:val="24"/>
        </w:rPr>
        <w:t>,</w:t>
      </w:r>
      <w:r w:rsidRPr="005C45D4" w:rsidR="00A7074C">
        <w:rPr>
          <w:rFonts w:ascii="Times New Roman" w:hAnsi="Times New Roman"/>
          <w:sz w:val="24"/>
        </w:rPr>
        <w:t xml:space="preserve"> education level, and sources of financial support. This information will describe </w:t>
      </w:r>
      <w:r w:rsidRPr="005C45D4" w:rsidR="007E4DAC">
        <w:rPr>
          <w:rFonts w:ascii="Times New Roman" w:hAnsi="Times New Roman"/>
          <w:sz w:val="24"/>
        </w:rPr>
        <w:t xml:space="preserve">focus group </w:t>
      </w:r>
      <w:r w:rsidRPr="005C45D4" w:rsidR="00A7074C">
        <w:rPr>
          <w:rFonts w:ascii="Times New Roman" w:hAnsi="Times New Roman"/>
          <w:sz w:val="24"/>
        </w:rPr>
        <w:t xml:space="preserve">participant backgrounds and </w:t>
      </w:r>
      <w:r w:rsidRPr="005C45D4" w:rsidR="002768F8">
        <w:rPr>
          <w:rFonts w:ascii="Times New Roman" w:hAnsi="Times New Roman"/>
          <w:sz w:val="24"/>
        </w:rPr>
        <w:t>reasons for seeking services through</w:t>
      </w:r>
      <w:r w:rsidRPr="005C45D4" w:rsidR="00A7074C">
        <w:rPr>
          <w:rFonts w:ascii="Times New Roman" w:hAnsi="Times New Roman"/>
          <w:sz w:val="24"/>
        </w:rPr>
        <w:t xml:space="preserve"> America’s Promise</w:t>
      </w:r>
      <w:r w:rsidRPr="005C45D4" w:rsidR="00283CBE">
        <w:rPr>
          <w:rFonts w:ascii="Times New Roman" w:hAnsi="Times New Roman"/>
          <w:sz w:val="24"/>
        </w:rPr>
        <w:t>, which could be considered sensitive</w:t>
      </w:r>
      <w:r w:rsidRPr="005C45D4" w:rsidR="00A7074C">
        <w:rPr>
          <w:rFonts w:ascii="Times New Roman" w:hAnsi="Times New Roman"/>
          <w:sz w:val="24"/>
        </w:rPr>
        <w:t>.</w:t>
      </w:r>
      <w:r w:rsidRPr="005C45D4" w:rsidR="00350CDF">
        <w:rPr>
          <w:rFonts w:ascii="Times New Roman" w:hAnsi="Times New Roman"/>
          <w:sz w:val="24"/>
        </w:rPr>
        <w:t xml:space="preserve"> </w:t>
      </w:r>
      <w:r w:rsidRPr="005C45D4" w:rsidR="00994A4D">
        <w:rPr>
          <w:rFonts w:ascii="Times New Roman" w:hAnsi="Times New Roman"/>
          <w:sz w:val="24"/>
        </w:rPr>
        <w:t>The i</w:t>
      </w:r>
      <w:r w:rsidRPr="005C45D4" w:rsidR="00350CDF">
        <w:rPr>
          <w:rFonts w:ascii="Times New Roman" w:hAnsi="Times New Roman"/>
          <w:sz w:val="24"/>
        </w:rPr>
        <w:t xml:space="preserve">nformation </w:t>
      </w:r>
      <w:r w:rsidRPr="005C45D4" w:rsidR="00994A4D">
        <w:rPr>
          <w:rFonts w:ascii="Times New Roman" w:hAnsi="Times New Roman"/>
          <w:sz w:val="24"/>
        </w:rPr>
        <w:t>will be important for</w:t>
      </w:r>
      <w:r w:rsidRPr="005C45D4" w:rsidR="00350CDF">
        <w:rPr>
          <w:rFonts w:ascii="Times New Roman" w:hAnsi="Times New Roman"/>
          <w:sz w:val="24"/>
        </w:rPr>
        <w:t xml:space="preserve"> interpreting the </w:t>
      </w:r>
      <w:r w:rsidRPr="005C45D4" w:rsidR="00994A4D">
        <w:rPr>
          <w:rFonts w:ascii="Times New Roman" w:hAnsi="Times New Roman"/>
          <w:sz w:val="24"/>
        </w:rPr>
        <w:t xml:space="preserve">qualitative </w:t>
      </w:r>
      <w:r w:rsidRPr="005C45D4" w:rsidR="00350CDF">
        <w:rPr>
          <w:rFonts w:ascii="Times New Roman" w:hAnsi="Times New Roman"/>
          <w:sz w:val="24"/>
        </w:rPr>
        <w:t>focus group data and comparing data across grantee sites. Past evaluations have included similar questions without any evidence of significant harm. As described earlier, all sample members will be assured of the privacy of their responses before being asked to fill out the form and will be informed that they can skip any questions they do not wish to answer. All data will be reported in aggregate, summary format only, eliminating the possibility of individual identification</w:t>
      </w:r>
      <w:r w:rsidRPr="005C45D4" w:rsidR="00C80948">
        <w:rPr>
          <w:rFonts w:ascii="Times New Roman" w:hAnsi="Times New Roman"/>
          <w:sz w:val="24"/>
        </w:rPr>
        <w:t xml:space="preserve"> and ensuring that individual responses are </w:t>
      </w:r>
      <w:r w:rsidRPr="005C45D4" w:rsidR="00094630">
        <w:rPr>
          <w:rFonts w:ascii="Times New Roman" w:hAnsi="Times New Roman"/>
          <w:sz w:val="24"/>
        </w:rPr>
        <w:t>private</w:t>
      </w:r>
      <w:r w:rsidRPr="005C45D4" w:rsidR="00350CDF">
        <w:rPr>
          <w:rFonts w:ascii="Times New Roman" w:hAnsi="Times New Roman"/>
          <w:sz w:val="24"/>
        </w:rPr>
        <w:t>.</w:t>
      </w:r>
      <w:r w:rsidRPr="005C45D4" w:rsidR="00A7074C">
        <w:rPr>
          <w:rFonts w:ascii="Times New Roman" w:hAnsi="Times New Roman"/>
          <w:sz w:val="24"/>
        </w:rPr>
        <w:t xml:space="preserve">   </w:t>
      </w:r>
      <w:r w:rsidRPr="005C45D4" w:rsidR="00B769E6">
        <w:rPr>
          <w:rFonts w:ascii="Times New Roman" w:hAnsi="Times New Roman"/>
          <w:sz w:val="24"/>
        </w:rPr>
        <w:t xml:space="preserve">  </w:t>
      </w:r>
    </w:p>
    <w:p w:rsidRPr="0021159E" w:rsidR="005455E1" w:rsidP="005C45D4" w:rsidRDefault="00EE33B1" w14:paraId="34C69A89" w14:textId="6D040ADF">
      <w:pPr>
        <w:ind w:firstLine="0"/>
        <w:rPr>
          <w:i/>
        </w:rPr>
      </w:pPr>
      <w:bookmarkStart w:name="_Toc496104746" w:id="14"/>
      <w:r w:rsidRPr="005C45D4">
        <w:rPr>
          <w:rFonts w:ascii="Arial Black" w:hAnsi="Arial Black"/>
        </w:rPr>
        <w:t xml:space="preserve">12. </w:t>
      </w:r>
      <w:r w:rsidRPr="004851FD" w:rsidR="005455E1">
        <w:rPr>
          <w:i/>
        </w:rPr>
        <w:t>Provide estimates of the hour burden of the collection of information.</w:t>
      </w:r>
    </w:p>
    <w:p w:rsidRPr="00B31391" w:rsidR="00072E64" w:rsidP="00B31391" w:rsidRDefault="00072E64" w14:paraId="04B956D8"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072E64" w:rsidP="00B31391" w:rsidRDefault="00072E64" w14:paraId="554550EB" w14:textId="77777777">
      <w:pPr>
        <w:spacing w:line="240" w:lineRule="auto"/>
        <w:ind w:firstLine="0"/>
        <w:rPr>
          <w:i/>
        </w:rPr>
      </w:pPr>
      <w:r w:rsidRPr="00B31391">
        <w:rPr>
          <w:i/>
        </w:rPr>
        <w:t xml:space="preserve">* If this request for approval covers more than one form, provide separate hour burden estimates for each form and aggregate the hour burdens. </w:t>
      </w:r>
    </w:p>
    <w:p w:rsidRPr="00B31391" w:rsidR="00072E64" w:rsidP="00B31391" w:rsidRDefault="00072E64" w14:paraId="4F21F5D6" w14:textId="711459A9">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072E64" w:rsidR="00072E64" w:rsidP="00B31391" w:rsidRDefault="00072E64" w14:paraId="34C09DBC" w14:textId="77777777">
      <w:pPr>
        <w:spacing w:line="240" w:lineRule="auto"/>
        <w:ind w:firstLine="0"/>
      </w:pPr>
    </w:p>
    <w:bookmarkEnd w:id="14"/>
    <w:p w:rsidR="00EE33B1" w:rsidP="00EE33B1" w:rsidRDefault="00EE33B1" w14:paraId="217BBA89" w14:textId="0530C199">
      <w:pPr>
        <w:pStyle w:val="NormalSS"/>
      </w:pPr>
      <w:r>
        <w:t xml:space="preserve">Table A.3 provides annual burden estimates for each of the data collection activities for which this package requests clearance. All of the activities covered by this request will take place </w:t>
      </w:r>
      <w:r w:rsidR="00031F73">
        <w:t>over</w:t>
      </w:r>
      <w:r>
        <w:t xml:space="preserve"> a three-year period. To calculate the estimated cost burden for respondents, average hourly wages from the U.S. Bureau of Labor Statistics, National, State, Metropolitan, and Nonmetropolitan Area Occupational Employment and Wage Estimates for May </w:t>
      </w:r>
      <w:r w:rsidR="005E3769">
        <w:t xml:space="preserve">2018 </w:t>
      </w:r>
      <w:r>
        <w:t xml:space="preserve">were multiplied by the number of hours per respondent type. The following summarizes the annual burden estimates for each of the </w:t>
      </w:r>
      <w:r w:rsidR="00350CDF">
        <w:t>f</w:t>
      </w:r>
      <w:r w:rsidR="00EC2325">
        <w:t>ive</w:t>
      </w:r>
      <w:r w:rsidR="009233DF">
        <w:t xml:space="preserve"> </w:t>
      </w:r>
      <w:r>
        <w:t>data collection activities:</w:t>
      </w:r>
    </w:p>
    <w:p w:rsidR="00617029" w:rsidP="00E703A0" w:rsidRDefault="00EC2325" w14:paraId="3F93605B" w14:textId="5558599D">
      <w:pPr>
        <w:pStyle w:val="NumberedBullet"/>
        <w:numPr>
          <w:ilvl w:val="0"/>
          <w:numId w:val="0"/>
        </w:numPr>
        <w:ind w:left="360"/>
      </w:pPr>
      <w:r>
        <w:rPr>
          <w:b/>
        </w:rPr>
        <w:t>P</w:t>
      </w:r>
      <w:r w:rsidR="00366B64">
        <w:rPr>
          <w:b/>
        </w:rPr>
        <w:t xml:space="preserve">rogram </w:t>
      </w:r>
      <w:r w:rsidR="00F26379">
        <w:rPr>
          <w:b/>
        </w:rPr>
        <w:t>stakeholder</w:t>
      </w:r>
      <w:r w:rsidR="00366B64">
        <w:rPr>
          <w:b/>
        </w:rPr>
        <w:t xml:space="preserve"> interviews</w:t>
      </w:r>
      <w:r>
        <w:rPr>
          <w:b/>
        </w:rPr>
        <w:t xml:space="preserve"> (in-person)</w:t>
      </w:r>
      <w:r w:rsidR="00366B64">
        <w:rPr>
          <w:b/>
        </w:rPr>
        <w:t xml:space="preserve">. </w:t>
      </w:r>
      <w:r w:rsidR="00B324C5">
        <w:t xml:space="preserve">Grantee </w:t>
      </w:r>
      <w:r w:rsidR="00366B64">
        <w:t xml:space="preserve">and partner staff </w:t>
      </w:r>
      <w:r w:rsidR="001016E7">
        <w:t xml:space="preserve">interviews will be conducted </w:t>
      </w:r>
      <w:r w:rsidR="00E768C0">
        <w:t>for</w:t>
      </w:r>
      <w:r w:rsidR="00366B64">
        <w:t xml:space="preserve"> 12 grantee sites in-person</w:t>
      </w:r>
      <w:r w:rsidR="00390ECC">
        <w:t xml:space="preserve">. </w:t>
      </w:r>
      <w:r w:rsidR="000F5B10">
        <w:t>On average, i</w:t>
      </w:r>
      <w:r w:rsidR="001A35A9">
        <w:t>n-person interviews with</w:t>
      </w:r>
      <w:r w:rsidR="00B324C5">
        <w:t xml:space="preserve"> grant</w:t>
      </w:r>
      <w:r w:rsidR="001A35A9">
        <w:t xml:space="preserve"> managers </w:t>
      </w:r>
      <w:r w:rsidR="000F5B10">
        <w:t>and</w:t>
      </w:r>
      <w:r w:rsidR="001A35A9">
        <w:t xml:space="preserve"> other stakeholders</w:t>
      </w:r>
      <w:r w:rsidR="00366B64">
        <w:t xml:space="preserve"> will take </w:t>
      </w:r>
      <w:r w:rsidR="000F5B10">
        <w:t>75</w:t>
      </w:r>
      <w:r w:rsidR="00366B64">
        <w:t xml:space="preserve"> minutes to complete.</w:t>
      </w:r>
      <w:r w:rsidR="00617029">
        <w:t xml:space="preserve"> </w:t>
      </w:r>
      <w:r w:rsidRPr="00617029" w:rsidR="00617029">
        <w:t xml:space="preserve">Two </w:t>
      </w:r>
      <w:r w:rsidR="00393278">
        <w:t>grantee</w:t>
      </w:r>
      <w:r w:rsidRPr="00617029" w:rsidR="00393278">
        <w:t xml:space="preserve"> </w:t>
      </w:r>
      <w:r w:rsidRPr="00617029" w:rsidR="00617029">
        <w:t>staff</w:t>
      </w:r>
      <w:r w:rsidR="00CB0699">
        <w:t xml:space="preserve">—the </w:t>
      </w:r>
      <w:r w:rsidR="00C258FB">
        <w:t>grant</w:t>
      </w:r>
      <w:r w:rsidR="00CB0699">
        <w:t xml:space="preserve"> manager and another key staff member--</w:t>
      </w:r>
      <w:r w:rsidRPr="00617029" w:rsidR="00617029">
        <w:t>and 8 non-employer partner staff are expected to be interviewed for each in-person site visit, for a total of 10 stakeholders</w:t>
      </w:r>
      <w:r w:rsidR="00031F73">
        <w:t xml:space="preserve"> per grantee</w:t>
      </w:r>
      <w:r w:rsidR="00617029">
        <w:t>.</w:t>
      </w:r>
      <w:r w:rsidRPr="00617029" w:rsidR="00617029">
        <w:t xml:space="preserve"> The total burden for site visit interviews is </w:t>
      </w:r>
      <w:r w:rsidRPr="00617029" w:rsidR="004E48E1">
        <w:t>1</w:t>
      </w:r>
      <w:r w:rsidR="004E48E1">
        <w:t>50</w:t>
      </w:r>
      <w:r w:rsidRPr="00617029" w:rsidR="004E48E1">
        <w:t xml:space="preserve"> </w:t>
      </w:r>
      <w:r w:rsidRPr="00617029" w:rsidR="00617029">
        <w:t>hours (</w:t>
      </w:r>
      <w:r w:rsidR="004E48E1">
        <w:t>10</w:t>
      </w:r>
      <w:r w:rsidR="000F5B10">
        <w:t xml:space="preserve"> stakeholders</w:t>
      </w:r>
      <w:r w:rsidR="004E48E1">
        <w:t xml:space="preserve"> x 12 grantees</w:t>
      </w:r>
      <w:r w:rsidRPr="00617029" w:rsidR="00617029">
        <w:t xml:space="preserve"> x </w:t>
      </w:r>
      <w:r w:rsidR="000F5B10">
        <w:t>7</w:t>
      </w:r>
      <w:r w:rsidRPr="00617029" w:rsidR="000F5B10">
        <w:t>5</w:t>
      </w:r>
      <w:r w:rsidRPr="00617029" w:rsidR="00617029">
        <w:t xml:space="preserve">/60 hours); the annualized burden is </w:t>
      </w:r>
      <w:r w:rsidR="000F5B10">
        <w:t>50</w:t>
      </w:r>
      <w:r w:rsidRPr="00617029" w:rsidR="000F5B10">
        <w:t xml:space="preserve"> </w:t>
      </w:r>
      <w:r w:rsidRPr="00617029" w:rsidR="00617029">
        <w:t>hours</w:t>
      </w:r>
      <w:r w:rsidR="00617029">
        <w:t>.</w:t>
      </w:r>
    </w:p>
    <w:p w:rsidRPr="00383149" w:rsidR="00EE33B1" w:rsidP="00B324C5" w:rsidRDefault="001016E7" w14:paraId="52276498" w14:textId="47C1D2B7">
      <w:pPr>
        <w:pStyle w:val="NumberedBullet"/>
        <w:numPr>
          <w:ilvl w:val="0"/>
          <w:numId w:val="0"/>
        </w:numPr>
        <w:ind w:left="360"/>
      </w:pPr>
      <w:r w:rsidRPr="00846B77">
        <w:rPr>
          <w:b/>
        </w:rPr>
        <w:t>Employer interviews.</w:t>
      </w:r>
      <w:r w:rsidRPr="00846B77" w:rsidR="00390ECC">
        <w:t xml:space="preserve"> </w:t>
      </w:r>
      <w:r w:rsidRPr="00383149">
        <w:t>E</w:t>
      </w:r>
      <w:r w:rsidRPr="00383149" w:rsidR="00F16715">
        <w:t>mployer interviews</w:t>
      </w:r>
      <w:r w:rsidRPr="00383149">
        <w:t xml:space="preserve"> will be </w:t>
      </w:r>
      <w:r w:rsidR="00617029">
        <w:t>conducted</w:t>
      </w:r>
      <w:r w:rsidRPr="00383149" w:rsidR="00617029">
        <w:t xml:space="preserve"> </w:t>
      </w:r>
      <w:r w:rsidRPr="00383149" w:rsidR="00E768C0">
        <w:t>in</w:t>
      </w:r>
      <w:r w:rsidR="00C258FB">
        <w:t xml:space="preserve"> </w:t>
      </w:r>
      <w:r w:rsidRPr="00383149" w:rsidR="00E768C0">
        <w:t>person during the course of the 12 grantee site visits</w:t>
      </w:r>
      <w:r w:rsidR="00617029">
        <w:t xml:space="preserve"> with a</w:t>
      </w:r>
      <w:r w:rsidRPr="00383149" w:rsidR="00EE33B1">
        <w:t xml:space="preserve"> total of </w:t>
      </w:r>
      <w:r w:rsidRPr="00383149" w:rsidR="00846B77">
        <w:t>24</w:t>
      </w:r>
      <w:r w:rsidRPr="00383149" w:rsidR="00EE33B1">
        <w:t xml:space="preserve"> respondents (</w:t>
      </w:r>
      <w:r w:rsidRPr="00383149" w:rsidR="00846B77">
        <w:t>2</w:t>
      </w:r>
      <w:r w:rsidRPr="00383149" w:rsidR="00764A14">
        <w:t xml:space="preserve"> </w:t>
      </w:r>
      <w:r w:rsidRPr="00383149" w:rsidR="008B282D">
        <w:t>employers</w:t>
      </w:r>
      <w:r w:rsidRPr="00383149" w:rsidR="00EE33B1">
        <w:t xml:space="preserve"> × </w:t>
      </w:r>
      <w:r w:rsidRPr="00383149" w:rsidR="00E768C0">
        <w:t>12</w:t>
      </w:r>
      <w:r w:rsidRPr="00383149" w:rsidR="008B282D">
        <w:t xml:space="preserve"> grantees</w:t>
      </w:r>
      <w:r w:rsidRPr="00383149" w:rsidR="00EE33B1">
        <w:t xml:space="preserve">). </w:t>
      </w:r>
      <w:r w:rsidR="00111BF9">
        <w:t xml:space="preserve">If the evaluation team is unable to schedule these interviews during the site visit window, they may be conducted via telephone after the visit has occurred. </w:t>
      </w:r>
      <w:r w:rsidRPr="00383149" w:rsidR="00E768C0">
        <w:t>These</w:t>
      </w:r>
      <w:r w:rsidRPr="00383149" w:rsidR="008B282D">
        <w:t xml:space="preserve"> interviews will take</w:t>
      </w:r>
      <w:r w:rsidRPr="00383149" w:rsidR="00E768C0">
        <w:t xml:space="preserve"> </w:t>
      </w:r>
      <w:r w:rsidRPr="00383149" w:rsidR="00846B77">
        <w:t>60</w:t>
      </w:r>
      <w:r w:rsidRPr="00383149" w:rsidR="008B282D">
        <w:t xml:space="preserve"> minutes to complete</w:t>
      </w:r>
      <w:r w:rsidRPr="00383149" w:rsidR="00EE33B1">
        <w:t xml:space="preserve">. </w:t>
      </w:r>
      <w:r w:rsidR="00C1188F">
        <w:t>T</w:t>
      </w:r>
      <w:r w:rsidRPr="00383149" w:rsidR="00EE33B1">
        <w:t xml:space="preserve">otal burden for the </w:t>
      </w:r>
      <w:r w:rsidRPr="00383149" w:rsidR="00E768C0">
        <w:t>employer</w:t>
      </w:r>
      <w:r w:rsidRPr="00383149" w:rsidR="00F26379">
        <w:t xml:space="preserve"> interviews</w:t>
      </w:r>
      <w:r w:rsidRPr="00383149" w:rsidR="00EE33B1">
        <w:t xml:space="preserve"> is </w:t>
      </w:r>
      <w:r w:rsidRPr="00383149" w:rsidR="00846B77">
        <w:t>24</w:t>
      </w:r>
      <w:r w:rsidRPr="00383149" w:rsidR="00EE33B1">
        <w:t xml:space="preserve"> hours (</w:t>
      </w:r>
      <w:r w:rsidRPr="00383149" w:rsidR="00846B77">
        <w:t xml:space="preserve">24 </w:t>
      </w:r>
      <w:r w:rsidRPr="00383149" w:rsidR="00EE33B1">
        <w:t xml:space="preserve">respondents × </w:t>
      </w:r>
      <w:r w:rsidRPr="00383149" w:rsidR="00846B77">
        <w:t xml:space="preserve">60/60 </w:t>
      </w:r>
      <w:r w:rsidRPr="00383149" w:rsidR="003206AB">
        <w:t>hours</w:t>
      </w:r>
      <w:r w:rsidRPr="00383149" w:rsidR="00EE33B1">
        <w:t xml:space="preserve">); the annualized burden is </w:t>
      </w:r>
      <w:r w:rsidRPr="00383149" w:rsidR="00846B77">
        <w:t>8</w:t>
      </w:r>
      <w:r w:rsidRPr="00383149" w:rsidR="00EE33B1">
        <w:t xml:space="preserve"> hours.</w:t>
      </w:r>
      <w:r w:rsidRPr="00383149" w:rsidR="00F26379">
        <w:t xml:space="preserve"> </w:t>
      </w:r>
    </w:p>
    <w:p w:rsidR="00542944" w:rsidP="00B324C5" w:rsidRDefault="00F16715" w14:paraId="666CDC43" w14:textId="05F09B64">
      <w:pPr>
        <w:pStyle w:val="NumberedBullet"/>
        <w:numPr>
          <w:ilvl w:val="0"/>
          <w:numId w:val="0"/>
        </w:numPr>
        <w:ind w:left="360"/>
      </w:pPr>
      <w:r w:rsidRPr="00383149">
        <w:rPr>
          <w:b/>
        </w:rPr>
        <w:t xml:space="preserve">Participant </w:t>
      </w:r>
      <w:r w:rsidRPr="00383149" w:rsidR="00707ED3">
        <w:rPr>
          <w:b/>
        </w:rPr>
        <w:t>focus groups</w:t>
      </w:r>
      <w:r w:rsidRPr="00383149">
        <w:rPr>
          <w:b/>
        </w:rPr>
        <w:t xml:space="preserve">. </w:t>
      </w:r>
      <w:r w:rsidRPr="00383149" w:rsidR="00707ED3">
        <w:t>Focus groups</w:t>
      </w:r>
      <w:r w:rsidRPr="00383149" w:rsidR="00E768C0">
        <w:t xml:space="preserve"> </w:t>
      </w:r>
      <w:r w:rsidRPr="00383149" w:rsidR="00151D5D">
        <w:t>with a subset of</w:t>
      </w:r>
      <w:r w:rsidRPr="00383149" w:rsidR="00E768C0">
        <w:t xml:space="preserve"> </w:t>
      </w:r>
      <w:r w:rsidRPr="00383149" w:rsidR="007E7AE3">
        <w:t>participant</w:t>
      </w:r>
      <w:r w:rsidRPr="00383149" w:rsidR="00E768C0">
        <w:t>s will take place d</w:t>
      </w:r>
      <w:r w:rsidRPr="00383149" w:rsidR="00AB11A2">
        <w:t>uring</w:t>
      </w:r>
      <w:r w:rsidRPr="00383149" w:rsidR="00E768C0">
        <w:t xml:space="preserve"> in-person</w:t>
      </w:r>
      <w:r w:rsidRPr="00383149" w:rsidR="00AB11A2">
        <w:t xml:space="preserve"> site</w:t>
      </w:r>
      <w:r w:rsidRPr="00383149" w:rsidR="007E7AE3">
        <w:t xml:space="preserve"> visits.</w:t>
      </w:r>
      <w:r w:rsidRPr="00383149" w:rsidR="00AB11A2">
        <w:t xml:space="preserve"> </w:t>
      </w:r>
      <w:r w:rsidRPr="00383149" w:rsidR="001852C3">
        <w:t xml:space="preserve">Each </w:t>
      </w:r>
      <w:r w:rsidRPr="00383149" w:rsidR="00707ED3">
        <w:t xml:space="preserve">focus group </w:t>
      </w:r>
      <w:r w:rsidRPr="00383149" w:rsidR="001852C3">
        <w:t xml:space="preserve">will take </w:t>
      </w:r>
      <w:r w:rsidRPr="00383149" w:rsidR="00470E62">
        <w:t>90</w:t>
      </w:r>
      <w:r w:rsidRPr="00383149" w:rsidR="001852C3">
        <w:t xml:space="preserve"> minutes to complete. </w:t>
      </w:r>
      <w:r w:rsidRPr="00383149" w:rsidR="00846B77">
        <w:t xml:space="preserve">Five </w:t>
      </w:r>
      <w:r w:rsidRPr="00383149" w:rsidR="008C6E88">
        <w:t xml:space="preserve">participants are expected to </w:t>
      </w:r>
      <w:r w:rsidRPr="00383149" w:rsidR="00707ED3">
        <w:t>participate</w:t>
      </w:r>
      <w:r w:rsidRPr="00383149" w:rsidR="008C6E88">
        <w:t xml:space="preserve"> at each of the 12 sites visited, for a total of </w:t>
      </w:r>
      <w:r w:rsidRPr="00383149" w:rsidR="00470E62">
        <w:t>60</w:t>
      </w:r>
      <w:r w:rsidRPr="00383149" w:rsidR="008C6E88">
        <w:t xml:space="preserve"> r</w:t>
      </w:r>
      <w:r w:rsidRPr="00383149" w:rsidR="00151D5D">
        <w:t xml:space="preserve">espondents </w:t>
      </w:r>
      <w:r w:rsidRPr="00383149" w:rsidR="008C6E88">
        <w:t>(</w:t>
      </w:r>
      <w:r w:rsidRPr="00383149" w:rsidR="00470E62">
        <w:t xml:space="preserve">5 </w:t>
      </w:r>
      <w:r w:rsidRPr="00383149" w:rsidR="008C6E88">
        <w:t>participants × 12 grantees)</w:t>
      </w:r>
      <w:r w:rsidRPr="00383149" w:rsidR="001852C3">
        <w:t xml:space="preserve">. The total burden is </w:t>
      </w:r>
      <w:r w:rsidRPr="00383149" w:rsidR="00470E62">
        <w:t>90</w:t>
      </w:r>
      <w:r w:rsidRPr="00383149" w:rsidR="00151D5D">
        <w:t xml:space="preserve"> hours </w:t>
      </w:r>
      <w:r w:rsidR="00DF427E">
        <w:t>(</w:t>
      </w:r>
      <w:r w:rsidRPr="00383149" w:rsidR="00151D5D">
        <w:t>(</w:t>
      </w:r>
      <w:r w:rsidRPr="00383149" w:rsidR="00470E62">
        <w:t>60</w:t>
      </w:r>
      <w:r w:rsidRPr="00383149" w:rsidR="00151D5D">
        <w:t xml:space="preserve"> respondents) × </w:t>
      </w:r>
      <w:r w:rsidR="00E8462E">
        <w:t>90/60</w:t>
      </w:r>
      <w:r w:rsidRPr="00383149" w:rsidR="001852C3">
        <w:t xml:space="preserve"> hours); the annualized burden is </w:t>
      </w:r>
      <w:r w:rsidRPr="00383149" w:rsidR="00470E62">
        <w:t>30</w:t>
      </w:r>
      <w:r w:rsidRPr="00383149" w:rsidR="001852C3">
        <w:t xml:space="preserve"> hours</w:t>
      </w:r>
      <w:r w:rsidRPr="00846B77" w:rsidR="001852C3">
        <w:t>.</w:t>
      </w:r>
      <w:r w:rsidR="001852C3">
        <w:t xml:space="preserve"> </w:t>
      </w:r>
    </w:p>
    <w:p w:rsidR="00E175AA" w:rsidP="00AE4A04" w:rsidRDefault="00AE4A04" w14:paraId="2952E03E" w14:textId="102BC044">
      <w:pPr>
        <w:pStyle w:val="NumberedBullet"/>
        <w:numPr>
          <w:ilvl w:val="0"/>
          <w:numId w:val="0"/>
        </w:numPr>
        <w:ind w:left="360"/>
      </w:pPr>
      <w:r w:rsidRPr="00383149">
        <w:rPr>
          <w:b/>
        </w:rPr>
        <w:t>Participant focus group</w:t>
      </w:r>
      <w:r>
        <w:rPr>
          <w:b/>
        </w:rPr>
        <w:t xml:space="preserve"> information form</w:t>
      </w:r>
      <w:r w:rsidRPr="00383149">
        <w:rPr>
          <w:b/>
        </w:rPr>
        <w:t xml:space="preserve">. </w:t>
      </w:r>
      <w:r w:rsidRPr="00E703A0">
        <w:t>Forms will be administered with participants at the start of each focus group.</w:t>
      </w:r>
      <w:r>
        <w:t xml:space="preserve"> </w:t>
      </w:r>
      <w:r w:rsidRPr="00383149">
        <w:t xml:space="preserve"> Each </w:t>
      </w:r>
      <w:r>
        <w:t>form</w:t>
      </w:r>
      <w:r w:rsidRPr="00383149">
        <w:t xml:space="preserve"> will take </w:t>
      </w:r>
      <w:r>
        <w:t>5</w:t>
      </w:r>
      <w:r w:rsidRPr="00383149">
        <w:t xml:space="preserve"> minutes to complete. Five participants are expected to participate at each of the 12 sites visited, for a total of 60 respondents (5 participants × 12 grantees). The total burden is </w:t>
      </w:r>
      <w:r>
        <w:t>5</w:t>
      </w:r>
      <w:r w:rsidRPr="00383149">
        <w:t xml:space="preserve"> hours (60 respondents) × </w:t>
      </w:r>
      <w:r>
        <w:t>5/60</w:t>
      </w:r>
      <w:r w:rsidRPr="00383149">
        <w:t xml:space="preserve"> hours); the annualized burden is </w:t>
      </w:r>
      <w:r>
        <w:t>2</w:t>
      </w:r>
      <w:r w:rsidRPr="00383149">
        <w:t xml:space="preserve"> hours</w:t>
      </w:r>
      <w:r w:rsidRPr="00846B77">
        <w:t>.</w:t>
      </w:r>
      <w:r>
        <w:t xml:space="preserve"> </w:t>
      </w:r>
    </w:p>
    <w:p w:rsidR="00542944" w:rsidP="00B324C5" w:rsidRDefault="00EC2325" w14:paraId="6286ACF4" w14:textId="7F8D317E">
      <w:pPr>
        <w:pStyle w:val="NumberedBullet"/>
        <w:numPr>
          <w:ilvl w:val="0"/>
          <w:numId w:val="0"/>
        </w:numPr>
        <w:ind w:left="360"/>
        <w:sectPr w:rsidR="00542944" w:rsidSect="00FA1BE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Pr>
          <w:b/>
        </w:rPr>
        <w:t>P</w:t>
      </w:r>
      <w:r w:rsidR="00E175AA">
        <w:rPr>
          <w:b/>
        </w:rPr>
        <w:t>rogram stakeholder interviews</w:t>
      </w:r>
      <w:r>
        <w:rPr>
          <w:b/>
        </w:rPr>
        <w:t xml:space="preserve"> (telephone)</w:t>
      </w:r>
      <w:r w:rsidR="00E175AA">
        <w:rPr>
          <w:b/>
        </w:rPr>
        <w:t xml:space="preserve">. </w:t>
      </w:r>
      <w:r w:rsidRPr="00E703A0" w:rsidR="00E175AA">
        <w:t xml:space="preserve">Grantee and partner staff interviews will be conducted via telephone for 11 </w:t>
      </w:r>
      <w:r w:rsidRPr="00E175AA" w:rsidR="00E175AA">
        <w:t>grantees</w:t>
      </w:r>
      <w:r w:rsidRPr="00E703A0" w:rsidR="00E175AA">
        <w:t>.</w:t>
      </w:r>
      <w:r w:rsidRPr="00E175AA" w:rsidR="00E175AA">
        <w:t xml:space="preserve"> The telephone interviews will take 120 minutes to complete. Two grantee staff and 2 partner staff are expected for each phone call, for an overall total of 4 stakeholders. The total burden for phone interviews is 88 hours (</w:t>
      </w:r>
      <w:r w:rsidR="004E48E1">
        <w:t>4 stakeholders x 11 grantees</w:t>
      </w:r>
      <w:r w:rsidRPr="00E175AA" w:rsidR="00E175AA">
        <w:t xml:space="preserve"> × 120/60 hours); the annualized burden is 29 hours.</w:t>
      </w:r>
    </w:p>
    <w:p w:rsidR="00F16715" w:rsidP="00931AB6" w:rsidRDefault="00F16715" w14:paraId="3E9A2300" w14:textId="63F90020">
      <w:pPr>
        <w:pStyle w:val="NumberedBullet"/>
        <w:numPr>
          <w:ilvl w:val="0"/>
          <w:numId w:val="0"/>
        </w:numPr>
        <w:ind w:left="360" w:firstLine="270"/>
      </w:pPr>
    </w:p>
    <w:p w:rsidR="00F63B73" w:rsidP="00F63B73" w:rsidRDefault="00F63B73" w14:paraId="142DC7E8" w14:textId="24A9FEFC">
      <w:pPr>
        <w:pStyle w:val="MarkforTableTitle"/>
      </w:pPr>
      <w:r>
        <w:t xml:space="preserve">Table A.3. Estimated Annualized Respondent Hour and Cost Burden </w:t>
      </w:r>
    </w:p>
    <w:tbl>
      <w:tblPr>
        <w:tblStyle w:val="SMPRTableBlack"/>
        <w:tblW w:w="5670" w:type="pct"/>
        <w:tblInd w:w="-450" w:type="dxa"/>
        <w:tblLayout w:type="fixed"/>
        <w:tblLook w:val="0000" w:firstRow="0" w:lastRow="0" w:firstColumn="0" w:lastColumn="0" w:noHBand="0" w:noVBand="0"/>
      </w:tblPr>
      <w:tblGrid>
        <w:gridCol w:w="2993"/>
        <w:gridCol w:w="1869"/>
        <w:gridCol w:w="1746"/>
        <w:gridCol w:w="1746"/>
        <w:gridCol w:w="1620"/>
        <w:gridCol w:w="1496"/>
        <w:gridCol w:w="1493"/>
        <w:gridCol w:w="1734"/>
      </w:tblGrid>
      <w:tr w:rsidRPr="00C62A6D" w:rsidR="00592A4A" w:rsidTr="00A83EF6" w14:paraId="526CB00F" w14:textId="77777777">
        <w:tc>
          <w:tcPr>
            <w:tcW w:w="1018" w:type="pct"/>
            <w:tcBorders>
              <w:top w:val="single" w:color="auto" w:sz="12" w:space="0"/>
              <w:bottom w:val="single" w:color="auto" w:sz="4" w:space="0"/>
            </w:tcBorders>
            <w:shd w:val="clear" w:color="auto" w:fill="6C6F70"/>
          </w:tcPr>
          <w:p w:rsidRPr="00C62A6D" w:rsidR="00037B93" w:rsidP="00737D0F" w:rsidRDefault="00037B93" w14:paraId="3B5AD617" w14:textId="77777777">
            <w:pPr>
              <w:pStyle w:val="TableHeaderLeft"/>
              <w:jc w:val="center"/>
            </w:pPr>
            <w:r w:rsidRPr="00C62A6D">
              <w:t>Data Collection Activity</w:t>
            </w:r>
          </w:p>
        </w:tc>
        <w:tc>
          <w:tcPr>
            <w:tcW w:w="636" w:type="pct"/>
            <w:tcBorders>
              <w:top w:val="single" w:color="auto" w:sz="12" w:space="0"/>
              <w:bottom w:val="single" w:color="auto" w:sz="4" w:space="0"/>
            </w:tcBorders>
            <w:shd w:val="clear" w:color="auto" w:fill="6C6F70"/>
          </w:tcPr>
          <w:p w:rsidRPr="00C62A6D" w:rsidR="00037B93" w:rsidP="00737D0F" w:rsidRDefault="003A5858" w14:paraId="2D9568FD" w14:textId="66B0B51E">
            <w:pPr>
              <w:pStyle w:val="TableHeaderCenter"/>
            </w:pPr>
            <w:r>
              <w:t>N</w:t>
            </w:r>
            <w:r w:rsidRPr="00C62A6D" w:rsidR="00037B93">
              <w:t>umber of respondents</w:t>
            </w:r>
          </w:p>
        </w:tc>
        <w:tc>
          <w:tcPr>
            <w:tcW w:w="594" w:type="pct"/>
            <w:tcBorders>
              <w:top w:val="single" w:color="auto" w:sz="12" w:space="0"/>
              <w:bottom w:val="single" w:color="auto" w:sz="4" w:space="0"/>
            </w:tcBorders>
            <w:shd w:val="clear" w:color="auto" w:fill="6C6F70"/>
          </w:tcPr>
          <w:p w:rsidRPr="00C62A6D" w:rsidR="00037B93" w:rsidP="00737D0F" w:rsidRDefault="00037B93" w14:paraId="57E96DB4" w14:textId="77777777">
            <w:pPr>
              <w:pStyle w:val="TableHeaderCenter"/>
            </w:pPr>
            <w:r w:rsidRPr="00C62A6D">
              <w:t>Number of responses per respondent</w:t>
            </w:r>
          </w:p>
        </w:tc>
        <w:tc>
          <w:tcPr>
            <w:tcW w:w="594" w:type="pct"/>
            <w:tcBorders>
              <w:top w:val="single" w:color="auto" w:sz="12" w:space="0"/>
              <w:bottom w:val="single" w:color="auto" w:sz="4" w:space="0"/>
            </w:tcBorders>
            <w:shd w:val="clear" w:color="auto" w:fill="6C6F70"/>
          </w:tcPr>
          <w:p w:rsidRPr="00C62A6D" w:rsidR="00037B93" w:rsidP="008F20DD" w:rsidRDefault="00037B93" w14:paraId="31226A48" w14:textId="7E263AD6">
            <w:pPr>
              <w:pStyle w:val="TableHeaderCenter"/>
            </w:pPr>
            <w:r w:rsidRPr="00C62A6D">
              <w:t xml:space="preserve">Total </w:t>
            </w:r>
            <w:r w:rsidR="008F20DD">
              <w:t>n</w:t>
            </w:r>
            <w:r w:rsidRPr="00C62A6D">
              <w:t xml:space="preserve">umber of </w:t>
            </w:r>
            <w:r w:rsidR="008F20DD">
              <w:t>r</w:t>
            </w:r>
            <w:r w:rsidRPr="00C62A6D">
              <w:t>esponses</w:t>
            </w:r>
          </w:p>
        </w:tc>
        <w:tc>
          <w:tcPr>
            <w:tcW w:w="551" w:type="pct"/>
            <w:tcBorders>
              <w:top w:val="single" w:color="auto" w:sz="12" w:space="0"/>
              <w:bottom w:val="single" w:color="auto" w:sz="4" w:space="0"/>
            </w:tcBorders>
            <w:shd w:val="clear" w:color="auto" w:fill="6C6F70"/>
          </w:tcPr>
          <w:p w:rsidRPr="00C62A6D" w:rsidR="00037B93" w:rsidP="008F20DD" w:rsidRDefault="00037B93" w14:paraId="10542879" w14:textId="1BAC2AD7">
            <w:pPr>
              <w:pStyle w:val="TableHeaderCenter"/>
            </w:pPr>
            <w:r w:rsidRPr="00C62A6D">
              <w:t xml:space="preserve">Average burden per response (in </w:t>
            </w:r>
            <w:r w:rsidR="008F20DD">
              <w:t>h</w:t>
            </w:r>
            <w:r w:rsidRPr="00C62A6D">
              <w:t>ours)</w:t>
            </w:r>
          </w:p>
        </w:tc>
        <w:tc>
          <w:tcPr>
            <w:tcW w:w="509" w:type="pct"/>
            <w:tcBorders>
              <w:top w:val="single" w:color="auto" w:sz="12" w:space="0"/>
              <w:bottom w:val="single" w:color="auto" w:sz="4" w:space="0"/>
            </w:tcBorders>
            <w:shd w:val="clear" w:color="auto" w:fill="6C6F70"/>
          </w:tcPr>
          <w:p w:rsidRPr="00C62A6D" w:rsidR="00037B93" w:rsidP="00737D0F" w:rsidRDefault="00037B93" w14:paraId="07A1550B" w14:textId="77777777">
            <w:pPr>
              <w:pStyle w:val="TableHeaderCenter"/>
            </w:pPr>
            <w:r w:rsidRPr="00C62A6D">
              <w:t>Annual</w:t>
            </w:r>
            <w:r w:rsidRPr="00C62A6D">
              <w:br/>
              <w:t>estimated burden hours</w:t>
            </w:r>
          </w:p>
        </w:tc>
        <w:tc>
          <w:tcPr>
            <w:tcW w:w="508" w:type="pct"/>
            <w:tcBorders>
              <w:top w:val="single" w:color="auto" w:sz="12" w:space="0"/>
              <w:bottom w:val="single" w:color="auto" w:sz="4" w:space="0"/>
            </w:tcBorders>
            <w:shd w:val="clear" w:color="auto" w:fill="6C6F70"/>
          </w:tcPr>
          <w:p w:rsidRPr="00C62A6D" w:rsidR="00037B93" w:rsidP="00A36079" w:rsidRDefault="00037B93" w14:paraId="53484B7B" w14:textId="0D3F270F">
            <w:pPr>
              <w:pStyle w:val="TableHeaderCenter"/>
            </w:pPr>
            <w:r w:rsidRPr="00C62A6D">
              <w:t xml:space="preserve">Average hourly </w:t>
            </w:r>
            <w:r w:rsidRPr="00C62A6D" w:rsidR="00F707EE">
              <w:rPr>
                <w:vertAlign w:val="superscript"/>
              </w:rPr>
              <w:t>a</w:t>
            </w:r>
          </w:p>
        </w:tc>
        <w:tc>
          <w:tcPr>
            <w:tcW w:w="590" w:type="pct"/>
            <w:tcBorders>
              <w:top w:val="single" w:color="auto" w:sz="12" w:space="0"/>
              <w:bottom w:val="single" w:color="auto" w:sz="4" w:space="0"/>
            </w:tcBorders>
            <w:shd w:val="clear" w:color="auto" w:fill="6C6F70"/>
          </w:tcPr>
          <w:p w:rsidRPr="00C62A6D" w:rsidR="00037B93" w:rsidP="00737D0F" w:rsidRDefault="00037B93" w14:paraId="17848846" w14:textId="77777777">
            <w:pPr>
              <w:pStyle w:val="TableHeaderCenter"/>
            </w:pPr>
            <w:r w:rsidRPr="00C62A6D">
              <w:t>Annual monetized burden hours</w:t>
            </w:r>
          </w:p>
        </w:tc>
      </w:tr>
      <w:tr w:rsidRPr="00C62A6D" w:rsidR="00542944" w:rsidTr="00383149" w14:paraId="2E21690C" w14:textId="77777777">
        <w:tc>
          <w:tcPr>
            <w:tcW w:w="1018" w:type="pct"/>
            <w:tcBorders>
              <w:top w:val="single" w:color="auto" w:sz="4" w:space="0"/>
              <w:bottom w:val="nil"/>
            </w:tcBorders>
            <w:vAlign w:val="top"/>
          </w:tcPr>
          <w:p w:rsidRPr="00383149" w:rsidR="00542944" w:rsidP="00542944" w:rsidRDefault="00542944" w14:paraId="2EAB05FE" w14:textId="7CD71AB1">
            <w:pPr>
              <w:pStyle w:val="TableText"/>
              <w:spacing w:before="60" w:after="60"/>
            </w:pPr>
            <w:r w:rsidRPr="00FE5F08">
              <w:t>Semi-structured program stakeholder interviews (in-person)</w:t>
            </w:r>
          </w:p>
        </w:tc>
        <w:tc>
          <w:tcPr>
            <w:tcW w:w="636" w:type="pct"/>
            <w:tcBorders>
              <w:top w:val="single" w:color="auto" w:sz="4" w:space="0"/>
              <w:bottom w:val="nil"/>
            </w:tcBorders>
            <w:vAlign w:val="top"/>
          </w:tcPr>
          <w:p w:rsidRPr="00383149" w:rsidR="00542944" w:rsidRDefault="00F663F2" w14:paraId="2C1646CA" w14:textId="06F131E8">
            <w:pPr>
              <w:pStyle w:val="TableText"/>
              <w:spacing w:before="60" w:after="60"/>
              <w:ind w:right="144"/>
              <w:jc w:val="center"/>
            </w:pPr>
            <w:r>
              <w:t>4</w:t>
            </w:r>
            <w:r w:rsidR="00584173">
              <w:t>0</w:t>
            </w:r>
          </w:p>
        </w:tc>
        <w:tc>
          <w:tcPr>
            <w:tcW w:w="594" w:type="pct"/>
            <w:tcBorders>
              <w:top w:val="single" w:color="auto" w:sz="4" w:space="0"/>
              <w:bottom w:val="nil"/>
            </w:tcBorders>
            <w:vAlign w:val="top"/>
          </w:tcPr>
          <w:p w:rsidRPr="00383149" w:rsidR="00542944" w:rsidRDefault="00F663F2" w14:paraId="6DA67132" w14:textId="1D5FAE77">
            <w:pPr>
              <w:pStyle w:val="TableText"/>
              <w:spacing w:before="60" w:after="60"/>
              <w:ind w:right="144"/>
              <w:jc w:val="center"/>
            </w:pPr>
            <w:r>
              <w:t>1</w:t>
            </w:r>
          </w:p>
        </w:tc>
        <w:tc>
          <w:tcPr>
            <w:tcW w:w="594" w:type="pct"/>
            <w:tcBorders>
              <w:top w:val="single" w:color="auto" w:sz="4" w:space="0"/>
              <w:bottom w:val="nil"/>
            </w:tcBorders>
            <w:vAlign w:val="top"/>
          </w:tcPr>
          <w:p w:rsidRPr="00383149" w:rsidR="00542944" w:rsidRDefault="00F663F2" w14:paraId="255185C0" w14:textId="4A3A0A4F">
            <w:pPr>
              <w:pStyle w:val="TableText"/>
              <w:spacing w:before="60" w:after="60"/>
              <w:ind w:right="144"/>
              <w:jc w:val="center"/>
            </w:pPr>
            <w:r>
              <w:t>4</w:t>
            </w:r>
            <w:r w:rsidR="00584173">
              <w:t>0</w:t>
            </w:r>
          </w:p>
        </w:tc>
        <w:tc>
          <w:tcPr>
            <w:tcW w:w="551" w:type="pct"/>
            <w:tcBorders>
              <w:top w:val="single" w:color="auto" w:sz="4" w:space="0"/>
              <w:bottom w:val="nil"/>
            </w:tcBorders>
            <w:vAlign w:val="top"/>
          </w:tcPr>
          <w:p w:rsidRPr="00383149" w:rsidR="00542944" w:rsidP="00584173" w:rsidRDefault="00E96DB1" w14:paraId="4384D085" w14:textId="241FC93A">
            <w:pPr>
              <w:pStyle w:val="TableText"/>
              <w:spacing w:before="60" w:after="60"/>
              <w:ind w:right="144"/>
              <w:jc w:val="center"/>
            </w:pPr>
            <w:r>
              <w:t>7</w:t>
            </w:r>
            <w:r w:rsidR="00584173">
              <w:t>5</w:t>
            </w:r>
            <w:r>
              <w:t>/60</w:t>
            </w:r>
          </w:p>
        </w:tc>
        <w:tc>
          <w:tcPr>
            <w:tcW w:w="509" w:type="pct"/>
            <w:tcBorders>
              <w:top w:val="single" w:color="auto" w:sz="4" w:space="0"/>
              <w:bottom w:val="nil"/>
            </w:tcBorders>
            <w:vAlign w:val="top"/>
          </w:tcPr>
          <w:p w:rsidRPr="00383149" w:rsidR="00542944" w:rsidRDefault="00E96DB1" w14:paraId="594059E1" w14:textId="1386B51D">
            <w:pPr>
              <w:pStyle w:val="TableText"/>
              <w:spacing w:before="60" w:after="60"/>
              <w:ind w:right="144"/>
              <w:jc w:val="center"/>
            </w:pPr>
            <w:r>
              <w:t>5</w:t>
            </w:r>
            <w:r w:rsidR="00584173">
              <w:t>0</w:t>
            </w:r>
          </w:p>
        </w:tc>
        <w:tc>
          <w:tcPr>
            <w:tcW w:w="508" w:type="pct"/>
            <w:tcBorders>
              <w:top w:val="single" w:color="auto" w:sz="4" w:space="0"/>
              <w:bottom w:val="nil"/>
            </w:tcBorders>
            <w:vAlign w:val="top"/>
          </w:tcPr>
          <w:p w:rsidRPr="00383149" w:rsidR="00542944" w:rsidDel="00584494" w:rsidP="005C3024" w:rsidRDefault="00E96DB1" w14:paraId="14C4E53B" w14:textId="21960D12">
            <w:pPr>
              <w:pStyle w:val="TableText"/>
              <w:spacing w:before="60" w:after="60"/>
              <w:ind w:right="144"/>
              <w:jc w:val="center"/>
            </w:pPr>
            <w:r w:rsidRPr="00E96DB1">
              <w:t>$</w:t>
            </w:r>
            <w:r w:rsidR="00FC66A8">
              <w:t>45.36</w:t>
            </w:r>
          </w:p>
        </w:tc>
        <w:tc>
          <w:tcPr>
            <w:tcW w:w="590" w:type="pct"/>
            <w:tcBorders>
              <w:top w:val="single" w:color="auto" w:sz="4" w:space="0"/>
              <w:bottom w:val="nil"/>
            </w:tcBorders>
            <w:vAlign w:val="top"/>
          </w:tcPr>
          <w:p w:rsidRPr="00383149" w:rsidR="00542944" w:rsidRDefault="00E96DB1" w14:paraId="609ACFC3" w14:textId="4BB885A5">
            <w:pPr>
              <w:pStyle w:val="TableText"/>
              <w:spacing w:before="60" w:after="60"/>
              <w:ind w:right="144"/>
              <w:jc w:val="center"/>
            </w:pPr>
            <w:r>
              <w:t>$2,</w:t>
            </w:r>
            <w:r w:rsidR="00584173">
              <w:t>268</w:t>
            </w:r>
          </w:p>
        </w:tc>
      </w:tr>
      <w:tr w:rsidRPr="00C62A6D" w:rsidR="00AB6706" w:rsidTr="00A83EF6" w14:paraId="0DA0D2B0" w14:textId="6EAC4702">
        <w:tc>
          <w:tcPr>
            <w:tcW w:w="1018" w:type="pct"/>
            <w:tcBorders>
              <w:top w:val="single" w:color="auto" w:sz="4" w:space="0"/>
              <w:bottom w:val="nil"/>
            </w:tcBorders>
            <w:vAlign w:val="top"/>
          </w:tcPr>
          <w:p w:rsidRPr="00FE5F08" w:rsidR="00AB6706" w:rsidP="00761AE1" w:rsidRDefault="00AB6706" w14:paraId="77601888" w14:textId="4EBBD026">
            <w:pPr>
              <w:pStyle w:val="TableText"/>
              <w:spacing w:before="60" w:after="60"/>
            </w:pPr>
            <w:r w:rsidRPr="00FE5F08">
              <w:t xml:space="preserve">Employer </w:t>
            </w:r>
            <w:r w:rsidR="00584173">
              <w:t>interviews</w:t>
            </w:r>
          </w:p>
        </w:tc>
        <w:tc>
          <w:tcPr>
            <w:tcW w:w="636" w:type="pct"/>
            <w:tcBorders>
              <w:top w:val="single" w:color="auto" w:sz="4" w:space="0"/>
              <w:bottom w:val="nil"/>
            </w:tcBorders>
            <w:vAlign w:val="top"/>
          </w:tcPr>
          <w:p w:rsidR="00AB6706" w:rsidRDefault="00AB6706" w14:paraId="3C9A2453" w14:textId="00EBE41C">
            <w:pPr>
              <w:pStyle w:val="TableText"/>
              <w:spacing w:before="60" w:after="60"/>
              <w:ind w:right="144"/>
              <w:jc w:val="center"/>
              <w:rPr>
                <w:rFonts w:cs="Arial"/>
                <w:color w:val="000000"/>
                <w:szCs w:val="18"/>
              </w:rPr>
            </w:pPr>
            <w:r>
              <w:rPr>
                <w:rFonts w:cs="Arial"/>
                <w:color w:val="000000"/>
                <w:szCs w:val="18"/>
              </w:rPr>
              <w:t>8</w:t>
            </w:r>
          </w:p>
        </w:tc>
        <w:tc>
          <w:tcPr>
            <w:tcW w:w="594" w:type="pct"/>
            <w:tcBorders>
              <w:top w:val="single" w:color="auto" w:sz="4" w:space="0"/>
              <w:bottom w:val="nil"/>
            </w:tcBorders>
            <w:vAlign w:val="top"/>
          </w:tcPr>
          <w:p w:rsidR="00AB6706" w:rsidP="00AB6706" w:rsidRDefault="00AB6706" w14:paraId="00705501" w14:textId="451C30ED">
            <w:pPr>
              <w:pStyle w:val="TableText"/>
              <w:spacing w:before="60" w:after="60"/>
              <w:ind w:right="144"/>
              <w:jc w:val="center"/>
              <w:rPr>
                <w:rFonts w:cs="Arial"/>
                <w:color w:val="000000"/>
                <w:szCs w:val="18"/>
              </w:rPr>
            </w:pPr>
            <w:r>
              <w:rPr>
                <w:rFonts w:cs="Arial"/>
                <w:color w:val="000000"/>
                <w:szCs w:val="18"/>
              </w:rPr>
              <w:t>1</w:t>
            </w:r>
          </w:p>
        </w:tc>
        <w:tc>
          <w:tcPr>
            <w:tcW w:w="594" w:type="pct"/>
            <w:tcBorders>
              <w:top w:val="single" w:color="auto" w:sz="4" w:space="0"/>
              <w:bottom w:val="nil"/>
            </w:tcBorders>
            <w:vAlign w:val="top"/>
          </w:tcPr>
          <w:p w:rsidR="00AB6706" w:rsidP="00AB6706" w:rsidRDefault="00AB6706" w14:paraId="7079BA76" w14:textId="749ABF7D">
            <w:pPr>
              <w:pStyle w:val="TableText"/>
              <w:spacing w:before="60" w:after="60"/>
              <w:ind w:right="144"/>
              <w:jc w:val="center"/>
              <w:rPr>
                <w:rFonts w:cs="Arial"/>
                <w:color w:val="000000"/>
                <w:szCs w:val="18"/>
              </w:rPr>
            </w:pPr>
            <w:r>
              <w:rPr>
                <w:rFonts w:cs="Arial"/>
                <w:color w:val="000000"/>
                <w:szCs w:val="18"/>
              </w:rPr>
              <w:t>8</w:t>
            </w:r>
          </w:p>
        </w:tc>
        <w:tc>
          <w:tcPr>
            <w:tcW w:w="551" w:type="pct"/>
            <w:tcBorders>
              <w:top w:val="single" w:color="auto" w:sz="4" w:space="0"/>
              <w:bottom w:val="nil"/>
            </w:tcBorders>
            <w:vAlign w:val="top"/>
          </w:tcPr>
          <w:p w:rsidR="00AB6706" w:rsidP="00AB6706" w:rsidRDefault="00AB6706" w14:paraId="08F33C6E" w14:textId="6B9FD692">
            <w:pPr>
              <w:pStyle w:val="TableText"/>
              <w:spacing w:before="60" w:after="60"/>
              <w:ind w:right="144"/>
              <w:jc w:val="center"/>
              <w:rPr>
                <w:rFonts w:cs="Arial"/>
                <w:color w:val="000000"/>
                <w:szCs w:val="18"/>
              </w:rPr>
            </w:pPr>
            <w:r>
              <w:rPr>
                <w:rFonts w:cs="Arial"/>
                <w:color w:val="000000"/>
                <w:szCs w:val="18"/>
              </w:rPr>
              <w:t>60/60</w:t>
            </w:r>
          </w:p>
        </w:tc>
        <w:tc>
          <w:tcPr>
            <w:tcW w:w="509" w:type="pct"/>
            <w:tcBorders>
              <w:top w:val="single" w:color="auto" w:sz="4" w:space="0"/>
              <w:bottom w:val="nil"/>
            </w:tcBorders>
            <w:vAlign w:val="top"/>
          </w:tcPr>
          <w:p w:rsidR="00AB6706" w:rsidRDefault="00AB6706" w14:paraId="7661F4D7" w14:textId="6FB11CE3">
            <w:pPr>
              <w:pStyle w:val="TableText"/>
              <w:spacing w:before="60" w:after="60"/>
              <w:ind w:right="144"/>
              <w:jc w:val="center"/>
              <w:rPr>
                <w:rFonts w:cs="Arial"/>
                <w:color w:val="000000"/>
                <w:szCs w:val="18"/>
              </w:rPr>
            </w:pPr>
            <w:r>
              <w:rPr>
                <w:rFonts w:cs="Arial"/>
                <w:color w:val="000000"/>
                <w:szCs w:val="18"/>
              </w:rPr>
              <w:t>8</w:t>
            </w:r>
          </w:p>
        </w:tc>
        <w:tc>
          <w:tcPr>
            <w:tcW w:w="508" w:type="pct"/>
            <w:tcBorders>
              <w:top w:val="single" w:color="auto" w:sz="4" w:space="0"/>
              <w:bottom w:val="nil"/>
            </w:tcBorders>
            <w:vAlign w:val="top"/>
          </w:tcPr>
          <w:p w:rsidR="00AB6706" w:rsidP="00AB6706" w:rsidRDefault="00584173" w14:paraId="26FAD4BE" w14:textId="162D0E4F">
            <w:pPr>
              <w:pStyle w:val="TableText"/>
              <w:spacing w:before="60" w:after="60"/>
              <w:ind w:right="144"/>
              <w:jc w:val="center"/>
              <w:rPr>
                <w:rFonts w:cs="Arial"/>
                <w:color w:val="000000"/>
                <w:szCs w:val="18"/>
              </w:rPr>
            </w:pPr>
            <w:r w:rsidRPr="00584173">
              <w:rPr>
                <w:rFonts w:cs="Arial"/>
                <w:color w:val="000000"/>
                <w:szCs w:val="18"/>
              </w:rPr>
              <w:t>$45.36</w:t>
            </w:r>
          </w:p>
        </w:tc>
        <w:tc>
          <w:tcPr>
            <w:tcW w:w="590" w:type="pct"/>
            <w:tcBorders>
              <w:top w:val="single" w:color="auto" w:sz="4" w:space="0"/>
              <w:bottom w:val="nil"/>
            </w:tcBorders>
            <w:vAlign w:val="top"/>
          </w:tcPr>
          <w:p w:rsidR="00AB6706" w:rsidRDefault="00AB6706" w14:paraId="7FC04194" w14:textId="4D09A7D1">
            <w:pPr>
              <w:pStyle w:val="TableText"/>
              <w:spacing w:before="60" w:after="60"/>
              <w:ind w:right="144"/>
              <w:jc w:val="center"/>
              <w:rPr>
                <w:rFonts w:cs="Arial"/>
                <w:color w:val="000000"/>
                <w:szCs w:val="18"/>
              </w:rPr>
            </w:pPr>
            <w:r>
              <w:rPr>
                <w:rFonts w:cs="Arial"/>
                <w:color w:val="000000"/>
                <w:szCs w:val="18"/>
              </w:rPr>
              <w:t>$</w:t>
            </w:r>
            <w:r w:rsidR="00584173">
              <w:rPr>
                <w:rFonts w:cs="Arial"/>
                <w:color w:val="000000"/>
                <w:szCs w:val="18"/>
              </w:rPr>
              <w:t>363</w:t>
            </w:r>
          </w:p>
        </w:tc>
      </w:tr>
      <w:tr w:rsidRPr="00C62A6D" w:rsidR="00A83EF6" w:rsidTr="00383149" w14:paraId="5498EA8C" w14:textId="77777777">
        <w:tc>
          <w:tcPr>
            <w:tcW w:w="1018" w:type="pct"/>
            <w:tcBorders>
              <w:top w:val="single" w:color="auto" w:sz="4" w:space="0"/>
              <w:bottom w:val="nil"/>
            </w:tcBorders>
            <w:vAlign w:val="top"/>
          </w:tcPr>
          <w:p w:rsidRPr="00C62A6D" w:rsidR="00A83EF6" w:rsidP="00A83EF6" w:rsidRDefault="00A83EF6" w14:paraId="73D90412" w14:textId="0A971636">
            <w:pPr>
              <w:pStyle w:val="TableText"/>
              <w:spacing w:before="60" w:after="60"/>
            </w:pPr>
            <w:r w:rsidRPr="00FE5F08">
              <w:t>Participant focus groups</w:t>
            </w:r>
          </w:p>
        </w:tc>
        <w:tc>
          <w:tcPr>
            <w:tcW w:w="636" w:type="pct"/>
            <w:tcBorders>
              <w:top w:val="single" w:color="auto" w:sz="4" w:space="0"/>
              <w:bottom w:val="nil"/>
            </w:tcBorders>
            <w:vAlign w:val="top"/>
          </w:tcPr>
          <w:p w:rsidRPr="00C62A6D" w:rsidR="00A83EF6" w:rsidRDefault="00A83EF6" w14:paraId="677E0FD0" w14:textId="0677DB1D">
            <w:pPr>
              <w:pStyle w:val="TableText"/>
              <w:spacing w:before="60" w:after="60"/>
              <w:ind w:right="144"/>
              <w:jc w:val="center"/>
            </w:pPr>
            <w:r>
              <w:rPr>
                <w:rFonts w:cs="Arial"/>
                <w:color w:val="000000"/>
                <w:szCs w:val="18"/>
              </w:rPr>
              <w:t>20</w:t>
            </w:r>
          </w:p>
        </w:tc>
        <w:tc>
          <w:tcPr>
            <w:tcW w:w="594" w:type="pct"/>
            <w:tcBorders>
              <w:top w:val="single" w:color="auto" w:sz="4" w:space="0"/>
              <w:bottom w:val="nil"/>
            </w:tcBorders>
            <w:vAlign w:val="top"/>
          </w:tcPr>
          <w:p w:rsidRPr="00C62A6D" w:rsidR="00A83EF6" w:rsidRDefault="00A83EF6" w14:paraId="6A318057" w14:textId="4B8C74D3">
            <w:pPr>
              <w:pStyle w:val="TableText"/>
              <w:spacing w:before="60" w:after="60"/>
              <w:ind w:right="144"/>
              <w:jc w:val="center"/>
            </w:pPr>
            <w:r>
              <w:rPr>
                <w:rFonts w:cs="Arial"/>
                <w:color w:val="000000"/>
                <w:szCs w:val="18"/>
              </w:rPr>
              <w:t>1</w:t>
            </w:r>
          </w:p>
        </w:tc>
        <w:tc>
          <w:tcPr>
            <w:tcW w:w="594" w:type="pct"/>
            <w:tcBorders>
              <w:top w:val="single" w:color="auto" w:sz="4" w:space="0"/>
              <w:bottom w:val="nil"/>
            </w:tcBorders>
            <w:vAlign w:val="top"/>
          </w:tcPr>
          <w:p w:rsidRPr="00C62A6D" w:rsidR="00A83EF6" w:rsidRDefault="00A83EF6" w14:paraId="08158B63" w14:textId="3F1DA760">
            <w:pPr>
              <w:pStyle w:val="TableText"/>
              <w:spacing w:before="60" w:after="60"/>
              <w:ind w:right="144"/>
              <w:jc w:val="center"/>
            </w:pPr>
            <w:r>
              <w:rPr>
                <w:rFonts w:cs="Arial"/>
                <w:color w:val="000000"/>
                <w:szCs w:val="18"/>
              </w:rPr>
              <w:t>20</w:t>
            </w:r>
          </w:p>
        </w:tc>
        <w:tc>
          <w:tcPr>
            <w:tcW w:w="551" w:type="pct"/>
            <w:tcBorders>
              <w:top w:val="single" w:color="auto" w:sz="4" w:space="0"/>
              <w:bottom w:val="nil"/>
            </w:tcBorders>
            <w:vAlign w:val="top"/>
          </w:tcPr>
          <w:p w:rsidRPr="00C62A6D" w:rsidR="00A83EF6" w:rsidRDefault="00A83EF6" w14:paraId="3D90F928" w14:textId="22B1E312">
            <w:pPr>
              <w:pStyle w:val="TableText"/>
              <w:spacing w:before="60" w:after="60"/>
              <w:ind w:right="144"/>
              <w:jc w:val="center"/>
            </w:pPr>
            <w:r>
              <w:rPr>
                <w:rFonts w:cs="Arial"/>
                <w:color w:val="000000"/>
                <w:szCs w:val="18"/>
              </w:rPr>
              <w:t>90/60</w:t>
            </w:r>
          </w:p>
        </w:tc>
        <w:tc>
          <w:tcPr>
            <w:tcW w:w="509" w:type="pct"/>
            <w:tcBorders>
              <w:top w:val="single" w:color="auto" w:sz="4" w:space="0"/>
              <w:bottom w:val="nil"/>
            </w:tcBorders>
            <w:vAlign w:val="top"/>
          </w:tcPr>
          <w:p w:rsidRPr="00C62A6D" w:rsidR="00A83EF6" w:rsidRDefault="00A83EF6" w14:paraId="7DB3431A" w14:textId="6FAADE6C">
            <w:pPr>
              <w:pStyle w:val="TableText"/>
              <w:spacing w:before="60" w:after="60"/>
              <w:ind w:right="144"/>
              <w:jc w:val="center"/>
            </w:pPr>
            <w:r>
              <w:rPr>
                <w:rFonts w:cs="Arial"/>
                <w:color w:val="000000"/>
                <w:szCs w:val="18"/>
              </w:rPr>
              <w:t>30</w:t>
            </w:r>
          </w:p>
        </w:tc>
        <w:tc>
          <w:tcPr>
            <w:tcW w:w="508" w:type="pct"/>
            <w:tcBorders>
              <w:top w:val="single" w:color="auto" w:sz="4" w:space="0"/>
              <w:bottom w:val="nil"/>
            </w:tcBorders>
            <w:vAlign w:val="top"/>
          </w:tcPr>
          <w:p w:rsidRPr="00C62A6D" w:rsidR="00A83EF6" w:rsidP="005C3024" w:rsidRDefault="00A83EF6" w14:paraId="612238E6" w14:textId="598AB1A2">
            <w:pPr>
              <w:pStyle w:val="TableText"/>
              <w:spacing w:before="60" w:after="60"/>
              <w:ind w:right="144"/>
              <w:jc w:val="center"/>
            </w:pPr>
            <w:r>
              <w:rPr>
                <w:rFonts w:cs="Arial"/>
                <w:color w:val="000000"/>
                <w:szCs w:val="18"/>
              </w:rPr>
              <w:t>$18.</w:t>
            </w:r>
            <w:r w:rsidR="00855090">
              <w:rPr>
                <w:rFonts w:cs="Arial"/>
                <w:color w:val="000000"/>
                <w:szCs w:val="18"/>
              </w:rPr>
              <w:t>58</w:t>
            </w:r>
          </w:p>
        </w:tc>
        <w:tc>
          <w:tcPr>
            <w:tcW w:w="590" w:type="pct"/>
            <w:tcBorders>
              <w:top w:val="single" w:color="auto" w:sz="4" w:space="0"/>
              <w:bottom w:val="nil"/>
            </w:tcBorders>
            <w:vAlign w:val="top"/>
          </w:tcPr>
          <w:p w:rsidRPr="00C62A6D" w:rsidR="00A83EF6" w:rsidRDefault="00A83EF6" w14:paraId="78EDC484" w14:textId="0923B931">
            <w:pPr>
              <w:pStyle w:val="TableText"/>
              <w:spacing w:before="60" w:after="60"/>
              <w:ind w:right="144"/>
              <w:jc w:val="center"/>
            </w:pPr>
            <w:r>
              <w:rPr>
                <w:rFonts w:cs="Arial"/>
                <w:color w:val="000000"/>
                <w:szCs w:val="18"/>
              </w:rPr>
              <w:t>$</w:t>
            </w:r>
            <w:r w:rsidR="00FC66A8">
              <w:rPr>
                <w:rFonts w:cs="Arial"/>
                <w:color w:val="000000"/>
                <w:szCs w:val="18"/>
              </w:rPr>
              <w:t>557</w:t>
            </w:r>
          </w:p>
        </w:tc>
      </w:tr>
      <w:tr w:rsidRPr="00C62A6D" w:rsidR="00AE4A04" w:rsidTr="00383149" w14:paraId="6889921E" w14:textId="77777777">
        <w:tc>
          <w:tcPr>
            <w:tcW w:w="1018" w:type="pct"/>
            <w:tcBorders>
              <w:top w:val="single" w:color="auto" w:sz="4" w:space="0"/>
              <w:bottom w:val="nil"/>
            </w:tcBorders>
            <w:vAlign w:val="top"/>
          </w:tcPr>
          <w:p w:rsidRPr="00FE5F08" w:rsidR="00AE4A04" w:rsidP="00A83EF6" w:rsidRDefault="00AE4A04" w14:paraId="3C799CE2" w14:textId="00B772A0">
            <w:pPr>
              <w:pStyle w:val="TableText"/>
              <w:spacing w:before="60" w:after="60"/>
            </w:pPr>
            <w:r>
              <w:t>Participant focus group information form</w:t>
            </w:r>
          </w:p>
        </w:tc>
        <w:tc>
          <w:tcPr>
            <w:tcW w:w="636" w:type="pct"/>
            <w:tcBorders>
              <w:top w:val="single" w:color="auto" w:sz="4" w:space="0"/>
              <w:bottom w:val="nil"/>
            </w:tcBorders>
            <w:vAlign w:val="top"/>
          </w:tcPr>
          <w:p w:rsidR="00AE4A04" w:rsidRDefault="00AE4A04" w14:paraId="2084582E" w14:textId="3A844C44">
            <w:pPr>
              <w:pStyle w:val="TableText"/>
              <w:spacing w:before="60" w:after="60"/>
              <w:ind w:right="144"/>
              <w:jc w:val="center"/>
              <w:rPr>
                <w:rFonts w:cs="Arial"/>
                <w:color w:val="000000"/>
                <w:szCs w:val="18"/>
              </w:rPr>
            </w:pPr>
            <w:r>
              <w:rPr>
                <w:rFonts w:cs="Arial"/>
                <w:color w:val="000000"/>
                <w:szCs w:val="18"/>
              </w:rPr>
              <w:t>20</w:t>
            </w:r>
          </w:p>
        </w:tc>
        <w:tc>
          <w:tcPr>
            <w:tcW w:w="594" w:type="pct"/>
            <w:tcBorders>
              <w:top w:val="single" w:color="auto" w:sz="4" w:space="0"/>
              <w:bottom w:val="nil"/>
            </w:tcBorders>
            <w:vAlign w:val="top"/>
          </w:tcPr>
          <w:p w:rsidR="00AE4A04" w:rsidRDefault="00AE4A04" w14:paraId="10379A88" w14:textId="78094D16">
            <w:pPr>
              <w:pStyle w:val="TableText"/>
              <w:spacing w:before="60" w:after="60"/>
              <w:ind w:right="144"/>
              <w:jc w:val="center"/>
              <w:rPr>
                <w:rFonts w:cs="Arial"/>
                <w:color w:val="000000"/>
                <w:szCs w:val="18"/>
              </w:rPr>
            </w:pPr>
            <w:r>
              <w:rPr>
                <w:rFonts w:cs="Arial"/>
                <w:color w:val="000000"/>
                <w:szCs w:val="18"/>
              </w:rPr>
              <w:t>1</w:t>
            </w:r>
          </w:p>
        </w:tc>
        <w:tc>
          <w:tcPr>
            <w:tcW w:w="594" w:type="pct"/>
            <w:tcBorders>
              <w:top w:val="single" w:color="auto" w:sz="4" w:space="0"/>
              <w:bottom w:val="nil"/>
            </w:tcBorders>
            <w:vAlign w:val="top"/>
          </w:tcPr>
          <w:p w:rsidR="00AE4A04" w:rsidRDefault="00AE4A04" w14:paraId="40300143" w14:textId="006EA0C7">
            <w:pPr>
              <w:pStyle w:val="TableText"/>
              <w:spacing w:before="60" w:after="60"/>
              <w:ind w:right="144"/>
              <w:jc w:val="center"/>
              <w:rPr>
                <w:rFonts w:cs="Arial"/>
                <w:color w:val="000000"/>
                <w:szCs w:val="18"/>
              </w:rPr>
            </w:pPr>
            <w:r>
              <w:rPr>
                <w:rFonts w:cs="Arial"/>
                <w:color w:val="000000"/>
                <w:szCs w:val="18"/>
              </w:rPr>
              <w:t>20</w:t>
            </w:r>
          </w:p>
        </w:tc>
        <w:tc>
          <w:tcPr>
            <w:tcW w:w="551" w:type="pct"/>
            <w:tcBorders>
              <w:top w:val="single" w:color="auto" w:sz="4" w:space="0"/>
              <w:bottom w:val="nil"/>
            </w:tcBorders>
            <w:vAlign w:val="top"/>
          </w:tcPr>
          <w:p w:rsidR="00AE4A04" w:rsidRDefault="00AE4A04" w14:paraId="0CAD477A" w14:textId="6BD18C69">
            <w:pPr>
              <w:pStyle w:val="TableText"/>
              <w:spacing w:before="60" w:after="60"/>
              <w:ind w:right="144"/>
              <w:jc w:val="center"/>
              <w:rPr>
                <w:rFonts w:cs="Arial"/>
                <w:color w:val="000000"/>
                <w:szCs w:val="18"/>
              </w:rPr>
            </w:pPr>
            <w:r>
              <w:rPr>
                <w:rFonts w:cs="Arial"/>
                <w:color w:val="000000"/>
                <w:szCs w:val="18"/>
              </w:rPr>
              <w:t>5/60</w:t>
            </w:r>
          </w:p>
        </w:tc>
        <w:tc>
          <w:tcPr>
            <w:tcW w:w="509" w:type="pct"/>
            <w:tcBorders>
              <w:top w:val="single" w:color="auto" w:sz="4" w:space="0"/>
              <w:bottom w:val="nil"/>
            </w:tcBorders>
            <w:vAlign w:val="top"/>
          </w:tcPr>
          <w:p w:rsidR="00AE4A04" w:rsidRDefault="00AE4A04" w14:paraId="6E9BC884" w14:textId="2F1A9E21">
            <w:pPr>
              <w:pStyle w:val="TableText"/>
              <w:spacing w:before="60" w:after="60"/>
              <w:ind w:right="144"/>
              <w:jc w:val="center"/>
              <w:rPr>
                <w:rFonts w:cs="Arial"/>
                <w:color w:val="000000"/>
                <w:szCs w:val="18"/>
              </w:rPr>
            </w:pPr>
            <w:r>
              <w:rPr>
                <w:rFonts w:cs="Arial"/>
                <w:color w:val="000000"/>
                <w:szCs w:val="18"/>
              </w:rPr>
              <w:t>2</w:t>
            </w:r>
          </w:p>
        </w:tc>
        <w:tc>
          <w:tcPr>
            <w:tcW w:w="508" w:type="pct"/>
            <w:tcBorders>
              <w:top w:val="single" w:color="auto" w:sz="4" w:space="0"/>
              <w:bottom w:val="nil"/>
            </w:tcBorders>
            <w:vAlign w:val="top"/>
          </w:tcPr>
          <w:p w:rsidR="00AE4A04" w:rsidP="005C3024" w:rsidRDefault="00AE4A04" w14:paraId="69686ECE" w14:textId="38CD71E3">
            <w:pPr>
              <w:pStyle w:val="TableText"/>
              <w:spacing w:before="60" w:after="60"/>
              <w:ind w:right="144"/>
              <w:jc w:val="center"/>
              <w:rPr>
                <w:rFonts w:cs="Arial"/>
                <w:color w:val="000000"/>
                <w:szCs w:val="18"/>
              </w:rPr>
            </w:pPr>
            <w:r w:rsidRPr="00AE4A04">
              <w:rPr>
                <w:rFonts w:cs="Arial"/>
                <w:color w:val="000000"/>
                <w:szCs w:val="18"/>
              </w:rPr>
              <w:t>$18.</w:t>
            </w:r>
            <w:r w:rsidR="00855090">
              <w:rPr>
                <w:rFonts w:cs="Arial"/>
                <w:color w:val="000000"/>
                <w:szCs w:val="18"/>
              </w:rPr>
              <w:t>58</w:t>
            </w:r>
          </w:p>
        </w:tc>
        <w:tc>
          <w:tcPr>
            <w:tcW w:w="590" w:type="pct"/>
            <w:tcBorders>
              <w:top w:val="single" w:color="auto" w:sz="4" w:space="0"/>
              <w:bottom w:val="nil"/>
            </w:tcBorders>
            <w:vAlign w:val="top"/>
          </w:tcPr>
          <w:p w:rsidR="00AE4A04" w:rsidRDefault="00AE4A04" w14:paraId="666FC29B" w14:textId="774A50B8">
            <w:pPr>
              <w:pStyle w:val="TableText"/>
              <w:spacing w:before="60" w:after="60"/>
              <w:ind w:right="144"/>
              <w:jc w:val="center"/>
              <w:rPr>
                <w:rFonts w:cs="Arial"/>
                <w:color w:val="000000"/>
                <w:szCs w:val="18"/>
              </w:rPr>
            </w:pPr>
            <w:r>
              <w:rPr>
                <w:rFonts w:cs="Arial"/>
                <w:color w:val="000000"/>
                <w:szCs w:val="18"/>
              </w:rPr>
              <w:t>$3</w:t>
            </w:r>
            <w:r w:rsidR="00CE2B09">
              <w:rPr>
                <w:rFonts w:cs="Arial"/>
                <w:color w:val="000000"/>
                <w:szCs w:val="18"/>
              </w:rPr>
              <w:t>7</w:t>
            </w:r>
          </w:p>
        </w:tc>
      </w:tr>
      <w:tr w:rsidRPr="00C62A6D" w:rsidR="00542944" w:rsidTr="00383149" w14:paraId="11BCE1B4" w14:textId="77777777">
        <w:tc>
          <w:tcPr>
            <w:tcW w:w="1018" w:type="pct"/>
            <w:tcBorders>
              <w:top w:val="single" w:color="auto" w:sz="4" w:space="0"/>
              <w:bottom w:val="nil"/>
            </w:tcBorders>
            <w:vAlign w:val="top"/>
          </w:tcPr>
          <w:p w:rsidRPr="00C62A6D" w:rsidR="00542944" w:rsidP="00542944" w:rsidRDefault="00542944" w14:paraId="01ED7CEC" w14:textId="613BD7C8">
            <w:pPr>
              <w:pStyle w:val="TableText"/>
              <w:spacing w:before="60" w:after="60"/>
            </w:pPr>
            <w:r w:rsidRPr="00FE5F08">
              <w:t>Semi-structured program stakeholder interviews (telephone)</w:t>
            </w:r>
          </w:p>
        </w:tc>
        <w:tc>
          <w:tcPr>
            <w:tcW w:w="636" w:type="pct"/>
            <w:tcBorders>
              <w:top w:val="single" w:color="auto" w:sz="4" w:space="0"/>
              <w:bottom w:val="nil"/>
            </w:tcBorders>
            <w:vAlign w:val="top"/>
          </w:tcPr>
          <w:p w:rsidRPr="00C62A6D" w:rsidR="00542944" w:rsidRDefault="00855090" w14:paraId="0EDE290D" w14:textId="21E4A7EB">
            <w:pPr>
              <w:pStyle w:val="TableText"/>
              <w:spacing w:before="60" w:after="60"/>
              <w:ind w:right="144"/>
              <w:jc w:val="center"/>
            </w:pPr>
            <w:r>
              <w:t>15</w:t>
            </w:r>
          </w:p>
        </w:tc>
        <w:tc>
          <w:tcPr>
            <w:tcW w:w="594" w:type="pct"/>
            <w:tcBorders>
              <w:top w:val="single" w:color="auto" w:sz="4" w:space="0"/>
              <w:bottom w:val="nil"/>
            </w:tcBorders>
            <w:vAlign w:val="top"/>
          </w:tcPr>
          <w:p w:rsidRPr="00C62A6D" w:rsidR="00542944" w:rsidRDefault="00855090" w14:paraId="7BD99DDB" w14:textId="710B4677">
            <w:pPr>
              <w:pStyle w:val="TableText"/>
              <w:spacing w:before="60" w:after="60"/>
              <w:ind w:right="144"/>
              <w:jc w:val="center"/>
            </w:pPr>
            <w:r>
              <w:t>1</w:t>
            </w:r>
          </w:p>
        </w:tc>
        <w:tc>
          <w:tcPr>
            <w:tcW w:w="594" w:type="pct"/>
            <w:tcBorders>
              <w:top w:val="single" w:color="auto" w:sz="4" w:space="0"/>
              <w:bottom w:val="nil"/>
            </w:tcBorders>
            <w:vAlign w:val="top"/>
          </w:tcPr>
          <w:p w:rsidRPr="00C62A6D" w:rsidR="00542944" w:rsidRDefault="00855090" w14:paraId="6689CBFF" w14:textId="5C0A961C">
            <w:pPr>
              <w:pStyle w:val="TableText"/>
              <w:spacing w:before="60" w:after="60"/>
              <w:ind w:right="144"/>
              <w:jc w:val="center"/>
            </w:pPr>
            <w:r>
              <w:t>15</w:t>
            </w:r>
          </w:p>
        </w:tc>
        <w:tc>
          <w:tcPr>
            <w:tcW w:w="551" w:type="pct"/>
            <w:tcBorders>
              <w:top w:val="single" w:color="auto" w:sz="4" w:space="0"/>
              <w:bottom w:val="nil"/>
            </w:tcBorders>
            <w:vAlign w:val="top"/>
          </w:tcPr>
          <w:p w:rsidRPr="00C62A6D" w:rsidR="00542944" w:rsidRDefault="00855090" w14:paraId="4F63F623" w14:textId="548B6CB2">
            <w:pPr>
              <w:pStyle w:val="TableText"/>
              <w:spacing w:before="60" w:after="60"/>
              <w:ind w:right="144"/>
              <w:jc w:val="center"/>
            </w:pPr>
            <w:r>
              <w:t>120/60</w:t>
            </w:r>
          </w:p>
        </w:tc>
        <w:tc>
          <w:tcPr>
            <w:tcW w:w="509" w:type="pct"/>
            <w:tcBorders>
              <w:top w:val="single" w:color="auto" w:sz="4" w:space="0"/>
              <w:bottom w:val="nil"/>
            </w:tcBorders>
            <w:vAlign w:val="top"/>
          </w:tcPr>
          <w:p w:rsidRPr="00C62A6D" w:rsidR="00542944" w:rsidRDefault="00855090" w14:paraId="48E68A43" w14:textId="1D2D870E">
            <w:pPr>
              <w:pStyle w:val="TableText"/>
              <w:spacing w:before="60" w:after="60"/>
              <w:ind w:right="144"/>
              <w:jc w:val="center"/>
            </w:pPr>
            <w:r>
              <w:t>30</w:t>
            </w:r>
          </w:p>
        </w:tc>
        <w:tc>
          <w:tcPr>
            <w:tcW w:w="508" w:type="pct"/>
            <w:tcBorders>
              <w:top w:val="single" w:color="auto" w:sz="4" w:space="0"/>
              <w:bottom w:val="nil"/>
            </w:tcBorders>
            <w:vAlign w:val="top"/>
          </w:tcPr>
          <w:p w:rsidRPr="00C62A6D" w:rsidR="00542944" w:rsidRDefault="00855090" w14:paraId="4F52F53F" w14:textId="735B5E08">
            <w:pPr>
              <w:pStyle w:val="TableText"/>
              <w:spacing w:before="60" w:after="60"/>
              <w:ind w:right="144"/>
              <w:jc w:val="center"/>
            </w:pPr>
            <w:r w:rsidRPr="00855090">
              <w:t>$</w:t>
            </w:r>
            <w:r w:rsidRPr="00FC66A8" w:rsidR="00FC66A8">
              <w:t>45.36</w:t>
            </w:r>
          </w:p>
        </w:tc>
        <w:tc>
          <w:tcPr>
            <w:tcW w:w="590" w:type="pct"/>
            <w:tcBorders>
              <w:top w:val="single" w:color="auto" w:sz="4" w:space="0"/>
              <w:bottom w:val="nil"/>
            </w:tcBorders>
            <w:vAlign w:val="top"/>
          </w:tcPr>
          <w:p w:rsidRPr="00C62A6D" w:rsidR="00542944" w:rsidRDefault="00855090" w14:paraId="3C97419C" w14:textId="76A2DBD4">
            <w:pPr>
              <w:pStyle w:val="TableText"/>
              <w:spacing w:before="60" w:after="60"/>
              <w:ind w:right="144"/>
              <w:jc w:val="center"/>
            </w:pPr>
            <w:r>
              <w:t>$1,3</w:t>
            </w:r>
            <w:r w:rsidR="00FC66A8">
              <w:t>61</w:t>
            </w:r>
          </w:p>
        </w:tc>
      </w:tr>
      <w:tr w:rsidRPr="0094551C" w:rsidR="00A83EF6" w:rsidTr="00383149" w14:paraId="75C5A527" w14:textId="77777777">
        <w:tc>
          <w:tcPr>
            <w:tcW w:w="1018" w:type="pct"/>
            <w:tcBorders>
              <w:top w:val="single" w:color="auto" w:sz="4" w:space="0"/>
              <w:bottom w:val="single" w:color="auto" w:sz="4" w:space="0"/>
            </w:tcBorders>
            <w:vAlign w:val="center"/>
          </w:tcPr>
          <w:p w:rsidRPr="00383149" w:rsidR="00A83EF6" w:rsidP="00A83EF6" w:rsidRDefault="00A83EF6" w14:paraId="268CBD7F" w14:textId="77777777">
            <w:pPr>
              <w:pStyle w:val="TableText"/>
              <w:tabs>
                <w:tab w:val="decimal" w:pos="489"/>
              </w:tabs>
              <w:spacing w:before="60" w:after="60"/>
              <w:rPr>
                <w:b/>
              </w:rPr>
            </w:pPr>
            <w:r w:rsidRPr="00383149">
              <w:rPr>
                <w:b/>
              </w:rPr>
              <w:t>Unduplicated Total</w:t>
            </w:r>
          </w:p>
        </w:tc>
        <w:tc>
          <w:tcPr>
            <w:tcW w:w="636" w:type="pct"/>
            <w:tcBorders>
              <w:top w:val="single" w:color="auto" w:sz="4" w:space="0"/>
              <w:bottom w:val="single" w:color="auto" w:sz="4" w:space="0"/>
            </w:tcBorders>
            <w:vAlign w:val="top"/>
          </w:tcPr>
          <w:p w:rsidRPr="00383149" w:rsidR="00A83EF6" w:rsidRDefault="00297415" w14:paraId="5AB02A1F" w14:textId="60D8599C">
            <w:pPr>
              <w:pStyle w:val="TableText"/>
              <w:spacing w:before="60" w:after="60"/>
              <w:ind w:right="144"/>
              <w:jc w:val="center"/>
              <w:rPr>
                <w:b/>
              </w:rPr>
            </w:pPr>
            <w:r>
              <w:rPr>
                <w:rFonts w:cs="Arial"/>
                <w:b/>
                <w:bCs/>
                <w:color w:val="000000"/>
                <w:szCs w:val="18"/>
              </w:rPr>
              <w:t>103</w:t>
            </w:r>
          </w:p>
        </w:tc>
        <w:tc>
          <w:tcPr>
            <w:tcW w:w="594" w:type="pct"/>
            <w:tcBorders>
              <w:top w:val="single" w:color="auto" w:sz="4" w:space="0"/>
              <w:bottom w:val="single" w:color="auto" w:sz="4" w:space="0"/>
            </w:tcBorders>
            <w:vAlign w:val="top"/>
          </w:tcPr>
          <w:p w:rsidRPr="00383149" w:rsidR="00A83EF6" w:rsidP="00383149" w:rsidRDefault="00A83EF6" w14:paraId="334CBAF6" w14:textId="1312FC0B">
            <w:pPr>
              <w:pStyle w:val="TableText"/>
              <w:spacing w:before="60" w:after="60"/>
              <w:ind w:right="144"/>
              <w:jc w:val="center"/>
              <w:rPr>
                <w:rFonts w:cs="Arial"/>
                <w:color w:val="000000"/>
                <w:szCs w:val="18"/>
              </w:rPr>
            </w:pPr>
            <w:r w:rsidRPr="00383149">
              <w:rPr>
                <w:rFonts w:cs="Arial"/>
                <w:color w:val="000000"/>
                <w:szCs w:val="18"/>
              </w:rPr>
              <w:t>--</w:t>
            </w:r>
          </w:p>
        </w:tc>
        <w:tc>
          <w:tcPr>
            <w:tcW w:w="594" w:type="pct"/>
            <w:tcBorders>
              <w:top w:val="single" w:color="auto" w:sz="4" w:space="0"/>
              <w:bottom w:val="single" w:color="auto" w:sz="4" w:space="0"/>
            </w:tcBorders>
            <w:vAlign w:val="top"/>
          </w:tcPr>
          <w:p w:rsidRPr="00383149" w:rsidR="00A83EF6" w:rsidP="00297415" w:rsidRDefault="00297415" w14:paraId="21AD2D1C" w14:textId="66F2B0C7">
            <w:pPr>
              <w:pStyle w:val="TableText"/>
              <w:spacing w:before="60" w:after="60"/>
              <w:ind w:right="144"/>
              <w:jc w:val="center"/>
              <w:rPr>
                <w:rFonts w:cs="Arial"/>
                <w:b/>
                <w:color w:val="000000"/>
                <w:szCs w:val="18"/>
              </w:rPr>
            </w:pPr>
            <w:r>
              <w:rPr>
                <w:rFonts w:cs="Arial"/>
                <w:b/>
                <w:color w:val="000000"/>
                <w:szCs w:val="18"/>
              </w:rPr>
              <w:t>103</w:t>
            </w:r>
          </w:p>
        </w:tc>
        <w:tc>
          <w:tcPr>
            <w:tcW w:w="551" w:type="pct"/>
            <w:tcBorders>
              <w:top w:val="single" w:color="auto" w:sz="4" w:space="0"/>
              <w:bottom w:val="single" w:color="auto" w:sz="4" w:space="0"/>
            </w:tcBorders>
            <w:vAlign w:val="top"/>
          </w:tcPr>
          <w:p w:rsidRPr="00383149" w:rsidR="00A83EF6" w:rsidP="00383149" w:rsidRDefault="00A83EF6" w14:paraId="0BA8586D" w14:textId="77777777">
            <w:pPr>
              <w:pStyle w:val="TableText"/>
              <w:spacing w:before="60" w:after="60"/>
              <w:ind w:right="144"/>
              <w:jc w:val="center"/>
              <w:rPr>
                <w:rFonts w:cs="Arial"/>
                <w:b/>
                <w:color w:val="000000"/>
                <w:szCs w:val="18"/>
              </w:rPr>
            </w:pPr>
          </w:p>
        </w:tc>
        <w:tc>
          <w:tcPr>
            <w:tcW w:w="509" w:type="pct"/>
            <w:tcBorders>
              <w:top w:val="single" w:color="auto" w:sz="4" w:space="0"/>
              <w:bottom w:val="single" w:color="auto" w:sz="4" w:space="0"/>
            </w:tcBorders>
            <w:vAlign w:val="top"/>
          </w:tcPr>
          <w:p w:rsidRPr="00383149" w:rsidR="00A83EF6" w:rsidRDefault="00855090" w14:paraId="54550B7D" w14:textId="0774ACD8">
            <w:pPr>
              <w:pStyle w:val="TableText"/>
              <w:spacing w:before="60" w:after="60"/>
              <w:ind w:right="144"/>
              <w:jc w:val="center"/>
              <w:rPr>
                <w:rFonts w:cs="Arial"/>
                <w:b/>
                <w:color w:val="000000"/>
                <w:szCs w:val="18"/>
              </w:rPr>
            </w:pPr>
            <w:r w:rsidRPr="00383149">
              <w:rPr>
                <w:rFonts w:cs="Arial"/>
                <w:b/>
                <w:color w:val="000000"/>
                <w:szCs w:val="18"/>
              </w:rPr>
              <w:t>1</w:t>
            </w:r>
            <w:r w:rsidR="000F5B10">
              <w:rPr>
                <w:rFonts w:cs="Arial"/>
                <w:b/>
                <w:color w:val="000000"/>
                <w:szCs w:val="18"/>
              </w:rPr>
              <w:t>20</w:t>
            </w:r>
          </w:p>
        </w:tc>
        <w:tc>
          <w:tcPr>
            <w:tcW w:w="508" w:type="pct"/>
            <w:tcBorders>
              <w:top w:val="single" w:color="auto" w:sz="4" w:space="0"/>
              <w:bottom w:val="single" w:color="auto" w:sz="4" w:space="0"/>
            </w:tcBorders>
            <w:vAlign w:val="top"/>
          </w:tcPr>
          <w:p w:rsidRPr="00383149" w:rsidR="00A83EF6" w:rsidP="00383149" w:rsidRDefault="00A83EF6" w14:paraId="5DA69599" w14:textId="77777777">
            <w:pPr>
              <w:pStyle w:val="TableText"/>
              <w:spacing w:before="60" w:after="60"/>
              <w:ind w:right="144"/>
              <w:jc w:val="center"/>
              <w:rPr>
                <w:rFonts w:cs="Arial"/>
                <w:b/>
                <w:color w:val="000000"/>
                <w:szCs w:val="18"/>
              </w:rPr>
            </w:pPr>
          </w:p>
        </w:tc>
        <w:tc>
          <w:tcPr>
            <w:tcW w:w="590" w:type="pct"/>
            <w:tcBorders>
              <w:top w:val="single" w:color="auto" w:sz="4" w:space="0"/>
              <w:bottom w:val="single" w:color="auto" w:sz="4" w:space="0"/>
            </w:tcBorders>
            <w:vAlign w:val="top"/>
          </w:tcPr>
          <w:p w:rsidRPr="00383149" w:rsidR="00A83EF6" w:rsidRDefault="00FA7514" w14:paraId="5AC5EA98" w14:textId="7E5C7B2F">
            <w:pPr>
              <w:pStyle w:val="TableText"/>
              <w:spacing w:before="60" w:after="60"/>
              <w:ind w:right="144"/>
              <w:jc w:val="center"/>
              <w:rPr>
                <w:rFonts w:cs="Arial"/>
                <w:b/>
                <w:color w:val="000000"/>
                <w:szCs w:val="18"/>
              </w:rPr>
            </w:pPr>
            <w:r w:rsidRPr="00383149">
              <w:rPr>
                <w:rFonts w:cs="Arial"/>
                <w:b/>
                <w:color w:val="000000"/>
                <w:szCs w:val="18"/>
              </w:rPr>
              <w:t>$</w:t>
            </w:r>
            <w:r w:rsidRPr="00383149" w:rsidR="00A83EF6">
              <w:rPr>
                <w:rFonts w:cs="Arial"/>
                <w:b/>
                <w:color w:val="000000"/>
                <w:szCs w:val="18"/>
              </w:rPr>
              <w:t>4,</w:t>
            </w:r>
            <w:r w:rsidRPr="00383149" w:rsidR="00702F3A">
              <w:rPr>
                <w:rFonts w:cs="Arial"/>
                <w:b/>
                <w:color w:val="000000"/>
                <w:szCs w:val="18"/>
              </w:rPr>
              <w:t xml:space="preserve"> </w:t>
            </w:r>
            <w:r w:rsidR="000F5B10">
              <w:rPr>
                <w:rFonts w:cs="Arial"/>
                <w:b/>
                <w:color w:val="000000"/>
                <w:szCs w:val="18"/>
              </w:rPr>
              <w:t>586</w:t>
            </w:r>
            <w:r w:rsidRPr="00383149" w:rsidR="00855090">
              <w:rPr>
                <w:rFonts w:cs="Arial"/>
                <w:b/>
                <w:color w:val="000000"/>
                <w:szCs w:val="18"/>
              </w:rPr>
              <w:t xml:space="preserve"> </w:t>
            </w:r>
          </w:p>
        </w:tc>
      </w:tr>
    </w:tbl>
    <w:p w:rsidR="00B9456E" w:rsidP="00542944" w:rsidRDefault="00F707EE" w14:paraId="6B4741AC" w14:textId="39A882C2">
      <w:pPr>
        <w:pStyle w:val="TableFootnoteCaption"/>
        <w:sectPr w:rsidR="00B9456E" w:rsidSect="00383149">
          <w:pgSz w:w="15840" w:h="12240" w:orient="landscape"/>
          <w:pgMar w:top="1440" w:right="1440" w:bottom="1440" w:left="1440" w:header="720" w:footer="720" w:gutter="0"/>
          <w:cols w:space="720"/>
          <w:titlePg/>
          <w:docGrid w:linePitch="360"/>
        </w:sectPr>
      </w:pPr>
      <w:r>
        <w:rPr>
          <w:color w:val="000000"/>
          <w:vertAlign w:val="superscript"/>
        </w:rPr>
        <w:t>a</w:t>
      </w:r>
      <w:r w:rsidRPr="00866174" w:rsidR="00F63B73">
        <w:rPr>
          <w:color w:val="000000"/>
          <w:vertAlign w:val="superscript"/>
        </w:rPr>
        <w:t xml:space="preserve"> </w:t>
      </w:r>
      <w:r w:rsidRPr="00866174" w:rsidR="00F63B73">
        <w:t xml:space="preserve">The hourly wage of </w:t>
      </w:r>
      <w:r w:rsidRPr="003D75A0">
        <w:t>$</w:t>
      </w:r>
      <w:r w:rsidR="00584173">
        <w:t>45.36</w:t>
      </w:r>
      <w:r w:rsidRPr="00866174">
        <w:t xml:space="preserve"> is the May </w:t>
      </w:r>
      <w:r w:rsidRPr="00866174" w:rsidR="00FC66A8">
        <w:t>201</w:t>
      </w:r>
      <w:r w:rsidR="00FC66A8">
        <w:t>8</w:t>
      </w:r>
      <w:r w:rsidRPr="00866174" w:rsidR="00FC66A8">
        <w:t xml:space="preserve"> </w:t>
      </w:r>
      <w:r w:rsidRPr="00866174">
        <w:t xml:space="preserve">median wage across Education </w:t>
      </w:r>
      <w:r>
        <w:t>Administrators</w:t>
      </w:r>
      <w:r w:rsidR="00D35FA2">
        <w:t>, Postsecondary</w:t>
      </w:r>
      <w:r w:rsidRPr="00866174" w:rsidR="00F63B73">
        <w:t xml:space="preserve"> </w:t>
      </w:r>
      <w:r w:rsidR="00F63B73">
        <w:t xml:space="preserve">(see </w:t>
      </w:r>
      <w:hyperlink w:history="1" r:id="rId15">
        <w:r w:rsidRPr="00866174" w:rsidR="00F63B73">
          <w:rPr>
            <w:color w:val="0000FF"/>
            <w:u w:val="single"/>
          </w:rPr>
          <w:t>http://www.bls.gov/oes/current/oes_nat.htm</w:t>
        </w:r>
      </w:hyperlink>
      <w:r w:rsidRPr="003D75A0" w:rsidR="00F63B73">
        <w:t>)</w:t>
      </w:r>
      <w:r w:rsidR="00B37146">
        <w:t>; $</w:t>
      </w:r>
      <w:r w:rsidRPr="00B37146" w:rsidR="00B37146">
        <w:t>1</w:t>
      </w:r>
      <w:r w:rsidR="00B37146">
        <w:t>8.</w:t>
      </w:r>
      <w:r w:rsidR="00855090">
        <w:t>58</w:t>
      </w:r>
      <w:r w:rsidRPr="00B37146" w:rsidR="00855090">
        <w:t xml:space="preserve"> </w:t>
      </w:r>
      <w:r w:rsidRPr="00B37146" w:rsidR="00B37146">
        <w:t xml:space="preserve">is the May </w:t>
      </w:r>
      <w:r w:rsidRPr="00B37146" w:rsidR="00855090">
        <w:t>201</w:t>
      </w:r>
      <w:r w:rsidR="00855090">
        <w:t>8</w:t>
      </w:r>
      <w:r w:rsidRPr="00B37146" w:rsidR="00855090">
        <w:t xml:space="preserve"> </w:t>
      </w:r>
      <w:r w:rsidRPr="00B37146" w:rsidR="00B37146">
        <w:t>median wage across all occupations in the United States</w:t>
      </w:r>
    </w:p>
    <w:p w:rsidRPr="001C47A2" w:rsidR="00F63B73" w:rsidP="00383149" w:rsidRDefault="00F63B73" w14:paraId="1CC858D6" w14:textId="4BDFFF05">
      <w:pPr>
        <w:pStyle w:val="TableFootnoteCaption"/>
      </w:pPr>
    </w:p>
    <w:p w:rsidRPr="0021159E" w:rsidR="00871FB8" w:rsidP="005C45D4" w:rsidRDefault="006D108A" w14:paraId="3E5C78DF" w14:textId="11AF2C7B">
      <w:pPr>
        <w:pStyle w:val="H3Alpha"/>
        <w:ind w:left="0" w:firstLine="0"/>
        <w:rPr>
          <w:rFonts w:ascii="Times New Roman" w:hAnsi="Times New Roman"/>
          <w:i/>
        </w:rPr>
      </w:pPr>
      <w:r w:rsidRPr="002042DF">
        <w:t xml:space="preserve">13. </w:t>
      </w:r>
      <w:r w:rsidRPr="00946B48" w:rsidR="005455E1">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072E64" w:rsidP="00072E64" w:rsidRDefault="00072E64" w14:paraId="5ABCA6D7"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1391" w:rsidR="00072E64" w:rsidP="00072E64" w:rsidRDefault="00072E64" w14:paraId="12595B3A" w14:textId="77777777">
      <w:pPr>
        <w:pStyle w:val="H3Alpha"/>
        <w:ind w:firstLine="0"/>
        <w:rPr>
          <w:rFonts w:ascii="Times New Roman" w:hAnsi="Times New Roman"/>
          <w:i/>
          <w:sz w:val="24"/>
        </w:rPr>
      </w:pPr>
      <w:r w:rsidRPr="00B31391">
        <w:rPr>
          <w:rFonts w:ascii="Times New Roman" w:hAnsi="Times New Roman"/>
          <w:i/>
          <w:sz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E64" w:rsidR="00072E64" w:rsidP="00072E64" w:rsidRDefault="00072E64" w14:paraId="084A2582" w14:textId="090D80BD">
      <w:pPr>
        <w:pStyle w:val="NormalSS"/>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C45D4" w:rsidR="006D108A" w:rsidP="005C45D4" w:rsidRDefault="006D108A" w14:paraId="161DF33A" w14:textId="6246419F">
      <w:pPr>
        <w:pStyle w:val="H3Alpha"/>
        <w:ind w:left="0" w:firstLine="450"/>
        <w:rPr>
          <w:rFonts w:ascii="Times New Roman" w:hAnsi="Times New Roman"/>
          <w:sz w:val="24"/>
          <w:szCs w:val="24"/>
        </w:rPr>
      </w:pPr>
      <w:r w:rsidRPr="005C45D4">
        <w:rPr>
          <w:rFonts w:ascii="Times New Roman" w:hAnsi="Times New Roman"/>
          <w:sz w:val="24"/>
          <w:szCs w:val="24"/>
        </w:rPr>
        <w:t>There are no direct costs to respondents</w:t>
      </w:r>
      <w:r w:rsidRPr="005C45D4" w:rsidR="00037B93">
        <w:rPr>
          <w:rFonts w:ascii="Times New Roman" w:hAnsi="Times New Roman"/>
          <w:sz w:val="24"/>
          <w:szCs w:val="24"/>
        </w:rPr>
        <w:t xml:space="preserve"> other than their time. </w:t>
      </w:r>
    </w:p>
    <w:p w:rsidRPr="00B75DB5" w:rsidR="00D7273E" w:rsidP="005C45D4" w:rsidRDefault="00D7273E" w14:paraId="3A6CE7C1" w14:textId="352126D1">
      <w:pPr>
        <w:pStyle w:val="H3Alpha"/>
        <w:ind w:left="0" w:firstLine="0"/>
      </w:pPr>
      <w:r w:rsidRPr="00B75DB5">
        <w:t xml:space="preserve">14. </w:t>
      </w:r>
      <w:r w:rsidRPr="00946B48" w:rsidR="005455E1">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C45D4" w:rsidR="00D7273E" w:rsidP="00B75DB5" w:rsidRDefault="00D7273E" w14:paraId="7F03AA81" w14:textId="7355995A">
      <w:pPr>
        <w:pStyle w:val="NormalSS"/>
        <w:rPr>
          <w:szCs w:val="24"/>
        </w:rPr>
      </w:pPr>
      <w:r w:rsidRPr="005C45D4">
        <w:rPr>
          <w:szCs w:val="24"/>
        </w:rPr>
        <w:t xml:space="preserve">The total </w:t>
      </w:r>
      <w:r w:rsidR="0021159E">
        <w:rPr>
          <w:szCs w:val="24"/>
        </w:rPr>
        <w:t xml:space="preserve">cost to the Federal government over three years is $427,486, and </w:t>
      </w:r>
      <w:r w:rsidRPr="005C45D4">
        <w:rPr>
          <w:szCs w:val="24"/>
        </w:rPr>
        <w:t>annualized cost to the federal government is $</w:t>
      </w:r>
      <w:r w:rsidRPr="005C45D4" w:rsidR="007D6DC4">
        <w:rPr>
          <w:szCs w:val="24"/>
        </w:rPr>
        <w:t>142,</w:t>
      </w:r>
      <w:r w:rsidRPr="005C45D4" w:rsidR="005E3769">
        <w:rPr>
          <w:szCs w:val="24"/>
        </w:rPr>
        <w:t>495</w:t>
      </w:r>
      <w:r w:rsidRPr="005C45D4">
        <w:rPr>
          <w:szCs w:val="24"/>
        </w:rPr>
        <w:t xml:space="preserve">. Costs result from the following categories: </w:t>
      </w:r>
    </w:p>
    <w:p w:rsidRPr="005C45D4" w:rsidR="005445D5" w:rsidP="00B75DB5" w:rsidRDefault="00D7273E" w14:paraId="0FB5C84D" w14:textId="2E8271BA">
      <w:pPr>
        <w:pStyle w:val="NormalSS"/>
        <w:rPr>
          <w:szCs w:val="24"/>
        </w:rPr>
      </w:pPr>
      <w:r w:rsidRPr="005C45D4">
        <w:rPr>
          <w:szCs w:val="24"/>
        </w:rPr>
        <w:t xml:space="preserve">The estimated cost to the federal government for the contractor to carry out the </w:t>
      </w:r>
      <w:r w:rsidRPr="005C45D4" w:rsidR="004161B8">
        <w:rPr>
          <w:szCs w:val="24"/>
        </w:rPr>
        <w:t xml:space="preserve">site visit </w:t>
      </w:r>
      <w:r w:rsidRPr="005C45D4" w:rsidR="00294A61">
        <w:rPr>
          <w:szCs w:val="24"/>
        </w:rPr>
        <w:t>interviews and</w:t>
      </w:r>
      <w:r w:rsidRPr="005C45D4">
        <w:rPr>
          <w:szCs w:val="24"/>
        </w:rPr>
        <w:t xml:space="preserve"> </w:t>
      </w:r>
      <w:r w:rsidRPr="005C45D4" w:rsidR="004161B8">
        <w:rPr>
          <w:szCs w:val="24"/>
        </w:rPr>
        <w:t>the telephone interviews</w:t>
      </w:r>
      <w:r w:rsidRPr="005C45D4" w:rsidR="00A4720B">
        <w:rPr>
          <w:szCs w:val="24"/>
        </w:rPr>
        <w:t xml:space="preserve"> is $368,188</w:t>
      </w:r>
      <w:r w:rsidR="0021159E">
        <w:rPr>
          <w:rStyle w:val="FootnoteReference"/>
          <w:szCs w:val="24"/>
        </w:rPr>
        <w:footnoteReference w:id="3"/>
      </w:r>
      <w:r w:rsidRPr="005C45D4" w:rsidR="00F707EE">
        <w:rPr>
          <w:szCs w:val="24"/>
        </w:rPr>
        <w:t>.</w:t>
      </w:r>
      <w:r w:rsidRPr="005C45D4">
        <w:rPr>
          <w:szCs w:val="24"/>
        </w:rPr>
        <w:t xml:space="preserve"> Annualized, this comes to $</w:t>
      </w:r>
      <w:r w:rsidRPr="005C45D4" w:rsidR="002432D3">
        <w:rPr>
          <w:szCs w:val="24"/>
        </w:rPr>
        <w:t>122,729</w:t>
      </w:r>
      <w:r w:rsidRPr="005C45D4">
        <w:rPr>
          <w:szCs w:val="24"/>
        </w:rPr>
        <w:t>:</w:t>
      </w:r>
      <w:r w:rsidRPr="005C45D4" w:rsidDel="00F16AEA" w:rsidR="00F16AEA">
        <w:rPr>
          <w:szCs w:val="24"/>
        </w:rPr>
        <w:t xml:space="preserve"> </w:t>
      </w:r>
    </w:p>
    <w:p w:rsidRPr="005C45D4" w:rsidR="00D7273E" w:rsidP="00741BEF" w:rsidRDefault="00234A99" w14:paraId="07C30DDC" w14:textId="360A3F8A">
      <w:pPr>
        <w:pStyle w:val="NormalSS"/>
        <w:ind w:firstLine="0"/>
        <w:rPr>
          <w:szCs w:val="24"/>
        </w:rPr>
      </w:pPr>
      <w:r w:rsidRPr="005C45D4">
        <w:rPr>
          <w:szCs w:val="24"/>
        </w:rPr>
        <w:t xml:space="preserve"> </w:t>
      </w:r>
      <m:oMath>
        <m:f>
          <m:fPr>
            <m:ctrlPr>
              <w:rPr>
                <w:rFonts w:ascii="Cambria Math" w:hAnsi="Cambria Math"/>
                <w:i/>
                <w:szCs w:val="24"/>
              </w:rPr>
            </m:ctrlPr>
          </m:fPr>
          <m:num>
            <m:r>
              <w:rPr>
                <w:rFonts w:ascii="Cambria Math" w:hAnsi="Cambria Math"/>
                <w:szCs w:val="24"/>
              </w:rPr>
              <m:t>$368,188</m:t>
            </m:r>
          </m:num>
          <m:den>
            <m:r>
              <w:rPr>
                <w:rFonts w:ascii="Cambria Math" w:hAnsi="Cambria Math"/>
                <w:szCs w:val="24"/>
              </w:rPr>
              <m:t>3</m:t>
            </m:r>
          </m:den>
        </m:f>
      </m:oMath>
      <w:r w:rsidRPr="005C45D4" w:rsidR="00F16AEA">
        <w:rPr>
          <w:szCs w:val="24"/>
        </w:rPr>
        <w:t xml:space="preserve"> =</w:t>
      </w:r>
      <w:r w:rsidRPr="005C45D4" w:rsidR="007C07F0">
        <w:rPr>
          <w:szCs w:val="24"/>
        </w:rPr>
        <w:t xml:space="preserve"> </w:t>
      </w:r>
      <w:r w:rsidRPr="005C45D4" w:rsidR="00F16AEA">
        <w:rPr>
          <w:szCs w:val="24"/>
        </w:rPr>
        <w:t>$</w:t>
      </w:r>
      <w:r w:rsidRPr="005C45D4" w:rsidR="002432D3">
        <w:rPr>
          <w:szCs w:val="24"/>
        </w:rPr>
        <w:t>122,729</w:t>
      </w:r>
      <w:bookmarkStart w:name="_GoBack" w:id="15"/>
      <w:bookmarkEnd w:id="15"/>
    </w:p>
    <w:p w:rsidRPr="005C45D4" w:rsidR="00C42903" w:rsidP="00C42903" w:rsidRDefault="00C42903" w14:paraId="12ACD2E2" w14:textId="53DAFA70">
      <w:pPr>
        <w:pStyle w:val="NormalSS"/>
        <w:rPr>
          <w:szCs w:val="24"/>
        </w:rPr>
      </w:pPr>
      <w:r w:rsidRPr="005C45D4">
        <w:rPr>
          <w:szCs w:val="24"/>
        </w:rPr>
        <w:t>The annual cost borne by DOL for federal technical staff to oversee the contract is estimated to be $19,</w:t>
      </w:r>
      <w:r w:rsidRPr="005C45D4" w:rsidR="00593408">
        <w:rPr>
          <w:szCs w:val="24"/>
        </w:rPr>
        <w:t>766</w:t>
      </w:r>
      <w:r w:rsidRPr="005C45D4">
        <w:rPr>
          <w:szCs w:val="24"/>
        </w:rPr>
        <w:t>. We expect the annual level of effort to perform these duties will require 200 hours for one federal GS 14 step 4 employee based in Washington, D.C., earning $</w:t>
      </w:r>
      <w:r w:rsidRPr="005C45D4" w:rsidR="00593408">
        <w:rPr>
          <w:szCs w:val="24"/>
        </w:rPr>
        <w:t>61</w:t>
      </w:r>
      <w:r w:rsidRPr="005C45D4">
        <w:rPr>
          <w:szCs w:val="24"/>
        </w:rPr>
        <w:t>.</w:t>
      </w:r>
      <w:r w:rsidRPr="005C45D4" w:rsidR="00593408">
        <w:rPr>
          <w:szCs w:val="24"/>
        </w:rPr>
        <w:t xml:space="preserve">77 </w:t>
      </w:r>
      <w:r w:rsidRPr="005C45D4">
        <w:rPr>
          <w:szCs w:val="24"/>
        </w:rPr>
        <w:t>per hour. (See Office of Personnel Management 201</w:t>
      </w:r>
      <w:r w:rsidRPr="005C45D4" w:rsidR="007D6DC4">
        <w:rPr>
          <w:szCs w:val="24"/>
        </w:rPr>
        <w:t>9</w:t>
      </w:r>
      <w:r w:rsidRPr="005C45D4">
        <w:rPr>
          <w:szCs w:val="24"/>
        </w:rPr>
        <w:t xml:space="preserve"> Hourly Salary Table at </w:t>
      </w:r>
      <w:hyperlink w:history="1" r:id="rId16">
        <w:r w:rsidRPr="005C45D4" w:rsidR="00014BB0">
          <w:rPr>
            <w:rStyle w:val="Hyperlink"/>
            <w:szCs w:val="24"/>
          </w:rPr>
          <w:t>https://www.opm.gov/policy-data-oversight/pay-leave/salaries-wages/salary-tables/pdf/2019/DCB_h.pdf</w:t>
        </w:r>
      </w:hyperlink>
      <w:r w:rsidRPr="005C45D4" w:rsidR="00014BB0">
        <w:rPr>
          <w:szCs w:val="24"/>
        </w:rPr>
        <w:t xml:space="preserve"> </w:t>
      </w:r>
      <w:r w:rsidRPr="005C45D4">
        <w:rPr>
          <w:szCs w:val="24"/>
        </w:rPr>
        <w:t>. To account for fringe benefits and other overhead costs, the agency has applied multiplication factor of 1.6:</w:t>
      </w:r>
    </w:p>
    <w:p w:rsidRPr="005C45D4" w:rsidR="00D7273E" w:rsidP="00486DFC" w:rsidRDefault="00C42903" w14:paraId="0D01982C" w14:textId="36885ECF">
      <w:pPr>
        <w:pStyle w:val="NormalSS"/>
        <w:rPr>
          <w:szCs w:val="24"/>
        </w:rPr>
      </w:pPr>
      <w:r w:rsidRPr="005C45D4">
        <w:rPr>
          <w:szCs w:val="24"/>
        </w:rPr>
        <w:t>200 hours × $6</w:t>
      </w:r>
      <w:r w:rsidRPr="005C45D4" w:rsidR="00CE2B09">
        <w:rPr>
          <w:szCs w:val="24"/>
        </w:rPr>
        <w:t>1</w:t>
      </w:r>
      <w:r w:rsidRPr="005C45D4">
        <w:rPr>
          <w:szCs w:val="24"/>
        </w:rPr>
        <w:t>.</w:t>
      </w:r>
      <w:r w:rsidRPr="005C45D4" w:rsidR="00CE2B09">
        <w:rPr>
          <w:szCs w:val="24"/>
        </w:rPr>
        <w:t>77</w:t>
      </w:r>
      <w:r w:rsidRPr="005C45D4">
        <w:rPr>
          <w:szCs w:val="24"/>
        </w:rPr>
        <w:t xml:space="preserve"> × 1.6 = $19,</w:t>
      </w:r>
      <w:r w:rsidRPr="005C45D4" w:rsidR="00593408">
        <w:rPr>
          <w:szCs w:val="24"/>
        </w:rPr>
        <w:t>766</w:t>
      </w:r>
      <w:r w:rsidRPr="005C45D4">
        <w:rPr>
          <w:szCs w:val="24"/>
        </w:rPr>
        <w:t>.</w:t>
      </w:r>
    </w:p>
    <w:p w:rsidRPr="0073236D" w:rsidR="00D7273E" w:rsidP="00486DFC" w:rsidRDefault="00D7273E" w14:paraId="11377CF2" w14:textId="2042B420">
      <w:pPr>
        <w:pStyle w:val="NormalSS"/>
        <w:rPr>
          <w:b/>
        </w:rPr>
      </w:pPr>
      <w:r w:rsidRPr="00E703A0">
        <w:rPr>
          <w:b/>
        </w:rPr>
        <w:t>Thus the total annualized federal cost is $</w:t>
      </w:r>
      <w:r w:rsidRPr="00E703A0" w:rsidR="007D6DC4">
        <w:rPr>
          <w:b/>
        </w:rPr>
        <w:t>122,729</w:t>
      </w:r>
      <w:r w:rsidRPr="00E703A0">
        <w:rPr>
          <w:b/>
        </w:rPr>
        <w:t>+ $</w:t>
      </w:r>
      <w:r w:rsidRPr="00E703A0" w:rsidR="007D6DC4">
        <w:rPr>
          <w:b/>
        </w:rPr>
        <w:t>19,</w:t>
      </w:r>
      <w:r w:rsidR="00593408">
        <w:rPr>
          <w:b/>
        </w:rPr>
        <w:t>766</w:t>
      </w:r>
      <w:r w:rsidRPr="00E703A0">
        <w:rPr>
          <w:b/>
        </w:rPr>
        <w:t>= $</w:t>
      </w:r>
      <w:r w:rsidRPr="00E703A0" w:rsidR="007D6DC4">
        <w:rPr>
          <w:b/>
        </w:rPr>
        <w:t>142,</w:t>
      </w:r>
      <w:r w:rsidR="00593408">
        <w:rPr>
          <w:b/>
        </w:rPr>
        <w:t>495</w:t>
      </w:r>
      <w:r w:rsidRPr="00E703A0">
        <w:rPr>
          <w:b/>
        </w:rPr>
        <w:t>.</w:t>
      </w:r>
    </w:p>
    <w:p w:rsidR="00871FB8" w:rsidP="005C45D4" w:rsidRDefault="00D7273E" w14:paraId="6423D4CB" w14:textId="12C684B7">
      <w:pPr>
        <w:pStyle w:val="H3Alpha"/>
        <w:ind w:left="0" w:firstLine="0"/>
        <w:rPr>
          <w:rFonts w:ascii="Times New Roman" w:hAnsi="Times New Roman"/>
          <w:i/>
        </w:rPr>
      </w:pPr>
      <w:r w:rsidRPr="00486DFC">
        <w:t xml:space="preserve">15. </w:t>
      </w:r>
      <w:r w:rsidRPr="00946B48" w:rsidR="005455E1">
        <w:rPr>
          <w:rFonts w:ascii="Times New Roman" w:hAnsi="Times New Roman"/>
          <w:i/>
        </w:rPr>
        <w:t>Explain the reasons for any program changes or adjustments reported on the burden worksheet.</w:t>
      </w:r>
    </w:p>
    <w:p w:rsidRPr="005C45D4" w:rsidR="00D7273E" w:rsidP="005C45D4" w:rsidRDefault="00D7273E" w14:paraId="01219357" w14:textId="79473FF8">
      <w:pPr>
        <w:pStyle w:val="H3Alpha"/>
        <w:ind w:left="0" w:firstLine="360"/>
        <w:rPr>
          <w:rFonts w:ascii="Times New Roman" w:hAnsi="Times New Roman"/>
          <w:sz w:val="24"/>
          <w:szCs w:val="24"/>
        </w:rPr>
      </w:pPr>
      <w:r w:rsidRPr="005C45D4">
        <w:rPr>
          <w:rFonts w:ascii="Times New Roman" w:hAnsi="Times New Roman"/>
          <w:sz w:val="24"/>
          <w:szCs w:val="24"/>
        </w:rPr>
        <w:t>This is a new information collection.</w:t>
      </w:r>
      <w:r w:rsidR="00823AB7">
        <w:rPr>
          <w:rFonts w:ascii="Times New Roman" w:hAnsi="Times New Roman"/>
          <w:sz w:val="24"/>
          <w:szCs w:val="24"/>
        </w:rPr>
        <w:t xml:space="preserve"> There is an increase of 120 burden hours per year. </w:t>
      </w:r>
      <w:r w:rsidRPr="00823AB7" w:rsidR="00823AB7">
        <w:rPr>
          <w:rFonts w:ascii="Times New Roman" w:hAnsi="Times New Roman"/>
          <w:sz w:val="24"/>
          <w:szCs w:val="24"/>
        </w:rPr>
        <w:t>The data collected through the activities summarized in this request will be used by DOL to comprehensively describe implementation of the America’s Promise grant program, including its partnerships, training and support services provided, target population, and common implementation successes and challenges, including how they adapted during the COVID-19 pandemic.</w:t>
      </w:r>
    </w:p>
    <w:p w:rsidR="00037B93" w:rsidP="005C45D4" w:rsidRDefault="00037B93" w14:paraId="1A27FB1B" w14:textId="66BFA608">
      <w:pPr>
        <w:pStyle w:val="H3Alpha"/>
        <w:ind w:left="0" w:firstLine="0"/>
      </w:pPr>
      <w:r>
        <w:t xml:space="preserve">16. </w:t>
      </w:r>
      <w:r w:rsidRPr="005C45D4" w:rsidR="005455E1">
        <w:rPr>
          <w:rFonts w:ascii="Times New Roman" w:hAnsi="Times New Roman"/>
          <w:i/>
        </w:rPr>
        <w:t>For collections of information whose results will be published, outline plans for ta</w:t>
      </w:r>
      <w:r w:rsidRPr="00946B48" w:rsidR="005455E1">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7B93" w:rsidP="00037B93" w:rsidRDefault="00037B93" w14:paraId="0AD8F688" w14:textId="77777777">
      <w:pPr>
        <w:pStyle w:val="H4Number"/>
      </w:pPr>
      <w:r>
        <w:t>1.</w:t>
      </w:r>
      <w:r>
        <w:tab/>
        <w:t>Analysis plan</w:t>
      </w:r>
    </w:p>
    <w:p w:rsidRPr="00CB1511" w:rsidR="00CB1511" w:rsidP="00CB1511" w:rsidRDefault="00CB1511" w14:paraId="302383AD" w14:textId="77777777">
      <w:pPr>
        <w:pStyle w:val="NormalSS"/>
      </w:pPr>
      <w:r w:rsidRPr="00CB1511">
        <w:t>The Consolidated Framework for Implementation Research will be used to guide the analysis of implementation data gathered from all 23 grantees, including identification of facilitators and barriers.</w:t>
      </w:r>
      <w:r w:rsidRPr="00CB1511">
        <w:rPr>
          <w:vertAlign w:val="superscript"/>
        </w:rPr>
        <w:footnoteReference w:id="4"/>
      </w:r>
      <w:r w:rsidRPr="00CB1511">
        <w:t xml:space="preserve"> This framework was developed to facilitate systematic assessment of the implementation context to reveal the factors that influence implementation, common implementation challenges, and promising strategies for replication. </w:t>
      </w:r>
    </w:p>
    <w:p w:rsidR="00CB1511" w:rsidP="00CB1511" w:rsidRDefault="00CB1511" w14:paraId="5BAB526A" w14:textId="5D7F5C30">
      <w:pPr>
        <w:pStyle w:val="NormalSS"/>
      </w:pPr>
      <w:r w:rsidRPr="00CB1511">
        <w:t>Analysis of interview data will involve coding and triangulating across data sources. The evaluation team will begin by writing up detailed field notes from in-person and telephone interviews in a structured format. To code the qualitative data for key themes and topics, a coding scheme will be developed and organized according to key research questions and topics and guided by the conceptual framework as well as constructs from the Consolidated Framework for Implementation Research on factors that affect implementation. Each segment of coded data will be assigned a negative or positive flag to identify barriers to and facilitators of implementation. This process will reduce the data into a manageable number of topics and themes for analysis (Ritchie and Spencer 2002).</w:t>
      </w:r>
      <w:r w:rsidRPr="00383149">
        <w:rPr>
          <w:vertAlign w:val="superscript"/>
        </w:rPr>
        <w:footnoteReference w:id="5"/>
      </w:r>
      <w:r w:rsidRPr="00383149">
        <w:rPr>
          <w:vertAlign w:val="superscript"/>
        </w:rPr>
        <w:t xml:space="preserve"> </w:t>
      </w:r>
      <w:r w:rsidRPr="00CB1511">
        <w:t>The evaluation team will then code the data using qualitative analysis software. To ensure reliability across team staff, all coders will code an initial set of documents and compare codes to identify and resolve discrepancies. These data will be used to describe the nuances of how and why partnerships developed as they did, and to explore implementation challenges and promising practices.</w:t>
      </w:r>
    </w:p>
    <w:p w:rsidR="00037B93" w:rsidP="00037B93" w:rsidRDefault="00037B93" w14:paraId="6FD1F618" w14:textId="77777777">
      <w:pPr>
        <w:pStyle w:val="H4Number"/>
      </w:pPr>
      <w:r>
        <w:t>2.</w:t>
      </w:r>
      <w:r>
        <w:tab/>
        <w:t>Publications</w:t>
      </w:r>
    </w:p>
    <w:p w:rsidRPr="005C45D4" w:rsidR="00037B93" w:rsidP="00037B93" w:rsidRDefault="00037B93" w14:paraId="64DAE29D" w14:textId="0369A245">
      <w:pPr>
        <w:pStyle w:val="NormalSS"/>
        <w:rPr>
          <w:szCs w:val="24"/>
        </w:rPr>
      </w:pPr>
      <w:r>
        <w:t xml:space="preserve">In early 2022, </w:t>
      </w:r>
      <w:r w:rsidR="002A1D82">
        <w:t>we</w:t>
      </w:r>
      <w:r>
        <w:t xml:space="preserve"> will produce a report on the implementation and impact evaluations</w:t>
      </w:r>
      <w:r w:rsidR="000A484D">
        <w:t>,</w:t>
      </w:r>
      <w:r>
        <w:t xml:space="preserve"> as well as </w:t>
      </w:r>
      <w:r w:rsidR="000A484D">
        <w:t xml:space="preserve">produce </w:t>
      </w:r>
      <w:r>
        <w:t>other dissemination products such as fact sheets and issue briefs on topics of interest to DOL</w:t>
      </w:r>
      <w:r w:rsidR="000A484D">
        <w:t xml:space="preserve"> in as timely a manner as </w:t>
      </w:r>
      <w:r w:rsidRPr="005C45D4" w:rsidR="000A484D">
        <w:rPr>
          <w:szCs w:val="24"/>
        </w:rPr>
        <w:t xml:space="preserve">possible to support </w:t>
      </w:r>
      <w:r w:rsidRPr="005C45D4" w:rsidR="007956BD">
        <w:rPr>
          <w:szCs w:val="24"/>
        </w:rPr>
        <w:t xml:space="preserve">DOL’s </w:t>
      </w:r>
      <w:r w:rsidRPr="005C45D4" w:rsidR="00BD411C">
        <w:rPr>
          <w:szCs w:val="24"/>
        </w:rPr>
        <w:t>decision-making during the pandemic</w:t>
      </w:r>
      <w:r w:rsidRPr="005C45D4">
        <w:rPr>
          <w:szCs w:val="24"/>
        </w:rPr>
        <w:t xml:space="preserve">. </w:t>
      </w:r>
    </w:p>
    <w:p w:rsidRPr="005C45D4" w:rsidR="00871FB8" w:rsidP="005C45D4" w:rsidRDefault="00037B93" w14:paraId="6F5F7303" w14:textId="6151799D">
      <w:pPr>
        <w:pStyle w:val="H3Alpha"/>
        <w:ind w:left="0" w:firstLine="0"/>
        <w:rPr>
          <w:rFonts w:ascii="Times New Roman" w:hAnsi="Times New Roman"/>
          <w:i/>
          <w:sz w:val="24"/>
          <w:szCs w:val="24"/>
        </w:rPr>
      </w:pPr>
      <w:r w:rsidRPr="005C45D4">
        <w:rPr>
          <w:sz w:val="24"/>
          <w:szCs w:val="24"/>
        </w:rPr>
        <w:t xml:space="preserve">17. </w:t>
      </w:r>
      <w:r w:rsidRPr="005C45D4" w:rsidR="005455E1">
        <w:rPr>
          <w:rFonts w:ascii="Times New Roman" w:hAnsi="Times New Roman"/>
          <w:i/>
          <w:sz w:val="24"/>
          <w:szCs w:val="24"/>
        </w:rPr>
        <w:t>If seeking approval to not display the expiration date for OMB approval of the information collection, explain the reasons that display would be inappropriate.</w:t>
      </w:r>
    </w:p>
    <w:p w:rsidRPr="005C45D4" w:rsidR="00037B93" w:rsidP="005C45D4" w:rsidRDefault="00037B93" w14:paraId="47968FCD" w14:textId="77777777">
      <w:pPr>
        <w:pStyle w:val="H3Alpha"/>
        <w:ind w:left="0" w:firstLine="450"/>
        <w:rPr>
          <w:rFonts w:ascii="Times New Roman" w:hAnsi="Times New Roman"/>
          <w:sz w:val="24"/>
          <w:szCs w:val="24"/>
        </w:rPr>
      </w:pPr>
      <w:r w:rsidRPr="005C45D4">
        <w:rPr>
          <w:rFonts w:ascii="Times New Roman" w:hAnsi="Times New Roman"/>
          <w:sz w:val="24"/>
          <w:szCs w:val="24"/>
        </w:rPr>
        <w:t>The OMB approval number and expiration date will be displayed or cited on all forms completed as part of the data collection.</w:t>
      </w:r>
    </w:p>
    <w:p w:rsidRPr="005C45D4" w:rsidR="005455E1" w:rsidP="005C45D4" w:rsidRDefault="00037B93" w14:paraId="4DBF3D66" w14:textId="37873ACB">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sidR="005455E1">
        <w:rPr>
          <w:i/>
          <w:szCs w:val="24"/>
        </w:rPr>
        <w:t xml:space="preserve">Explain each exception to the topics of the certification statement identified in         “Certification for Paperwork Reduction Act Submissions.” </w:t>
      </w:r>
    </w:p>
    <w:p w:rsidRPr="005C45D4" w:rsidR="00871FB8" w:rsidP="005C45D4" w:rsidRDefault="00871FB8" w14:paraId="45749A63" w14:textId="77777777">
      <w:pPr>
        <w:spacing w:line="240" w:lineRule="auto"/>
        <w:ind w:firstLine="0"/>
        <w:jc w:val="both"/>
        <w:rPr>
          <w:i/>
          <w:szCs w:val="24"/>
        </w:rPr>
      </w:pPr>
    </w:p>
    <w:p w:rsidRPr="005C45D4" w:rsidR="00A43D07" w:rsidP="005C45D4" w:rsidRDefault="00037B93" w14:paraId="48C39E50" w14:textId="33B6D368">
      <w:pPr>
        <w:pStyle w:val="H3Alpha"/>
        <w:ind w:firstLine="18"/>
        <w:rPr>
          <w:rFonts w:ascii="Times New Roman" w:hAnsi="Times New Roman"/>
          <w:sz w:val="24"/>
          <w:szCs w:val="24"/>
        </w:rPr>
      </w:pPr>
      <w:r w:rsidRPr="005C45D4">
        <w:rPr>
          <w:rFonts w:ascii="Times New Roman" w:hAnsi="Times New Roman"/>
          <w:sz w:val="24"/>
          <w:szCs w:val="24"/>
        </w:rPr>
        <w:t>No exceptions are necessary for this information collection.</w:t>
      </w:r>
      <w:r w:rsidRPr="005C45D4" w:rsidDel="00515CCA">
        <w:rPr>
          <w:rFonts w:ascii="Times New Roman" w:hAnsi="Times New Roman"/>
          <w:sz w:val="24"/>
          <w:szCs w:val="24"/>
        </w:rPr>
        <w:t xml:space="preserve"> </w:t>
      </w:r>
      <w:r w:rsidRPr="005C45D4" w:rsidDel="00515CCA" w:rsidR="00515CCA">
        <w:rPr>
          <w:rFonts w:ascii="Times New Roman" w:hAnsi="Times New Roman"/>
          <w:sz w:val="24"/>
          <w:szCs w:val="24"/>
        </w:rPr>
        <w:t xml:space="preserve"> </w:t>
      </w:r>
    </w:p>
    <w:sectPr w:rsidRPr="005C45D4" w:rsidR="00A43D07" w:rsidSect="00FA1B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FEA94" w14:textId="77777777" w:rsidR="00344B4D" w:rsidRDefault="00344B4D" w:rsidP="002E3E35">
      <w:pPr>
        <w:spacing w:line="240" w:lineRule="auto"/>
      </w:pPr>
      <w:r>
        <w:separator/>
      </w:r>
    </w:p>
  </w:endnote>
  <w:endnote w:type="continuationSeparator" w:id="0">
    <w:p w14:paraId="47F4638C" w14:textId="77777777" w:rsidR="00344B4D" w:rsidRDefault="00344B4D" w:rsidP="002E3E35">
      <w:pPr>
        <w:spacing w:line="240" w:lineRule="auto"/>
      </w:pPr>
      <w:r>
        <w:continuationSeparator/>
      </w:r>
    </w:p>
  </w:endnote>
  <w:endnote w:type="continuationNotice" w:id="1">
    <w:p w14:paraId="44D40459" w14:textId="77777777" w:rsidR="00344B4D" w:rsidRDefault="00344B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487065"/>
      <w:docPartObj>
        <w:docPartGallery w:val="Page Numbers (Bottom of Page)"/>
        <w:docPartUnique/>
      </w:docPartObj>
    </w:sdtPr>
    <w:sdtEndPr>
      <w:rPr>
        <w:noProof/>
      </w:rPr>
    </w:sdtEndPr>
    <w:sdtContent>
      <w:p w14:paraId="196FF1D4" w14:textId="7D8BD686" w:rsidR="004C0111" w:rsidRDefault="004C0111" w:rsidP="0073236D">
        <w:pPr>
          <w:pStyle w:val="Footer"/>
          <w:jc w:val="center"/>
        </w:pPr>
        <w:r>
          <w:fldChar w:fldCharType="begin"/>
        </w:r>
        <w:r>
          <w:instrText xml:space="preserve"> PAGE   \* MERGEFORMAT </w:instrText>
        </w:r>
        <w:r>
          <w:fldChar w:fldCharType="separate"/>
        </w:r>
        <w:r w:rsidR="00B31391">
          <w:rPr>
            <w:noProof/>
          </w:rPr>
          <w:t>13</w:t>
        </w:r>
        <w:r>
          <w:rPr>
            <w:noProof/>
          </w:rPr>
          <w:fldChar w:fldCharType="end"/>
        </w:r>
      </w:p>
    </w:sdtContent>
  </w:sdt>
  <w:p w14:paraId="26B3F8FB" w14:textId="77777777" w:rsidR="00D7273E" w:rsidRPr="00A43D07" w:rsidRDefault="00D7273E" w:rsidP="00A43D07">
    <w:pPr>
      <w:spacing w:line="240" w:lineRule="auto"/>
      <w:rPr>
        <w:rStyle w:val="PageNumbe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679148"/>
      <w:docPartObj>
        <w:docPartGallery w:val="Page Numbers (Bottom of Page)"/>
        <w:docPartUnique/>
      </w:docPartObj>
    </w:sdtPr>
    <w:sdtEndPr>
      <w:rPr>
        <w:noProof/>
      </w:rPr>
    </w:sdtEndPr>
    <w:sdtContent>
      <w:p w14:paraId="73CBD357" w14:textId="0DB1C998" w:rsidR="00F64B49" w:rsidRDefault="00F64B49">
        <w:pPr>
          <w:pStyle w:val="Footer"/>
          <w:jc w:val="center"/>
        </w:pPr>
        <w:r>
          <w:fldChar w:fldCharType="begin"/>
        </w:r>
        <w:r>
          <w:instrText xml:space="preserve"> PAGE   \* MERGEFORMAT </w:instrText>
        </w:r>
        <w:r>
          <w:fldChar w:fldCharType="separate"/>
        </w:r>
        <w:r w:rsidR="00344B4D">
          <w:rPr>
            <w:noProof/>
          </w:rPr>
          <w:t>1</w:t>
        </w:r>
        <w:r>
          <w:rPr>
            <w:noProof/>
          </w:rPr>
          <w:fldChar w:fldCharType="end"/>
        </w:r>
      </w:p>
    </w:sdtContent>
  </w:sdt>
  <w:p w14:paraId="7E361E04" w14:textId="77777777" w:rsidR="00F64B49" w:rsidRDefault="00F6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DB913" w14:textId="77777777" w:rsidR="00344B4D" w:rsidRDefault="00344B4D" w:rsidP="00203E3B">
      <w:pPr>
        <w:spacing w:line="240" w:lineRule="auto"/>
        <w:ind w:firstLine="0"/>
      </w:pPr>
      <w:r>
        <w:separator/>
      </w:r>
    </w:p>
  </w:footnote>
  <w:footnote w:type="continuationSeparator" w:id="0">
    <w:p w14:paraId="71F6A57D" w14:textId="77777777" w:rsidR="00344B4D" w:rsidRDefault="00344B4D" w:rsidP="00203E3B">
      <w:pPr>
        <w:spacing w:line="240" w:lineRule="auto"/>
        <w:ind w:firstLine="0"/>
      </w:pPr>
      <w:r>
        <w:separator/>
      </w:r>
    </w:p>
    <w:p w14:paraId="1E379084" w14:textId="77777777" w:rsidR="00344B4D" w:rsidRPr="00157CA2" w:rsidRDefault="00344B4D" w:rsidP="00203E3B">
      <w:pPr>
        <w:spacing w:after="120" w:line="240" w:lineRule="auto"/>
        <w:ind w:firstLine="0"/>
        <w:rPr>
          <w:sz w:val="20"/>
        </w:rPr>
      </w:pPr>
      <w:r w:rsidRPr="00157CA2">
        <w:rPr>
          <w:i/>
          <w:sz w:val="20"/>
        </w:rPr>
        <w:t>(continued)</w:t>
      </w:r>
    </w:p>
  </w:footnote>
  <w:footnote w:type="continuationNotice" w:id="1">
    <w:p w14:paraId="7AF8E024" w14:textId="77777777" w:rsidR="00344B4D" w:rsidRDefault="00344B4D">
      <w:pPr>
        <w:spacing w:line="240" w:lineRule="auto"/>
      </w:pPr>
    </w:p>
  </w:footnote>
  <w:footnote w:id="2">
    <w:p w14:paraId="02547C06" w14:textId="3CBFAE02" w:rsidR="00D7273E" w:rsidRDefault="00D7273E">
      <w:pPr>
        <w:pStyle w:val="FootnoteText"/>
      </w:pPr>
      <w:r>
        <w:rPr>
          <w:rStyle w:val="FootnoteReference"/>
        </w:rPr>
        <w:footnoteRef/>
      </w:r>
      <w:r>
        <w:t xml:space="preserve"> </w:t>
      </w:r>
      <w:r w:rsidRPr="000F68DE">
        <w:t>U.S. Department of State. “Report of the Visa Office 2016, Table XVI (B) Nonimmigrant Visas Issued by Classification (Including Border Crossing Cards) Fiscal Years 2012–2016.” Washington, DC: U.S. Department of State, 2017. Available at https://travel.state.gov/content/visas/en/law-and-policy/statistics/annual-reports/report-of-the-visa-office-2016.html</w:t>
      </w:r>
    </w:p>
  </w:footnote>
  <w:footnote w:id="3">
    <w:p w14:paraId="5D51C74F" w14:textId="2FF7E8AB" w:rsidR="0021159E" w:rsidRDefault="0021159E">
      <w:pPr>
        <w:pStyle w:val="FootnoteText"/>
      </w:pPr>
      <w:r>
        <w:rPr>
          <w:rStyle w:val="FootnoteReference"/>
        </w:rPr>
        <w:footnoteRef/>
      </w:r>
      <w:r>
        <w:t xml:space="preserve"> The total contractor cost includes the cost for </w:t>
      </w:r>
      <w:r w:rsidRPr="0021159E">
        <w:t>$25 gift card</w:t>
      </w:r>
      <w:r>
        <w:t>s paid to focus group participants</w:t>
      </w:r>
      <w:r w:rsidRPr="0021159E">
        <w:t>.</w:t>
      </w:r>
    </w:p>
  </w:footnote>
  <w:footnote w:id="4">
    <w:p w14:paraId="7A007D31" w14:textId="77777777" w:rsidR="00CB1511" w:rsidRDefault="00CB1511" w:rsidP="00CB1511">
      <w:pPr>
        <w:pStyle w:val="References"/>
      </w:pPr>
      <w:r>
        <w:rPr>
          <w:rStyle w:val="FootnoteReference"/>
        </w:rPr>
        <w:footnoteRef/>
      </w:r>
      <w:r>
        <w:t xml:space="preserve"> </w:t>
      </w:r>
      <w:r w:rsidRPr="00AE7AF8">
        <w:rPr>
          <w:sz w:val="20"/>
        </w:rPr>
        <w:t xml:space="preserve">Damschroder, L.A., D.C. Aron, R.E. Keith, S.R. Kirsh, J.A. Alexander, and J.C. Lowery. “Fostering Implementation of Health Services Research Findings into Practice: A Consolidated Framework for Advancing Implementation Science,” </w:t>
      </w:r>
      <w:r w:rsidRPr="00AE7AF8">
        <w:rPr>
          <w:i/>
          <w:sz w:val="20"/>
        </w:rPr>
        <w:t>Implementation Science</w:t>
      </w:r>
      <w:r w:rsidRPr="00AE7AF8">
        <w:rPr>
          <w:sz w:val="20"/>
        </w:rPr>
        <w:t>. vol. 4, no. 7, August 7, 2009.</w:t>
      </w:r>
    </w:p>
  </w:footnote>
  <w:footnote w:id="5">
    <w:p w14:paraId="7FCFC63F" w14:textId="77777777" w:rsidR="00CB1511" w:rsidRPr="0016676C" w:rsidRDefault="00CB1511" w:rsidP="00CB1511">
      <w:pPr>
        <w:pStyle w:val="FootnoteText"/>
        <w:ind w:left="432" w:hanging="432"/>
      </w:pPr>
      <w:r>
        <w:rPr>
          <w:rStyle w:val="FootnoteReference"/>
        </w:rPr>
        <w:footnoteRef/>
      </w:r>
      <w:r>
        <w:t xml:space="preserve"> Ritchie, J., and L. Spencer. “Qualitative Data Analysis for Applied Policy Research.” In </w:t>
      </w:r>
      <w:r w:rsidRPr="00B006EE">
        <w:t xml:space="preserve">The Qualitative Researcher’s Companion, </w:t>
      </w:r>
      <w:r>
        <w:t xml:space="preserve">edited by M. Huberman and B. Miles. London: Sage, 2002.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26D7" w14:textId="5430CE8B" w:rsidR="00D7273E" w:rsidRPr="00807813" w:rsidRDefault="00D7273E" w:rsidP="00807813">
    <w:pPr>
      <w:pStyle w:val="Header"/>
      <w:spacing w:after="240"/>
      <w:rPr>
        <w:rFonts w:ascii="Times New Roman" w:hAnsi="Times New Roman"/>
        <w:sz w:val="18"/>
        <w:szCs w:val="18"/>
      </w:rPr>
    </w:pPr>
    <w:r w:rsidRPr="006D108A">
      <w:tab/>
    </w:r>
  </w:p>
  <w:p w14:paraId="38FD6E38" w14:textId="6D7A29C4" w:rsidR="00D7273E" w:rsidRPr="00A43D07" w:rsidRDefault="00D7273E" w:rsidP="006D108A">
    <w:pPr>
      <w:spacing w:line="240" w:lineRule="auto"/>
      <w:ind w:left="-21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7053F" w14:textId="622B6CC1" w:rsidR="00701324" w:rsidRDefault="00701324" w:rsidP="00701324">
    <w:pPr>
      <w:pStyle w:val="Header"/>
    </w:pPr>
    <w:r w:rsidRPr="006D108A">
      <w:t>PART A: JUSTIFICATION for Evaluation of America’s Promise Job-Driven Grant Program</w:t>
    </w:r>
  </w:p>
  <w:p w14:paraId="28810AF2" w14:textId="5ED892F1" w:rsidR="00701324" w:rsidRPr="00B237BF" w:rsidRDefault="00701324" w:rsidP="00701324">
    <w:pPr>
      <w:pStyle w:val="Header"/>
      <w:rPr>
        <w:rFonts w:ascii="Times New Roman" w:hAnsi="Times New Roman"/>
        <w:sz w:val="18"/>
        <w:szCs w:val="18"/>
      </w:rPr>
    </w:pPr>
    <w:r>
      <w:rPr>
        <w:rFonts w:ascii="Times New Roman" w:hAnsi="Times New Roman"/>
        <w:sz w:val="18"/>
        <w:szCs w:val="18"/>
      </w:rPr>
      <w:t xml:space="preserve">OMB No. </w:t>
    </w:r>
  </w:p>
  <w:p w14:paraId="2957A425" w14:textId="50F26565" w:rsidR="00701324" w:rsidRDefault="003A5CB4" w:rsidP="00701324">
    <w:pPr>
      <w:pStyle w:val="Header"/>
    </w:pPr>
    <w:r>
      <w:rPr>
        <w:rFonts w:ascii="Times New Roman" w:hAnsi="Times New Roman"/>
        <w:sz w:val="18"/>
        <w:szCs w:val="18"/>
      </w:rPr>
      <w:t>APRIL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52B4BAC"/>
    <w:multiLevelType w:val="hybridMultilevel"/>
    <w:tmpl w:val="A3009E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12DCA"/>
    <w:multiLevelType w:val="hybridMultilevel"/>
    <w:tmpl w:val="4EAED410"/>
    <w:lvl w:ilvl="0" w:tplc="309075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F4A31"/>
    <w:multiLevelType w:val="hybridMultilevel"/>
    <w:tmpl w:val="122EC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FD11AEA"/>
    <w:multiLevelType w:val="hybridMultilevel"/>
    <w:tmpl w:val="5A2A99CE"/>
    <w:lvl w:ilvl="0" w:tplc="012C6F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51D5AEB"/>
    <w:multiLevelType w:val="hybridMultilevel"/>
    <w:tmpl w:val="81F0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1247A"/>
    <w:multiLevelType w:val="hybridMultilevel"/>
    <w:tmpl w:val="258A92B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D61B0"/>
    <w:multiLevelType w:val="hybridMultilevel"/>
    <w:tmpl w:val="ED28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3A9255B"/>
    <w:multiLevelType w:val="hybridMultilevel"/>
    <w:tmpl w:val="EFA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5D55EC2"/>
    <w:multiLevelType w:val="hybridMultilevel"/>
    <w:tmpl w:val="398AEDA4"/>
    <w:lvl w:ilvl="0" w:tplc="963E4C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5E1E55"/>
    <w:multiLevelType w:val="hybridMultilevel"/>
    <w:tmpl w:val="A69EA1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0"/>
  </w:num>
  <w:num w:numId="3">
    <w:abstractNumId w:val="33"/>
  </w:num>
  <w:num w:numId="4">
    <w:abstractNumId w:val="8"/>
  </w:num>
  <w:num w:numId="5">
    <w:abstractNumId w:val="32"/>
  </w:num>
  <w:num w:numId="6">
    <w:abstractNumId w:val="34"/>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1"/>
  </w:num>
  <w:num w:numId="19">
    <w:abstractNumId w:val="22"/>
  </w:num>
  <w:num w:numId="20">
    <w:abstractNumId w:val="4"/>
  </w:num>
  <w:num w:numId="21">
    <w:abstractNumId w:val="23"/>
  </w:num>
  <w:num w:numId="22">
    <w:abstractNumId w:val="2"/>
  </w:num>
  <w:num w:numId="23">
    <w:abstractNumId w:val="17"/>
  </w:num>
  <w:num w:numId="24">
    <w:abstractNumId w:val="30"/>
  </w:num>
  <w:num w:numId="25">
    <w:abstractNumId w:val="5"/>
  </w:num>
  <w:num w:numId="26">
    <w:abstractNumId w:val="1"/>
  </w:num>
  <w:num w:numId="27">
    <w:abstractNumId w:val="9"/>
  </w:num>
  <w:num w:numId="28">
    <w:abstractNumId w:val="18"/>
  </w:num>
  <w:num w:numId="29">
    <w:abstractNumId w:val="28"/>
  </w:num>
  <w:num w:numId="30">
    <w:abstractNumId w:val="24"/>
  </w:num>
  <w:num w:numId="31">
    <w:abstractNumId w:val="3"/>
  </w:num>
  <w:num w:numId="32">
    <w:abstractNumId w:val="19"/>
    <w:lvlOverride w:ilvl="0">
      <w:startOverride w:val="1"/>
    </w:lvlOverride>
  </w:num>
  <w:num w:numId="33">
    <w:abstractNumId w:val="10"/>
  </w:num>
  <w:num w:numId="34">
    <w:abstractNumId w:val="19"/>
    <w:lvlOverride w:ilvl="0">
      <w:startOverride w:val="1"/>
    </w:lvlOverride>
  </w:num>
  <w:num w:numId="35">
    <w:abstractNumId w:val="19"/>
    <w:lvlOverride w:ilvl="0">
      <w:startOverride w:val="1"/>
    </w:lvlOverride>
  </w:num>
  <w:num w:numId="36">
    <w:abstractNumId w:val="19"/>
  </w:num>
  <w:num w:numId="37">
    <w:abstractNumId w:val="19"/>
    <w:lvlOverride w:ilvl="0">
      <w:startOverride w:val="1"/>
    </w:lvlOverride>
  </w:num>
  <w:num w:numId="38">
    <w:abstractNumId w:val="19"/>
  </w:num>
  <w:num w:numId="39">
    <w:abstractNumId w:val="19"/>
  </w:num>
  <w:num w:numId="40">
    <w:abstractNumId w:val="19"/>
  </w:num>
  <w:num w:numId="41">
    <w:abstractNumId w:val="19"/>
  </w:num>
  <w:num w:numId="42">
    <w:abstractNumId w:val="16"/>
  </w:num>
  <w:num w:numId="43">
    <w:abstractNumId w:val="7"/>
  </w:num>
  <w:num w:numId="44">
    <w:abstractNumId w:val="13"/>
  </w:num>
  <w:num w:numId="45">
    <w:abstractNumId w:val="15"/>
  </w:num>
  <w:num w:numId="46">
    <w:abstractNumId w:val="25"/>
  </w:num>
  <w:num w:numId="47">
    <w:abstractNumId w:val="27"/>
  </w:num>
  <w:num w:numId="48">
    <w:abstractNumId w:val="6"/>
  </w:num>
  <w:num w:numId="49">
    <w:abstractNumId w:val="29"/>
  </w:num>
  <w:num w:numId="50">
    <w:abstractNumId w:val="14"/>
  </w:num>
  <w:num w:numId="51">
    <w:abstractNumId w:val="12"/>
  </w:num>
  <w:num w:numId="52">
    <w:abstractNumId w:val="19"/>
  </w:num>
  <w:num w:numId="53">
    <w:abstractNumId w:val="21"/>
  </w:num>
  <w:num w:numId="54">
    <w:abstractNumId w:val="19"/>
    <w:lvlOverride w:ilvl="0">
      <w:startOverride w:val="5"/>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79"/>
    <w:rsid w:val="00000161"/>
    <w:rsid w:val="000030B1"/>
    <w:rsid w:val="000103F1"/>
    <w:rsid w:val="00010CEE"/>
    <w:rsid w:val="00013720"/>
    <w:rsid w:val="00014AFD"/>
    <w:rsid w:val="00014BB0"/>
    <w:rsid w:val="0001587F"/>
    <w:rsid w:val="00016742"/>
    <w:rsid w:val="00016D34"/>
    <w:rsid w:val="00017E28"/>
    <w:rsid w:val="0002103D"/>
    <w:rsid w:val="000212FC"/>
    <w:rsid w:val="00021836"/>
    <w:rsid w:val="0002263D"/>
    <w:rsid w:val="00022A0A"/>
    <w:rsid w:val="0002322B"/>
    <w:rsid w:val="00024FB9"/>
    <w:rsid w:val="00025C4A"/>
    <w:rsid w:val="0002754E"/>
    <w:rsid w:val="0003163D"/>
    <w:rsid w:val="00031F73"/>
    <w:rsid w:val="0003265D"/>
    <w:rsid w:val="00032E4E"/>
    <w:rsid w:val="00034667"/>
    <w:rsid w:val="0003680E"/>
    <w:rsid w:val="00036E7F"/>
    <w:rsid w:val="00037B93"/>
    <w:rsid w:val="00040B2C"/>
    <w:rsid w:val="000423BE"/>
    <w:rsid w:val="00042419"/>
    <w:rsid w:val="00042FA8"/>
    <w:rsid w:val="00043329"/>
    <w:rsid w:val="00043B27"/>
    <w:rsid w:val="00044069"/>
    <w:rsid w:val="00047BDD"/>
    <w:rsid w:val="00056BC1"/>
    <w:rsid w:val="000575D5"/>
    <w:rsid w:val="000578BB"/>
    <w:rsid w:val="00060579"/>
    <w:rsid w:val="00060A3C"/>
    <w:rsid w:val="0006245A"/>
    <w:rsid w:val="000633AA"/>
    <w:rsid w:val="0007041A"/>
    <w:rsid w:val="00072E64"/>
    <w:rsid w:val="000777DB"/>
    <w:rsid w:val="0008151B"/>
    <w:rsid w:val="000855BD"/>
    <w:rsid w:val="00086066"/>
    <w:rsid w:val="00090E25"/>
    <w:rsid w:val="0009143A"/>
    <w:rsid w:val="00094630"/>
    <w:rsid w:val="00095543"/>
    <w:rsid w:val="00095854"/>
    <w:rsid w:val="000972E1"/>
    <w:rsid w:val="000A0383"/>
    <w:rsid w:val="000A2181"/>
    <w:rsid w:val="000A2330"/>
    <w:rsid w:val="000A484D"/>
    <w:rsid w:val="000A5A8D"/>
    <w:rsid w:val="000A6591"/>
    <w:rsid w:val="000A7604"/>
    <w:rsid w:val="000A7FB4"/>
    <w:rsid w:val="000B0243"/>
    <w:rsid w:val="000B3B74"/>
    <w:rsid w:val="000B521D"/>
    <w:rsid w:val="000B555A"/>
    <w:rsid w:val="000B6880"/>
    <w:rsid w:val="000B764C"/>
    <w:rsid w:val="000C2E3B"/>
    <w:rsid w:val="000C30FA"/>
    <w:rsid w:val="000C35E6"/>
    <w:rsid w:val="000C413E"/>
    <w:rsid w:val="000C679B"/>
    <w:rsid w:val="000C7D4D"/>
    <w:rsid w:val="000D0779"/>
    <w:rsid w:val="000D0EAE"/>
    <w:rsid w:val="000D40B7"/>
    <w:rsid w:val="000D5B34"/>
    <w:rsid w:val="000D6D88"/>
    <w:rsid w:val="000D751A"/>
    <w:rsid w:val="000D7E83"/>
    <w:rsid w:val="000E0694"/>
    <w:rsid w:val="000E1C2B"/>
    <w:rsid w:val="000E2169"/>
    <w:rsid w:val="000E4C3F"/>
    <w:rsid w:val="000E5529"/>
    <w:rsid w:val="000F2B47"/>
    <w:rsid w:val="000F3948"/>
    <w:rsid w:val="000F5B10"/>
    <w:rsid w:val="000F677B"/>
    <w:rsid w:val="000F68DE"/>
    <w:rsid w:val="000F7127"/>
    <w:rsid w:val="001004A7"/>
    <w:rsid w:val="001016E7"/>
    <w:rsid w:val="00104F68"/>
    <w:rsid w:val="00105C12"/>
    <w:rsid w:val="001101A5"/>
    <w:rsid w:val="001112D9"/>
    <w:rsid w:val="001119F8"/>
    <w:rsid w:val="00111BF9"/>
    <w:rsid w:val="00112A5E"/>
    <w:rsid w:val="00113CC8"/>
    <w:rsid w:val="00117208"/>
    <w:rsid w:val="00122C2C"/>
    <w:rsid w:val="0012506B"/>
    <w:rsid w:val="00127327"/>
    <w:rsid w:val="001273A8"/>
    <w:rsid w:val="00130C03"/>
    <w:rsid w:val="001311F7"/>
    <w:rsid w:val="0013184F"/>
    <w:rsid w:val="00131D22"/>
    <w:rsid w:val="00131F00"/>
    <w:rsid w:val="0013346F"/>
    <w:rsid w:val="001345AE"/>
    <w:rsid w:val="00135EB7"/>
    <w:rsid w:val="0013709C"/>
    <w:rsid w:val="00145790"/>
    <w:rsid w:val="00146CE3"/>
    <w:rsid w:val="00146E1F"/>
    <w:rsid w:val="00147515"/>
    <w:rsid w:val="00147A74"/>
    <w:rsid w:val="00150E00"/>
    <w:rsid w:val="00151D5D"/>
    <w:rsid w:val="00152AF7"/>
    <w:rsid w:val="00154DF1"/>
    <w:rsid w:val="00155BC0"/>
    <w:rsid w:val="00155D06"/>
    <w:rsid w:val="00157CA2"/>
    <w:rsid w:val="001649D5"/>
    <w:rsid w:val="00164BC2"/>
    <w:rsid w:val="00166C29"/>
    <w:rsid w:val="00167994"/>
    <w:rsid w:val="00173377"/>
    <w:rsid w:val="001739F1"/>
    <w:rsid w:val="00173AAA"/>
    <w:rsid w:val="00181AC8"/>
    <w:rsid w:val="00184421"/>
    <w:rsid w:val="001852C3"/>
    <w:rsid w:val="00185CEF"/>
    <w:rsid w:val="001921A4"/>
    <w:rsid w:val="00193115"/>
    <w:rsid w:val="00194A0E"/>
    <w:rsid w:val="001969F1"/>
    <w:rsid w:val="00196E5A"/>
    <w:rsid w:val="00197503"/>
    <w:rsid w:val="001A01C9"/>
    <w:rsid w:val="001A0361"/>
    <w:rsid w:val="001A1AD3"/>
    <w:rsid w:val="001A35A9"/>
    <w:rsid w:val="001A3781"/>
    <w:rsid w:val="001B107D"/>
    <w:rsid w:val="001B4842"/>
    <w:rsid w:val="001B7718"/>
    <w:rsid w:val="001C0F00"/>
    <w:rsid w:val="001C47A2"/>
    <w:rsid w:val="001C5EB8"/>
    <w:rsid w:val="001C7F89"/>
    <w:rsid w:val="001C7FBE"/>
    <w:rsid w:val="001D3544"/>
    <w:rsid w:val="001D39AA"/>
    <w:rsid w:val="001D39EC"/>
    <w:rsid w:val="001D418D"/>
    <w:rsid w:val="001D661F"/>
    <w:rsid w:val="001D7B65"/>
    <w:rsid w:val="001E5B71"/>
    <w:rsid w:val="001E6A60"/>
    <w:rsid w:val="001E6E5A"/>
    <w:rsid w:val="001F14C4"/>
    <w:rsid w:val="001F32A8"/>
    <w:rsid w:val="001F7901"/>
    <w:rsid w:val="00201E7E"/>
    <w:rsid w:val="00203E3B"/>
    <w:rsid w:val="002042DF"/>
    <w:rsid w:val="00204AB9"/>
    <w:rsid w:val="00204B23"/>
    <w:rsid w:val="002050B7"/>
    <w:rsid w:val="0021159E"/>
    <w:rsid w:val="00214E0B"/>
    <w:rsid w:val="00215B3B"/>
    <w:rsid w:val="00215C5A"/>
    <w:rsid w:val="00215E4D"/>
    <w:rsid w:val="002166BC"/>
    <w:rsid w:val="002166E5"/>
    <w:rsid w:val="00217FA0"/>
    <w:rsid w:val="00225954"/>
    <w:rsid w:val="002262ED"/>
    <w:rsid w:val="0022714B"/>
    <w:rsid w:val="002272CB"/>
    <w:rsid w:val="00230A9A"/>
    <w:rsid w:val="00231607"/>
    <w:rsid w:val="002340AB"/>
    <w:rsid w:val="00234A99"/>
    <w:rsid w:val="00234D13"/>
    <w:rsid w:val="0023638D"/>
    <w:rsid w:val="002432D3"/>
    <w:rsid w:val="00244D9E"/>
    <w:rsid w:val="0024609D"/>
    <w:rsid w:val="00246F6F"/>
    <w:rsid w:val="00247945"/>
    <w:rsid w:val="00250149"/>
    <w:rsid w:val="002527EB"/>
    <w:rsid w:val="00254C89"/>
    <w:rsid w:val="00254E2D"/>
    <w:rsid w:val="002558A0"/>
    <w:rsid w:val="00256D04"/>
    <w:rsid w:val="0026025C"/>
    <w:rsid w:val="0026344E"/>
    <w:rsid w:val="0026713B"/>
    <w:rsid w:val="00271C83"/>
    <w:rsid w:val="0027245E"/>
    <w:rsid w:val="00272B66"/>
    <w:rsid w:val="002733A4"/>
    <w:rsid w:val="00273CB4"/>
    <w:rsid w:val="002768F8"/>
    <w:rsid w:val="002817A6"/>
    <w:rsid w:val="00283304"/>
    <w:rsid w:val="0028360E"/>
    <w:rsid w:val="00283CBE"/>
    <w:rsid w:val="002863D7"/>
    <w:rsid w:val="002869EF"/>
    <w:rsid w:val="00286FCA"/>
    <w:rsid w:val="0029011D"/>
    <w:rsid w:val="0029042C"/>
    <w:rsid w:val="00291C4B"/>
    <w:rsid w:val="00292A7F"/>
    <w:rsid w:val="00293AC3"/>
    <w:rsid w:val="00294A61"/>
    <w:rsid w:val="00294B21"/>
    <w:rsid w:val="00297266"/>
    <w:rsid w:val="00297305"/>
    <w:rsid w:val="00297415"/>
    <w:rsid w:val="002A00E4"/>
    <w:rsid w:val="002A1D82"/>
    <w:rsid w:val="002A2808"/>
    <w:rsid w:val="002A3D5D"/>
    <w:rsid w:val="002A4F27"/>
    <w:rsid w:val="002A64F9"/>
    <w:rsid w:val="002A6552"/>
    <w:rsid w:val="002A6B96"/>
    <w:rsid w:val="002A75EB"/>
    <w:rsid w:val="002B0C44"/>
    <w:rsid w:val="002B0E82"/>
    <w:rsid w:val="002B25CD"/>
    <w:rsid w:val="002B71CD"/>
    <w:rsid w:val="002B72E0"/>
    <w:rsid w:val="002B76AB"/>
    <w:rsid w:val="002B7C37"/>
    <w:rsid w:val="002C1507"/>
    <w:rsid w:val="002C3CA5"/>
    <w:rsid w:val="002C40A9"/>
    <w:rsid w:val="002C598D"/>
    <w:rsid w:val="002C71CA"/>
    <w:rsid w:val="002D262A"/>
    <w:rsid w:val="002D6763"/>
    <w:rsid w:val="002D7000"/>
    <w:rsid w:val="002D7816"/>
    <w:rsid w:val="002D7B94"/>
    <w:rsid w:val="002D7F1C"/>
    <w:rsid w:val="002E06F1"/>
    <w:rsid w:val="002E1A05"/>
    <w:rsid w:val="002E226E"/>
    <w:rsid w:val="002E3E35"/>
    <w:rsid w:val="002E6CC4"/>
    <w:rsid w:val="002E7BD6"/>
    <w:rsid w:val="002F02CE"/>
    <w:rsid w:val="002F297B"/>
    <w:rsid w:val="002F3061"/>
    <w:rsid w:val="002F31D9"/>
    <w:rsid w:val="002F4D0C"/>
    <w:rsid w:val="002F6E35"/>
    <w:rsid w:val="00300B72"/>
    <w:rsid w:val="0030242C"/>
    <w:rsid w:val="00302890"/>
    <w:rsid w:val="00304DFE"/>
    <w:rsid w:val="00306F1E"/>
    <w:rsid w:val="00310CBE"/>
    <w:rsid w:val="00315598"/>
    <w:rsid w:val="00315DEC"/>
    <w:rsid w:val="0031740A"/>
    <w:rsid w:val="00317FDB"/>
    <w:rsid w:val="003206AB"/>
    <w:rsid w:val="003250D8"/>
    <w:rsid w:val="00325FF2"/>
    <w:rsid w:val="00326958"/>
    <w:rsid w:val="0033012A"/>
    <w:rsid w:val="003308C3"/>
    <w:rsid w:val="00331ADC"/>
    <w:rsid w:val="00336980"/>
    <w:rsid w:val="00336EA2"/>
    <w:rsid w:val="0034044F"/>
    <w:rsid w:val="00341682"/>
    <w:rsid w:val="003426BF"/>
    <w:rsid w:val="0034499A"/>
    <w:rsid w:val="00344B4D"/>
    <w:rsid w:val="00344F9F"/>
    <w:rsid w:val="00345556"/>
    <w:rsid w:val="00346E5F"/>
    <w:rsid w:val="00350CDF"/>
    <w:rsid w:val="003512A6"/>
    <w:rsid w:val="0035526C"/>
    <w:rsid w:val="00357209"/>
    <w:rsid w:val="00357B5C"/>
    <w:rsid w:val="0036189F"/>
    <w:rsid w:val="00363410"/>
    <w:rsid w:val="00363A19"/>
    <w:rsid w:val="003656C4"/>
    <w:rsid w:val="00366B64"/>
    <w:rsid w:val="00366F93"/>
    <w:rsid w:val="00370490"/>
    <w:rsid w:val="00370BC5"/>
    <w:rsid w:val="00370D5B"/>
    <w:rsid w:val="003743AD"/>
    <w:rsid w:val="00374608"/>
    <w:rsid w:val="003747FF"/>
    <w:rsid w:val="003812C1"/>
    <w:rsid w:val="00383149"/>
    <w:rsid w:val="003846D5"/>
    <w:rsid w:val="00384A00"/>
    <w:rsid w:val="00384E5E"/>
    <w:rsid w:val="00387C3D"/>
    <w:rsid w:val="00390ECC"/>
    <w:rsid w:val="003921CA"/>
    <w:rsid w:val="00392614"/>
    <w:rsid w:val="00392F7A"/>
    <w:rsid w:val="00393278"/>
    <w:rsid w:val="00394544"/>
    <w:rsid w:val="00394DAA"/>
    <w:rsid w:val="003969F2"/>
    <w:rsid w:val="00396F0A"/>
    <w:rsid w:val="00396FD7"/>
    <w:rsid w:val="00397B93"/>
    <w:rsid w:val="003A0C7A"/>
    <w:rsid w:val="003A16DA"/>
    <w:rsid w:val="003A3ADA"/>
    <w:rsid w:val="003A501E"/>
    <w:rsid w:val="003A5858"/>
    <w:rsid w:val="003A5CB4"/>
    <w:rsid w:val="003A63C1"/>
    <w:rsid w:val="003B147F"/>
    <w:rsid w:val="003B28AD"/>
    <w:rsid w:val="003B2E7A"/>
    <w:rsid w:val="003B3E57"/>
    <w:rsid w:val="003B5912"/>
    <w:rsid w:val="003C3464"/>
    <w:rsid w:val="003C38EC"/>
    <w:rsid w:val="003C3D79"/>
    <w:rsid w:val="003C7A09"/>
    <w:rsid w:val="003D046E"/>
    <w:rsid w:val="003D38C4"/>
    <w:rsid w:val="003E1520"/>
    <w:rsid w:val="003E21DB"/>
    <w:rsid w:val="003E3505"/>
    <w:rsid w:val="003E418E"/>
    <w:rsid w:val="003E68AA"/>
    <w:rsid w:val="003E7979"/>
    <w:rsid w:val="003F3915"/>
    <w:rsid w:val="003F44C3"/>
    <w:rsid w:val="003F4ADD"/>
    <w:rsid w:val="003F597A"/>
    <w:rsid w:val="003F6F65"/>
    <w:rsid w:val="003F7027"/>
    <w:rsid w:val="003F71D0"/>
    <w:rsid w:val="003F7D6D"/>
    <w:rsid w:val="004042F1"/>
    <w:rsid w:val="00404C29"/>
    <w:rsid w:val="00406760"/>
    <w:rsid w:val="004110F6"/>
    <w:rsid w:val="00412ACA"/>
    <w:rsid w:val="00413779"/>
    <w:rsid w:val="004161B8"/>
    <w:rsid w:val="00424A50"/>
    <w:rsid w:val="00430A83"/>
    <w:rsid w:val="00431084"/>
    <w:rsid w:val="0043354B"/>
    <w:rsid w:val="00435539"/>
    <w:rsid w:val="00436B58"/>
    <w:rsid w:val="00436BEA"/>
    <w:rsid w:val="00437868"/>
    <w:rsid w:val="004406E3"/>
    <w:rsid w:val="00441535"/>
    <w:rsid w:val="00442E64"/>
    <w:rsid w:val="0044335E"/>
    <w:rsid w:val="00444D94"/>
    <w:rsid w:val="00446C1B"/>
    <w:rsid w:val="00450A57"/>
    <w:rsid w:val="004533DB"/>
    <w:rsid w:val="004551EC"/>
    <w:rsid w:val="0045560A"/>
    <w:rsid w:val="00455D47"/>
    <w:rsid w:val="004620FF"/>
    <w:rsid w:val="00462140"/>
    <w:rsid w:val="00462212"/>
    <w:rsid w:val="00464B7F"/>
    <w:rsid w:val="004655C1"/>
    <w:rsid w:val="00465789"/>
    <w:rsid w:val="004662C5"/>
    <w:rsid w:val="00470E62"/>
    <w:rsid w:val="00480779"/>
    <w:rsid w:val="00481F32"/>
    <w:rsid w:val="00482EEC"/>
    <w:rsid w:val="004867C2"/>
    <w:rsid w:val="00486BB1"/>
    <w:rsid w:val="00486DFC"/>
    <w:rsid w:val="00490685"/>
    <w:rsid w:val="0049195D"/>
    <w:rsid w:val="00491AB9"/>
    <w:rsid w:val="004934BE"/>
    <w:rsid w:val="00493F18"/>
    <w:rsid w:val="00495DE3"/>
    <w:rsid w:val="004A05A7"/>
    <w:rsid w:val="004A1D60"/>
    <w:rsid w:val="004A40B4"/>
    <w:rsid w:val="004A472A"/>
    <w:rsid w:val="004A4935"/>
    <w:rsid w:val="004B09F3"/>
    <w:rsid w:val="004B47D3"/>
    <w:rsid w:val="004B5E44"/>
    <w:rsid w:val="004C0111"/>
    <w:rsid w:val="004C231F"/>
    <w:rsid w:val="004C498B"/>
    <w:rsid w:val="004C67B1"/>
    <w:rsid w:val="004D084D"/>
    <w:rsid w:val="004D1EAA"/>
    <w:rsid w:val="004D2C35"/>
    <w:rsid w:val="004D5EBE"/>
    <w:rsid w:val="004D6B97"/>
    <w:rsid w:val="004E049B"/>
    <w:rsid w:val="004E48E1"/>
    <w:rsid w:val="004E69F7"/>
    <w:rsid w:val="004E7409"/>
    <w:rsid w:val="004E74D1"/>
    <w:rsid w:val="004F2BAC"/>
    <w:rsid w:val="004F36C4"/>
    <w:rsid w:val="004F36E2"/>
    <w:rsid w:val="004F48C0"/>
    <w:rsid w:val="00500104"/>
    <w:rsid w:val="0050038C"/>
    <w:rsid w:val="00501DBD"/>
    <w:rsid w:val="00505804"/>
    <w:rsid w:val="00506F79"/>
    <w:rsid w:val="00511D22"/>
    <w:rsid w:val="005145F6"/>
    <w:rsid w:val="00515CCA"/>
    <w:rsid w:val="005257EC"/>
    <w:rsid w:val="00526576"/>
    <w:rsid w:val="00526D08"/>
    <w:rsid w:val="00535221"/>
    <w:rsid w:val="0053540D"/>
    <w:rsid w:val="00537E01"/>
    <w:rsid w:val="005400FC"/>
    <w:rsid w:val="00540352"/>
    <w:rsid w:val="005403E8"/>
    <w:rsid w:val="00542944"/>
    <w:rsid w:val="005445D5"/>
    <w:rsid w:val="005455E1"/>
    <w:rsid w:val="00551D48"/>
    <w:rsid w:val="005535C7"/>
    <w:rsid w:val="005547CA"/>
    <w:rsid w:val="00555F68"/>
    <w:rsid w:val="005576F8"/>
    <w:rsid w:val="00560D9D"/>
    <w:rsid w:val="00561604"/>
    <w:rsid w:val="00563A74"/>
    <w:rsid w:val="00564491"/>
    <w:rsid w:val="005720EB"/>
    <w:rsid w:val="0057537D"/>
    <w:rsid w:val="00580A6C"/>
    <w:rsid w:val="00582131"/>
    <w:rsid w:val="005830B5"/>
    <w:rsid w:val="005837E2"/>
    <w:rsid w:val="00583CD1"/>
    <w:rsid w:val="00584173"/>
    <w:rsid w:val="00585F60"/>
    <w:rsid w:val="005860D2"/>
    <w:rsid w:val="005903AC"/>
    <w:rsid w:val="00590885"/>
    <w:rsid w:val="00592A4A"/>
    <w:rsid w:val="00593408"/>
    <w:rsid w:val="00595E08"/>
    <w:rsid w:val="005974CD"/>
    <w:rsid w:val="005975FE"/>
    <w:rsid w:val="005A0972"/>
    <w:rsid w:val="005A151B"/>
    <w:rsid w:val="005A1F62"/>
    <w:rsid w:val="005A33EF"/>
    <w:rsid w:val="005A7644"/>
    <w:rsid w:val="005A7F69"/>
    <w:rsid w:val="005B05D5"/>
    <w:rsid w:val="005B2A4D"/>
    <w:rsid w:val="005B3829"/>
    <w:rsid w:val="005B3BFB"/>
    <w:rsid w:val="005B5624"/>
    <w:rsid w:val="005C2E96"/>
    <w:rsid w:val="005C3024"/>
    <w:rsid w:val="005C3A85"/>
    <w:rsid w:val="005C40D5"/>
    <w:rsid w:val="005C40E0"/>
    <w:rsid w:val="005C45D4"/>
    <w:rsid w:val="005C67DA"/>
    <w:rsid w:val="005C68CA"/>
    <w:rsid w:val="005D1DEB"/>
    <w:rsid w:val="005D2774"/>
    <w:rsid w:val="005D51C5"/>
    <w:rsid w:val="005D5D21"/>
    <w:rsid w:val="005E210F"/>
    <w:rsid w:val="005E2B24"/>
    <w:rsid w:val="005E3769"/>
    <w:rsid w:val="005E454D"/>
    <w:rsid w:val="005F28ED"/>
    <w:rsid w:val="005F4C88"/>
    <w:rsid w:val="005F5DC1"/>
    <w:rsid w:val="005F660B"/>
    <w:rsid w:val="005F6F8C"/>
    <w:rsid w:val="005F7ADD"/>
    <w:rsid w:val="005F7FEA"/>
    <w:rsid w:val="00606182"/>
    <w:rsid w:val="006064A8"/>
    <w:rsid w:val="00606DD0"/>
    <w:rsid w:val="006075CC"/>
    <w:rsid w:val="006143B4"/>
    <w:rsid w:val="00615050"/>
    <w:rsid w:val="00616DE6"/>
    <w:rsid w:val="00617029"/>
    <w:rsid w:val="00621B04"/>
    <w:rsid w:val="00622372"/>
    <w:rsid w:val="00623E13"/>
    <w:rsid w:val="0062545D"/>
    <w:rsid w:val="00626475"/>
    <w:rsid w:val="00630293"/>
    <w:rsid w:val="00633E77"/>
    <w:rsid w:val="006340F4"/>
    <w:rsid w:val="0063644E"/>
    <w:rsid w:val="00636D6D"/>
    <w:rsid w:val="006371A1"/>
    <w:rsid w:val="006404FF"/>
    <w:rsid w:val="00647968"/>
    <w:rsid w:val="006527B6"/>
    <w:rsid w:val="0066062F"/>
    <w:rsid w:val="0066273C"/>
    <w:rsid w:val="00671099"/>
    <w:rsid w:val="00673242"/>
    <w:rsid w:val="0067358F"/>
    <w:rsid w:val="0067395C"/>
    <w:rsid w:val="00673F04"/>
    <w:rsid w:val="00676A56"/>
    <w:rsid w:val="00676D77"/>
    <w:rsid w:val="00676F47"/>
    <w:rsid w:val="0068215C"/>
    <w:rsid w:val="0068230E"/>
    <w:rsid w:val="006926D4"/>
    <w:rsid w:val="00693990"/>
    <w:rsid w:val="0069799C"/>
    <w:rsid w:val="00697E5B"/>
    <w:rsid w:val="006A05FC"/>
    <w:rsid w:val="006A2735"/>
    <w:rsid w:val="006A465C"/>
    <w:rsid w:val="006A4FFC"/>
    <w:rsid w:val="006A6D7D"/>
    <w:rsid w:val="006A73F8"/>
    <w:rsid w:val="006B1180"/>
    <w:rsid w:val="006B2425"/>
    <w:rsid w:val="006B2483"/>
    <w:rsid w:val="006B4E3F"/>
    <w:rsid w:val="006B6D4A"/>
    <w:rsid w:val="006C2620"/>
    <w:rsid w:val="006C280E"/>
    <w:rsid w:val="006C3304"/>
    <w:rsid w:val="006C3548"/>
    <w:rsid w:val="006C7956"/>
    <w:rsid w:val="006D03BB"/>
    <w:rsid w:val="006D108A"/>
    <w:rsid w:val="006D176B"/>
    <w:rsid w:val="006D21FF"/>
    <w:rsid w:val="006D3662"/>
    <w:rsid w:val="006D680C"/>
    <w:rsid w:val="006E1604"/>
    <w:rsid w:val="006E353A"/>
    <w:rsid w:val="006E3BD4"/>
    <w:rsid w:val="006E4164"/>
    <w:rsid w:val="006E5B0A"/>
    <w:rsid w:val="006E7F57"/>
    <w:rsid w:val="006F265F"/>
    <w:rsid w:val="006F3FEB"/>
    <w:rsid w:val="006F4AC9"/>
    <w:rsid w:val="006F4AFC"/>
    <w:rsid w:val="006F730C"/>
    <w:rsid w:val="006F73F3"/>
    <w:rsid w:val="00700DDD"/>
    <w:rsid w:val="00701324"/>
    <w:rsid w:val="00702EB1"/>
    <w:rsid w:val="00702F11"/>
    <w:rsid w:val="00702F3A"/>
    <w:rsid w:val="007031B1"/>
    <w:rsid w:val="007043FD"/>
    <w:rsid w:val="00706624"/>
    <w:rsid w:val="00707247"/>
    <w:rsid w:val="00707736"/>
    <w:rsid w:val="00707ED3"/>
    <w:rsid w:val="00711B96"/>
    <w:rsid w:val="00716DB7"/>
    <w:rsid w:val="007176C7"/>
    <w:rsid w:val="00717F2E"/>
    <w:rsid w:val="007222A0"/>
    <w:rsid w:val="00723CA0"/>
    <w:rsid w:val="0073236D"/>
    <w:rsid w:val="00735339"/>
    <w:rsid w:val="00736A41"/>
    <w:rsid w:val="00736C3B"/>
    <w:rsid w:val="00737D0F"/>
    <w:rsid w:val="00740A5E"/>
    <w:rsid w:val="00741BEF"/>
    <w:rsid w:val="00741E06"/>
    <w:rsid w:val="00742577"/>
    <w:rsid w:val="0075488B"/>
    <w:rsid w:val="0075492E"/>
    <w:rsid w:val="00756044"/>
    <w:rsid w:val="00756E06"/>
    <w:rsid w:val="007614D4"/>
    <w:rsid w:val="007615DA"/>
    <w:rsid w:val="00761AE1"/>
    <w:rsid w:val="00761C9D"/>
    <w:rsid w:val="00761DA6"/>
    <w:rsid w:val="00762199"/>
    <w:rsid w:val="00764A14"/>
    <w:rsid w:val="00764A19"/>
    <w:rsid w:val="007700B1"/>
    <w:rsid w:val="00770B61"/>
    <w:rsid w:val="00780B38"/>
    <w:rsid w:val="00781BFC"/>
    <w:rsid w:val="00781F52"/>
    <w:rsid w:val="007825D9"/>
    <w:rsid w:val="0078317B"/>
    <w:rsid w:val="0078500B"/>
    <w:rsid w:val="00785B52"/>
    <w:rsid w:val="00787CE7"/>
    <w:rsid w:val="007956BD"/>
    <w:rsid w:val="007958BA"/>
    <w:rsid w:val="007963EB"/>
    <w:rsid w:val="007A1493"/>
    <w:rsid w:val="007A24A3"/>
    <w:rsid w:val="007A2D95"/>
    <w:rsid w:val="007A2E39"/>
    <w:rsid w:val="007A2E57"/>
    <w:rsid w:val="007A3C53"/>
    <w:rsid w:val="007A4FD7"/>
    <w:rsid w:val="007A5809"/>
    <w:rsid w:val="007A6226"/>
    <w:rsid w:val="007A72C6"/>
    <w:rsid w:val="007B1192"/>
    <w:rsid w:val="007B1305"/>
    <w:rsid w:val="007B1E87"/>
    <w:rsid w:val="007B4D11"/>
    <w:rsid w:val="007B7216"/>
    <w:rsid w:val="007C07F0"/>
    <w:rsid w:val="007C6B92"/>
    <w:rsid w:val="007C7719"/>
    <w:rsid w:val="007D011C"/>
    <w:rsid w:val="007D03DC"/>
    <w:rsid w:val="007D1B56"/>
    <w:rsid w:val="007D2AD5"/>
    <w:rsid w:val="007D3BC7"/>
    <w:rsid w:val="007D4908"/>
    <w:rsid w:val="007D6AE7"/>
    <w:rsid w:val="007D6CFB"/>
    <w:rsid w:val="007D6DC4"/>
    <w:rsid w:val="007D733E"/>
    <w:rsid w:val="007E1607"/>
    <w:rsid w:val="007E4DAC"/>
    <w:rsid w:val="007E574B"/>
    <w:rsid w:val="007E5750"/>
    <w:rsid w:val="007E6923"/>
    <w:rsid w:val="007E7AE3"/>
    <w:rsid w:val="007F199D"/>
    <w:rsid w:val="007F29EF"/>
    <w:rsid w:val="007F6E57"/>
    <w:rsid w:val="0080183F"/>
    <w:rsid w:val="008022D4"/>
    <w:rsid w:val="0080236C"/>
    <w:rsid w:val="0080264C"/>
    <w:rsid w:val="008059AC"/>
    <w:rsid w:val="008065F4"/>
    <w:rsid w:val="00807813"/>
    <w:rsid w:val="00811638"/>
    <w:rsid w:val="00814AE7"/>
    <w:rsid w:val="00815382"/>
    <w:rsid w:val="00821341"/>
    <w:rsid w:val="0082256E"/>
    <w:rsid w:val="00823AB7"/>
    <w:rsid w:val="008247FC"/>
    <w:rsid w:val="008264E6"/>
    <w:rsid w:val="00826FCA"/>
    <w:rsid w:val="00830296"/>
    <w:rsid w:val="008321D0"/>
    <w:rsid w:val="00833B51"/>
    <w:rsid w:val="008403EE"/>
    <w:rsid w:val="008405D8"/>
    <w:rsid w:val="00841251"/>
    <w:rsid w:val="00841793"/>
    <w:rsid w:val="008453D2"/>
    <w:rsid w:val="00846B77"/>
    <w:rsid w:val="0085028F"/>
    <w:rsid w:val="00850CB8"/>
    <w:rsid w:val="00850F24"/>
    <w:rsid w:val="00852D7A"/>
    <w:rsid w:val="008540D9"/>
    <w:rsid w:val="00854CC7"/>
    <w:rsid w:val="00854FD1"/>
    <w:rsid w:val="00855090"/>
    <w:rsid w:val="008574B0"/>
    <w:rsid w:val="00857D21"/>
    <w:rsid w:val="00865AD4"/>
    <w:rsid w:val="00865E7D"/>
    <w:rsid w:val="00866DBB"/>
    <w:rsid w:val="00871FB8"/>
    <w:rsid w:val="00872A9C"/>
    <w:rsid w:val="00872B5D"/>
    <w:rsid w:val="0087383F"/>
    <w:rsid w:val="00877B02"/>
    <w:rsid w:val="008813AB"/>
    <w:rsid w:val="0088174A"/>
    <w:rsid w:val="00881F7F"/>
    <w:rsid w:val="00882E5C"/>
    <w:rsid w:val="008834EC"/>
    <w:rsid w:val="00884EED"/>
    <w:rsid w:val="0088698E"/>
    <w:rsid w:val="0089611E"/>
    <w:rsid w:val="00896C83"/>
    <w:rsid w:val="00897391"/>
    <w:rsid w:val="008A1353"/>
    <w:rsid w:val="008A180A"/>
    <w:rsid w:val="008A1953"/>
    <w:rsid w:val="008A705A"/>
    <w:rsid w:val="008B07B5"/>
    <w:rsid w:val="008B09D6"/>
    <w:rsid w:val="008B282D"/>
    <w:rsid w:val="008B2BAC"/>
    <w:rsid w:val="008B4482"/>
    <w:rsid w:val="008B4E7B"/>
    <w:rsid w:val="008B5ADA"/>
    <w:rsid w:val="008C0044"/>
    <w:rsid w:val="008C16FA"/>
    <w:rsid w:val="008C2567"/>
    <w:rsid w:val="008C283D"/>
    <w:rsid w:val="008C39E1"/>
    <w:rsid w:val="008C42DA"/>
    <w:rsid w:val="008C566A"/>
    <w:rsid w:val="008C5D23"/>
    <w:rsid w:val="008C6E88"/>
    <w:rsid w:val="008C792F"/>
    <w:rsid w:val="008D06E6"/>
    <w:rsid w:val="008D19C5"/>
    <w:rsid w:val="008D20EB"/>
    <w:rsid w:val="008D4334"/>
    <w:rsid w:val="008D680C"/>
    <w:rsid w:val="008D6AB9"/>
    <w:rsid w:val="008E0151"/>
    <w:rsid w:val="008E1F00"/>
    <w:rsid w:val="008E2336"/>
    <w:rsid w:val="008E725C"/>
    <w:rsid w:val="008E7A30"/>
    <w:rsid w:val="008F10BA"/>
    <w:rsid w:val="008F1145"/>
    <w:rsid w:val="008F20DD"/>
    <w:rsid w:val="008F2984"/>
    <w:rsid w:val="008F7DA8"/>
    <w:rsid w:val="00900ECE"/>
    <w:rsid w:val="00901CA4"/>
    <w:rsid w:val="00905287"/>
    <w:rsid w:val="009059B9"/>
    <w:rsid w:val="00910B00"/>
    <w:rsid w:val="00912878"/>
    <w:rsid w:val="0091313F"/>
    <w:rsid w:val="009136A0"/>
    <w:rsid w:val="00913856"/>
    <w:rsid w:val="00914549"/>
    <w:rsid w:val="009147A0"/>
    <w:rsid w:val="009157C5"/>
    <w:rsid w:val="00916365"/>
    <w:rsid w:val="0091711A"/>
    <w:rsid w:val="00917F77"/>
    <w:rsid w:val="0092292E"/>
    <w:rsid w:val="009233DF"/>
    <w:rsid w:val="00924CD3"/>
    <w:rsid w:val="009250ED"/>
    <w:rsid w:val="009259C2"/>
    <w:rsid w:val="00926765"/>
    <w:rsid w:val="00931483"/>
    <w:rsid w:val="009315B2"/>
    <w:rsid w:val="00931AB6"/>
    <w:rsid w:val="0093204A"/>
    <w:rsid w:val="00932372"/>
    <w:rsid w:val="00932E4E"/>
    <w:rsid w:val="00933ACA"/>
    <w:rsid w:val="00935598"/>
    <w:rsid w:val="0093623F"/>
    <w:rsid w:val="00937C89"/>
    <w:rsid w:val="00940BA2"/>
    <w:rsid w:val="00944C5E"/>
    <w:rsid w:val="0094551C"/>
    <w:rsid w:val="009555B9"/>
    <w:rsid w:val="0095642D"/>
    <w:rsid w:val="00962492"/>
    <w:rsid w:val="009625E7"/>
    <w:rsid w:val="00964824"/>
    <w:rsid w:val="00964B48"/>
    <w:rsid w:val="0096578D"/>
    <w:rsid w:val="00970A65"/>
    <w:rsid w:val="00971A81"/>
    <w:rsid w:val="00972C11"/>
    <w:rsid w:val="009766F4"/>
    <w:rsid w:val="00976BF5"/>
    <w:rsid w:val="00976EC6"/>
    <w:rsid w:val="009804AB"/>
    <w:rsid w:val="00981FE2"/>
    <w:rsid w:val="00982052"/>
    <w:rsid w:val="00982410"/>
    <w:rsid w:val="00986786"/>
    <w:rsid w:val="00994A4D"/>
    <w:rsid w:val="00995D54"/>
    <w:rsid w:val="009A5344"/>
    <w:rsid w:val="009A5B76"/>
    <w:rsid w:val="009B11C3"/>
    <w:rsid w:val="009B69E2"/>
    <w:rsid w:val="009B6CDF"/>
    <w:rsid w:val="009B6D8C"/>
    <w:rsid w:val="009B76DA"/>
    <w:rsid w:val="009C13E5"/>
    <w:rsid w:val="009C17F5"/>
    <w:rsid w:val="009C4062"/>
    <w:rsid w:val="009C40AE"/>
    <w:rsid w:val="009C5A71"/>
    <w:rsid w:val="009C73AF"/>
    <w:rsid w:val="009C73FF"/>
    <w:rsid w:val="009D0E19"/>
    <w:rsid w:val="009D0EC1"/>
    <w:rsid w:val="009D15B1"/>
    <w:rsid w:val="009D3FB9"/>
    <w:rsid w:val="009D523A"/>
    <w:rsid w:val="009D58E7"/>
    <w:rsid w:val="009D6CA7"/>
    <w:rsid w:val="009E2852"/>
    <w:rsid w:val="009E69BF"/>
    <w:rsid w:val="009E6C29"/>
    <w:rsid w:val="009E715C"/>
    <w:rsid w:val="009E756D"/>
    <w:rsid w:val="009E7C89"/>
    <w:rsid w:val="009F11EC"/>
    <w:rsid w:val="009F33C2"/>
    <w:rsid w:val="009F37A2"/>
    <w:rsid w:val="009F45A2"/>
    <w:rsid w:val="009F6DCD"/>
    <w:rsid w:val="009F779E"/>
    <w:rsid w:val="00A01047"/>
    <w:rsid w:val="00A064A6"/>
    <w:rsid w:val="00A16D4C"/>
    <w:rsid w:val="00A219A4"/>
    <w:rsid w:val="00A2291C"/>
    <w:rsid w:val="00A23043"/>
    <w:rsid w:val="00A25844"/>
    <w:rsid w:val="00A26E0C"/>
    <w:rsid w:val="00A270F8"/>
    <w:rsid w:val="00A30C7E"/>
    <w:rsid w:val="00A311C2"/>
    <w:rsid w:val="00A343A5"/>
    <w:rsid w:val="00A36079"/>
    <w:rsid w:val="00A3715B"/>
    <w:rsid w:val="00A40FBE"/>
    <w:rsid w:val="00A43D07"/>
    <w:rsid w:val="00A469D3"/>
    <w:rsid w:val="00A4720B"/>
    <w:rsid w:val="00A569DC"/>
    <w:rsid w:val="00A60379"/>
    <w:rsid w:val="00A606CF"/>
    <w:rsid w:val="00A60ABF"/>
    <w:rsid w:val="00A66515"/>
    <w:rsid w:val="00A66A4E"/>
    <w:rsid w:val="00A7074C"/>
    <w:rsid w:val="00A70EF5"/>
    <w:rsid w:val="00A710B6"/>
    <w:rsid w:val="00A74AFC"/>
    <w:rsid w:val="00A76C3D"/>
    <w:rsid w:val="00A81E86"/>
    <w:rsid w:val="00A83EF6"/>
    <w:rsid w:val="00A8684E"/>
    <w:rsid w:val="00A87A24"/>
    <w:rsid w:val="00A900BC"/>
    <w:rsid w:val="00A92089"/>
    <w:rsid w:val="00A92BE2"/>
    <w:rsid w:val="00A960CD"/>
    <w:rsid w:val="00A96CD2"/>
    <w:rsid w:val="00AA1231"/>
    <w:rsid w:val="00AA174B"/>
    <w:rsid w:val="00AA4A33"/>
    <w:rsid w:val="00AA542D"/>
    <w:rsid w:val="00AA795E"/>
    <w:rsid w:val="00AB11A2"/>
    <w:rsid w:val="00AB34B8"/>
    <w:rsid w:val="00AB496C"/>
    <w:rsid w:val="00AB6706"/>
    <w:rsid w:val="00AB7AB9"/>
    <w:rsid w:val="00AB7DAD"/>
    <w:rsid w:val="00AC0600"/>
    <w:rsid w:val="00AC0CA5"/>
    <w:rsid w:val="00AC1D7D"/>
    <w:rsid w:val="00AC4A73"/>
    <w:rsid w:val="00AC603E"/>
    <w:rsid w:val="00AD11FC"/>
    <w:rsid w:val="00AD2206"/>
    <w:rsid w:val="00AD23FE"/>
    <w:rsid w:val="00AD24F3"/>
    <w:rsid w:val="00AD2E6C"/>
    <w:rsid w:val="00AD3676"/>
    <w:rsid w:val="00AD5974"/>
    <w:rsid w:val="00AD623A"/>
    <w:rsid w:val="00AD7341"/>
    <w:rsid w:val="00AE0F25"/>
    <w:rsid w:val="00AE2270"/>
    <w:rsid w:val="00AE3DBB"/>
    <w:rsid w:val="00AE4A04"/>
    <w:rsid w:val="00AF0545"/>
    <w:rsid w:val="00AF3F7F"/>
    <w:rsid w:val="00AF5F20"/>
    <w:rsid w:val="00AF5F69"/>
    <w:rsid w:val="00AF7247"/>
    <w:rsid w:val="00B000BE"/>
    <w:rsid w:val="00B01117"/>
    <w:rsid w:val="00B01CB5"/>
    <w:rsid w:val="00B023D9"/>
    <w:rsid w:val="00B02C9E"/>
    <w:rsid w:val="00B03384"/>
    <w:rsid w:val="00B04DDB"/>
    <w:rsid w:val="00B06D91"/>
    <w:rsid w:val="00B11994"/>
    <w:rsid w:val="00B11C13"/>
    <w:rsid w:val="00B11F80"/>
    <w:rsid w:val="00B15E9D"/>
    <w:rsid w:val="00B176FD"/>
    <w:rsid w:val="00B1779B"/>
    <w:rsid w:val="00B21E40"/>
    <w:rsid w:val="00B24C5A"/>
    <w:rsid w:val="00B261C0"/>
    <w:rsid w:val="00B30099"/>
    <w:rsid w:val="00B30F06"/>
    <w:rsid w:val="00B31391"/>
    <w:rsid w:val="00B324C5"/>
    <w:rsid w:val="00B331F4"/>
    <w:rsid w:val="00B33BD4"/>
    <w:rsid w:val="00B346FB"/>
    <w:rsid w:val="00B35786"/>
    <w:rsid w:val="00B37146"/>
    <w:rsid w:val="00B37460"/>
    <w:rsid w:val="00B40B48"/>
    <w:rsid w:val="00B42423"/>
    <w:rsid w:val="00B45465"/>
    <w:rsid w:val="00B45B86"/>
    <w:rsid w:val="00B518EB"/>
    <w:rsid w:val="00B57DCF"/>
    <w:rsid w:val="00B6037C"/>
    <w:rsid w:val="00B60EB7"/>
    <w:rsid w:val="00B67A6B"/>
    <w:rsid w:val="00B72C2C"/>
    <w:rsid w:val="00B73D4C"/>
    <w:rsid w:val="00B75DB5"/>
    <w:rsid w:val="00B769E6"/>
    <w:rsid w:val="00B80400"/>
    <w:rsid w:val="00B83B64"/>
    <w:rsid w:val="00B857F7"/>
    <w:rsid w:val="00B86797"/>
    <w:rsid w:val="00B86E7E"/>
    <w:rsid w:val="00B9069A"/>
    <w:rsid w:val="00B90E1D"/>
    <w:rsid w:val="00B9456E"/>
    <w:rsid w:val="00B949A7"/>
    <w:rsid w:val="00B96762"/>
    <w:rsid w:val="00B973C9"/>
    <w:rsid w:val="00B976B6"/>
    <w:rsid w:val="00BA0343"/>
    <w:rsid w:val="00BA0DDD"/>
    <w:rsid w:val="00BA36B1"/>
    <w:rsid w:val="00BA48EF"/>
    <w:rsid w:val="00BA512D"/>
    <w:rsid w:val="00BA79D9"/>
    <w:rsid w:val="00BB000E"/>
    <w:rsid w:val="00BB076D"/>
    <w:rsid w:val="00BB29D2"/>
    <w:rsid w:val="00BB4F8E"/>
    <w:rsid w:val="00BB5573"/>
    <w:rsid w:val="00BB5649"/>
    <w:rsid w:val="00BB74AC"/>
    <w:rsid w:val="00BB755E"/>
    <w:rsid w:val="00BC2562"/>
    <w:rsid w:val="00BC3468"/>
    <w:rsid w:val="00BC5EAE"/>
    <w:rsid w:val="00BD086A"/>
    <w:rsid w:val="00BD33C2"/>
    <w:rsid w:val="00BD411C"/>
    <w:rsid w:val="00BE18A5"/>
    <w:rsid w:val="00BE266D"/>
    <w:rsid w:val="00BE33C8"/>
    <w:rsid w:val="00BE3C51"/>
    <w:rsid w:val="00BE6894"/>
    <w:rsid w:val="00BF1CE7"/>
    <w:rsid w:val="00BF39D4"/>
    <w:rsid w:val="00BF3F82"/>
    <w:rsid w:val="00BF5B09"/>
    <w:rsid w:val="00BF61B7"/>
    <w:rsid w:val="00BF7326"/>
    <w:rsid w:val="00C01B00"/>
    <w:rsid w:val="00C02295"/>
    <w:rsid w:val="00C03960"/>
    <w:rsid w:val="00C03BFC"/>
    <w:rsid w:val="00C046EB"/>
    <w:rsid w:val="00C06296"/>
    <w:rsid w:val="00C1188F"/>
    <w:rsid w:val="00C138B9"/>
    <w:rsid w:val="00C14871"/>
    <w:rsid w:val="00C20291"/>
    <w:rsid w:val="00C2151E"/>
    <w:rsid w:val="00C22C89"/>
    <w:rsid w:val="00C23DAE"/>
    <w:rsid w:val="00C247F2"/>
    <w:rsid w:val="00C258FB"/>
    <w:rsid w:val="00C2798C"/>
    <w:rsid w:val="00C27EB8"/>
    <w:rsid w:val="00C307BC"/>
    <w:rsid w:val="00C33076"/>
    <w:rsid w:val="00C4142C"/>
    <w:rsid w:val="00C42903"/>
    <w:rsid w:val="00C44D41"/>
    <w:rsid w:val="00C45A45"/>
    <w:rsid w:val="00C45D90"/>
    <w:rsid w:val="00C46DC5"/>
    <w:rsid w:val="00C47A9D"/>
    <w:rsid w:val="00C50508"/>
    <w:rsid w:val="00C51094"/>
    <w:rsid w:val="00C536C6"/>
    <w:rsid w:val="00C55D6A"/>
    <w:rsid w:val="00C5662D"/>
    <w:rsid w:val="00C575DD"/>
    <w:rsid w:val="00C6037F"/>
    <w:rsid w:val="00C622A4"/>
    <w:rsid w:val="00C62485"/>
    <w:rsid w:val="00C62874"/>
    <w:rsid w:val="00C62A6D"/>
    <w:rsid w:val="00C6450B"/>
    <w:rsid w:val="00C70841"/>
    <w:rsid w:val="00C7488A"/>
    <w:rsid w:val="00C749D7"/>
    <w:rsid w:val="00C77B51"/>
    <w:rsid w:val="00C80948"/>
    <w:rsid w:val="00C81C15"/>
    <w:rsid w:val="00C81CE4"/>
    <w:rsid w:val="00C83353"/>
    <w:rsid w:val="00C84DB0"/>
    <w:rsid w:val="00C85196"/>
    <w:rsid w:val="00C90FA2"/>
    <w:rsid w:val="00C91F43"/>
    <w:rsid w:val="00C9366F"/>
    <w:rsid w:val="00C94B60"/>
    <w:rsid w:val="00C95148"/>
    <w:rsid w:val="00C971DE"/>
    <w:rsid w:val="00CA1FFC"/>
    <w:rsid w:val="00CA6471"/>
    <w:rsid w:val="00CA73BC"/>
    <w:rsid w:val="00CA7F45"/>
    <w:rsid w:val="00CB0699"/>
    <w:rsid w:val="00CB1511"/>
    <w:rsid w:val="00CB1CB6"/>
    <w:rsid w:val="00CB3552"/>
    <w:rsid w:val="00CB357F"/>
    <w:rsid w:val="00CB3F7D"/>
    <w:rsid w:val="00CB4AFD"/>
    <w:rsid w:val="00CB5665"/>
    <w:rsid w:val="00CB77C1"/>
    <w:rsid w:val="00CC1B89"/>
    <w:rsid w:val="00CC2B56"/>
    <w:rsid w:val="00CC6431"/>
    <w:rsid w:val="00CD0D49"/>
    <w:rsid w:val="00CD148B"/>
    <w:rsid w:val="00CD30C4"/>
    <w:rsid w:val="00CD3139"/>
    <w:rsid w:val="00CE2B09"/>
    <w:rsid w:val="00CE347E"/>
    <w:rsid w:val="00CE55BF"/>
    <w:rsid w:val="00CE614C"/>
    <w:rsid w:val="00CF429F"/>
    <w:rsid w:val="00CF6E72"/>
    <w:rsid w:val="00CF75EC"/>
    <w:rsid w:val="00CF773F"/>
    <w:rsid w:val="00CF7C68"/>
    <w:rsid w:val="00D01C45"/>
    <w:rsid w:val="00D04B5A"/>
    <w:rsid w:val="00D05BD4"/>
    <w:rsid w:val="00D13A18"/>
    <w:rsid w:val="00D154AE"/>
    <w:rsid w:val="00D15E8A"/>
    <w:rsid w:val="00D170E4"/>
    <w:rsid w:val="00D17BAD"/>
    <w:rsid w:val="00D206F1"/>
    <w:rsid w:val="00D23710"/>
    <w:rsid w:val="00D27BAA"/>
    <w:rsid w:val="00D3011C"/>
    <w:rsid w:val="00D3206B"/>
    <w:rsid w:val="00D32578"/>
    <w:rsid w:val="00D32D01"/>
    <w:rsid w:val="00D3411D"/>
    <w:rsid w:val="00D35FA2"/>
    <w:rsid w:val="00D36A2A"/>
    <w:rsid w:val="00D426AD"/>
    <w:rsid w:val="00D44594"/>
    <w:rsid w:val="00D44A26"/>
    <w:rsid w:val="00D46CC5"/>
    <w:rsid w:val="00D50DC3"/>
    <w:rsid w:val="00D52838"/>
    <w:rsid w:val="00D541E7"/>
    <w:rsid w:val="00D67945"/>
    <w:rsid w:val="00D71B98"/>
    <w:rsid w:val="00D7273E"/>
    <w:rsid w:val="00D849EE"/>
    <w:rsid w:val="00D854D7"/>
    <w:rsid w:val="00D864BC"/>
    <w:rsid w:val="00D8659F"/>
    <w:rsid w:val="00D90E65"/>
    <w:rsid w:val="00D9439C"/>
    <w:rsid w:val="00D943E8"/>
    <w:rsid w:val="00DA37FA"/>
    <w:rsid w:val="00DA4E74"/>
    <w:rsid w:val="00DB0447"/>
    <w:rsid w:val="00DB0CFD"/>
    <w:rsid w:val="00DB2324"/>
    <w:rsid w:val="00DB5406"/>
    <w:rsid w:val="00DB7515"/>
    <w:rsid w:val="00DC02C5"/>
    <w:rsid w:val="00DC0518"/>
    <w:rsid w:val="00DC1F96"/>
    <w:rsid w:val="00DC2044"/>
    <w:rsid w:val="00DC5669"/>
    <w:rsid w:val="00DC57DB"/>
    <w:rsid w:val="00DD2ADB"/>
    <w:rsid w:val="00DD41AB"/>
    <w:rsid w:val="00DD7A5B"/>
    <w:rsid w:val="00DE061D"/>
    <w:rsid w:val="00DE222B"/>
    <w:rsid w:val="00DE38D3"/>
    <w:rsid w:val="00DE3C94"/>
    <w:rsid w:val="00DE4BDB"/>
    <w:rsid w:val="00DE4FC5"/>
    <w:rsid w:val="00DE567D"/>
    <w:rsid w:val="00DF3111"/>
    <w:rsid w:val="00DF427E"/>
    <w:rsid w:val="00DF4330"/>
    <w:rsid w:val="00DF4F75"/>
    <w:rsid w:val="00DF683E"/>
    <w:rsid w:val="00DF7006"/>
    <w:rsid w:val="00E00692"/>
    <w:rsid w:val="00E019A0"/>
    <w:rsid w:val="00E03DB4"/>
    <w:rsid w:val="00E141D5"/>
    <w:rsid w:val="00E15AD4"/>
    <w:rsid w:val="00E15B35"/>
    <w:rsid w:val="00E16443"/>
    <w:rsid w:val="00E175AA"/>
    <w:rsid w:val="00E202FA"/>
    <w:rsid w:val="00E218CA"/>
    <w:rsid w:val="00E23370"/>
    <w:rsid w:val="00E2458E"/>
    <w:rsid w:val="00E24E2A"/>
    <w:rsid w:val="00E253D5"/>
    <w:rsid w:val="00E25645"/>
    <w:rsid w:val="00E2586D"/>
    <w:rsid w:val="00E3272B"/>
    <w:rsid w:val="00E35B5F"/>
    <w:rsid w:val="00E4054A"/>
    <w:rsid w:val="00E4096D"/>
    <w:rsid w:val="00E41FF2"/>
    <w:rsid w:val="00E42570"/>
    <w:rsid w:val="00E4482D"/>
    <w:rsid w:val="00E463A9"/>
    <w:rsid w:val="00E50C9B"/>
    <w:rsid w:val="00E54502"/>
    <w:rsid w:val="00E55240"/>
    <w:rsid w:val="00E56206"/>
    <w:rsid w:val="00E57389"/>
    <w:rsid w:val="00E57A14"/>
    <w:rsid w:val="00E6044B"/>
    <w:rsid w:val="00E60F29"/>
    <w:rsid w:val="00E6337E"/>
    <w:rsid w:val="00E64671"/>
    <w:rsid w:val="00E6553F"/>
    <w:rsid w:val="00E655FB"/>
    <w:rsid w:val="00E67AF8"/>
    <w:rsid w:val="00E67AF9"/>
    <w:rsid w:val="00E703A0"/>
    <w:rsid w:val="00E7186C"/>
    <w:rsid w:val="00E71EDC"/>
    <w:rsid w:val="00E742E4"/>
    <w:rsid w:val="00E768C0"/>
    <w:rsid w:val="00E77099"/>
    <w:rsid w:val="00E77EEF"/>
    <w:rsid w:val="00E81DAA"/>
    <w:rsid w:val="00E836F5"/>
    <w:rsid w:val="00E8462E"/>
    <w:rsid w:val="00E85F06"/>
    <w:rsid w:val="00E86E56"/>
    <w:rsid w:val="00E877DB"/>
    <w:rsid w:val="00E96B7C"/>
    <w:rsid w:val="00E96DB1"/>
    <w:rsid w:val="00E97688"/>
    <w:rsid w:val="00EA0518"/>
    <w:rsid w:val="00EA2F43"/>
    <w:rsid w:val="00EA57F4"/>
    <w:rsid w:val="00EA7592"/>
    <w:rsid w:val="00EB05BB"/>
    <w:rsid w:val="00EB175C"/>
    <w:rsid w:val="00EB3219"/>
    <w:rsid w:val="00EB5038"/>
    <w:rsid w:val="00EB7A57"/>
    <w:rsid w:val="00EB7B14"/>
    <w:rsid w:val="00EC1999"/>
    <w:rsid w:val="00EC2325"/>
    <w:rsid w:val="00EC4A25"/>
    <w:rsid w:val="00ED2759"/>
    <w:rsid w:val="00ED3D50"/>
    <w:rsid w:val="00EE11F8"/>
    <w:rsid w:val="00EE33B1"/>
    <w:rsid w:val="00EE3C1D"/>
    <w:rsid w:val="00EF003C"/>
    <w:rsid w:val="00EF14AC"/>
    <w:rsid w:val="00EF1B7C"/>
    <w:rsid w:val="00EF2082"/>
    <w:rsid w:val="00EF3159"/>
    <w:rsid w:val="00EF47A9"/>
    <w:rsid w:val="00EF6B9D"/>
    <w:rsid w:val="00F01C78"/>
    <w:rsid w:val="00F03584"/>
    <w:rsid w:val="00F04524"/>
    <w:rsid w:val="00F0490D"/>
    <w:rsid w:val="00F061D1"/>
    <w:rsid w:val="00F07599"/>
    <w:rsid w:val="00F1029B"/>
    <w:rsid w:val="00F12333"/>
    <w:rsid w:val="00F14FDC"/>
    <w:rsid w:val="00F16715"/>
    <w:rsid w:val="00F16AEA"/>
    <w:rsid w:val="00F17FBE"/>
    <w:rsid w:val="00F20CD6"/>
    <w:rsid w:val="00F220AC"/>
    <w:rsid w:val="00F22472"/>
    <w:rsid w:val="00F22AC1"/>
    <w:rsid w:val="00F2315C"/>
    <w:rsid w:val="00F26379"/>
    <w:rsid w:val="00F2675A"/>
    <w:rsid w:val="00F318E2"/>
    <w:rsid w:val="00F318F6"/>
    <w:rsid w:val="00F326A0"/>
    <w:rsid w:val="00F34A02"/>
    <w:rsid w:val="00F3608B"/>
    <w:rsid w:val="00F40A7A"/>
    <w:rsid w:val="00F42D3E"/>
    <w:rsid w:val="00F43593"/>
    <w:rsid w:val="00F44272"/>
    <w:rsid w:val="00F47E15"/>
    <w:rsid w:val="00F553C3"/>
    <w:rsid w:val="00F567E2"/>
    <w:rsid w:val="00F6063A"/>
    <w:rsid w:val="00F60738"/>
    <w:rsid w:val="00F60B3E"/>
    <w:rsid w:val="00F61242"/>
    <w:rsid w:val="00F6274E"/>
    <w:rsid w:val="00F63B73"/>
    <w:rsid w:val="00F64AE8"/>
    <w:rsid w:val="00F64B49"/>
    <w:rsid w:val="00F663F2"/>
    <w:rsid w:val="00F70118"/>
    <w:rsid w:val="00F707EE"/>
    <w:rsid w:val="00F746C3"/>
    <w:rsid w:val="00F756FE"/>
    <w:rsid w:val="00F7609A"/>
    <w:rsid w:val="00F770B2"/>
    <w:rsid w:val="00F80A85"/>
    <w:rsid w:val="00F81C42"/>
    <w:rsid w:val="00F85145"/>
    <w:rsid w:val="00F85583"/>
    <w:rsid w:val="00F878AA"/>
    <w:rsid w:val="00F9059A"/>
    <w:rsid w:val="00F91533"/>
    <w:rsid w:val="00F92064"/>
    <w:rsid w:val="00F9218C"/>
    <w:rsid w:val="00F93A13"/>
    <w:rsid w:val="00F957AF"/>
    <w:rsid w:val="00FA03B3"/>
    <w:rsid w:val="00FA18D4"/>
    <w:rsid w:val="00FA1BE3"/>
    <w:rsid w:val="00FA334E"/>
    <w:rsid w:val="00FA4FA9"/>
    <w:rsid w:val="00FA73CD"/>
    <w:rsid w:val="00FA7514"/>
    <w:rsid w:val="00FB0194"/>
    <w:rsid w:val="00FB0524"/>
    <w:rsid w:val="00FB1E52"/>
    <w:rsid w:val="00FB2B88"/>
    <w:rsid w:val="00FB43C7"/>
    <w:rsid w:val="00FB57E0"/>
    <w:rsid w:val="00FB7460"/>
    <w:rsid w:val="00FC50A5"/>
    <w:rsid w:val="00FC6324"/>
    <w:rsid w:val="00FC66A8"/>
    <w:rsid w:val="00FC6E7D"/>
    <w:rsid w:val="00FC79E4"/>
    <w:rsid w:val="00FC7F31"/>
    <w:rsid w:val="00FD327B"/>
    <w:rsid w:val="00FD3741"/>
    <w:rsid w:val="00FD70FD"/>
    <w:rsid w:val="00FE0703"/>
    <w:rsid w:val="00FE08B9"/>
    <w:rsid w:val="00FE1900"/>
    <w:rsid w:val="00FE323B"/>
    <w:rsid w:val="00FE3270"/>
    <w:rsid w:val="00FE5257"/>
    <w:rsid w:val="00FE7DA9"/>
    <w:rsid w:val="00FF374D"/>
    <w:rsid w:val="00FF3FDB"/>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F94C"/>
  <w15:docId w15:val="{0B5CAC57-E0B7-4705-A68A-0E72BABE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3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707247"/>
    <w:rPr>
      <w:sz w:val="16"/>
      <w:szCs w:val="16"/>
    </w:rPr>
  </w:style>
  <w:style w:type="paragraph" w:styleId="CommentText">
    <w:name w:val="annotation text"/>
    <w:basedOn w:val="Normal"/>
    <w:link w:val="CommentTextChar"/>
    <w:uiPriority w:val="99"/>
    <w:unhideWhenUsed/>
    <w:rsid w:val="00707247"/>
    <w:pPr>
      <w:spacing w:line="240" w:lineRule="auto"/>
    </w:pPr>
    <w:rPr>
      <w:sz w:val="20"/>
    </w:rPr>
  </w:style>
  <w:style w:type="character" w:customStyle="1" w:styleId="CommentTextChar">
    <w:name w:val="Comment Text Char"/>
    <w:basedOn w:val="DefaultParagraphFont"/>
    <w:link w:val="CommentText"/>
    <w:uiPriority w:val="99"/>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 w:type="character" w:styleId="FollowedHyperlink">
    <w:name w:val="FollowedHyperlink"/>
    <w:basedOn w:val="DefaultParagraphFont"/>
    <w:semiHidden/>
    <w:unhideWhenUsed/>
    <w:rsid w:val="009D0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8AA2A-2F9A-4BD7-993B-CC65B2FFB328}">
  <ds:schemaRefs>
    <ds:schemaRef ds:uri="http://schemas.microsoft.com/sharepoint/v3/contenttype/forms"/>
  </ds:schemaRefs>
</ds:datastoreItem>
</file>

<file path=customXml/itemProps2.xml><?xml version="1.0" encoding="utf-8"?>
<ds:datastoreItem xmlns:ds="http://schemas.openxmlformats.org/officeDocument/2006/customXml" ds:itemID="{0F4F7137-9774-421C-9F27-638A64C1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7C80E-30DF-4BEE-8FA1-D1D8C2A65E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D051B2-134D-4C53-BF55-5A741BD5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13</Pages>
  <Words>5416</Words>
  <Characters>30873</Characters>
  <Application>Microsoft Office Word</Application>
  <DocSecurity>0</DocSecurity>
  <Lines>257</Lines>
  <Paragraphs>72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Part A: Justification</vt:lpstr>
      <vt:lpstr>        1. Explain the circumstances that make the collection of information necessary. </vt:lpstr>
      <vt:lpstr>        2. Indicate how, by whom, and for what purpose the information is to be used.  E</vt:lpstr>
      <vt:lpstr>        3. Describe whether, and to what extent, the collection of information involves </vt:lpstr>
      <vt:lpstr>        4. Describe efforts to identify duplication. Show specifically why any similar i</vt:lpstr>
      <vt:lpstr>        5. If the collection of information impacts small businesses or other small enti</vt:lpstr>
      <vt:lpstr>        6. Describe the consequence to Federal program or policy activities if the colle</vt:lpstr>
      <vt:lpstr>        7. Explain any special circumstances that would cause an information collection </vt:lpstr>
      <vt:lpstr>        8. If applicable, provide a copy and identify the date and page number of public</vt:lpstr>
      <vt:lpstr>        10. Describe any assurance of privacy provided to respondents and the basis for </vt:lpstr>
      <vt:lpstr>        11. Provide additional justification for any questions of a sensitive nature, su</vt:lpstr>
      <vt:lpstr>        There are no sensitive questions included in the interview protocols for program</vt:lpstr>
      <vt:lpstr>        13. Provide an estimate for the total annual cost burden to respondents or recor</vt:lpstr>
      <vt:lpstr>        * The cost estimate should be split into two components: (a) a total capital and</vt:lpstr>
      <vt:lpstr>        * If cost estimates are expected to vary widely, agencies should present ranges </vt:lpstr>
      <vt:lpstr>        There are no direct costs to respondents other than their time. </vt:lpstr>
      <vt:lpstr>        14. Provide estimates of annualized costs to the Federal government. Also, provi</vt:lpstr>
      <vt:lpstr>        15. Explain the reasons for any program changes or adjustments reported on the b</vt:lpstr>
      <vt:lpstr>        This is a new information collection. There is an increase of 120 burden hours p</vt:lpstr>
      <vt:lpstr>        16. For collections of information whose results will be published, outline plan</vt:lpstr>
      <vt:lpstr>        17. If seeking approval to not display the expiration date for OMB approval of t</vt:lpstr>
      <vt:lpstr>        The OMB approval number and expiration date will be displayed or cited on all fo</vt:lpstr>
      <vt:lpstr>        No exceptions are necessary for this information collection.  </vt:lpstr>
    </vt:vector>
  </TitlesOfParts>
  <Company>Mathematica, Inc</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Bellotti</dc:creator>
  <cp:keywords/>
  <dc:description/>
  <cp:lastModifiedBy>Chayun Yi</cp:lastModifiedBy>
  <cp:revision>2</cp:revision>
  <cp:lastPrinted>2018-11-26T19:24:00Z</cp:lastPrinted>
  <dcterms:created xsi:type="dcterms:W3CDTF">2020-05-05T18:01:00Z</dcterms:created>
  <dcterms:modified xsi:type="dcterms:W3CDTF">2020-05-05T18:01:00Z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