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311"/>
        <w:gridCol w:w="2429"/>
      </w:tblGrid>
      <w:tr w:rsidR="00CC2ABD">
        <w:trPr>
          <w:trHeight w:val="1257"/>
        </w:trPr>
        <w:tc>
          <w:tcPr>
            <w:tcW w:w="3257" w:type="dxa"/>
          </w:tcPr>
          <w:p w:rsidR="00CC2ABD" w:rsidRDefault="007C4B82">
            <w:pPr>
              <w:pStyle w:val="TableParagraph"/>
              <w:spacing w:before="118" w:line="336" w:lineRule="auto"/>
              <w:ind w:right="259"/>
              <w:rPr>
                <w:sz w:val="26"/>
              </w:rPr>
            </w:pPr>
            <w:bookmarkStart w:id="0" w:name="_GoBack"/>
            <w:bookmarkEnd w:id="0"/>
            <w:r>
              <w:rPr>
                <w:sz w:val="26"/>
              </w:rPr>
              <w:t>U.S. DEPARTMENT OF HOMELAND SECURITY</w:t>
            </w:r>
          </w:p>
          <w:p w:rsidR="00CC2ABD" w:rsidRDefault="007C4B82">
            <w:pPr>
              <w:pStyle w:val="TableParagraph"/>
              <w:spacing w:before="0" w:line="281" w:lineRule="exact"/>
              <w:rPr>
                <w:sz w:val="26"/>
              </w:rPr>
            </w:pPr>
            <w:r>
              <w:rPr>
                <w:sz w:val="26"/>
              </w:rPr>
              <w:t>U.S. COAST GUARD</w:t>
            </w:r>
          </w:p>
        </w:tc>
        <w:tc>
          <w:tcPr>
            <w:tcW w:w="5311" w:type="dxa"/>
          </w:tcPr>
          <w:p w:rsidR="00CC2ABD" w:rsidRDefault="007C4B82">
            <w:pPr>
              <w:pStyle w:val="TableParagraph"/>
              <w:spacing w:before="236"/>
              <w:ind w:left="2341" w:right="387" w:hanging="1930"/>
              <w:rPr>
                <w:sz w:val="28"/>
              </w:rPr>
            </w:pPr>
            <w:r>
              <w:rPr>
                <w:sz w:val="28"/>
              </w:rPr>
              <w:t>Claims under the Oil Pollution Act of 1990</w:t>
            </w:r>
          </w:p>
        </w:tc>
        <w:tc>
          <w:tcPr>
            <w:tcW w:w="2429" w:type="dxa"/>
          </w:tcPr>
          <w:p w:rsidR="00CC2ABD" w:rsidRDefault="007C4B82">
            <w:pPr>
              <w:pStyle w:val="TableParagraph"/>
              <w:spacing w:line="343" w:lineRule="auto"/>
              <w:ind w:left="338" w:right="84" w:hanging="225"/>
              <w:rPr>
                <w:sz w:val="24"/>
              </w:rPr>
            </w:pPr>
            <w:r>
              <w:rPr>
                <w:sz w:val="24"/>
              </w:rPr>
              <w:t>OMB No. 1625-0067 Exp: 07/31/2019</w:t>
            </w:r>
          </w:p>
        </w:tc>
      </w:tr>
    </w:tbl>
    <w:p w:rsidR="00CC2ABD" w:rsidRDefault="00CC2ABD">
      <w:pPr>
        <w:pStyle w:val="BodyText"/>
        <w:rPr>
          <w:rFonts w:ascii="Times New Roman"/>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7759"/>
      </w:tblGrid>
      <w:tr w:rsidR="00CC2ABD">
        <w:trPr>
          <w:trHeight w:val="1343"/>
        </w:trPr>
        <w:tc>
          <w:tcPr>
            <w:tcW w:w="3257" w:type="dxa"/>
          </w:tcPr>
          <w:p w:rsidR="00CC2ABD" w:rsidRDefault="007C4B82">
            <w:pPr>
              <w:pStyle w:val="TableParagraph"/>
              <w:rPr>
                <w:b/>
                <w:sz w:val="24"/>
              </w:rPr>
            </w:pPr>
            <w:r>
              <w:rPr>
                <w:b/>
                <w:sz w:val="24"/>
              </w:rPr>
              <w:t>Who must comply?</w:t>
            </w:r>
          </w:p>
        </w:tc>
        <w:tc>
          <w:tcPr>
            <w:tcW w:w="7759" w:type="dxa"/>
          </w:tcPr>
          <w:p w:rsidR="00CC2ABD" w:rsidRDefault="007C4B82">
            <w:pPr>
              <w:pStyle w:val="TableParagraph"/>
              <w:ind w:right="231"/>
              <w:rPr>
                <w:sz w:val="24"/>
              </w:rPr>
            </w:pPr>
            <w:r>
              <w:rPr>
                <w:sz w:val="24"/>
              </w:rPr>
              <w:t>Anyone that has been adversely affected by an oil spill and seeks compensation for removal costs and damages incurred (e.g., Individuals, Businesses, Federal government, state government, local government, Indian tribes)</w:t>
            </w:r>
          </w:p>
        </w:tc>
      </w:tr>
      <w:tr w:rsidR="00CC2ABD">
        <w:trPr>
          <w:trHeight w:val="2171"/>
        </w:trPr>
        <w:tc>
          <w:tcPr>
            <w:tcW w:w="3257" w:type="dxa"/>
          </w:tcPr>
          <w:p w:rsidR="00CC2ABD" w:rsidRDefault="007C4B82">
            <w:pPr>
              <w:pStyle w:val="TableParagraph"/>
              <w:ind w:right="586"/>
              <w:rPr>
                <w:b/>
                <w:sz w:val="24"/>
              </w:rPr>
            </w:pPr>
            <w:r>
              <w:rPr>
                <w:b/>
                <w:sz w:val="24"/>
              </w:rPr>
              <w:t>What is this collection about?</w:t>
            </w:r>
          </w:p>
        </w:tc>
        <w:tc>
          <w:tcPr>
            <w:tcW w:w="7759" w:type="dxa"/>
          </w:tcPr>
          <w:p w:rsidR="00CC2ABD" w:rsidRDefault="007C4B82">
            <w:pPr>
              <w:pStyle w:val="TableParagraph"/>
              <w:ind w:right="85"/>
              <w:rPr>
                <w:sz w:val="24"/>
              </w:rPr>
            </w:pPr>
            <w:r>
              <w:rPr>
                <w:sz w:val="24"/>
              </w:rPr>
              <w:t>Thi</w:t>
            </w:r>
            <w:r>
              <w:rPr>
                <w:sz w:val="24"/>
              </w:rPr>
              <w:t>s collection supports all claims adjudication activities undertaken by the National Pollution Funds Center (NPFC). The NPFC will use the information collected under this request to determine whether claims submitted to the Fund are compensable from the Oil</w:t>
            </w:r>
            <w:r>
              <w:rPr>
                <w:sz w:val="24"/>
              </w:rPr>
              <w:t xml:space="preserve"> Spill Liability Trust Fund (OSLTF). For compensable claims, the information collected will also provide the basis for determining the appropriate compensation of removal costs or damages from the OSLTF.</w:t>
            </w:r>
          </w:p>
        </w:tc>
      </w:tr>
      <w:tr w:rsidR="00CC2ABD">
        <w:trPr>
          <w:trHeight w:val="1067"/>
        </w:trPr>
        <w:tc>
          <w:tcPr>
            <w:tcW w:w="3257" w:type="dxa"/>
          </w:tcPr>
          <w:p w:rsidR="00CC2ABD" w:rsidRDefault="007C4B82">
            <w:pPr>
              <w:pStyle w:val="TableParagraph"/>
              <w:ind w:right="719"/>
              <w:rPr>
                <w:b/>
                <w:sz w:val="24"/>
              </w:rPr>
            </w:pPr>
            <w:r>
              <w:rPr>
                <w:b/>
                <w:sz w:val="24"/>
              </w:rPr>
              <w:t>Where do I find the requirements for this informati</w:t>
            </w:r>
            <w:r>
              <w:rPr>
                <w:b/>
                <w:sz w:val="24"/>
              </w:rPr>
              <w:t>on?</w:t>
            </w:r>
          </w:p>
        </w:tc>
        <w:tc>
          <w:tcPr>
            <w:tcW w:w="7759" w:type="dxa"/>
          </w:tcPr>
          <w:p w:rsidR="00CC2ABD" w:rsidRDefault="007C4B82">
            <w:pPr>
              <w:pStyle w:val="TableParagraph"/>
              <w:rPr>
                <w:sz w:val="24"/>
              </w:rPr>
            </w:pPr>
            <w:r>
              <w:rPr>
                <w:sz w:val="24"/>
              </w:rPr>
              <w:t>33 CFR part 136</w:t>
            </w:r>
          </w:p>
        </w:tc>
      </w:tr>
      <w:tr w:rsidR="00CC2ABD">
        <w:trPr>
          <w:trHeight w:val="1622"/>
        </w:trPr>
        <w:tc>
          <w:tcPr>
            <w:tcW w:w="3257" w:type="dxa"/>
          </w:tcPr>
          <w:p w:rsidR="00CC2ABD" w:rsidRDefault="007C4B82">
            <w:pPr>
              <w:pStyle w:val="TableParagraph"/>
              <w:spacing w:before="118"/>
              <w:ind w:right="93"/>
              <w:rPr>
                <w:b/>
                <w:sz w:val="24"/>
              </w:rPr>
            </w:pPr>
            <w:r>
              <w:rPr>
                <w:b/>
                <w:sz w:val="24"/>
              </w:rPr>
              <w:t>When must information be submitted to the Coast Guard?</w:t>
            </w:r>
          </w:p>
        </w:tc>
        <w:tc>
          <w:tcPr>
            <w:tcW w:w="7759" w:type="dxa"/>
          </w:tcPr>
          <w:p w:rsidR="00CC2ABD" w:rsidRDefault="007C4B82">
            <w:pPr>
              <w:pStyle w:val="TableParagraph"/>
              <w:spacing w:before="118"/>
              <w:ind w:right="115"/>
              <w:rPr>
                <w:sz w:val="24"/>
              </w:rPr>
            </w:pPr>
            <w:r>
              <w:rPr>
                <w:sz w:val="24"/>
              </w:rPr>
              <w:t>Information must be submitted to the Coast Guard before the statute of limitation period under 33 U.S.C. 2712(h) for the particular claim type is reached. Due to the uncertainty of when an oil discharge will occur and who will be impacted, this information</w:t>
            </w:r>
            <w:r>
              <w:rPr>
                <w:sz w:val="24"/>
              </w:rPr>
              <w:t xml:space="preserve"> is submitted on an “on occasion”</w:t>
            </w:r>
            <w:r>
              <w:rPr>
                <w:spacing w:val="-4"/>
                <w:sz w:val="24"/>
              </w:rPr>
              <w:t xml:space="preserve"> </w:t>
            </w:r>
            <w:r>
              <w:rPr>
                <w:sz w:val="24"/>
              </w:rPr>
              <w:t>basis.</w:t>
            </w:r>
          </w:p>
        </w:tc>
      </w:tr>
      <w:tr w:rsidR="00CC2ABD">
        <w:trPr>
          <w:trHeight w:val="1103"/>
        </w:trPr>
        <w:tc>
          <w:tcPr>
            <w:tcW w:w="3257" w:type="dxa"/>
          </w:tcPr>
          <w:p w:rsidR="00CC2ABD" w:rsidRDefault="007C4B82">
            <w:pPr>
              <w:pStyle w:val="TableParagraph"/>
              <w:ind w:right="533"/>
              <w:rPr>
                <w:b/>
                <w:sz w:val="24"/>
              </w:rPr>
            </w:pPr>
            <w:r>
              <w:rPr>
                <w:b/>
                <w:sz w:val="24"/>
              </w:rPr>
              <w:t>How is the information submitted?</w:t>
            </w:r>
          </w:p>
        </w:tc>
        <w:tc>
          <w:tcPr>
            <w:tcW w:w="7759" w:type="dxa"/>
          </w:tcPr>
          <w:p w:rsidR="00CC2ABD" w:rsidRDefault="007C4B82">
            <w:pPr>
              <w:pStyle w:val="TableParagraph"/>
              <w:spacing w:before="0"/>
              <w:ind w:right="338"/>
              <w:rPr>
                <w:sz w:val="24"/>
              </w:rPr>
            </w:pPr>
            <w:r>
              <w:rPr>
                <w:sz w:val="24"/>
              </w:rPr>
              <w:t>Information is submitted via standard mail, fax or other rapid means ATTN: Claims Adjudication Division , NATIONAL POLLUTION FUNDS CENTER, US COAST GUARD STOP 7605 2703 Martin</w:t>
            </w:r>
          </w:p>
          <w:p w:rsidR="00CC2ABD" w:rsidRDefault="007C4B82">
            <w:pPr>
              <w:pStyle w:val="TableParagraph"/>
              <w:spacing w:before="0" w:line="260" w:lineRule="exact"/>
              <w:rPr>
                <w:sz w:val="24"/>
              </w:rPr>
            </w:pPr>
            <w:r>
              <w:rPr>
                <w:sz w:val="24"/>
              </w:rPr>
              <w:t>Luther King Jr. Ave, SE Washington, DC 20593-7605</w:t>
            </w:r>
          </w:p>
        </w:tc>
      </w:tr>
      <w:tr w:rsidR="00CC2ABD">
        <w:trPr>
          <w:trHeight w:val="1067"/>
        </w:trPr>
        <w:tc>
          <w:tcPr>
            <w:tcW w:w="3257" w:type="dxa"/>
          </w:tcPr>
          <w:p w:rsidR="00CC2ABD" w:rsidRDefault="007C4B82">
            <w:pPr>
              <w:pStyle w:val="TableParagraph"/>
              <w:ind w:right="412"/>
              <w:rPr>
                <w:b/>
                <w:sz w:val="24"/>
              </w:rPr>
            </w:pPr>
            <w:r>
              <w:rPr>
                <w:b/>
                <w:sz w:val="24"/>
              </w:rPr>
              <w:t>What happens when complete information is received?</w:t>
            </w:r>
          </w:p>
        </w:tc>
        <w:tc>
          <w:tcPr>
            <w:tcW w:w="7759" w:type="dxa"/>
          </w:tcPr>
          <w:p w:rsidR="00CC2ABD" w:rsidRDefault="007C4B82">
            <w:pPr>
              <w:pStyle w:val="TableParagraph"/>
              <w:ind w:right="338"/>
              <w:rPr>
                <w:sz w:val="24"/>
              </w:rPr>
            </w:pPr>
            <w:r>
              <w:rPr>
                <w:sz w:val="24"/>
              </w:rPr>
              <w:t>For compensable claims, the information collected will provide the basis for determining the appropriate compensation of removal costs or damages from th</w:t>
            </w:r>
            <w:r>
              <w:rPr>
                <w:sz w:val="24"/>
              </w:rPr>
              <w:t>e OSLTF.</w:t>
            </w:r>
          </w:p>
        </w:tc>
      </w:tr>
      <w:tr w:rsidR="00CC2ABD">
        <w:trPr>
          <w:trHeight w:val="911"/>
        </w:trPr>
        <w:tc>
          <w:tcPr>
            <w:tcW w:w="3257" w:type="dxa"/>
          </w:tcPr>
          <w:p w:rsidR="00CC2ABD" w:rsidRDefault="007C4B82">
            <w:pPr>
              <w:pStyle w:val="TableParagraph"/>
              <w:ind w:right="97"/>
              <w:rPr>
                <w:b/>
                <w:sz w:val="24"/>
              </w:rPr>
            </w:pPr>
            <w:r>
              <w:rPr>
                <w:b/>
                <w:sz w:val="24"/>
              </w:rPr>
              <w:t>For additional information, contact--</w:t>
            </w:r>
          </w:p>
        </w:tc>
        <w:tc>
          <w:tcPr>
            <w:tcW w:w="7759" w:type="dxa"/>
          </w:tcPr>
          <w:p w:rsidR="00CC2ABD" w:rsidRDefault="007C4B82">
            <w:pPr>
              <w:pStyle w:val="TableParagraph"/>
              <w:spacing w:before="24" w:line="396" w:lineRule="exact"/>
              <w:ind w:left="827" w:right="5131" w:firstLine="63"/>
              <w:rPr>
                <w:sz w:val="24"/>
              </w:rPr>
            </w:pPr>
            <w:r>
              <w:rPr>
                <w:sz w:val="24"/>
              </w:rPr>
              <w:t>Robert C. Rioux (202) 795-6104</w:t>
            </w:r>
          </w:p>
        </w:tc>
      </w:tr>
    </w:tbl>
    <w:p w:rsidR="00CC2ABD" w:rsidRDefault="00CC2ABD">
      <w:pPr>
        <w:pStyle w:val="BodyText"/>
        <w:rPr>
          <w:rFonts w:ascii="Times New Roman"/>
        </w:rPr>
      </w:pPr>
    </w:p>
    <w:p w:rsidR="00CC2ABD" w:rsidRDefault="00CC2ABD">
      <w:pPr>
        <w:pStyle w:val="BodyText"/>
        <w:rPr>
          <w:rFonts w:ascii="Times New Roman"/>
        </w:rPr>
      </w:pPr>
    </w:p>
    <w:p w:rsidR="00CC2ABD" w:rsidRDefault="00CC2ABD">
      <w:pPr>
        <w:pStyle w:val="BodyText"/>
        <w:rPr>
          <w:rFonts w:ascii="Times New Roman"/>
        </w:rPr>
      </w:pPr>
    </w:p>
    <w:p w:rsidR="00CC2ABD" w:rsidRDefault="00CC2ABD">
      <w:pPr>
        <w:pStyle w:val="BodyText"/>
        <w:rPr>
          <w:rFonts w:ascii="Times New Roman"/>
        </w:rPr>
      </w:pPr>
    </w:p>
    <w:p w:rsidR="00CC2ABD" w:rsidRDefault="00CC2ABD">
      <w:pPr>
        <w:pStyle w:val="BodyText"/>
        <w:rPr>
          <w:rFonts w:ascii="Times New Roman"/>
        </w:rPr>
      </w:pPr>
    </w:p>
    <w:p w:rsidR="00CC2ABD" w:rsidRDefault="00CC2ABD">
      <w:pPr>
        <w:pStyle w:val="BodyText"/>
        <w:rPr>
          <w:rFonts w:ascii="Times New Roman"/>
        </w:rPr>
      </w:pPr>
    </w:p>
    <w:p w:rsidR="00CC2ABD" w:rsidRDefault="00CC2ABD">
      <w:pPr>
        <w:pStyle w:val="BodyText"/>
        <w:spacing w:before="5"/>
        <w:rPr>
          <w:rFonts w:ascii="Times New Roman"/>
          <w:sz w:val="22"/>
        </w:rPr>
      </w:pPr>
    </w:p>
    <w:p w:rsidR="00CC2ABD" w:rsidRDefault="007C4B82">
      <w:pPr>
        <w:pStyle w:val="BodyText"/>
        <w:spacing w:line="237" w:lineRule="auto"/>
        <w:ind w:left="320" w:right="158"/>
      </w:pPr>
      <w:r>
        <w:t>An agency may not conduct or sponsor, and a person is not required to respond to a collection of information unless it displays a valid OMB control number.</w:t>
      </w:r>
    </w:p>
    <w:p w:rsidR="00CC2ABD" w:rsidRDefault="007C4B82">
      <w:pPr>
        <w:pStyle w:val="BodyText"/>
        <w:spacing w:line="237" w:lineRule="auto"/>
        <w:ind w:left="320" w:right="158"/>
      </w:pPr>
      <w:r>
        <w:t>The Coast Guard states, since the hours burden is determined by the complexity of the claim (e.g., the type and amount of</w:t>
      </w:r>
      <w:r>
        <w:rPr>
          <w:spacing w:val="-3"/>
        </w:rPr>
        <w:t xml:space="preserve"> </w:t>
      </w:r>
      <w:r>
        <w:t>costs/damages</w:t>
      </w:r>
      <w:r>
        <w:rPr>
          <w:spacing w:val="-3"/>
        </w:rPr>
        <w:t xml:space="preserve"> </w:t>
      </w:r>
      <w:r>
        <w:t>incurred)</w:t>
      </w:r>
      <w:r>
        <w:rPr>
          <w:spacing w:val="-1"/>
        </w:rPr>
        <w:t xml:space="preserve"> </w:t>
      </w:r>
      <w:r>
        <w:t>and</w:t>
      </w:r>
      <w:r>
        <w:rPr>
          <w:spacing w:val="-2"/>
        </w:rPr>
        <w:t xml:space="preserve"> </w:t>
      </w:r>
      <w:r>
        <w:t>not</w:t>
      </w:r>
      <w:r>
        <w:rPr>
          <w:spacing w:val="-2"/>
        </w:rPr>
        <w:t xml:space="preserve"> </w:t>
      </w:r>
      <w:r>
        <w:t>the</w:t>
      </w:r>
      <w:r>
        <w:rPr>
          <w:spacing w:val="-4"/>
        </w:rPr>
        <w:t xml:space="preserve"> </w:t>
      </w:r>
      <w:r>
        <w:t>size</w:t>
      </w:r>
      <w:r>
        <w:rPr>
          <w:spacing w:val="-4"/>
        </w:rPr>
        <w:t xml:space="preserve"> </w:t>
      </w:r>
      <w:r>
        <w:t>of</w:t>
      </w:r>
      <w:r>
        <w:rPr>
          <w:spacing w:val="-2"/>
        </w:rPr>
        <w:t xml:space="preserve"> </w:t>
      </w:r>
      <w:r>
        <w:t>the</w:t>
      </w:r>
      <w:r>
        <w:rPr>
          <w:spacing w:val="-2"/>
        </w:rPr>
        <w:t xml:space="preserve"> </w:t>
      </w:r>
      <w:r>
        <w:t>entity,</w:t>
      </w:r>
      <w:r>
        <w:rPr>
          <w:spacing w:val="-2"/>
        </w:rPr>
        <w:t xml:space="preserve"> </w:t>
      </w:r>
      <w:r>
        <w:t>it</w:t>
      </w:r>
      <w:r>
        <w:rPr>
          <w:spacing w:val="-4"/>
        </w:rPr>
        <w:t xml:space="preserve"> </w:t>
      </w:r>
      <w:r>
        <w:t>is not</w:t>
      </w:r>
      <w:r>
        <w:rPr>
          <w:spacing w:val="-2"/>
        </w:rPr>
        <w:t xml:space="preserve"> </w:t>
      </w:r>
      <w:r>
        <w:t>possible</w:t>
      </w:r>
      <w:r>
        <w:rPr>
          <w:spacing w:val="-4"/>
        </w:rPr>
        <w:t xml:space="preserve"> </w:t>
      </w:r>
      <w:r>
        <w:t>to</w:t>
      </w:r>
      <w:r>
        <w:rPr>
          <w:spacing w:val="-4"/>
        </w:rPr>
        <w:t xml:space="preserve"> </w:t>
      </w:r>
      <w:r>
        <w:t>systematically</w:t>
      </w:r>
      <w:r>
        <w:rPr>
          <w:spacing w:val="-5"/>
        </w:rPr>
        <w:t xml:space="preserve"> </w:t>
      </w:r>
      <w:r>
        <w:t>provide</w:t>
      </w:r>
      <w:r>
        <w:rPr>
          <w:spacing w:val="-4"/>
        </w:rPr>
        <w:t xml:space="preserve"> </w:t>
      </w:r>
      <w:r>
        <w:t>alternative</w:t>
      </w:r>
      <w:r>
        <w:rPr>
          <w:spacing w:val="-4"/>
        </w:rPr>
        <w:t xml:space="preserve"> </w:t>
      </w:r>
      <w:r>
        <w:t>information requirements for small entities without compromising the quality and consistency of the adjudication</w:t>
      </w:r>
      <w:r>
        <w:rPr>
          <w:spacing w:val="-22"/>
        </w:rPr>
        <w:t xml:space="preserve"> </w:t>
      </w:r>
      <w:r>
        <w:t>process.</w:t>
      </w:r>
    </w:p>
    <w:p w:rsidR="00CC2ABD" w:rsidRDefault="007C4B82">
      <w:pPr>
        <w:pStyle w:val="BodyText"/>
        <w:spacing w:line="237" w:lineRule="auto"/>
        <w:ind w:left="319" w:right="217" w:firstLine="57"/>
      </w:pPr>
      <w:r>
        <w:t>You may submit any comments concerning the accuracy of this burden estimate or any suggestions for reducing the burden to: Director, National Pollution Funds Center, U.S. Coast Guard STOP 7605, 2703 Martin Luther King Jr. Ave, SE Washington, DC 20593-7605</w:t>
      </w:r>
    </w:p>
    <w:sectPr w:rsidR="00CC2ABD">
      <w:type w:val="continuous"/>
      <w:pgSz w:w="12240" w:h="15840"/>
      <w:pgMar w:top="720" w:right="6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C2ABD"/>
    <w:rsid w:val="007C4B82"/>
    <w:rsid w:val="00CC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5"/>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Company>General Services Administration</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under the Oil Pollution Act of 1990</dc:title>
  <dc:creator>06/30/2019</dc:creator>
  <cp:lastModifiedBy>SYSTEM</cp:lastModifiedBy>
  <cp:revision>2</cp:revision>
  <dcterms:created xsi:type="dcterms:W3CDTF">2019-09-19T17:12:00Z</dcterms:created>
  <dcterms:modified xsi:type="dcterms:W3CDTF">2019-09-19T17:12:00Z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Acrobat PDFMaker 11 for Word</vt:lpwstr>
  </property>
  <property fmtid="{D5CDD505-2E9C-101B-9397-08002B2CF9AE}" pid="4" name="LastSaved">
    <vt:filetime>2019-09-19T00:00:00Z</vt:filetime>
  </property>
</Properties>
</file>