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39" w:rsidRPr="006D06E9" w:rsidRDefault="00456639" w:rsidP="00A84C6F">
      <w:pPr>
        <w:pStyle w:val="c2"/>
        <w:tabs>
          <w:tab w:val="decimal" w:pos="3940"/>
        </w:tabs>
        <w:spacing w:line="240" w:lineRule="auto"/>
        <w:rPr>
          <w:rFonts w:ascii="Arial" w:hAnsi="Arial" w:cs="Arial"/>
          <w:b/>
          <w:szCs w:val="24"/>
        </w:rPr>
      </w:pPr>
      <w:bookmarkStart w:id="0" w:name="_GoBack"/>
      <w:bookmarkEnd w:id="0"/>
      <w:r w:rsidRPr="006D06E9">
        <w:rPr>
          <w:rFonts w:ascii="Arial" w:hAnsi="Arial" w:cs="Arial"/>
          <w:b/>
          <w:szCs w:val="24"/>
        </w:rPr>
        <w:t>Supporting Statement</w:t>
      </w:r>
    </w:p>
    <w:p w:rsidR="00456639" w:rsidRPr="006D06E9" w:rsidRDefault="00456639" w:rsidP="00A84C6F">
      <w:pPr>
        <w:pStyle w:val="c2"/>
        <w:tabs>
          <w:tab w:val="decimal" w:pos="3940"/>
        </w:tabs>
        <w:spacing w:line="240" w:lineRule="auto"/>
        <w:rPr>
          <w:rFonts w:ascii="Arial" w:hAnsi="Arial" w:cs="Arial"/>
          <w:b/>
          <w:szCs w:val="24"/>
        </w:rPr>
      </w:pPr>
      <w:r w:rsidRPr="006D06E9">
        <w:rPr>
          <w:rFonts w:ascii="Arial" w:hAnsi="Arial" w:cs="Arial"/>
          <w:b/>
          <w:szCs w:val="24"/>
        </w:rPr>
        <w:t>for</w:t>
      </w:r>
    </w:p>
    <w:p w:rsidR="00910930" w:rsidRPr="006D06E9" w:rsidRDefault="00456639" w:rsidP="00A84C6F">
      <w:pPr>
        <w:pStyle w:val="c2"/>
        <w:tabs>
          <w:tab w:val="decimal" w:pos="3940"/>
        </w:tabs>
        <w:spacing w:line="240" w:lineRule="auto"/>
        <w:rPr>
          <w:rFonts w:ascii="Arial" w:hAnsi="Arial" w:cs="Arial"/>
          <w:b/>
          <w:szCs w:val="24"/>
        </w:rPr>
      </w:pPr>
      <w:r w:rsidRPr="006D06E9">
        <w:rPr>
          <w:rFonts w:ascii="Arial" w:hAnsi="Arial" w:cs="Arial"/>
          <w:b/>
          <w:szCs w:val="24"/>
        </w:rPr>
        <w:t>Waterfront Facilities Handling Liquefied Natural Gas (LNG)</w:t>
      </w:r>
    </w:p>
    <w:p w:rsidR="00456639" w:rsidRPr="006D06E9" w:rsidRDefault="00456639" w:rsidP="00A84C6F">
      <w:pPr>
        <w:pStyle w:val="c2"/>
        <w:tabs>
          <w:tab w:val="decimal" w:pos="3940"/>
        </w:tabs>
        <w:spacing w:line="240" w:lineRule="auto"/>
        <w:rPr>
          <w:rFonts w:ascii="Arial" w:hAnsi="Arial" w:cs="Arial"/>
          <w:b/>
          <w:szCs w:val="24"/>
        </w:rPr>
      </w:pPr>
      <w:r w:rsidRPr="006D06E9">
        <w:rPr>
          <w:rFonts w:ascii="Arial" w:hAnsi="Arial" w:cs="Arial"/>
          <w:b/>
          <w:szCs w:val="24"/>
        </w:rPr>
        <w:t>and Liquefied Hazardous Gas (LHG)</w:t>
      </w:r>
    </w:p>
    <w:p w:rsidR="00150026" w:rsidRPr="00A548E0" w:rsidRDefault="00150026" w:rsidP="00A84C6F">
      <w:pPr>
        <w:pStyle w:val="c2"/>
        <w:tabs>
          <w:tab w:val="decimal" w:pos="3940"/>
        </w:tabs>
        <w:spacing w:line="240" w:lineRule="auto"/>
        <w:rPr>
          <w:rFonts w:ascii="Arial" w:hAnsi="Arial" w:cs="Arial"/>
          <w:sz w:val="16"/>
          <w:szCs w:val="16"/>
        </w:rPr>
      </w:pPr>
    </w:p>
    <w:p w:rsidR="006D06E9" w:rsidRPr="00A548E0" w:rsidRDefault="006D06E9" w:rsidP="00E320FF">
      <w:pPr>
        <w:jc w:val="center"/>
        <w:rPr>
          <w:rFonts w:ascii="Arial" w:hAnsi="Arial" w:cs="Arial"/>
          <w:sz w:val="20"/>
        </w:rPr>
      </w:pPr>
      <w:r w:rsidRPr="00A548E0">
        <w:rPr>
          <w:rFonts w:ascii="Arial" w:hAnsi="Arial" w:cs="Arial"/>
          <w:sz w:val="20"/>
        </w:rPr>
        <w:t xml:space="preserve">OMB No.: </w:t>
      </w:r>
      <w:r w:rsidR="000D1B80">
        <w:rPr>
          <w:rFonts w:ascii="Arial" w:hAnsi="Arial" w:cs="Arial"/>
          <w:sz w:val="20"/>
        </w:rPr>
        <w:t xml:space="preserve"> </w:t>
      </w:r>
      <w:r w:rsidRPr="00A548E0">
        <w:rPr>
          <w:rFonts w:ascii="Arial" w:hAnsi="Arial" w:cs="Arial"/>
          <w:sz w:val="20"/>
        </w:rPr>
        <w:t>1625-0049</w:t>
      </w:r>
    </w:p>
    <w:p w:rsidR="006D06E9" w:rsidRPr="00A548E0" w:rsidRDefault="006D06E9" w:rsidP="006B392D">
      <w:pPr>
        <w:jc w:val="center"/>
        <w:rPr>
          <w:rFonts w:ascii="Arial" w:hAnsi="Arial" w:cs="Arial"/>
          <w:sz w:val="20"/>
        </w:rPr>
      </w:pPr>
      <w:r w:rsidRPr="00A548E0">
        <w:rPr>
          <w:rFonts w:ascii="Arial" w:hAnsi="Arial" w:cs="Arial"/>
          <w:sz w:val="20"/>
        </w:rPr>
        <w:t xml:space="preserve">COLLECTION INSTRUMENTS:  Instruction </w:t>
      </w:r>
    </w:p>
    <w:p w:rsidR="00456639" w:rsidRPr="006D06E9" w:rsidRDefault="00456639" w:rsidP="006B392D">
      <w:pPr>
        <w:pStyle w:val="p3"/>
        <w:spacing w:line="240" w:lineRule="auto"/>
        <w:rPr>
          <w:rFonts w:ascii="Arial" w:hAnsi="Arial" w:cs="Arial"/>
          <w:b/>
          <w:bCs/>
          <w:sz w:val="20"/>
        </w:rPr>
      </w:pPr>
      <w:r w:rsidRPr="006D06E9">
        <w:rPr>
          <w:rFonts w:ascii="Arial" w:hAnsi="Arial" w:cs="Arial"/>
          <w:b/>
          <w:bCs/>
          <w:sz w:val="20"/>
        </w:rPr>
        <w:t>A.  Justification</w:t>
      </w:r>
      <w:r w:rsidR="006D06E9">
        <w:rPr>
          <w:rFonts w:ascii="Arial" w:hAnsi="Arial" w:cs="Arial"/>
          <w:b/>
          <w:bCs/>
          <w:sz w:val="20"/>
        </w:rPr>
        <w:t xml:space="preserve">  </w:t>
      </w:r>
    </w:p>
    <w:p w:rsidR="00456639" w:rsidRPr="006D06E9" w:rsidRDefault="00456639" w:rsidP="00925AC6">
      <w:pPr>
        <w:pStyle w:val="p3"/>
        <w:spacing w:line="240" w:lineRule="auto"/>
        <w:rPr>
          <w:rFonts w:ascii="Arial" w:hAnsi="Arial" w:cs="Arial"/>
          <w:sz w:val="20"/>
        </w:rPr>
      </w:pPr>
    </w:p>
    <w:p w:rsidR="00456639" w:rsidRPr="006D06E9" w:rsidRDefault="00456639" w:rsidP="00925AC6">
      <w:pPr>
        <w:pStyle w:val="p4"/>
        <w:spacing w:line="240" w:lineRule="auto"/>
        <w:rPr>
          <w:rFonts w:ascii="Arial" w:hAnsi="Arial" w:cs="Arial"/>
          <w:sz w:val="20"/>
        </w:rPr>
      </w:pPr>
      <w:r w:rsidRPr="006D06E9">
        <w:rPr>
          <w:rFonts w:ascii="Arial" w:hAnsi="Arial" w:cs="Arial"/>
          <w:sz w:val="20"/>
        </w:rPr>
        <w:t xml:space="preserve">1.  </w:t>
      </w:r>
      <w:r w:rsidRPr="006D06E9">
        <w:rPr>
          <w:rFonts w:ascii="Arial" w:hAnsi="Arial" w:cs="Arial"/>
          <w:sz w:val="20"/>
          <w:u w:val="single"/>
        </w:rPr>
        <w:t xml:space="preserve">Circumstances </w:t>
      </w:r>
      <w:r w:rsidR="000D1B80">
        <w:rPr>
          <w:rFonts w:ascii="Arial" w:hAnsi="Arial" w:cs="Arial"/>
          <w:sz w:val="20"/>
          <w:u w:val="single"/>
        </w:rPr>
        <w:t>that</w:t>
      </w:r>
      <w:r w:rsidRPr="006D06E9">
        <w:rPr>
          <w:rFonts w:ascii="Arial" w:hAnsi="Arial" w:cs="Arial"/>
          <w:sz w:val="20"/>
          <w:u w:val="single"/>
        </w:rPr>
        <w:t xml:space="preserve"> make the collection necessary</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4"/>
        <w:spacing w:line="240" w:lineRule="auto"/>
        <w:rPr>
          <w:rFonts w:ascii="Arial" w:hAnsi="Arial" w:cs="Arial"/>
          <w:sz w:val="20"/>
        </w:rPr>
      </w:pPr>
    </w:p>
    <w:p w:rsidR="006A7B3B" w:rsidRPr="006D06E9" w:rsidRDefault="00456639" w:rsidP="00A548E0">
      <w:pPr>
        <w:pStyle w:val="p5"/>
        <w:spacing w:line="240" w:lineRule="auto"/>
        <w:ind w:firstLine="0"/>
        <w:rPr>
          <w:rFonts w:ascii="Arial" w:hAnsi="Arial" w:cs="Arial"/>
          <w:sz w:val="20"/>
        </w:rPr>
      </w:pPr>
      <w:r w:rsidRPr="006D06E9">
        <w:rPr>
          <w:rFonts w:ascii="Arial" w:hAnsi="Arial" w:cs="Arial"/>
          <w:sz w:val="20"/>
        </w:rPr>
        <w:t>Coast Guard regulation provide safety standards for the design and construction, equipment, operations, maintenance, personnel training, and fire protection at waterfront facilities handling liquefied natural gas (LNG) and liquefied hazardous gases (LHG) (33 CFR Part 127).  These regulations implement the Ports and Waterways Safety Act of 1972 (PWSA), as amended by the Port and Tanker Safety Act of 1978 (33 U.S.C. 1225), and are necessary to prevent or mitigate the results of an accidental release of LNG or LHG at a waterfront facility.</w:t>
      </w:r>
      <w:r w:rsidR="005B7568" w:rsidRPr="006D06E9">
        <w:rPr>
          <w:rStyle w:val="FootnoteReference"/>
          <w:rFonts w:ascii="Arial" w:hAnsi="Arial" w:cs="Arial"/>
          <w:sz w:val="20"/>
        </w:rPr>
        <w:footnoteReference w:id="1"/>
      </w:r>
      <w:r w:rsidRPr="006D06E9">
        <w:rPr>
          <w:rFonts w:ascii="Arial" w:hAnsi="Arial" w:cs="Arial"/>
          <w:sz w:val="20"/>
        </w:rPr>
        <w:t xml:space="preserve">  They would reduce the probability that an accident could occur, and would reduce the damage and injury to persons and property should an accident occur.</w:t>
      </w:r>
      <w:r w:rsidR="006A7B3B" w:rsidRPr="006D06E9">
        <w:rPr>
          <w:rFonts w:ascii="Arial" w:hAnsi="Arial" w:cs="Arial"/>
          <w:sz w:val="20"/>
        </w:rPr>
        <w:t xml:space="preserve">  </w:t>
      </w:r>
    </w:p>
    <w:p w:rsidR="006A7B3B" w:rsidRPr="006D06E9" w:rsidRDefault="006A7B3B" w:rsidP="00A548E0">
      <w:pPr>
        <w:pStyle w:val="p5"/>
        <w:spacing w:line="240" w:lineRule="auto"/>
        <w:ind w:firstLine="0"/>
        <w:rPr>
          <w:rFonts w:ascii="Arial" w:hAnsi="Arial" w:cs="Arial"/>
          <w:sz w:val="20"/>
        </w:rPr>
      </w:pPr>
    </w:p>
    <w:p w:rsidR="00456639" w:rsidRPr="006D06E9" w:rsidRDefault="00456639" w:rsidP="00A548E0">
      <w:pPr>
        <w:pStyle w:val="p5"/>
        <w:spacing w:line="240" w:lineRule="auto"/>
        <w:ind w:firstLine="0"/>
        <w:rPr>
          <w:rFonts w:ascii="Arial" w:hAnsi="Arial" w:cs="Arial"/>
          <w:sz w:val="20"/>
        </w:rPr>
      </w:pPr>
      <w:r w:rsidRPr="006D06E9">
        <w:rPr>
          <w:rFonts w:ascii="Arial" w:hAnsi="Arial" w:cs="Arial"/>
          <w:sz w:val="20"/>
        </w:rPr>
        <w:t>The regulations contain information collection requirements in the following sections:</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A.</w:t>
      </w:r>
      <w:r w:rsidRPr="006D06E9">
        <w:rPr>
          <w:rFonts w:ascii="Arial" w:hAnsi="Arial" w:cs="Arial"/>
          <w:sz w:val="20"/>
        </w:rPr>
        <w:tab/>
        <w:t>127.007</w:t>
      </w:r>
      <w:r w:rsidRPr="006D06E9">
        <w:rPr>
          <w:rFonts w:ascii="Arial" w:hAnsi="Arial" w:cs="Arial"/>
          <w:sz w:val="20"/>
        </w:rPr>
        <w:tab/>
      </w:r>
      <w:r w:rsidRPr="006D06E9">
        <w:rPr>
          <w:rFonts w:ascii="Arial" w:hAnsi="Arial" w:cs="Arial"/>
          <w:sz w:val="20"/>
        </w:rPr>
        <w:tab/>
      </w:r>
      <w:r w:rsidRPr="006D06E9">
        <w:rPr>
          <w:rFonts w:ascii="Arial" w:hAnsi="Arial" w:cs="Arial"/>
          <w:sz w:val="20"/>
        </w:rPr>
        <w:tab/>
      </w:r>
      <w:r w:rsidR="00B00CA3" w:rsidRPr="006D06E9">
        <w:rPr>
          <w:rFonts w:ascii="Arial" w:hAnsi="Arial" w:cs="Arial"/>
          <w:sz w:val="20"/>
        </w:rPr>
        <w:t xml:space="preserve">Letter of Intent </w:t>
      </w:r>
      <w:r w:rsidR="003D4982" w:rsidRPr="006D06E9">
        <w:rPr>
          <w:rFonts w:ascii="Arial" w:hAnsi="Arial" w:cs="Arial"/>
          <w:sz w:val="20"/>
        </w:rPr>
        <w:t xml:space="preserve">(LOI)  </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B.</w:t>
      </w:r>
      <w:r w:rsidRPr="006D06E9">
        <w:rPr>
          <w:rFonts w:ascii="Arial" w:hAnsi="Arial" w:cs="Arial"/>
          <w:sz w:val="20"/>
        </w:rPr>
        <w:tab/>
        <w:t>127.015</w:t>
      </w:r>
      <w:r w:rsidRPr="006D06E9">
        <w:rPr>
          <w:rFonts w:ascii="Arial" w:hAnsi="Arial" w:cs="Arial"/>
          <w:sz w:val="20"/>
        </w:rPr>
        <w:tab/>
      </w:r>
      <w:r w:rsidRPr="006D06E9">
        <w:rPr>
          <w:rFonts w:ascii="Arial" w:hAnsi="Arial" w:cs="Arial"/>
          <w:sz w:val="20"/>
        </w:rPr>
        <w:tab/>
      </w:r>
      <w:r w:rsidRPr="006D06E9">
        <w:rPr>
          <w:rFonts w:ascii="Arial" w:hAnsi="Arial" w:cs="Arial"/>
          <w:sz w:val="20"/>
        </w:rPr>
        <w:tab/>
        <w:t>Appeals</w:t>
      </w:r>
      <w:r w:rsidR="003D4982" w:rsidRPr="006D06E9">
        <w:rPr>
          <w:rFonts w:ascii="Arial" w:hAnsi="Arial" w:cs="Arial"/>
          <w:sz w:val="20"/>
        </w:rPr>
        <w:t xml:space="preserve">  </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C.</w:t>
      </w:r>
      <w:r w:rsidRPr="006D06E9">
        <w:rPr>
          <w:rFonts w:ascii="Arial" w:hAnsi="Arial" w:cs="Arial"/>
          <w:sz w:val="20"/>
        </w:rPr>
        <w:tab/>
        <w:t>127.017</w:t>
      </w:r>
      <w:r w:rsidRPr="006D06E9">
        <w:rPr>
          <w:rFonts w:ascii="Arial" w:hAnsi="Arial" w:cs="Arial"/>
          <w:sz w:val="20"/>
        </w:rPr>
        <w:tab/>
      </w:r>
      <w:r w:rsidRPr="006D06E9">
        <w:rPr>
          <w:rFonts w:ascii="Arial" w:hAnsi="Arial" w:cs="Arial"/>
          <w:sz w:val="20"/>
        </w:rPr>
        <w:tab/>
      </w:r>
      <w:r w:rsidRPr="006D06E9">
        <w:rPr>
          <w:rFonts w:ascii="Arial" w:hAnsi="Arial" w:cs="Arial"/>
          <w:sz w:val="20"/>
        </w:rPr>
        <w:tab/>
        <w:t>Alternatives</w:t>
      </w:r>
      <w:r w:rsidR="003D4982" w:rsidRPr="006D06E9">
        <w:rPr>
          <w:rFonts w:ascii="Arial" w:hAnsi="Arial" w:cs="Arial"/>
          <w:sz w:val="20"/>
        </w:rPr>
        <w:t xml:space="preserve">  </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u w:val="single"/>
        </w:rPr>
      </w:pPr>
      <w:r w:rsidRPr="006D06E9">
        <w:rPr>
          <w:rFonts w:ascii="Arial" w:hAnsi="Arial" w:cs="Arial"/>
          <w:sz w:val="20"/>
        </w:rPr>
        <w:tab/>
        <w:t>D.</w:t>
      </w:r>
      <w:r w:rsidRPr="006D06E9">
        <w:rPr>
          <w:rFonts w:ascii="Arial" w:hAnsi="Arial" w:cs="Arial"/>
          <w:sz w:val="20"/>
        </w:rPr>
        <w:tab/>
        <w:t>127.019,</w:t>
      </w:r>
      <w:r w:rsidRPr="006D06E9">
        <w:rPr>
          <w:rFonts w:ascii="Arial" w:hAnsi="Arial" w:cs="Arial"/>
          <w:sz w:val="20"/>
        </w:rPr>
        <w:tab/>
        <w:t>127.305,</w:t>
      </w:r>
      <w:r w:rsidRPr="006D06E9">
        <w:rPr>
          <w:rFonts w:ascii="Arial" w:hAnsi="Arial" w:cs="Arial"/>
          <w:sz w:val="20"/>
        </w:rPr>
        <w:tab/>
        <w:t>127.1305</w:t>
      </w:r>
      <w:r w:rsidRPr="006D06E9">
        <w:rPr>
          <w:rFonts w:ascii="Arial" w:hAnsi="Arial" w:cs="Arial"/>
          <w:sz w:val="20"/>
        </w:rPr>
        <w:tab/>
      </w:r>
      <w:r w:rsidRPr="006D06E9">
        <w:rPr>
          <w:rFonts w:ascii="Arial" w:hAnsi="Arial" w:cs="Arial"/>
          <w:sz w:val="20"/>
          <w:u w:val="single"/>
        </w:rPr>
        <w:t>Operations Manual</w:t>
      </w:r>
      <w:r w:rsidR="003D4982" w:rsidRPr="006D06E9">
        <w:rPr>
          <w:rFonts w:ascii="Arial" w:hAnsi="Arial" w:cs="Arial"/>
          <w:sz w:val="20"/>
          <w:u w:val="single"/>
        </w:rPr>
        <w:t xml:space="preserve">  </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E.</w:t>
      </w:r>
      <w:r w:rsidRPr="006D06E9">
        <w:rPr>
          <w:rFonts w:ascii="Arial" w:hAnsi="Arial" w:cs="Arial"/>
          <w:sz w:val="20"/>
        </w:rPr>
        <w:tab/>
        <w:t>127.019,</w:t>
      </w:r>
      <w:r w:rsidRPr="006D06E9">
        <w:rPr>
          <w:rFonts w:ascii="Arial" w:hAnsi="Arial" w:cs="Arial"/>
          <w:sz w:val="20"/>
        </w:rPr>
        <w:tab/>
        <w:t>127.307,</w:t>
      </w:r>
      <w:r w:rsidRPr="006D06E9">
        <w:rPr>
          <w:rFonts w:ascii="Arial" w:hAnsi="Arial" w:cs="Arial"/>
          <w:sz w:val="20"/>
        </w:rPr>
        <w:tab/>
        <w:t>127.1307</w:t>
      </w:r>
      <w:r w:rsidRPr="006D06E9">
        <w:rPr>
          <w:rFonts w:ascii="Arial" w:hAnsi="Arial" w:cs="Arial"/>
          <w:sz w:val="20"/>
        </w:rPr>
        <w:tab/>
      </w:r>
      <w:r w:rsidRPr="006D06E9">
        <w:rPr>
          <w:rFonts w:ascii="Arial" w:hAnsi="Arial" w:cs="Arial"/>
          <w:sz w:val="20"/>
          <w:u w:val="single"/>
        </w:rPr>
        <w:t>Emergency Manual</w:t>
      </w:r>
      <w:r w:rsidR="003D4982" w:rsidRPr="006D06E9">
        <w:rPr>
          <w:rFonts w:ascii="Arial" w:hAnsi="Arial" w:cs="Arial"/>
          <w:sz w:val="20"/>
          <w:u w:val="single"/>
        </w:rPr>
        <w:t xml:space="preserve">  </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F.</w:t>
      </w:r>
      <w:r w:rsidRPr="006D06E9">
        <w:rPr>
          <w:rFonts w:ascii="Arial" w:hAnsi="Arial" w:cs="Arial"/>
          <w:sz w:val="20"/>
        </w:rPr>
        <w:tab/>
        <w:t>127.301,</w:t>
      </w:r>
      <w:r w:rsidRPr="006D06E9">
        <w:rPr>
          <w:rFonts w:ascii="Arial" w:hAnsi="Arial" w:cs="Arial"/>
          <w:sz w:val="20"/>
        </w:rPr>
        <w:tab/>
        <w:t>127.1301</w:t>
      </w:r>
      <w:r w:rsidRPr="006D06E9">
        <w:rPr>
          <w:rFonts w:ascii="Arial" w:hAnsi="Arial" w:cs="Arial"/>
          <w:sz w:val="20"/>
        </w:rPr>
        <w:tab/>
      </w:r>
      <w:r w:rsidRPr="006D06E9">
        <w:rPr>
          <w:rFonts w:ascii="Arial" w:hAnsi="Arial" w:cs="Arial"/>
          <w:sz w:val="20"/>
        </w:rPr>
        <w:tab/>
        <w:t>Certification of person in</w:t>
      </w:r>
      <w:r w:rsidR="003D4982" w:rsidRPr="006D06E9">
        <w:rPr>
          <w:rFonts w:ascii="Arial" w:hAnsi="Arial" w:cs="Arial"/>
          <w:sz w:val="20"/>
        </w:rPr>
        <w:t xml:space="preserve"> </w:t>
      </w:r>
      <w:r w:rsidRPr="006D06E9">
        <w:rPr>
          <w:rFonts w:ascii="Arial" w:hAnsi="Arial" w:cs="Arial"/>
          <w:sz w:val="20"/>
        </w:rPr>
        <w:t>charge</w:t>
      </w:r>
      <w:r w:rsidR="003D4982" w:rsidRPr="006D06E9">
        <w:rPr>
          <w:rFonts w:ascii="Arial" w:hAnsi="Arial" w:cs="Arial"/>
          <w:sz w:val="20"/>
        </w:rPr>
        <w:t xml:space="preserve">  </w:t>
      </w:r>
    </w:p>
    <w:p w:rsidR="003D4982"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G.</w:t>
      </w:r>
      <w:r w:rsidRPr="006D06E9">
        <w:rPr>
          <w:rFonts w:ascii="Arial" w:hAnsi="Arial" w:cs="Arial"/>
          <w:sz w:val="20"/>
        </w:rPr>
        <w:tab/>
        <w:t>127.317,</w:t>
      </w:r>
      <w:r w:rsidRPr="006D06E9">
        <w:rPr>
          <w:rFonts w:ascii="Arial" w:hAnsi="Arial" w:cs="Arial"/>
          <w:sz w:val="20"/>
        </w:rPr>
        <w:tab/>
        <w:t>127.1317</w:t>
      </w:r>
      <w:r w:rsidRPr="006D06E9">
        <w:rPr>
          <w:rFonts w:ascii="Arial" w:hAnsi="Arial" w:cs="Arial"/>
          <w:sz w:val="20"/>
        </w:rPr>
        <w:tab/>
      </w:r>
      <w:r w:rsidRPr="006D06E9">
        <w:rPr>
          <w:rFonts w:ascii="Arial" w:hAnsi="Arial" w:cs="Arial"/>
          <w:sz w:val="20"/>
        </w:rPr>
        <w:tab/>
        <w:t xml:space="preserve">Declaration of </w:t>
      </w:r>
      <w:r w:rsidR="003D4982" w:rsidRPr="006D06E9">
        <w:rPr>
          <w:rFonts w:ascii="Arial" w:hAnsi="Arial" w:cs="Arial"/>
          <w:sz w:val="20"/>
        </w:rPr>
        <w:t>I</w:t>
      </w:r>
      <w:r w:rsidRPr="006D06E9">
        <w:rPr>
          <w:rFonts w:ascii="Arial" w:hAnsi="Arial" w:cs="Arial"/>
          <w:sz w:val="20"/>
        </w:rPr>
        <w:t>nspection</w:t>
      </w:r>
      <w:r w:rsidR="003D4982" w:rsidRPr="006D06E9">
        <w:rPr>
          <w:rFonts w:ascii="Arial" w:hAnsi="Arial" w:cs="Arial"/>
          <w:sz w:val="20"/>
        </w:rPr>
        <w:t xml:space="preserve">   </w:t>
      </w:r>
    </w:p>
    <w:p w:rsidR="00456639" w:rsidRPr="006D06E9" w:rsidRDefault="00456639"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u w:val="single"/>
        </w:rPr>
      </w:pPr>
      <w:r w:rsidRPr="006D06E9">
        <w:rPr>
          <w:rFonts w:ascii="Arial" w:hAnsi="Arial" w:cs="Arial"/>
          <w:sz w:val="20"/>
        </w:rPr>
        <w:tab/>
        <w:t>H.</w:t>
      </w:r>
      <w:r w:rsidRPr="006D06E9">
        <w:rPr>
          <w:rFonts w:ascii="Arial" w:hAnsi="Arial" w:cs="Arial"/>
          <w:sz w:val="20"/>
        </w:rPr>
        <w:tab/>
        <w:t>127.409,</w:t>
      </w:r>
      <w:r w:rsidRPr="006D06E9">
        <w:rPr>
          <w:rFonts w:ascii="Arial" w:hAnsi="Arial" w:cs="Arial"/>
          <w:sz w:val="20"/>
        </w:rPr>
        <w:tab/>
        <w:t>127.1409</w:t>
      </w:r>
      <w:r w:rsidRPr="006D06E9">
        <w:rPr>
          <w:rFonts w:ascii="Arial" w:hAnsi="Arial" w:cs="Arial"/>
          <w:sz w:val="20"/>
        </w:rPr>
        <w:tab/>
      </w:r>
      <w:r w:rsidRPr="006D06E9">
        <w:rPr>
          <w:rFonts w:ascii="Arial" w:hAnsi="Arial" w:cs="Arial"/>
          <w:sz w:val="20"/>
        </w:rPr>
        <w:tab/>
        <w:t>Records of maintenance</w:t>
      </w:r>
    </w:p>
    <w:p w:rsidR="007548EA" w:rsidRPr="006D06E9" w:rsidRDefault="007548EA" w:rsidP="00A548E0">
      <w:pPr>
        <w:pStyle w:val="t1"/>
        <w:tabs>
          <w:tab w:val="clear" w:pos="3080"/>
          <w:tab w:val="clear" w:pos="4420"/>
          <w:tab w:val="clear" w:pos="5360"/>
          <w:tab w:val="decimal" w:pos="2700"/>
          <w:tab w:val="decimal" w:pos="3690"/>
          <w:tab w:val="left" w:pos="4500"/>
        </w:tabs>
        <w:spacing w:line="240" w:lineRule="auto"/>
        <w:rPr>
          <w:rFonts w:ascii="Arial" w:hAnsi="Arial" w:cs="Arial"/>
          <w:sz w:val="20"/>
        </w:rPr>
      </w:pPr>
      <w:r w:rsidRPr="006D06E9">
        <w:rPr>
          <w:rFonts w:ascii="Arial" w:hAnsi="Arial" w:cs="Arial"/>
          <w:sz w:val="20"/>
        </w:rPr>
        <w:tab/>
        <w:t xml:space="preserve">I.            </w:t>
      </w:r>
      <w:r w:rsidR="00B00CA3" w:rsidRPr="006D06E9">
        <w:rPr>
          <w:rFonts w:ascii="Arial" w:hAnsi="Arial" w:cs="Arial"/>
          <w:sz w:val="20"/>
        </w:rPr>
        <w:t xml:space="preserve"> </w:t>
      </w:r>
      <w:r w:rsidR="006D06E9">
        <w:rPr>
          <w:rFonts w:ascii="Arial" w:hAnsi="Arial" w:cs="Arial"/>
          <w:sz w:val="20"/>
        </w:rPr>
        <w:t xml:space="preserve">  </w:t>
      </w:r>
      <w:r w:rsidRPr="006D06E9">
        <w:rPr>
          <w:rFonts w:ascii="Arial" w:hAnsi="Arial" w:cs="Arial"/>
          <w:sz w:val="20"/>
        </w:rPr>
        <w:t>127.007</w:t>
      </w:r>
      <w:r w:rsidR="00FD4FE4" w:rsidRPr="006D06E9">
        <w:rPr>
          <w:rFonts w:ascii="Arial" w:hAnsi="Arial" w:cs="Arial"/>
          <w:sz w:val="20"/>
        </w:rPr>
        <w:t xml:space="preserve">              </w:t>
      </w:r>
      <w:r w:rsidRPr="006D06E9">
        <w:rPr>
          <w:rFonts w:ascii="Arial" w:hAnsi="Arial" w:cs="Arial"/>
          <w:sz w:val="20"/>
        </w:rPr>
        <w:t xml:space="preserve">                 </w:t>
      </w:r>
      <w:r w:rsidR="003D4982" w:rsidRPr="006D06E9">
        <w:rPr>
          <w:rFonts w:ascii="Arial" w:hAnsi="Arial" w:cs="Arial"/>
          <w:sz w:val="20"/>
        </w:rPr>
        <w:t xml:space="preserve">  </w:t>
      </w:r>
      <w:r w:rsidRPr="006D06E9">
        <w:rPr>
          <w:rFonts w:ascii="Arial" w:hAnsi="Arial" w:cs="Arial"/>
          <w:sz w:val="20"/>
        </w:rPr>
        <w:t xml:space="preserve">   </w:t>
      </w:r>
      <w:r w:rsidR="006D06E9">
        <w:rPr>
          <w:rFonts w:ascii="Arial" w:hAnsi="Arial" w:cs="Arial"/>
          <w:sz w:val="20"/>
        </w:rPr>
        <w:t xml:space="preserve">      </w:t>
      </w:r>
      <w:r w:rsidRPr="006D06E9">
        <w:rPr>
          <w:rFonts w:ascii="Arial" w:hAnsi="Arial" w:cs="Arial"/>
          <w:sz w:val="20"/>
        </w:rPr>
        <w:t>Waterway Suitability Assessment</w:t>
      </w:r>
      <w:r w:rsidR="003D4982" w:rsidRPr="006D06E9">
        <w:rPr>
          <w:rFonts w:ascii="Arial" w:hAnsi="Arial" w:cs="Arial"/>
          <w:sz w:val="20"/>
        </w:rPr>
        <w:t xml:space="preserve"> (WSA)</w:t>
      </w:r>
      <w:r w:rsidR="003D4982" w:rsidRPr="006D06E9">
        <w:rPr>
          <w:rStyle w:val="FootnoteReference"/>
          <w:rFonts w:ascii="Arial" w:hAnsi="Arial" w:cs="Arial"/>
          <w:sz w:val="20"/>
        </w:rPr>
        <w:footnoteReference w:id="2"/>
      </w:r>
    </w:p>
    <w:p w:rsidR="007548EA" w:rsidRPr="006D06E9" w:rsidRDefault="007548EA" w:rsidP="00A548E0">
      <w:pPr>
        <w:rPr>
          <w:rFonts w:ascii="Arial" w:hAnsi="Arial" w:cs="Arial"/>
          <w:sz w:val="20"/>
        </w:rPr>
      </w:pPr>
    </w:p>
    <w:p w:rsidR="00456639" w:rsidRPr="006D06E9" w:rsidRDefault="00456639" w:rsidP="00A548E0">
      <w:pPr>
        <w:rPr>
          <w:rFonts w:ascii="Arial" w:hAnsi="Arial" w:cs="Arial"/>
          <w:sz w:val="20"/>
        </w:rPr>
      </w:pPr>
      <w:r w:rsidRPr="006D06E9">
        <w:rPr>
          <w:rFonts w:ascii="Arial" w:hAnsi="Arial" w:cs="Arial"/>
          <w:sz w:val="20"/>
        </w:rPr>
        <w:t xml:space="preserve">2.  </w:t>
      </w:r>
      <w:r w:rsidRPr="006D06E9">
        <w:rPr>
          <w:rFonts w:ascii="Arial" w:hAnsi="Arial" w:cs="Arial"/>
          <w:sz w:val="20"/>
          <w:u w:val="single"/>
        </w:rPr>
        <w:t xml:space="preserve">Purpose </w:t>
      </w:r>
      <w:r w:rsidR="006D06E9" w:rsidRPr="006D06E9">
        <w:rPr>
          <w:rFonts w:ascii="Arial" w:hAnsi="Arial" w:cs="Arial"/>
          <w:sz w:val="20"/>
          <w:u w:val="single"/>
        </w:rPr>
        <w:t xml:space="preserve">of </w:t>
      </w:r>
      <w:r w:rsidRPr="006D06E9">
        <w:rPr>
          <w:rFonts w:ascii="Arial" w:hAnsi="Arial" w:cs="Arial"/>
          <w:sz w:val="20"/>
          <w:u w:val="single"/>
        </w:rPr>
        <w:t>the information collection</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4"/>
        <w:spacing w:line="240" w:lineRule="auto"/>
        <w:rPr>
          <w:rFonts w:ascii="Arial" w:hAnsi="Arial" w:cs="Arial"/>
          <w:sz w:val="20"/>
        </w:rPr>
      </w:pPr>
    </w:p>
    <w:p w:rsidR="00456639" w:rsidRPr="006D06E9" w:rsidRDefault="00456639" w:rsidP="00A548E0">
      <w:pPr>
        <w:pStyle w:val="p3"/>
        <w:spacing w:line="240" w:lineRule="auto"/>
        <w:ind w:firstLine="360"/>
        <w:rPr>
          <w:rFonts w:ascii="Arial" w:hAnsi="Arial" w:cs="Arial"/>
          <w:sz w:val="20"/>
        </w:rPr>
      </w:pPr>
      <w:r w:rsidRPr="006D06E9">
        <w:rPr>
          <w:rFonts w:ascii="Arial" w:hAnsi="Arial" w:cs="Arial"/>
          <w:sz w:val="20"/>
        </w:rPr>
        <w:t xml:space="preserve">A.  The </w:t>
      </w:r>
      <w:r w:rsidR="00B00CA3" w:rsidRPr="006D06E9">
        <w:rPr>
          <w:rFonts w:ascii="Arial" w:hAnsi="Arial" w:cs="Arial"/>
          <w:sz w:val="20"/>
        </w:rPr>
        <w:t>LOI</w:t>
      </w:r>
      <w:r w:rsidRPr="006D06E9">
        <w:rPr>
          <w:rFonts w:ascii="Arial" w:hAnsi="Arial" w:cs="Arial"/>
          <w:sz w:val="20"/>
        </w:rPr>
        <w:t xml:space="preserve"> is needed to alert the </w:t>
      </w:r>
      <w:r w:rsidR="00B00CA3" w:rsidRPr="006D06E9">
        <w:rPr>
          <w:rFonts w:ascii="Arial" w:hAnsi="Arial" w:cs="Arial"/>
          <w:sz w:val="20"/>
        </w:rPr>
        <w:t xml:space="preserve">U.S. </w:t>
      </w:r>
      <w:r w:rsidRPr="006D06E9">
        <w:rPr>
          <w:rFonts w:ascii="Arial" w:hAnsi="Arial" w:cs="Arial"/>
          <w:sz w:val="20"/>
        </w:rPr>
        <w:t xml:space="preserve">Coast Guard Captain of the Port (COTP) that a waterfront facility plans to conduct transfers of LNG or LHG, in bulk.  It also provides a point of contact at the facility.  Once a </w:t>
      </w:r>
      <w:r w:rsidR="00B96A3B">
        <w:rPr>
          <w:rFonts w:ascii="Arial" w:hAnsi="Arial" w:cs="Arial"/>
          <w:sz w:val="20"/>
        </w:rPr>
        <w:t>LOI</w:t>
      </w:r>
      <w:r w:rsidRPr="006D06E9">
        <w:rPr>
          <w:rFonts w:ascii="Arial" w:hAnsi="Arial" w:cs="Arial"/>
          <w:sz w:val="20"/>
        </w:rPr>
        <w:t xml:space="preserve"> </w:t>
      </w:r>
      <w:r w:rsidR="000801BC">
        <w:rPr>
          <w:rFonts w:ascii="Arial" w:hAnsi="Arial" w:cs="Arial"/>
          <w:sz w:val="20"/>
        </w:rPr>
        <w:t>is</w:t>
      </w:r>
      <w:r w:rsidRPr="006D06E9">
        <w:rPr>
          <w:rFonts w:ascii="Arial" w:hAnsi="Arial" w:cs="Arial"/>
          <w:sz w:val="20"/>
        </w:rPr>
        <w:t xml:space="preserve"> received, the COTP can direct the necessary </w:t>
      </w:r>
      <w:r w:rsidR="00B96A3B">
        <w:rPr>
          <w:rFonts w:ascii="Arial" w:hAnsi="Arial" w:cs="Arial"/>
          <w:sz w:val="20"/>
        </w:rPr>
        <w:t>inspection</w:t>
      </w:r>
      <w:r w:rsidRPr="006D06E9">
        <w:rPr>
          <w:rFonts w:ascii="Arial" w:hAnsi="Arial" w:cs="Arial"/>
          <w:sz w:val="20"/>
        </w:rPr>
        <w:t xml:space="preserve"> activity to ensure that the operator complies with the other requirements in 33 CFR 127.  The </w:t>
      </w:r>
      <w:r w:rsidR="00B00CA3" w:rsidRPr="006D06E9">
        <w:rPr>
          <w:rFonts w:ascii="Arial" w:hAnsi="Arial" w:cs="Arial"/>
          <w:sz w:val="20"/>
        </w:rPr>
        <w:t>LOI</w:t>
      </w:r>
      <w:r w:rsidRPr="006D06E9">
        <w:rPr>
          <w:rFonts w:ascii="Arial" w:hAnsi="Arial" w:cs="Arial"/>
          <w:sz w:val="20"/>
        </w:rPr>
        <w:t xml:space="preserve"> also provides the information used by the COTP to determine the suitability of the waterway, on which the waterfront facility is located, for LNG or LHG vessel traffic.  Changes to the information in the </w:t>
      </w:r>
      <w:r w:rsidR="00B00CA3" w:rsidRPr="006D06E9">
        <w:rPr>
          <w:rFonts w:ascii="Arial" w:hAnsi="Arial" w:cs="Arial"/>
          <w:sz w:val="20"/>
        </w:rPr>
        <w:t>LOI</w:t>
      </w:r>
      <w:r w:rsidRPr="006D06E9">
        <w:rPr>
          <w:rFonts w:ascii="Arial" w:hAnsi="Arial" w:cs="Arial"/>
          <w:sz w:val="20"/>
        </w:rPr>
        <w:t xml:space="preserve"> are required to be submitted whenever they occur.  Without the </w:t>
      </w:r>
      <w:r w:rsidR="00B00CA3" w:rsidRPr="006D06E9">
        <w:rPr>
          <w:rFonts w:ascii="Arial" w:hAnsi="Arial" w:cs="Arial"/>
          <w:sz w:val="20"/>
        </w:rPr>
        <w:t>LOI</w:t>
      </w:r>
      <w:r w:rsidRPr="006D06E9">
        <w:rPr>
          <w:rFonts w:ascii="Arial" w:hAnsi="Arial" w:cs="Arial"/>
          <w:sz w:val="20"/>
        </w:rPr>
        <w:t>, COTPs would not learn of the opening or reopening of a waterfront facility handling LNG or LHG far enough in advance to allocate resources, to enforce construction and design standards, and to plan enforcement strategy.  Also, COTPs would not have the information necessary to properly evaluate the suitability of a waterway for vessels carrying LNG or LHG.</w:t>
      </w:r>
    </w:p>
    <w:p w:rsidR="00456639" w:rsidRPr="006D06E9" w:rsidRDefault="00456639" w:rsidP="00A548E0">
      <w:pPr>
        <w:pStyle w:val="p3"/>
        <w:spacing w:line="240" w:lineRule="auto"/>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 xml:space="preserve">B.  Any person directly affected by an action taken under these regulations may appeal that action to the District Commander.  If still not satisfied with the Coast Guard's decision, that person may appeal the decision to the Assistant Commandant for </w:t>
      </w:r>
      <w:r w:rsidR="00732783" w:rsidRPr="006D06E9">
        <w:rPr>
          <w:rFonts w:ascii="Arial" w:hAnsi="Arial" w:cs="Arial"/>
          <w:sz w:val="20"/>
        </w:rPr>
        <w:t>Prevention</w:t>
      </w:r>
      <w:r w:rsidR="00B00CA3" w:rsidRPr="006D06E9">
        <w:rPr>
          <w:rFonts w:ascii="Arial" w:hAnsi="Arial" w:cs="Arial"/>
          <w:sz w:val="20"/>
        </w:rPr>
        <w:t xml:space="preserve"> Policy</w:t>
      </w:r>
      <w:r w:rsidRPr="006D06E9">
        <w:rPr>
          <w:rFonts w:ascii="Arial" w:hAnsi="Arial" w:cs="Arial"/>
          <w:sz w:val="20"/>
        </w:rPr>
        <w:t xml:space="preserve">, in Washington, DC.  If the appeal is not </w:t>
      </w:r>
      <w:r w:rsidRPr="006D06E9">
        <w:rPr>
          <w:rFonts w:ascii="Arial" w:hAnsi="Arial" w:cs="Arial"/>
          <w:sz w:val="20"/>
        </w:rPr>
        <w:lastRenderedPageBreak/>
        <w:t>made in writing, the operator's request for an appeal cannot be properly evaluated.</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C.  If it is impractical for the operator of a waterfront facility handling LNG or LHG to comply with the requirements in these regulations, and an alternative is available that provides at least the same degree of safety as the regulations, the operator may request permission to use an alternative procedure, method, or equipment standard.  The operator must submit the request for an alternative in writing to the COTP.  Without a written request the COTP cannot properly evaluate the proposed alternative.</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 xml:space="preserve">D.  The owner or operator of a waterfront facility handling LNG or LHG must develop and submit to the COTP two copies of the facility’s </w:t>
      </w:r>
      <w:r w:rsidRPr="006D06E9">
        <w:rPr>
          <w:rFonts w:ascii="Arial" w:hAnsi="Arial" w:cs="Arial"/>
          <w:sz w:val="20"/>
          <w:u w:val="single"/>
        </w:rPr>
        <w:t>Operations Manual</w:t>
      </w:r>
      <w:r w:rsidRPr="006D06E9">
        <w:rPr>
          <w:rFonts w:ascii="Arial" w:hAnsi="Arial" w:cs="Arial"/>
          <w:sz w:val="20"/>
        </w:rPr>
        <w:t xml:space="preserve">.  If the manual is found not to be in compliance with section 127.305 or 127.1305 of the regulations, transfer operations cannot be conducted at the facility.  The </w:t>
      </w:r>
      <w:r w:rsidRPr="006D06E9">
        <w:rPr>
          <w:rFonts w:ascii="Arial" w:hAnsi="Arial" w:cs="Arial"/>
          <w:sz w:val="20"/>
          <w:u w:val="single"/>
        </w:rPr>
        <w:t>Operations Manual</w:t>
      </w:r>
      <w:r w:rsidRPr="006D06E9">
        <w:rPr>
          <w:rFonts w:ascii="Arial" w:hAnsi="Arial" w:cs="Arial"/>
          <w:sz w:val="20"/>
        </w:rPr>
        <w:t xml:space="preserve"> is a critical part of the </w:t>
      </w:r>
      <w:r w:rsidR="00B96A3B">
        <w:rPr>
          <w:rFonts w:ascii="Arial" w:hAnsi="Arial" w:cs="Arial"/>
          <w:sz w:val="20"/>
        </w:rPr>
        <w:t>inspection</w:t>
      </w:r>
      <w:r w:rsidR="00B96A3B" w:rsidRPr="006D06E9">
        <w:rPr>
          <w:rFonts w:ascii="Arial" w:hAnsi="Arial" w:cs="Arial"/>
          <w:sz w:val="20"/>
        </w:rPr>
        <w:t xml:space="preserve"> </w:t>
      </w:r>
      <w:r w:rsidRPr="006D06E9">
        <w:rPr>
          <w:rFonts w:ascii="Arial" w:hAnsi="Arial" w:cs="Arial"/>
          <w:sz w:val="20"/>
        </w:rPr>
        <w:t>strategy. Without it, the COTP cannot determine if safe operating procedures and an effective training program are set up by the waterfront facility operator.</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 xml:space="preserve">E.  The owner or operator of a waterfront facility handling LNG or LHG must develop and submit to the COTP two copies of the facility's </w:t>
      </w:r>
      <w:r w:rsidRPr="006D06E9">
        <w:rPr>
          <w:rFonts w:ascii="Arial" w:hAnsi="Arial" w:cs="Arial"/>
          <w:sz w:val="20"/>
          <w:u w:val="single"/>
        </w:rPr>
        <w:t>Emergency Manual</w:t>
      </w:r>
      <w:r w:rsidRPr="006D06E9">
        <w:rPr>
          <w:rFonts w:ascii="Arial" w:hAnsi="Arial" w:cs="Arial"/>
          <w:sz w:val="20"/>
        </w:rPr>
        <w:t xml:space="preserve">.  If the manual is found not to be in compliance with section 127.307 or 127.1307 of the regulations, transfer operations cannot be conducted at the facility.  The </w:t>
      </w:r>
      <w:r w:rsidRPr="006D06E9">
        <w:rPr>
          <w:rFonts w:ascii="Arial" w:hAnsi="Arial" w:cs="Arial"/>
          <w:sz w:val="20"/>
          <w:u w:val="single"/>
        </w:rPr>
        <w:t>Emergency Manual</w:t>
      </w:r>
      <w:r w:rsidRPr="006D06E9">
        <w:rPr>
          <w:rFonts w:ascii="Arial" w:hAnsi="Arial" w:cs="Arial"/>
          <w:sz w:val="20"/>
        </w:rPr>
        <w:t xml:space="preserve"> is a critical part of the enforcement strategy. Without it, the COTP cannot determine if effective procedures have been set up by the waterfront facility operator to respond to emergencies (such as fires and releases of LNG or LHG) on the facility.</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F.  The operator of an LNG or LHG waterfront facility must certify in writing that each person in charge of shoreside transfer operations meets the qualifications set forth in the regulations.  A copy of each certification must be made available for inspection at the facility.  During routine inspections of the facility, the COTP examines these certifications to ensure that the persons in charge of shoreside transfer operations are qualified.  Without these certifications, the COTP would have to develop and administer tests or would have to observe qualification training in order to verify that the person in charge is properly qualified.  Both of these means would create a greater burden than operator certification.</w:t>
      </w:r>
    </w:p>
    <w:p w:rsidR="00456639" w:rsidRPr="006D06E9" w:rsidRDefault="00456639" w:rsidP="00A548E0">
      <w:pPr>
        <w:pStyle w:val="p3"/>
        <w:spacing w:line="240" w:lineRule="auto"/>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 xml:space="preserve">G.  Before LNG or LHG transfer operations begin, the person in charge of shoreside transfer operations must complete, with the person in charge of vessel transfer operations, a Declaration of Inspection.  The Declaration of Inspection is a check-off list of transfer requirements which helps to reduce human error and equipment failure, thereby preventing accidental releases of LNG and LHG.  It identifies each person in charge, who must sign it, and places the responsibility for safely conducting the transfer on that person.  The Declaration of Inspection must be retained for 30 days after completion of the transfer.  During routine inspections of the facility, the COTP will examine these Declarations of Inspection to ensure that they have been completed properly before each transfer.  The COTP also uses this information to identify the responsible person in charge when a violation of the requirements occurs.  Without the Declaration of Inspection, the COTP could not verify that persons in charge are following proper transfer procedures and the probability of human errors or equipment failures resulting in LNG or LHG releases </w:t>
      </w:r>
      <w:r w:rsidR="00B96A3B">
        <w:rPr>
          <w:rFonts w:ascii="Arial" w:hAnsi="Arial" w:cs="Arial"/>
          <w:sz w:val="20"/>
        </w:rPr>
        <w:t>may</w:t>
      </w:r>
      <w:r w:rsidR="00B96A3B" w:rsidRPr="006D06E9">
        <w:rPr>
          <w:rFonts w:ascii="Arial" w:hAnsi="Arial" w:cs="Arial"/>
          <w:sz w:val="20"/>
        </w:rPr>
        <w:t xml:space="preserve"> </w:t>
      </w:r>
      <w:r w:rsidRPr="006D06E9">
        <w:rPr>
          <w:rFonts w:ascii="Arial" w:hAnsi="Arial" w:cs="Arial"/>
          <w:sz w:val="20"/>
        </w:rPr>
        <w:t>increase.</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H.  Tests and inspections of the LNG and LHG transfer system must be conducted on a regular basis to ensure that these systems will not fail and release LNG or LHG.  Records of these tests and inspections must be retained at the facility for 24 months.  During routine inspections of the facility, the COTP examines these records to ensure that the required tests have been completed.  Without these records the operator would have to wait for a Coast Guard inspector to witness the tests to verify that they were done, thereby increasing the burden on both the operator and the Coast Guard.  If the tests and inspections are not conducted, the incidence of LNG and LHG releases due to equipment failures will increase.</w:t>
      </w:r>
    </w:p>
    <w:p w:rsidR="007548EA" w:rsidRPr="006D06E9" w:rsidRDefault="007548EA" w:rsidP="00A548E0">
      <w:pPr>
        <w:pStyle w:val="p6"/>
        <w:tabs>
          <w:tab w:val="clear" w:pos="0"/>
        </w:tabs>
        <w:spacing w:line="240" w:lineRule="auto"/>
        <w:ind w:firstLine="360"/>
        <w:rPr>
          <w:rFonts w:ascii="Arial" w:hAnsi="Arial" w:cs="Arial"/>
          <w:sz w:val="20"/>
        </w:rPr>
      </w:pPr>
    </w:p>
    <w:p w:rsidR="007548EA" w:rsidRPr="00B96A3B" w:rsidRDefault="007548EA" w:rsidP="00A548E0">
      <w:pPr>
        <w:pStyle w:val="p6"/>
        <w:tabs>
          <w:tab w:val="clear" w:pos="0"/>
        </w:tabs>
        <w:spacing w:line="240" w:lineRule="auto"/>
        <w:ind w:firstLine="360"/>
        <w:rPr>
          <w:rFonts w:ascii="Arial" w:hAnsi="Arial" w:cs="Arial"/>
          <w:sz w:val="20"/>
        </w:rPr>
      </w:pPr>
      <w:r w:rsidRPr="00B96A3B">
        <w:rPr>
          <w:rFonts w:ascii="Arial" w:hAnsi="Arial" w:cs="Arial"/>
          <w:sz w:val="20"/>
        </w:rPr>
        <w:t xml:space="preserve">I.  </w:t>
      </w:r>
      <w:r w:rsidR="00CF69B5" w:rsidRPr="00B96A3B">
        <w:rPr>
          <w:rFonts w:ascii="Arial" w:hAnsi="Arial" w:cs="Arial"/>
          <w:sz w:val="20"/>
        </w:rPr>
        <w:t xml:space="preserve">All LNG </w:t>
      </w:r>
      <w:r w:rsidR="00B96A3B" w:rsidRPr="00B96A3B">
        <w:rPr>
          <w:rFonts w:ascii="Arial" w:hAnsi="Arial" w:cs="Arial"/>
          <w:sz w:val="20"/>
        </w:rPr>
        <w:t xml:space="preserve">and LHG </w:t>
      </w:r>
      <w:r w:rsidR="00CF69B5" w:rsidRPr="00B96A3B">
        <w:rPr>
          <w:rFonts w:ascii="Arial" w:hAnsi="Arial" w:cs="Arial"/>
          <w:sz w:val="20"/>
        </w:rPr>
        <w:t xml:space="preserve">owners and operators seeking authorization to site, construct, and operate new LNG </w:t>
      </w:r>
      <w:r w:rsidR="00B96A3B" w:rsidRPr="00B96A3B">
        <w:rPr>
          <w:rFonts w:ascii="Arial" w:hAnsi="Arial" w:cs="Arial"/>
          <w:sz w:val="20"/>
        </w:rPr>
        <w:t>or LHG</w:t>
      </w:r>
      <w:r w:rsidR="00CF69B5" w:rsidRPr="00B96A3B">
        <w:rPr>
          <w:rFonts w:ascii="Arial" w:hAnsi="Arial" w:cs="Arial"/>
          <w:sz w:val="20"/>
        </w:rPr>
        <w:t xml:space="preserve"> facilities</w:t>
      </w:r>
      <w:r w:rsidR="00B96A3B" w:rsidRPr="00B96A3B">
        <w:rPr>
          <w:rFonts w:ascii="Arial" w:hAnsi="Arial" w:cs="Arial"/>
          <w:sz w:val="20"/>
        </w:rPr>
        <w:t>,</w:t>
      </w:r>
      <w:r w:rsidR="00CF69B5" w:rsidRPr="00B96A3B">
        <w:rPr>
          <w:rFonts w:ascii="Arial" w:hAnsi="Arial" w:cs="Arial"/>
          <w:sz w:val="20"/>
        </w:rPr>
        <w:t xml:space="preserve"> or those seeking authority to make modifications to existing or approved LNG </w:t>
      </w:r>
      <w:r w:rsidR="00B96A3B" w:rsidRPr="00B96A3B">
        <w:rPr>
          <w:rFonts w:ascii="Arial" w:hAnsi="Arial" w:cs="Arial"/>
          <w:sz w:val="20"/>
        </w:rPr>
        <w:t xml:space="preserve">or LHG </w:t>
      </w:r>
      <w:r w:rsidR="00CF69B5" w:rsidRPr="00B96A3B">
        <w:rPr>
          <w:rFonts w:ascii="Arial" w:hAnsi="Arial" w:cs="Arial"/>
          <w:sz w:val="20"/>
        </w:rPr>
        <w:t xml:space="preserve">facilities must </w:t>
      </w:r>
      <w:r w:rsidR="00B96A3B" w:rsidRPr="00B96A3B">
        <w:rPr>
          <w:rFonts w:ascii="Arial" w:hAnsi="Arial" w:cs="Arial"/>
          <w:sz w:val="20"/>
        </w:rPr>
        <w:t xml:space="preserve">prepare a WSA in accordance with 33 CFR 127.007.  If the LNG facility is FERC jurisdictional, the operator must file a WSA with the Coast Guard no later than the date of the initial filing </w:t>
      </w:r>
      <w:r w:rsidR="00B96A3B" w:rsidRPr="00B96A3B">
        <w:rPr>
          <w:rFonts w:ascii="Arial" w:hAnsi="Arial" w:cs="Arial"/>
          <w:sz w:val="20"/>
        </w:rPr>
        <w:lastRenderedPageBreak/>
        <w:t xml:space="preserve">with FERC per their pre-filing procedures in </w:t>
      </w:r>
      <w:r w:rsidR="00CF69B5" w:rsidRPr="00B96A3B">
        <w:rPr>
          <w:rFonts w:ascii="Arial" w:hAnsi="Arial" w:cs="Arial"/>
          <w:sz w:val="20"/>
        </w:rPr>
        <w:t>18 CFR 157.21</w:t>
      </w:r>
      <w:r w:rsidR="00B00CA3" w:rsidRPr="006D06E9">
        <w:rPr>
          <w:rStyle w:val="FootnoteReference"/>
          <w:rFonts w:ascii="Arial" w:hAnsi="Arial" w:cs="Arial"/>
          <w:sz w:val="20"/>
        </w:rPr>
        <w:footnoteReference w:id="3"/>
      </w:r>
      <w:r w:rsidR="00B96A3B" w:rsidRPr="00B96A3B">
        <w:rPr>
          <w:rFonts w:ascii="Arial" w:hAnsi="Arial" w:cs="Arial"/>
          <w:sz w:val="20"/>
        </w:rPr>
        <w:t>.  If the facility is not a FERC jurisdictional facility the applicant must file a WSA with the Coast Guard no later than the date of the filing with the Federal or State agency having jurisdiction.</w:t>
      </w:r>
      <w:r w:rsidR="00B96A3B">
        <w:rPr>
          <w:rFonts w:ascii="Arial" w:hAnsi="Arial" w:cs="Arial"/>
          <w:sz w:val="20"/>
        </w:rPr>
        <w:t xml:space="preserve">  In all instances the WSA must be submitted at least one year prior to the start of LNG or LHG transfer operations.</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4"/>
        <w:spacing w:line="240" w:lineRule="auto"/>
        <w:rPr>
          <w:rFonts w:ascii="Arial" w:hAnsi="Arial" w:cs="Arial"/>
          <w:sz w:val="20"/>
        </w:rPr>
      </w:pPr>
      <w:r w:rsidRPr="006D06E9">
        <w:rPr>
          <w:rFonts w:ascii="Arial" w:hAnsi="Arial" w:cs="Arial"/>
          <w:sz w:val="20"/>
        </w:rPr>
        <w:t xml:space="preserve">3.  </w:t>
      </w:r>
      <w:r w:rsidRPr="006D06E9">
        <w:rPr>
          <w:rFonts w:ascii="Arial" w:hAnsi="Arial" w:cs="Arial"/>
          <w:sz w:val="20"/>
          <w:u w:val="single"/>
        </w:rPr>
        <w:t>Considerations of the use of improved technology</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4"/>
        <w:spacing w:line="240" w:lineRule="auto"/>
        <w:rPr>
          <w:rFonts w:ascii="Arial" w:hAnsi="Arial" w:cs="Arial"/>
          <w:sz w:val="20"/>
        </w:rPr>
      </w:pPr>
    </w:p>
    <w:p w:rsidR="00456639" w:rsidRPr="006D06E9" w:rsidRDefault="001B3E7B" w:rsidP="00A548E0">
      <w:pPr>
        <w:pStyle w:val="p8"/>
        <w:spacing w:line="240" w:lineRule="auto"/>
        <w:ind w:firstLine="0"/>
        <w:rPr>
          <w:rFonts w:ascii="Arial" w:hAnsi="Arial" w:cs="Arial"/>
          <w:sz w:val="20"/>
        </w:rPr>
      </w:pPr>
      <w:r w:rsidRPr="006D06E9">
        <w:rPr>
          <w:rFonts w:ascii="Arial" w:hAnsi="Arial" w:cs="Arial"/>
          <w:sz w:val="20"/>
        </w:rPr>
        <w:t>I</w:t>
      </w:r>
      <w:r w:rsidR="00456639" w:rsidRPr="006D06E9">
        <w:rPr>
          <w:rFonts w:ascii="Arial" w:hAnsi="Arial" w:cs="Arial"/>
          <w:sz w:val="20"/>
        </w:rPr>
        <w:t xml:space="preserve">nformation </w:t>
      </w:r>
      <w:r w:rsidRPr="006D06E9">
        <w:rPr>
          <w:rFonts w:ascii="Arial" w:hAnsi="Arial" w:cs="Arial"/>
          <w:sz w:val="20"/>
        </w:rPr>
        <w:t>may be submitted by mail, fax or electronically</w:t>
      </w:r>
      <w:r w:rsidR="006045DB" w:rsidRPr="006D06E9">
        <w:rPr>
          <w:rFonts w:ascii="Arial" w:hAnsi="Arial" w:cs="Arial"/>
          <w:sz w:val="20"/>
        </w:rPr>
        <w:t xml:space="preserve"> via e-mail</w:t>
      </w:r>
      <w:r w:rsidR="00B341AF" w:rsidRPr="006D06E9">
        <w:rPr>
          <w:rFonts w:ascii="Arial" w:hAnsi="Arial" w:cs="Arial"/>
          <w:sz w:val="20"/>
        </w:rPr>
        <w:t xml:space="preserve"> to the COTP at the local CG Sector Office.  Contact info for CG Sector Offices can be found at—</w:t>
      </w:r>
      <w:hyperlink r:id="rId9" w:history="1">
        <w:r w:rsidR="000D1B80" w:rsidRPr="00884D6C">
          <w:rPr>
            <w:rStyle w:val="Hyperlink"/>
            <w:rFonts w:ascii="Arial" w:hAnsi="Arial" w:cs="Arial"/>
            <w:sz w:val="20"/>
          </w:rPr>
          <w:t>https://www.uscg.mil/Units/Organization/</w:t>
        </w:r>
      </w:hyperlink>
      <w:r w:rsidR="00B341AF" w:rsidRPr="006D06E9">
        <w:rPr>
          <w:rFonts w:ascii="Arial" w:hAnsi="Arial" w:cs="Arial"/>
          <w:sz w:val="20"/>
        </w:rPr>
        <w:t xml:space="preserve">.  </w:t>
      </w:r>
      <w:r w:rsidR="00456639" w:rsidRPr="006D06E9">
        <w:rPr>
          <w:rFonts w:ascii="Arial" w:hAnsi="Arial" w:cs="Arial"/>
          <w:sz w:val="20"/>
        </w:rPr>
        <w:t xml:space="preserve">At this time, we estimate that </w:t>
      </w:r>
      <w:r w:rsidR="001775B5" w:rsidRPr="00047300">
        <w:rPr>
          <w:rFonts w:ascii="Arial" w:hAnsi="Arial" w:cs="Arial"/>
          <w:sz w:val="20"/>
        </w:rPr>
        <w:t>67</w:t>
      </w:r>
      <w:r w:rsidR="00456639" w:rsidRPr="006D06E9">
        <w:rPr>
          <w:rFonts w:ascii="Arial" w:hAnsi="Arial" w:cs="Arial"/>
          <w:sz w:val="20"/>
        </w:rPr>
        <w:t xml:space="preserve">% </w:t>
      </w:r>
      <w:r w:rsidRPr="006D06E9">
        <w:rPr>
          <w:rFonts w:ascii="Arial" w:hAnsi="Arial" w:cs="Arial"/>
          <w:sz w:val="20"/>
        </w:rPr>
        <w:t xml:space="preserve">of reporting requirements </w:t>
      </w:r>
      <w:r w:rsidR="00456639" w:rsidRPr="006D06E9">
        <w:rPr>
          <w:rFonts w:ascii="Arial" w:hAnsi="Arial" w:cs="Arial"/>
          <w:sz w:val="20"/>
        </w:rPr>
        <w:t>are done electronically.</w:t>
      </w:r>
      <w:r w:rsidR="008A0CF3" w:rsidRPr="006D06E9">
        <w:rPr>
          <w:rFonts w:ascii="Arial" w:hAnsi="Arial" w:cs="Arial"/>
          <w:sz w:val="20"/>
        </w:rPr>
        <w:t xml:space="preserve"> </w:t>
      </w:r>
    </w:p>
    <w:p w:rsidR="00456639" w:rsidRPr="006D06E9" w:rsidRDefault="00456639" w:rsidP="00A548E0">
      <w:pPr>
        <w:pStyle w:val="p8"/>
        <w:spacing w:line="240" w:lineRule="auto"/>
        <w:ind w:firstLine="0"/>
        <w:rPr>
          <w:rFonts w:ascii="Arial" w:hAnsi="Arial" w:cs="Arial"/>
          <w:sz w:val="20"/>
        </w:rPr>
      </w:pPr>
    </w:p>
    <w:p w:rsidR="00456639" w:rsidRPr="006D06E9" w:rsidRDefault="00456639" w:rsidP="00A548E0">
      <w:pPr>
        <w:pStyle w:val="p4"/>
        <w:spacing w:line="240" w:lineRule="auto"/>
        <w:rPr>
          <w:rFonts w:ascii="Arial" w:hAnsi="Arial" w:cs="Arial"/>
          <w:sz w:val="20"/>
        </w:rPr>
      </w:pPr>
      <w:r w:rsidRPr="006D06E9">
        <w:rPr>
          <w:rFonts w:ascii="Arial" w:hAnsi="Arial" w:cs="Arial"/>
          <w:sz w:val="20"/>
        </w:rPr>
        <w:t xml:space="preserve">4.  </w:t>
      </w:r>
      <w:r w:rsidRPr="006D06E9">
        <w:rPr>
          <w:rFonts w:ascii="Arial" w:hAnsi="Arial" w:cs="Arial"/>
          <w:sz w:val="20"/>
          <w:u w:val="single"/>
        </w:rPr>
        <w:t>Efforts to identify duplication</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4"/>
        <w:spacing w:line="240" w:lineRule="auto"/>
        <w:rPr>
          <w:rFonts w:ascii="Arial" w:hAnsi="Arial" w:cs="Arial"/>
          <w:sz w:val="20"/>
        </w:rPr>
      </w:pPr>
    </w:p>
    <w:p w:rsidR="00456639" w:rsidRPr="006D06E9" w:rsidRDefault="00456639" w:rsidP="00A548E0">
      <w:pPr>
        <w:pStyle w:val="p8"/>
        <w:spacing w:line="240" w:lineRule="auto"/>
        <w:ind w:firstLine="0"/>
        <w:rPr>
          <w:rFonts w:ascii="Arial" w:hAnsi="Arial" w:cs="Arial"/>
          <w:sz w:val="20"/>
        </w:rPr>
      </w:pPr>
      <w:r w:rsidRPr="006D06E9">
        <w:rPr>
          <w:rFonts w:ascii="Arial" w:hAnsi="Arial" w:cs="Arial"/>
          <w:sz w:val="20"/>
        </w:rPr>
        <w:t xml:space="preserve">The Coast Guard monitors State and local regulatory activity in this field.  To date no equivalent </w:t>
      </w:r>
      <w:r w:rsidR="00732783" w:rsidRPr="006D06E9">
        <w:rPr>
          <w:rFonts w:ascii="Arial" w:hAnsi="Arial" w:cs="Arial"/>
          <w:sz w:val="20"/>
        </w:rPr>
        <w:t>S</w:t>
      </w:r>
      <w:r w:rsidRPr="006D06E9">
        <w:rPr>
          <w:rFonts w:ascii="Arial" w:hAnsi="Arial" w:cs="Arial"/>
          <w:sz w:val="20"/>
        </w:rPr>
        <w:t>tate or local programs have been identified that require similar information, and no other Federal agencies have equivalent regulatory requirements.</w:t>
      </w:r>
    </w:p>
    <w:p w:rsidR="00B90D7D" w:rsidRPr="006D06E9" w:rsidRDefault="00B90D7D" w:rsidP="00A548E0">
      <w:pPr>
        <w:pStyle w:val="p8"/>
        <w:spacing w:line="240" w:lineRule="auto"/>
        <w:ind w:firstLine="0"/>
        <w:rPr>
          <w:rFonts w:ascii="Arial" w:hAnsi="Arial" w:cs="Arial"/>
          <w:sz w:val="20"/>
        </w:rPr>
      </w:pPr>
    </w:p>
    <w:p w:rsidR="00456639" w:rsidRPr="006D06E9" w:rsidRDefault="00456639" w:rsidP="00A548E0">
      <w:pPr>
        <w:pStyle w:val="p8"/>
        <w:spacing w:line="240" w:lineRule="auto"/>
        <w:ind w:firstLine="0"/>
        <w:rPr>
          <w:rFonts w:ascii="Arial" w:hAnsi="Arial" w:cs="Arial"/>
          <w:sz w:val="20"/>
        </w:rPr>
      </w:pPr>
      <w:r w:rsidRPr="006D06E9">
        <w:rPr>
          <w:rFonts w:ascii="Arial" w:hAnsi="Arial" w:cs="Arial"/>
          <w:sz w:val="20"/>
        </w:rPr>
        <w:t xml:space="preserve">5.  </w:t>
      </w:r>
      <w:r w:rsidRPr="006D06E9">
        <w:rPr>
          <w:rFonts w:ascii="Arial" w:hAnsi="Arial" w:cs="Arial"/>
          <w:sz w:val="20"/>
          <w:u w:val="single"/>
        </w:rPr>
        <w:t xml:space="preserve">Methods </w:t>
      </w:r>
      <w:r w:rsidR="006D06E9">
        <w:rPr>
          <w:rFonts w:ascii="Arial" w:hAnsi="Arial" w:cs="Arial"/>
          <w:sz w:val="20"/>
          <w:u w:val="single"/>
        </w:rPr>
        <w:t xml:space="preserve">used </w:t>
      </w:r>
      <w:r w:rsidRPr="006D06E9">
        <w:rPr>
          <w:rFonts w:ascii="Arial" w:hAnsi="Arial" w:cs="Arial"/>
          <w:sz w:val="20"/>
          <w:u w:val="single"/>
        </w:rPr>
        <w:t xml:space="preserve">to minimize the burden to small businesses </w:t>
      </w:r>
      <w:r w:rsidR="006D06E9">
        <w:rPr>
          <w:rFonts w:ascii="Arial" w:hAnsi="Arial" w:cs="Arial"/>
          <w:sz w:val="20"/>
          <w:u w:val="single"/>
        </w:rPr>
        <w:t>if involved</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4"/>
        <w:spacing w:line="240" w:lineRule="auto"/>
        <w:rPr>
          <w:rFonts w:ascii="Arial" w:hAnsi="Arial" w:cs="Arial"/>
          <w:sz w:val="20"/>
        </w:rPr>
      </w:pPr>
    </w:p>
    <w:p w:rsidR="00456639" w:rsidRPr="006D06E9" w:rsidRDefault="00456639" w:rsidP="00A548E0">
      <w:pPr>
        <w:pStyle w:val="p8"/>
        <w:tabs>
          <w:tab w:val="clear" w:pos="560"/>
          <w:tab w:val="left" w:pos="540"/>
        </w:tabs>
        <w:spacing w:line="240" w:lineRule="auto"/>
        <w:ind w:firstLine="0"/>
        <w:rPr>
          <w:rFonts w:ascii="Arial" w:hAnsi="Arial" w:cs="Arial"/>
          <w:sz w:val="20"/>
        </w:rPr>
      </w:pPr>
      <w:r w:rsidRPr="006D06E9">
        <w:rPr>
          <w:rFonts w:ascii="Arial" w:hAnsi="Arial" w:cs="Arial"/>
          <w:sz w:val="20"/>
        </w:rPr>
        <w:t>The Coast Guard believes that these requirements do not have a significant economic impact on small entities.  Few, if any, small entities are involved in the costly and highly technical operations of LNG and LHG waterfront facilities.  All existing LNG waterfront facilities are owned and operated by multi-million dollar corporations</w:t>
      </w:r>
      <w:r w:rsidR="00B161E2" w:rsidRPr="006D06E9">
        <w:rPr>
          <w:rFonts w:ascii="Arial" w:hAnsi="Arial" w:cs="Arial"/>
          <w:sz w:val="20"/>
        </w:rPr>
        <w:t xml:space="preserve"> and all are large companies based on industry size standards available at the Small Business Administration’s website.</w:t>
      </w:r>
      <w:r w:rsidRPr="006D06E9">
        <w:rPr>
          <w:rFonts w:ascii="Arial" w:hAnsi="Arial" w:cs="Arial"/>
          <w:sz w:val="20"/>
        </w:rPr>
        <w:t xml:space="preserve">  Most LHG waterfront facilities are also operated by large entities.  Those LHG facilities operated by small entities generally handle small quantities of LHG and can avoid the burdens of this regulation by receiving packaged shipments of LHG instead of bulk shipments.</w:t>
      </w:r>
    </w:p>
    <w:p w:rsidR="00456639" w:rsidRPr="006D06E9" w:rsidRDefault="00456639" w:rsidP="00A548E0">
      <w:pPr>
        <w:pStyle w:val="p8"/>
        <w:spacing w:line="240" w:lineRule="auto"/>
        <w:ind w:firstLine="0"/>
        <w:rPr>
          <w:rFonts w:ascii="Arial" w:hAnsi="Arial" w:cs="Arial"/>
          <w:sz w:val="20"/>
        </w:rPr>
      </w:pPr>
    </w:p>
    <w:p w:rsidR="00456639" w:rsidRPr="006D06E9" w:rsidRDefault="00456639" w:rsidP="00A548E0">
      <w:pPr>
        <w:pStyle w:val="p8"/>
        <w:spacing w:line="240" w:lineRule="auto"/>
        <w:ind w:firstLine="0"/>
        <w:rPr>
          <w:rFonts w:ascii="Arial" w:hAnsi="Arial" w:cs="Arial"/>
          <w:sz w:val="20"/>
        </w:rPr>
      </w:pPr>
      <w:r w:rsidRPr="006D06E9">
        <w:rPr>
          <w:rFonts w:ascii="Arial" w:hAnsi="Arial" w:cs="Arial"/>
          <w:sz w:val="20"/>
        </w:rPr>
        <w:t>The appeal and alternatives requirements are intended to reduce the burden on small entities by allowing them to request less burdensome procedures where justified by small scale or simplified operations at a small waterfront facility.</w:t>
      </w:r>
    </w:p>
    <w:p w:rsidR="00456639" w:rsidRPr="006D06E9" w:rsidRDefault="00456639" w:rsidP="00A548E0">
      <w:pPr>
        <w:pStyle w:val="p8"/>
        <w:spacing w:line="240" w:lineRule="auto"/>
        <w:ind w:firstLine="0"/>
        <w:rPr>
          <w:rFonts w:ascii="Arial" w:hAnsi="Arial" w:cs="Arial"/>
          <w:sz w:val="20"/>
        </w:rPr>
      </w:pPr>
    </w:p>
    <w:p w:rsidR="00456639" w:rsidRPr="006D06E9" w:rsidRDefault="00456639" w:rsidP="00A548E0">
      <w:pPr>
        <w:pStyle w:val="p4"/>
        <w:spacing w:line="240" w:lineRule="auto"/>
        <w:rPr>
          <w:rFonts w:ascii="Arial" w:hAnsi="Arial" w:cs="Arial"/>
          <w:sz w:val="20"/>
        </w:rPr>
      </w:pPr>
      <w:r w:rsidRPr="006D06E9">
        <w:rPr>
          <w:rFonts w:ascii="Arial" w:hAnsi="Arial" w:cs="Arial"/>
          <w:sz w:val="20"/>
        </w:rPr>
        <w:t xml:space="preserve">6.  </w:t>
      </w:r>
      <w:r w:rsidRPr="006D06E9">
        <w:rPr>
          <w:rFonts w:ascii="Arial" w:hAnsi="Arial" w:cs="Arial"/>
          <w:sz w:val="20"/>
          <w:u w:val="single"/>
        </w:rPr>
        <w:t>Consequences to the Federal program if collection were conducted less frequently</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4"/>
        <w:spacing w:line="240" w:lineRule="auto"/>
        <w:rPr>
          <w:rFonts w:ascii="Arial" w:hAnsi="Arial" w:cs="Arial"/>
          <w:sz w:val="20"/>
        </w:rPr>
      </w:pPr>
    </w:p>
    <w:p w:rsidR="00456639" w:rsidRPr="006D06E9" w:rsidRDefault="00456639" w:rsidP="00A548E0">
      <w:pPr>
        <w:pStyle w:val="p8"/>
        <w:spacing w:line="240" w:lineRule="auto"/>
        <w:ind w:firstLine="360"/>
        <w:rPr>
          <w:rFonts w:ascii="Arial" w:hAnsi="Arial" w:cs="Arial"/>
          <w:sz w:val="20"/>
        </w:rPr>
      </w:pPr>
      <w:r w:rsidRPr="006D06E9">
        <w:rPr>
          <w:rFonts w:ascii="Arial" w:hAnsi="Arial" w:cs="Arial"/>
          <w:sz w:val="20"/>
        </w:rPr>
        <w:t xml:space="preserve">A,D,E,F.  The </w:t>
      </w:r>
      <w:r w:rsidR="00B00CA3" w:rsidRPr="006D06E9">
        <w:rPr>
          <w:rFonts w:ascii="Arial" w:hAnsi="Arial" w:cs="Arial"/>
          <w:sz w:val="20"/>
        </w:rPr>
        <w:t>LOI</w:t>
      </w:r>
      <w:r w:rsidRPr="006D06E9">
        <w:rPr>
          <w:rFonts w:ascii="Arial" w:hAnsi="Arial" w:cs="Arial"/>
          <w:sz w:val="20"/>
        </w:rPr>
        <w:t xml:space="preserve">, the </w:t>
      </w:r>
      <w:r w:rsidRPr="006D06E9">
        <w:rPr>
          <w:rFonts w:ascii="Arial" w:hAnsi="Arial" w:cs="Arial"/>
          <w:sz w:val="20"/>
          <w:u w:val="single"/>
        </w:rPr>
        <w:t>Operations Manual</w:t>
      </w:r>
      <w:r w:rsidRPr="006D06E9">
        <w:rPr>
          <w:rFonts w:ascii="Arial" w:hAnsi="Arial" w:cs="Arial"/>
          <w:sz w:val="20"/>
        </w:rPr>
        <w:t xml:space="preserve">, and the </w:t>
      </w:r>
      <w:r w:rsidRPr="006D06E9">
        <w:rPr>
          <w:rFonts w:ascii="Arial" w:hAnsi="Arial" w:cs="Arial"/>
          <w:sz w:val="20"/>
          <w:u w:val="single"/>
        </w:rPr>
        <w:t>Emergency Manual</w:t>
      </w:r>
      <w:r w:rsidRPr="006D06E9">
        <w:rPr>
          <w:rFonts w:ascii="Arial" w:hAnsi="Arial" w:cs="Arial"/>
          <w:sz w:val="20"/>
        </w:rPr>
        <w:t xml:space="preserve"> are submitted only once, before the facility begins transferring LNG or LHG.  The certification for persons in charge is completed each time a new individual is qualified as a person in charge.  Less frequent collection of this information would have the same consequences as not collecting the information.</w:t>
      </w:r>
    </w:p>
    <w:p w:rsidR="00456639" w:rsidRPr="006D06E9" w:rsidRDefault="00456639" w:rsidP="00A548E0">
      <w:pPr>
        <w:pStyle w:val="p8"/>
        <w:spacing w:line="240" w:lineRule="auto"/>
        <w:ind w:firstLine="0"/>
        <w:rPr>
          <w:rFonts w:ascii="Arial" w:hAnsi="Arial" w:cs="Arial"/>
          <w:sz w:val="20"/>
        </w:rPr>
      </w:pPr>
    </w:p>
    <w:p w:rsidR="00456639" w:rsidRPr="006D06E9" w:rsidRDefault="00456639" w:rsidP="00A548E0">
      <w:pPr>
        <w:pStyle w:val="p8"/>
        <w:spacing w:line="240" w:lineRule="auto"/>
        <w:ind w:firstLine="360"/>
        <w:rPr>
          <w:rFonts w:ascii="Arial" w:hAnsi="Arial" w:cs="Arial"/>
          <w:sz w:val="20"/>
        </w:rPr>
      </w:pPr>
      <w:r w:rsidRPr="006D06E9">
        <w:rPr>
          <w:rFonts w:ascii="Arial" w:hAnsi="Arial" w:cs="Arial"/>
          <w:sz w:val="20"/>
        </w:rPr>
        <w:t>B,C.  Appeals and alternatives are submitted whenever the operator makes a request.  Less frequent collection would prevent the waterfront facility operator's requests from being considered.</w:t>
      </w:r>
    </w:p>
    <w:p w:rsidR="00456639" w:rsidRPr="006D06E9" w:rsidRDefault="00456639" w:rsidP="00A548E0">
      <w:pPr>
        <w:pStyle w:val="p8"/>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G.  Declarations of Inspection are collected for each transfer.  Less frequent collection would prevent the COTP from verifying that persons in charge are following proper transfer procedures for each transfer.  This would increase the probability of human errors or equipment failures resulting in LNG or LHG releases will increase.  It would also make identification of the responsible person in charge more difficult when a discharge does occur.</w:t>
      </w:r>
    </w:p>
    <w:p w:rsidR="00456639" w:rsidRPr="006D06E9" w:rsidRDefault="00456639" w:rsidP="00A548E0">
      <w:pPr>
        <w:pStyle w:val="p6"/>
        <w:tabs>
          <w:tab w:val="clear" w:pos="0"/>
        </w:tabs>
        <w:spacing w:line="240" w:lineRule="auto"/>
        <w:ind w:firstLine="0"/>
        <w:rPr>
          <w:rFonts w:ascii="Arial" w:hAnsi="Arial" w:cs="Arial"/>
          <w:sz w:val="20"/>
        </w:rPr>
      </w:pPr>
    </w:p>
    <w:p w:rsidR="00456639" w:rsidRPr="006D06E9" w:rsidRDefault="00456639" w:rsidP="00A548E0">
      <w:pPr>
        <w:pStyle w:val="p6"/>
        <w:tabs>
          <w:tab w:val="clear" w:pos="0"/>
        </w:tabs>
        <w:spacing w:line="240" w:lineRule="auto"/>
        <w:ind w:firstLine="360"/>
        <w:rPr>
          <w:rFonts w:ascii="Arial" w:hAnsi="Arial" w:cs="Arial"/>
          <w:sz w:val="20"/>
        </w:rPr>
      </w:pPr>
      <w:r w:rsidRPr="006D06E9">
        <w:rPr>
          <w:rFonts w:ascii="Arial" w:hAnsi="Arial" w:cs="Arial"/>
          <w:sz w:val="20"/>
        </w:rPr>
        <w:t>H.  The recordkeeping requirements are recorded whenever each event occurs.  If they were reported and recorded less frequently, facility operations would be delayed until the COTP sent his representative to obtain the information needed to verify compliance, evaluate the request, or witness the procedure.</w:t>
      </w:r>
    </w:p>
    <w:p w:rsidR="00456639" w:rsidRPr="006D06E9" w:rsidRDefault="00456639" w:rsidP="00A548E0">
      <w:pPr>
        <w:pStyle w:val="p6"/>
        <w:tabs>
          <w:tab w:val="clear" w:pos="0"/>
        </w:tabs>
        <w:spacing w:line="240" w:lineRule="auto"/>
        <w:ind w:firstLine="0"/>
        <w:rPr>
          <w:rFonts w:ascii="Arial" w:hAnsi="Arial" w:cs="Arial"/>
          <w:sz w:val="20"/>
        </w:rPr>
      </w:pPr>
    </w:p>
    <w:p w:rsidR="00B90D7D" w:rsidRPr="006D06E9" w:rsidRDefault="00B90D7D" w:rsidP="00A548E0">
      <w:pPr>
        <w:pStyle w:val="p6"/>
        <w:ind w:firstLine="360"/>
        <w:rPr>
          <w:rFonts w:ascii="Arial" w:hAnsi="Arial" w:cs="Arial"/>
          <w:sz w:val="20"/>
        </w:rPr>
      </w:pPr>
      <w:r w:rsidRPr="006D06E9">
        <w:rPr>
          <w:rFonts w:ascii="Arial" w:hAnsi="Arial" w:cs="Arial"/>
          <w:sz w:val="20"/>
        </w:rPr>
        <w:t xml:space="preserve">I.  A WSA is a risk-based assessment process designed to document and address all safety and security concerns related to the movement of LNG </w:t>
      </w:r>
      <w:r w:rsidR="000C2C07">
        <w:rPr>
          <w:rFonts w:ascii="Arial" w:hAnsi="Arial" w:cs="Arial"/>
          <w:sz w:val="20"/>
        </w:rPr>
        <w:t xml:space="preserve">and LHG </w:t>
      </w:r>
      <w:r w:rsidRPr="006D06E9">
        <w:rPr>
          <w:rFonts w:ascii="Arial" w:hAnsi="Arial" w:cs="Arial"/>
          <w:sz w:val="20"/>
        </w:rPr>
        <w:t xml:space="preserve">in U.S. ports and waterways.  </w:t>
      </w:r>
      <w:r w:rsidR="00F16E2D" w:rsidRPr="006D06E9">
        <w:rPr>
          <w:rFonts w:ascii="Arial" w:hAnsi="Arial" w:cs="Arial"/>
          <w:sz w:val="20"/>
        </w:rPr>
        <w:t>Less frequent collection would prevent the waterfront facility operator's requests from being considered.</w:t>
      </w:r>
      <w:r w:rsidRPr="006D06E9">
        <w:rPr>
          <w:rFonts w:ascii="Arial" w:hAnsi="Arial" w:cs="Arial"/>
          <w:sz w:val="20"/>
        </w:rPr>
        <w:t xml:space="preserve">  </w:t>
      </w:r>
    </w:p>
    <w:p w:rsidR="00B90D7D" w:rsidRPr="006D06E9" w:rsidRDefault="00B90D7D" w:rsidP="00A548E0">
      <w:pPr>
        <w:pStyle w:val="p6"/>
        <w:tabs>
          <w:tab w:val="clear" w:pos="0"/>
        </w:tabs>
        <w:spacing w:line="240" w:lineRule="auto"/>
        <w:ind w:firstLine="0"/>
        <w:rPr>
          <w:rFonts w:ascii="Arial" w:hAnsi="Arial" w:cs="Arial"/>
          <w:sz w:val="20"/>
        </w:rPr>
      </w:pPr>
    </w:p>
    <w:p w:rsidR="00456639" w:rsidRPr="006D06E9" w:rsidRDefault="00456639" w:rsidP="00A548E0">
      <w:pPr>
        <w:rPr>
          <w:rFonts w:ascii="Arial" w:hAnsi="Arial" w:cs="Arial"/>
          <w:sz w:val="20"/>
        </w:rPr>
      </w:pPr>
      <w:r w:rsidRPr="006D06E9">
        <w:rPr>
          <w:rFonts w:ascii="Arial" w:hAnsi="Arial" w:cs="Arial"/>
          <w:sz w:val="20"/>
        </w:rPr>
        <w:t xml:space="preserve">7. </w:t>
      </w:r>
      <w:r w:rsidRPr="006D06E9">
        <w:rPr>
          <w:rFonts w:ascii="Arial" w:hAnsi="Arial" w:cs="Arial"/>
          <w:sz w:val="20"/>
          <w:u w:val="single"/>
        </w:rPr>
        <w:t xml:space="preserve">Special </w:t>
      </w:r>
      <w:r w:rsidR="006D06E9">
        <w:rPr>
          <w:rFonts w:ascii="Arial" w:hAnsi="Arial" w:cs="Arial"/>
          <w:sz w:val="20"/>
          <w:u w:val="single"/>
        </w:rPr>
        <w:t xml:space="preserve">collection </w:t>
      </w:r>
      <w:r w:rsidRPr="006D06E9">
        <w:rPr>
          <w:rFonts w:ascii="Arial" w:hAnsi="Arial" w:cs="Arial"/>
          <w:sz w:val="20"/>
          <w:u w:val="single"/>
        </w:rPr>
        <w:t>circumstances</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rPr>
          <w:rFonts w:ascii="Arial" w:hAnsi="Arial" w:cs="Arial"/>
          <w:sz w:val="20"/>
        </w:rPr>
      </w:pPr>
    </w:p>
    <w:p w:rsidR="00456639" w:rsidRPr="006D06E9" w:rsidRDefault="00614E7B" w:rsidP="00A548E0">
      <w:pPr>
        <w:rPr>
          <w:rFonts w:ascii="Arial" w:hAnsi="Arial" w:cs="Arial"/>
          <w:sz w:val="20"/>
        </w:rPr>
      </w:pPr>
      <w:r w:rsidRPr="006D06E9">
        <w:rPr>
          <w:rFonts w:ascii="Arial" w:hAnsi="Arial" w:cs="Arial"/>
          <w:sz w:val="20"/>
        </w:rPr>
        <w:t>This information collection is conducted in manner consistent with the guidelines in 5 CFR 1320.5(d)(2).</w:t>
      </w:r>
      <w:r w:rsidR="000D1B80">
        <w:rPr>
          <w:rFonts w:ascii="Arial" w:hAnsi="Arial" w:cs="Arial"/>
          <w:sz w:val="20"/>
        </w:rPr>
        <w:t xml:space="preserve">  </w:t>
      </w:r>
    </w:p>
    <w:p w:rsidR="00456639" w:rsidRPr="006D06E9" w:rsidRDefault="00456639" w:rsidP="00A548E0">
      <w:pPr>
        <w:rPr>
          <w:rFonts w:ascii="Arial" w:hAnsi="Arial" w:cs="Arial"/>
          <w:sz w:val="20"/>
        </w:rPr>
      </w:pPr>
    </w:p>
    <w:p w:rsidR="00456639" w:rsidRPr="006D06E9" w:rsidRDefault="00456639" w:rsidP="00A548E0">
      <w:pPr>
        <w:pStyle w:val="p10"/>
        <w:spacing w:line="240" w:lineRule="auto"/>
        <w:rPr>
          <w:rFonts w:ascii="Arial" w:hAnsi="Arial" w:cs="Arial"/>
          <w:sz w:val="20"/>
        </w:rPr>
      </w:pPr>
      <w:r w:rsidRPr="006D06E9">
        <w:rPr>
          <w:rFonts w:ascii="Arial" w:hAnsi="Arial" w:cs="Arial"/>
          <w:sz w:val="20"/>
        </w:rPr>
        <w:t xml:space="preserve">8.  </w:t>
      </w:r>
      <w:r w:rsidR="006D06E9">
        <w:rPr>
          <w:rFonts w:ascii="Arial" w:hAnsi="Arial" w:cs="Arial"/>
          <w:sz w:val="20"/>
          <w:u w:val="single"/>
        </w:rPr>
        <w:t>Consultation</w:t>
      </w:r>
      <w:r w:rsidRPr="006D06E9">
        <w:rPr>
          <w:rFonts w:ascii="Arial" w:hAnsi="Arial" w:cs="Arial"/>
          <w:sz w:val="20"/>
        </w:rPr>
        <w:t>.</w:t>
      </w:r>
      <w:r w:rsidR="006D06E9">
        <w:rPr>
          <w:rFonts w:ascii="Arial" w:hAnsi="Arial" w:cs="Arial"/>
          <w:sz w:val="20"/>
        </w:rPr>
        <w:t xml:space="preserve">  </w:t>
      </w:r>
    </w:p>
    <w:p w:rsidR="00456639" w:rsidRPr="006D06E9" w:rsidRDefault="00456639" w:rsidP="00A548E0">
      <w:pPr>
        <w:pStyle w:val="p10"/>
        <w:spacing w:line="240" w:lineRule="auto"/>
        <w:rPr>
          <w:rFonts w:ascii="Arial" w:hAnsi="Arial" w:cs="Arial"/>
          <w:sz w:val="20"/>
        </w:rPr>
      </w:pPr>
    </w:p>
    <w:p w:rsidR="000D1B80" w:rsidRPr="00A548E0" w:rsidRDefault="000D1B80" w:rsidP="00A548E0">
      <w:pPr>
        <w:tabs>
          <w:tab w:val="left" w:pos="576"/>
          <w:tab w:val="left" w:pos="1440"/>
        </w:tabs>
        <w:rPr>
          <w:rFonts w:ascii="Arial" w:hAnsi="Arial" w:cs="Arial"/>
          <w:sz w:val="20"/>
        </w:rPr>
      </w:pPr>
      <w:r w:rsidRPr="00A548E0">
        <w:rPr>
          <w:rFonts w:ascii="Arial" w:hAnsi="Arial" w:cs="Arial"/>
          <w:sz w:val="20"/>
        </w:rPr>
        <w:t xml:space="preserve">A 60-Day Notice </w:t>
      </w:r>
      <w:r w:rsidR="00C172E7">
        <w:rPr>
          <w:rFonts w:ascii="Arial" w:hAnsi="Arial" w:cs="Arial"/>
          <w:sz w:val="20"/>
        </w:rPr>
        <w:t>(See [USCG-2019-0353], June 12, 2019, 84 FR 27341) and 30-Day Notice (August 30, 2019, 84 FR 4</w:t>
      </w:r>
      <w:r w:rsidR="007076F4">
        <w:rPr>
          <w:rFonts w:ascii="Arial" w:hAnsi="Arial" w:cs="Arial"/>
          <w:sz w:val="20"/>
        </w:rPr>
        <w:t>57</w:t>
      </w:r>
      <w:r w:rsidR="00C172E7">
        <w:rPr>
          <w:rFonts w:ascii="Arial" w:hAnsi="Arial" w:cs="Arial"/>
          <w:sz w:val="20"/>
        </w:rPr>
        <w:t>83) were p</w:t>
      </w:r>
      <w:r w:rsidRPr="00A548E0">
        <w:rPr>
          <w:rFonts w:ascii="Arial" w:hAnsi="Arial" w:cs="Arial"/>
          <w:sz w:val="20"/>
        </w:rPr>
        <w:t xml:space="preserve">ublished in the </w:t>
      </w:r>
      <w:r w:rsidRPr="00A548E0">
        <w:rPr>
          <w:rFonts w:ascii="Arial" w:hAnsi="Arial" w:cs="Arial"/>
          <w:i/>
          <w:sz w:val="20"/>
        </w:rPr>
        <w:t>Federal Register</w:t>
      </w:r>
      <w:r w:rsidRPr="00A548E0">
        <w:rPr>
          <w:rFonts w:ascii="Arial" w:hAnsi="Arial" w:cs="Arial"/>
          <w:sz w:val="20"/>
        </w:rPr>
        <w:t xml:space="preserve"> to obtain public comment on this collection.</w:t>
      </w:r>
      <w:r w:rsidR="00C172E7">
        <w:rPr>
          <w:rFonts w:ascii="Arial" w:hAnsi="Arial" w:cs="Arial"/>
          <w:sz w:val="20"/>
        </w:rPr>
        <w:t xml:space="preserve">  The Coast Guard has not received any comments on this information collection.</w:t>
      </w:r>
      <w:r w:rsidRPr="00A548E0">
        <w:rPr>
          <w:rFonts w:ascii="Arial" w:hAnsi="Arial" w:cs="Arial"/>
          <w:sz w:val="20"/>
        </w:rPr>
        <w:t xml:space="preserve">  </w:t>
      </w:r>
    </w:p>
    <w:p w:rsidR="00456639" w:rsidRPr="006D06E9" w:rsidRDefault="00456639" w:rsidP="00A548E0">
      <w:pPr>
        <w:pStyle w:val="p8"/>
        <w:spacing w:line="240" w:lineRule="auto"/>
        <w:ind w:firstLine="0"/>
        <w:rPr>
          <w:rFonts w:ascii="Arial" w:hAnsi="Arial" w:cs="Arial"/>
          <w:sz w:val="20"/>
        </w:rPr>
      </w:pPr>
    </w:p>
    <w:p w:rsidR="00456639" w:rsidRPr="0057398A" w:rsidRDefault="00456639" w:rsidP="00A548E0">
      <w:pPr>
        <w:pStyle w:val="p10"/>
        <w:spacing w:line="240" w:lineRule="auto"/>
        <w:rPr>
          <w:rFonts w:ascii="Arial" w:hAnsi="Arial" w:cs="Arial"/>
          <w:sz w:val="20"/>
        </w:rPr>
      </w:pPr>
      <w:r w:rsidRPr="006D06E9">
        <w:rPr>
          <w:rFonts w:ascii="Arial" w:hAnsi="Arial" w:cs="Arial"/>
          <w:sz w:val="20"/>
        </w:rPr>
        <w:t xml:space="preserve">9.  </w:t>
      </w:r>
      <w:r w:rsidR="0057398A">
        <w:rPr>
          <w:rFonts w:ascii="Arial" w:hAnsi="Arial" w:cs="Arial"/>
          <w:sz w:val="20"/>
          <w:u w:val="single"/>
        </w:rPr>
        <w:t>P</w:t>
      </w:r>
      <w:r w:rsidR="00992A47" w:rsidRPr="006D06E9">
        <w:rPr>
          <w:rFonts w:ascii="Arial" w:hAnsi="Arial" w:cs="Arial"/>
          <w:sz w:val="20"/>
          <w:u w:val="single"/>
        </w:rPr>
        <w:t xml:space="preserve">rovide </w:t>
      </w:r>
      <w:r w:rsidR="0057398A">
        <w:rPr>
          <w:rFonts w:ascii="Arial" w:hAnsi="Arial" w:cs="Arial"/>
          <w:sz w:val="20"/>
          <w:u w:val="single"/>
        </w:rPr>
        <w:t xml:space="preserve">any </w:t>
      </w:r>
      <w:r w:rsidR="00992A47" w:rsidRPr="006D06E9">
        <w:rPr>
          <w:rFonts w:ascii="Arial" w:hAnsi="Arial" w:cs="Arial"/>
          <w:sz w:val="20"/>
          <w:u w:val="single"/>
        </w:rPr>
        <w:t>payment or gi</w:t>
      </w:r>
      <w:r w:rsidR="009B7070" w:rsidRPr="006D06E9">
        <w:rPr>
          <w:rFonts w:ascii="Arial" w:hAnsi="Arial" w:cs="Arial"/>
          <w:sz w:val="20"/>
          <w:u w:val="single"/>
        </w:rPr>
        <w:t>ft to res</w:t>
      </w:r>
      <w:r w:rsidR="00992A47" w:rsidRPr="006D06E9">
        <w:rPr>
          <w:rFonts w:ascii="Arial" w:hAnsi="Arial" w:cs="Arial"/>
          <w:sz w:val="20"/>
          <w:u w:val="single"/>
        </w:rPr>
        <w:t>pondents</w:t>
      </w:r>
      <w:r w:rsidR="0057398A">
        <w:rPr>
          <w:rFonts w:ascii="Arial" w:hAnsi="Arial" w:cs="Arial"/>
          <w:sz w:val="20"/>
        </w:rPr>
        <w:t xml:space="preserve">.  </w:t>
      </w:r>
    </w:p>
    <w:p w:rsidR="00456639" w:rsidRPr="006D06E9" w:rsidRDefault="00456639" w:rsidP="00A548E0">
      <w:pPr>
        <w:pStyle w:val="p10"/>
        <w:spacing w:line="240" w:lineRule="auto"/>
        <w:rPr>
          <w:rFonts w:ascii="Arial" w:hAnsi="Arial" w:cs="Arial"/>
          <w:sz w:val="20"/>
        </w:rPr>
      </w:pPr>
    </w:p>
    <w:p w:rsidR="00456639" w:rsidRPr="006D06E9" w:rsidRDefault="003D0BB6" w:rsidP="00A548E0">
      <w:pPr>
        <w:pStyle w:val="p8"/>
        <w:spacing w:line="240" w:lineRule="auto"/>
        <w:ind w:firstLine="0"/>
        <w:rPr>
          <w:rFonts w:ascii="Arial" w:hAnsi="Arial" w:cs="Arial"/>
          <w:sz w:val="20"/>
        </w:rPr>
      </w:pPr>
      <w:r w:rsidRPr="006D06E9">
        <w:rPr>
          <w:rFonts w:ascii="Arial" w:hAnsi="Arial" w:cs="Arial"/>
          <w:sz w:val="20"/>
        </w:rPr>
        <w:t>There is no offer of monetary or material value for this information collection</w:t>
      </w:r>
      <w:r w:rsidR="00456639" w:rsidRPr="006D06E9">
        <w:rPr>
          <w:rFonts w:ascii="Arial" w:hAnsi="Arial" w:cs="Arial"/>
          <w:sz w:val="20"/>
        </w:rPr>
        <w:t>.</w:t>
      </w:r>
    </w:p>
    <w:p w:rsidR="00456639" w:rsidRPr="006D06E9" w:rsidRDefault="00456639" w:rsidP="00A548E0">
      <w:pPr>
        <w:pStyle w:val="p8"/>
        <w:spacing w:line="240" w:lineRule="auto"/>
        <w:ind w:firstLine="0"/>
        <w:rPr>
          <w:rFonts w:ascii="Arial" w:hAnsi="Arial" w:cs="Arial"/>
          <w:sz w:val="20"/>
        </w:rPr>
      </w:pPr>
    </w:p>
    <w:p w:rsidR="00456639" w:rsidRPr="006D06E9" w:rsidRDefault="00456639" w:rsidP="00A548E0">
      <w:pPr>
        <w:pStyle w:val="p10"/>
        <w:spacing w:line="240" w:lineRule="auto"/>
        <w:rPr>
          <w:rFonts w:ascii="Arial" w:hAnsi="Arial" w:cs="Arial"/>
          <w:sz w:val="20"/>
        </w:rPr>
      </w:pPr>
      <w:r w:rsidRPr="006D06E9">
        <w:rPr>
          <w:rFonts w:ascii="Arial" w:hAnsi="Arial" w:cs="Arial"/>
          <w:sz w:val="20"/>
        </w:rPr>
        <w:t xml:space="preserve">10.  </w:t>
      </w:r>
      <w:r w:rsidR="00992A47" w:rsidRPr="006D06E9">
        <w:rPr>
          <w:rFonts w:ascii="Arial" w:hAnsi="Arial" w:cs="Arial"/>
          <w:sz w:val="20"/>
          <w:u w:val="single"/>
        </w:rPr>
        <w:t xml:space="preserve">Describe any assurance of </w:t>
      </w:r>
      <w:r w:rsidRPr="006D06E9">
        <w:rPr>
          <w:rFonts w:ascii="Arial" w:hAnsi="Arial" w:cs="Arial"/>
          <w:sz w:val="20"/>
          <w:u w:val="single"/>
        </w:rPr>
        <w:t>confidentiality provided to respondents</w:t>
      </w:r>
      <w:r w:rsidRPr="006D06E9">
        <w:rPr>
          <w:rFonts w:ascii="Arial" w:hAnsi="Arial" w:cs="Arial"/>
          <w:sz w:val="20"/>
        </w:rPr>
        <w:t>.</w:t>
      </w:r>
      <w:r w:rsidR="0057398A">
        <w:rPr>
          <w:rFonts w:ascii="Arial" w:hAnsi="Arial" w:cs="Arial"/>
          <w:sz w:val="20"/>
        </w:rPr>
        <w:t xml:space="preserve">  </w:t>
      </w:r>
    </w:p>
    <w:p w:rsidR="00456639" w:rsidRPr="006D06E9" w:rsidRDefault="00456639" w:rsidP="00A548E0">
      <w:pPr>
        <w:pStyle w:val="p10"/>
        <w:spacing w:line="240" w:lineRule="auto"/>
        <w:rPr>
          <w:rFonts w:ascii="Arial" w:hAnsi="Arial" w:cs="Arial"/>
          <w:sz w:val="20"/>
        </w:rPr>
      </w:pPr>
    </w:p>
    <w:p w:rsidR="008F3D90" w:rsidRPr="006B392D" w:rsidRDefault="003D0BB6" w:rsidP="00A548E0">
      <w:pPr>
        <w:pStyle w:val="BodyTextIndent"/>
        <w:widowControl w:val="0"/>
        <w:ind w:left="0" w:firstLine="0"/>
        <w:rPr>
          <w:rFonts w:ascii="Arial" w:hAnsi="Arial" w:cs="Arial"/>
        </w:rPr>
      </w:pPr>
      <w:r w:rsidRPr="006D06E9">
        <w:rPr>
          <w:rFonts w:ascii="Arial" w:hAnsi="Arial" w:cs="Arial"/>
        </w:rPr>
        <w:t>There are no assurances of confidentiality provided to the respondents for this information collection</w:t>
      </w:r>
      <w:r w:rsidR="00456639" w:rsidRPr="006D06E9">
        <w:rPr>
          <w:rFonts w:ascii="Arial" w:hAnsi="Arial" w:cs="Arial"/>
        </w:rPr>
        <w:t>.</w:t>
      </w:r>
      <w:r w:rsidR="008F3D90">
        <w:rPr>
          <w:rFonts w:ascii="Arial" w:hAnsi="Arial" w:cs="Arial"/>
        </w:rPr>
        <w:t xml:space="preserve">  </w:t>
      </w:r>
      <w:r w:rsidR="008F3D90" w:rsidRPr="006B392D">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p>
    <w:p w:rsidR="008F3D90" w:rsidRPr="002552EE" w:rsidRDefault="006D1BB4" w:rsidP="00A548E0">
      <w:pPr>
        <w:pStyle w:val="BodyTextIndent"/>
        <w:widowControl w:val="0"/>
        <w:numPr>
          <w:ilvl w:val="0"/>
          <w:numId w:val="29"/>
        </w:numPr>
        <w:rPr>
          <w:rFonts w:ascii="Arial" w:hAnsi="Arial" w:cs="Arial"/>
        </w:rPr>
      </w:pPr>
      <w:hyperlink r:id="rId10" w:history="1">
        <w:r w:rsidR="008F3D90" w:rsidRPr="00FF5010">
          <w:rPr>
            <w:rStyle w:val="Hyperlink"/>
            <w:rFonts w:ascii="Arial" w:hAnsi="Arial" w:cs="Arial"/>
          </w:rPr>
          <w:t>https://www.dhs.gov/sites/default/files/publications/privacy_pia_uscg_misle.pdf</w:t>
        </w:r>
      </w:hyperlink>
      <w:r w:rsidR="008F3D90">
        <w:rPr>
          <w:rFonts w:ascii="Arial" w:hAnsi="Arial" w:cs="Arial"/>
        </w:rPr>
        <w:t xml:space="preserve"> </w:t>
      </w:r>
    </w:p>
    <w:p w:rsidR="00456639" w:rsidRPr="008F3D90" w:rsidRDefault="006D1BB4" w:rsidP="00A548E0">
      <w:pPr>
        <w:pStyle w:val="BodyTextIndent"/>
        <w:widowControl w:val="0"/>
        <w:numPr>
          <w:ilvl w:val="0"/>
          <w:numId w:val="29"/>
        </w:numPr>
        <w:rPr>
          <w:rFonts w:ascii="Arial" w:hAnsi="Arial" w:cs="Arial"/>
        </w:rPr>
      </w:pPr>
      <w:hyperlink r:id="rId11" w:history="1">
        <w:r w:rsidR="008F3D90" w:rsidRPr="008F3D90">
          <w:rPr>
            <w:rStyle w:val="Hyperlink"/>
            <w:rFonts w:ascii="Arial" w:hAnsi="Arial" w:cs="Arial"/>
          </w:rPr>
          <w:t>https://www.gpo.gov/fdsys/pkg/FR-2009-06-25/html/E9-14906.htm</w:t>
        </w:r>
      </w:hyperlink>
    </w:p>
    <w:p w:rsidR="00456639" w:rsidRPr="006D06E9" w:rsidRDefault="00456639" w:rsidP="00E320FF">
      <w:pPr>
        <w:pStyle w:val="p8"/>
        <w:spacing w:line="240" w:lineRule="auto"/>
        <w:ind w:firstLine="0"/>
        <w:rPr>
          <w:rFonts w:ascii="Arial" w:hAnsi="Arial" w:cs="Arial"/>
          <w:sz w:val="20"/>
        </w:rPr>
      </w:pPr>
    </w:p>
    <w:p w:rsidR="00456639" w:rsidRPr="006D06E9" w:rsidRDefault="00456639" w:rsidP="006B392D">
      <w:pPr>
        <w:pStyle w:val="p10"/>
        <w:spacing w:line="240" w:lineRule="auto"/>
        <w:rPr>
          <w:rFonts w:ascii="Arial" w:hAnsi="Arial" w:cs="Arial"/>
          <w:sz w:val="20"/>
        </w:rPr>
      </w:pPr>
      <w:r w:rsidRPr="006D06E9">
        <w:rPr>
          <w:rFonts w:ascii="Arial" w:hAnsi="Arial" w:cs="Arial"/>
          <w:sz w:val="20"/>
        </w:rPr>
        <w:t xml:space="preserve">11.  </w:t>
      </w:r>
      <w:r w:rsidRPr="006D06E9">
        <w:rPr>
          <w:rFonts w:ascii="Arial" w:hAnsi="Arial" w:cs="Arial"/>
          <w:sz w:val="20"/>
          <w:u w:val="single"/>
        </w:rPr>
        <w:t>Additional justification for any questions of a sensitive nature</w:t>
      </w:r>
      <w:r w:rsidRPr="006D06E9">
        <w:rPr>
          <w:rFonts w:ascii="Arial" w:hAnsi="Arial" w:cs="Arial"/>
          <w:sz w:val="20"/>
        </w:rPr>
        <w:t>.</w:t>
      </w:r>
      <w:r w:rsidR="0057398A">
        <w:rPr>
          <w:rFonts w:ascii="Arial" w:hAnsi="Arial" w:cs="Arial"/>
          <w:sz w:val="20"/>
        </w:rPr>
        <w:t xml:space="preserve">  </w:t>
      </w:r>
    </w:p>
    <w:p w:rsidR="00456639" w:rsidRPr="006D06E9" w:rsidRDefault="00456639" w:rsidP="006B392D">
      <w:pPr>
        <w:pStyle w:val="p10"/>
        <w:spacing w:line="240" w:lineRule="auto"/>
        <w:rPr>
          <w:rFonts w:ascii="Arial" w:hAnsi="Arial" w:cs="Arial"/>
          <w:sz w:val="20"/>
        </w:rPr>
      </w:pPr>
    </w:p>
    <w:p w:rsidR="00456639" w:rsidRPr="006D06E9" w:rsidRDefault="003D0BB6" w:rsidP="006B392D">
      <w:pPr>
        <w:pStyle w:val="p8"/>
        <w:spacing w:line="240" w:lineRule="auto"/>
        <w:ind w:firstLine="0"/>
        <w:rPr>
          <w:rFonts w:ascii="Arial" w:hAnsi="Arial" w:cs="Arial"/>
          <w:sz w:val="20"/>
        </w:rPr>
      </w:pPr>
      <w:r w:rsidRPr="006D06E9">
        <w:rPr>
          <w:rFonts w:ascii="Arial" w:hAnsi="Arial" w:cs="Arial"/>
          <w:sz w:val="20"/>
        </w:rPr>
        <w:t>There are no questions of sensitive language</w:t>
      </w:r>
      <w:r w:rsidR="00456639" w:rsidRPr="006D06E9">
        <w:rPr>
          <w:rFonts w:ascii="Arial" w:hAnsi="Arial" w:cs="Arial"/>
          <w:sz w:val="20"/>
        </w:rPr>
        <w:t>.</w:t>
      </w:r>
    </w:p>
    <w:p w:rsidR="00456639" w:rsidRPr="006D06E9" w:rsidRDefault="00456639" w:rsidP="00925AC6">
      <w:pPr>
        <w:pStyle w:val="p8"/>
        <w:spacing w:line="240" w:lineRule="auto"/>
        <w:ind w:firstLine="0"/>
        <w:rPr>
          <w:rFonts w:ascii="Arial" w:hAnsi="Arial" w:cs="Arial"/>
          <w:sz w:val="20"/>
        </w:rPr>
      </w:pPr>
    </w:p>
    <w:p w:rsidR="00456639" w:rsidRPr="006D06E9" w:rsidRDefault="00456639" w:rsidP="00A548E0">
      <w:pPr>
        <w:pStyle w:val="p10"/>
        <w:spacing w:line="240" w:lineRule="auto"/>
        <w:rPr>
          <w:rFonts w:ascii="Arial" w:hAnsi="Arial" w:cs="Arial"/>
          <w:sz w:val="20"/>
        </w:rPr>
      </w:pPr>
      <w:r w:rsidRPr="006D06E9">
        <w:rPr>
          <w:rFonts w:ascii="Arial" w:hAnsi="Arial" w:cs="Arial"/>
          <w:sz w:val="20"/>
        </w:rPr>
        <w:t xml:space="preserve">12.  </w:t>
      </w:r>
      <w:r w:rsidRPr="006D06E9">
        <w:rPr>
          <w:rFonts w:ascii="Arial" w:hAnsi="Arial" w:cs="Arial"/>
          <w:sz w:val="20"/>
          <w:u w:val="single"/>
        </w:rPr>
        <w:t xml:space="preserve">Estimates of </w:t>
      </w:r>
      <w:r w:rsidR="0057398A">
        <w:rPr>
          <w:rFonts w:ascii="Arial" w:hAnsi="Arial" w:cs="Arial"/>
          <w:sz w:val="20"/>
          <w:u w:val="single"/>
        </w:rPr>
        <w:t>annual hour and cost burdens to respondents</w:t>
      </w:r>
      <w:r w:rsidRPr="006D06E9">
        <w:rPr>
          <w:rFonts w:ascii="Arial" w:hAnsi="Arial" w:cs="Arial"/>
          <w:sz w:val="20"/>
        </w:rPr>
        <w:t>.</w:t>
      </w:r>
      <w:r w:rsidR="0057398A">
        <w:rPr>
          <w:rFonts w:ascii="Arial" w:hAnsi="Arial" w:cs="Arial"/>
          <w:sz w:val="20"/>
        </w:rPr>
        <w:t xml:space="preserve">  </w:t>
      </w:r>
    </w:p>
    <w:p w:rsidR="00456639" w:rsidRPr="006D06E9" w:rsidRDefault="00456639" w:rsidP="00A548E0">
      <w:pPr>
        <w:pStyle w:val="p10"/>
        <w:spacing w:line="240" w:lineRule="auto"/>
        <w:rPr>
          <w:rFonts w:ascii="Arial" w:hAnsi="Arial" w:cs="Arial"/>
          <w:sz w:val="20"/>
        </w:rPr>
      </w:pPr>
    </w:p>
    <w:p w:rsidR="001B3E7B" w:rsidRPr="006B392D" w:rsidRDefault="001B3E7B" w:rsidP="00A548E0">
      <w:pPr>
        <w:pStyle w:val="p10"/>
        <w:numPr>
          <w:ilvl w:val="0"/>
          <w:numId w:val="27"/>
        </w:numPr>
        <w:rPr>
          <w:rFonts w:ascii="Arial" w:hAnsi="Arial" w:cs="Arial"/>
          <w:sz w:val="20"/>
        </w:rPr>
      </w:pPr>
      <w:r w:rsidRPr="006B392D">
        <w:rPr>
          <w:rFonts w:ascii="Arial" w:hAnsi="Arial" w:cs="Arial"/>
          <w:sz w:val="20"/>
        </w:rPr>
        <w:t xml:space="preserve">The estimated number of respondents is </w:t>
      </w:r>
      <w:r w:rsidR="00047300" w:rsidRPr="006B392D">
        <w:rPr>
          <w:rFonts w:ascii="Arial" w:hAnsi="Arial" w:cs="Arial"/>
          <w:sz w:val="20"/>
        </w:rPr>
        <w:t>1</w:t>
      </w:r>
      <w:r w:rsidR="00E320FF" w:rsidRPr="00A548E0">
        <w:rPr>
          <w:rFonts w:ascii="Arial" w:hAnsi="Arial" w:cs="Arial"/>
          <w:sz w:val="20"/>
        </w:rPr>
        <w:t>08</w:t>
      </w:r>
      <w:r w:rsidRPr="006B392D">
        <w:rPr>
          <w:rFonts w:ascii="Arial" w:hAnsi="Arial" w:cs="Arial"/>
          <w:sz w:val="20"/>
        </w:rPr>
        <w:t xml:space="preserve">.  </w:t>
      </w:r>
    </w:p>
    <w:p w:rsidR="001B3E7B" w:rsidRPr="006B392D" w:rsidRDefault="001B3E7B" w:rsidP="00A548E0">
      <w:pPr>
        <w:pStyle w:val="p10"/>
        <w:numPr>
          <w:ilvl w:val="0"/>
          <w:numId w:val="27"/>
        </w:numPr>
        <w:rPr>
          <w:rFonts w:ascii="Arial" w:hAnsi="Arial" w:cs="Arial"/>
          <w:sz w:val="20"/>
        </w:rPr>
      </w:pPr>
      <w:r w:rsidRPr="006B392D">
        <w:rPr>
          <w:rFonts w:ascii="Arial" w:hAnsi="Arial" w:cs="Arial"/>
          <w:sz w:val="20"/>
        </w:rPr>
        <w:t xml:space="preserve">The estimated number of responses is </w:t>
      </w:r>
      <w:r w:rsidR="00E320FF" w:rsidRPr="00A548E0">
        <w:rPr>
          <w:rFonts w:ascii="Arial" w:hAnsi="Arial" w:cs="Arial"/>
          <w:sz w:val="20"/>
        </w:rPr>
        <w:t>3,356</w:t>
      </w:r>
      <w:r w:rsidRPr="006B392D">
        <w:rPr>
          <w:rFonts w:ascii="Arial" w:hAnsi="Arial" w:cs="Arial"/>
          <w:sz w:val="20"/>
        </w:rPr>
        <w:t xml:space="preserve">.  </w:t>
      </w:r>
    </w:p>
    <w:p w:rsidR="001B3E7B" w:rsidRPr="006B392D" w:rsidRDefault="001B3E7B" w:rsidP="00A548E0">
      <w:pPr>
        <w:pStyle w:val="p10"/>
        <w:numPr>
          <w:ilvl w:val="0"/>
          <w:numId w:val="27"/>
        </w:numPr>
        <w:rPr>
          <w:rFonts w:ascii="Arial" w:hAnsi="Arial" w:cs="Arial"/>
          <w:sz w:val="20"/>
        </w:rPr>
      </w:pPr>
      <w:r w:rsidRPr="006B392D">
        <w:rPr>
          <w:rFonts w:ascii="Arial" w:hAnsi="Arial" w:cs="Arial"/>
          <w:sz w:val="20"/>
        </w:rPr>
        <w:t xml:space="preserve">The estimated hour burden is </w:t>
      </w:r>
      <w:r w:rsidR="00E320FF" w:rsidRPr="00A548E0">
        <w:rPr>
          <w:rFonts w:ascii="Arial" w:hAnsi="Arial" w:cs="Arial"/>
          <w:sz w:val="20"/>
        </w:rPr>
        <w:t>5,029</w:t>
      </w:r>
      <w:r w:rsidRPr="006B392D">
        <w:rPr>
          <w:rFonts w:ascii="Arial" w:hAnsi="Arial" w:cs="Arial"/>
          <w:sz w:val="20"/>
        </w:rPr>
        <w:t xml:space="preserve"> hours.  </w:t>
      </w:r>
    </w:p>
    <w:p w:rsidR="001B3E7B" w:rsidRPr="006B392D" w:rsidRDefault="001B3E7B" w:rsidP="00A548E0">
      <w:pPr>
        <w:pStyle w:val="p10"/>
        <w:numPr>
          <w:ilvl w:val="0"/>
          <w:numId w:val="27"/>
        </w:numPr>
        <w:rPr>
          <w:rFonts w:ascii="Arial" w:hAnsi="Arial" w:cs="Arial"/>
          <w:sz w:val="20"/>
        </w:rPr>
      </w:pPr>
      <w:r w:rsidRPr="006B392D">
        <w:rPr>
          <w:rFonts w:ascii="Arial" w:hAnsi="Arial" w:cs="Arial"/>
          <w:sz w:val="20"/>
        </w:rPr>
        <w:t>The estimated cost burden is $</w:t>
      </w:r>
      <w:r w:rsidR="00E320FF" w:rsidRPr="00A548E0">
        <w:rPr>
          <w:rFonts w:ascii="Arial" w:hAnsi="Arial" w:cs="Arial"/>
          <w:sz w:val="20"/>
        </w:rPr>
        <w:t>588,501</w:t>
      </w:r>
      <w:r w:rsidRPr="006B392D">
        <w:rPr>
          <w:rFonts w:ascii="Arial" w:hAnsi="Arial" w:cs="Arial"/>
          <w:sz w:val="20"/>
        </w:rPr>
        <w:t xml:space="preserve">.  </w:t>
      </w:r>
    </w:p>
    <w:p w:rsidR="001B3E7B" w:rsidRPr="006B392D" w:rsidRDefault="001B3E7B" w:rsidP="00A548E0">
      <w:pPr>
        <w:pStyle w:val="p10"/>
        <w:spacing w:line="240" w:lineRule="auto"/>
        <w:rPr>
          <w:rFonts w:ascii="Arial" w:hAnsi="Arial" w:cs="Arial"/>
          <w:sz w:val="20"/>
        </w:rPr>
      </w:pPr>
    </w:p>
    <w:p w:rsidR="00E320FF" w:rsidRDefault="00E320FF" w:rsidP="00E320FF">
      <w:pPr>
        <w:rPr>
          <w:rFonts w:ascii="Arial" w:hAnsi="Arial" w:cs="Arial"/>
          <w:sz w:val="20"/>
        </w:rPr>
      </w:pPr>
      <w:r w:rsidRPr="00A548E0">
        <w:rPr>
          <w:rFonts w:ascii="Arial" w:hAnsi="Arial" w:cs="Arial"/>
          <w:sz w:val="20"/>
        </w:rPr>
        <w:t xml:space="preserve">The burden to respondents is provided in Appendix A and B.  </w:t>
      </w:r>
      <w:r w:rsidR="00E52E49" w:rsidRPr="006D06E9">
        <w:rPr>
          <w:rFonts w:ascii="Arial" w:hAnsi="Arial" w:cs="Arial"/>
          <w:sz w:val="20"/>
        </w:rPr>
        <w:t xml:space="preserve">The appendixes include the annual number of respondents and responses, as well as the estimated annual hour burden and cost (totals may not sum due to independent rounding).  </w:t>
      </w:r>
      <w:r w:rsidRPr="00A548E0">
        <w:rPr>
          <w:rFonts w:ascii="Arial" w:hAnsi="Arial" w:cs="Arial"/>
          <w:sz w:val="20"/>
        </w:rPr>
        <w:t>The position of management personnel is analogous to a Commander (O-5).  The position of a technical specialist is analogous to a Lieutenant (O-3).  The position of clerical personnel is analogous to an E-4.  The wage rates used are in accordance with the current edition of COMDTINST 7310.1(series) for “Out-Government” personnel.</w:t>
      </w:r>
      <w:r w:rsidRPr="00E46D8F">
        <w:rPr>
          <w:rFonts w:ascii="Arial" w:hAnsi="Arial" w:cs="Arial"/>
          <w:sz w:val="20"/>
        </w:rPr>
        <w:t xml:space="preserve">  </w:t>
      </w:r>
    </w:p>
    <w:p w:rsidR="00E320FF" w:rsidRPr="00E46D8F" w:rsidRDefault="00E320FF" w:rsidP="00E320FF">
      <w:pPr>
        <w:rPr>
          <w:rFonts w:ascii="Arial" w:hAnsi="Arial" w:cs="Arial"/>
          <w:sz w:val="20"/>
          <w:u w:val="single"/>
        </w:rPr>
      </w:pPr>
    </w:p>
    <w:p w:rsidR="00411C9D" w:rsidRPr="006D06E9" w:rsidRDefault="0001465F" w:rsidP="00A548E0">
      <w:pPr>
        <w:rPr>
          <w:rFonts w:ascii="Arial" w:hAnsi="Arial" w:cs="Arial"/>
          <w:sz w:val="20"/>
        </w:rPr>
      </w:pPr>
      <w:r w:rsidRPr="006D06E9">
        <w:rPr>
          <w:rFonts w:ascii="Arial" w:hAnsi="Arial" w:cs="Arial"/>
          <w:sz w:val="20"/>
        </w:rPr>
        <w:t>A description of assumptions for each collection element is below.</w:t>
      </w:r>
    </w:p>
    <w:p w:rsidR="00411C9D" w:rsidRPr="006D06E9" w:rsidRDefault="00411C9D" w:rsidP="00A548E0">
      <w:pPr>
        <w:rPr>
          <w:rFonts w:ascii="Arial" w:hAnsi="Arial" w:cs="Arial"/>
          <w:sz w:val="20"/>
        </w:rPr>
      </w:pPr>
    </w:p>
    <w:p w:rsidR="00411C9D" w:rsidRPr="006D06E9" w:rsidRDefault="00411C9D" w:rsidP="00A548E0">
      <w:pPr>
        <w:ind w:firstLine="360"/>
        <w:rPr>
          <w:rFonts w:ascii="Arial" w:hAnsi="Arial" w:cs="Arial"/>
          <w:sz w:val="20"/>
        </w:rPr>
      </w:pPr>
      <w:r w:rsidRPr="006D06E9">
        <w:rPr>
          <w:rFonts w:ascii="Arial" w:hAnsi="Arial" w:cs="Arial"/>
          <w:sz w:val="20"/>
          <w:u w:val="single"/>
        </w:rPr>
        <w:t xml:space="preserve">A.  </w:t>
      </w:r>
      <w:r w:rsidR="00B00CA3" w:rsidRPr="006D06E9">
        <w:rPr>
          <w:rFonts w:ascii="Arial" w:hAnsi="Arial" w:cs="Arial"/>
          <w:sz w:val="20"/>
          <w:u w:val="single"/>
        </w:rPr>
        <w:t>LOI</w:t>
      </w:r>
      <w:r w:rsidRPr="006D06E9">
        <w:rPr>
          <w:rFonts w:ascii="Arial" w:hAnsi="Arial" w:cs="Arial"/>
          <w:sz w:val="20"/>
        </w:rPr>
        <w:t xml:space="preserve">:  Only one </w:t>
      </w:r>
      <w:r w:rsidR="00B00CA3" w:rsidRPr="006D06E9">
        <w:rPr>
          <w:rFonts w:ascii="Arial" w:hAnsi="Arial" w:cs="Arial"/>
          <w:sz w:val="20"/>
        </w:rPr>
        <w:t>LOI</w:t>
      </w:r>
      <w:r w:rsidRPr="006D06E9">
        <w:rPr>
          <w:rFonts w:ascii="Arial" w:hAnsi="Arial" w:cs="Arial"/>
          <w:sz w:val="20"/>
        </w:rPr>
        <w:t xml:space="preserve"> is required during the lifetime of the facility unless the owner or operator plans new changes on an existing facility or the facility is deactivated or the owner /operator changes.  </w:t>
      </w:r>
      <w:r w:rsidR="00E320FF">
        <w:rPr>
          <w:rFonts w:ascii="Arial" w:hAnsi="Arial" w:cs="Arial"/>
          <w:sz w:val="20"/>
        </w:rPr>
        <w:t xml:space="preserve">We estimate that about </w:t>
      </w:r>
      <w:r w:rsidRPr="006D06E9">
        <w:rPr>
          <w:rFonts w:ascii="Arial" w:hAnsi="Arial" w:cs="Arial"/>
          <w:sz w:val="20"/>
        </w:rPr>
        <w:t>6% of the facilities submit a new or resubmit</w:t>
      </w:r>
      <w:r w:rsidR="00B161E2" w:rsidRPr="006D06E9">
        <w:rPr>
          <w:rFonts w:ascii="Arial" w:hAnsi="Arial" w:cs="Arial"/>
          <w:sz w:val="20"/>
        </w:rPr>
        <w:t xml:space="preserve"> a </w:t>
      </w:r>
      <w:r w:rsidR="00B00CA3" w:rsidRPr="006D06E9">
        <w:rPr>
          <w:rFonts w:ascii="Arial" w:hAnsi="Arial" w:cs="Arial"/>
          <w:sz w:val="20"/>
        </w:rPr>
        <w:t>LOI</w:t>
      </w:r>
      <w:r w:rsidR="00B161E2" w:rsidRPr="006D06E9">
        <w:rPr>
          <w:rFonts w:ascii="Arial" w:hAnsi="Arial" w:cs="Arial"/>
          <w:sz w:val="20"/>
        </w:rPr>
        <w:t xml:space="preserve"> each year.  </w:t>
      </w:r>
    </w:p>
    <w:p w:rsidR="00411C9D" w:rsidRPr="006D06E9" w:rsidRDefault="00411C9D" w:rsidP="00A548E0">
      <w:pPr>
        <w:pStyle w:val="t13"/>
        <w:tabs>
          <w:tab w:val="clear" w:pos="8500"/>
          <w:tab w:val="left" w:pos="720"/>
          <w:tab w:val="left" w:pos="7560"/>
        </w:tabs>
        <w:spacing w:line="240" w:lineRule="auto"/>
        <w:rPr>
          <w:rFonts w:ascii="Arial" w:hAnsi="Arial" w:cs="Arial"/>
          <w:b/>
          <w:sz w:val="20"/>
        </w:rPr>
      </w:pPr>
    </w:p>
    <w:p w:rsidR="00411C9D" w:rsidRPr="006D06E9" w:rsidRDefault="00411C9D" w:rsidP="00A548E0">
      <w:pPr>
        <w:pStyle w:val="p8"/>
        <w:tabs>
          <w:tab w:val="clear" w:pos="560"/>
          <w:tab w:val="left" w:pos="0"/>
          <w:tab w:val="left" w:pos="720"/>
        </w:tabs>
        <w:spacing w:line="240" w:lineRule="auto"/>
        <w:ind w:firstLine="360"/>
        <w:rPr>
          <w:rFonts w:ascii="Arial" w:hAnsi="Arial" w:cs="Arial"/>
          <w:sz w:val="20"/>
        </w:rPr>
      </w:pPr>
      <w:r w:rsidRPr="006D06E9">
        <w:rPr>
          <w:rFonts w:ascii="Arial" w:hAnsi="Arial" w:cs="Arial"/>
          <w:sz w:val="20"/>
          <w:u w:val="single"/>
        </w:rPr>
        <w:t>B.  Appeals</w:t>
      </w:r>
      <w:r w:rsidRPr="00A548E0">
        <w:rPr>
          <w:rFonts w:ascii="Arial" w:hAnsi="Arial" w:cs="Arial"/>
          <w:sz w:val="20"/>
        </w:rPr>
        <w:t>:</w:t>
      </w:r>
      <w:r w:rsidRPr="006D06E9">
        <w:rPr>
          <w:rFonts w:ascii="Arial" w:hAnsi="Arial" w:cs="Arial"/>
          <w:sz w:val="20"/>
        </w:rPr>
        <w:t xml:space="preserve">  Appeals are very rare, but to account for their possibility, we </w:t>
      </w:r>
      <w:r w:rsidR="00E320FF">
        <w:rPr>
          <w:rFonts w:ascii="Arial" w:hAnsi="Arial" w:cs="Arial"/>
          <w:sz w:val="20"/>
        </w:rPr>
        <w:t xml:space="preserve">estimate that about </w:t>
      </w:r>
      <w:r w:rsidR="0001465F" w:rsidRPr="006D06E9">
        <w:rPr>
          <w:rFonts w:ascii="Arial" w:hAnsi="Arial" w:cs="Arial"/>
          <w:sz w:val="20"/>
        </w:rPr>
        <w:t>1% of respondents will submit an</w:t>
      </w:r>
      <w:r w:rsidR="00CC477F" w:rsidRPr="006D06E9">
        <w:rPr>
          <w:rFonts w:ascii="Arial" w:hAnsi="Arial" w:cs="Arial"/>
          <w:sz w:val="20"/>
        </w:rPr>
        <w:t xml:space="preserve"> appeal per year.  </w:t>
      </w:r>
    </w:p>
    <w:p w:rsidR="00F11B64" w:rsidRPr="006D06E9" w:rsidRDefault="00F11B64" w:rsidP="00A548E0">
      <w:pPr>
        <w:rPr>
          <w:rFonts w:ascii="Arial" w:hAnsi="Arial" w:cs="Arial"/>
          <w:sz w:val="20"/>
        </w:rPr>
      </w:pPr>
    </w:p>
    <w:p w:rsidR="00411C9D" w:rsidRPr="006D06E9" w:rsidRDefault="00411C9D" w:rsidP="00A548E0">
      <w:pPr>
        <w:pStyle w:val="t13"/>
        <w:tabs>
          <w:tab w:val="clear" w:pos="8500"/>
          <w:tab w:val="left" w:pos="720"/>
          <w:tab w:val="left" w:pos="7560"/>
        </w:tabs>
        <w:spacing w:line="240" w:lineRule="auto"/>
        <w:ind w:firstLine="360"/>
        <w:rPr>
          <w:rFonts w:ascii="Arial" w:hAnsi="Arial" w:cs="Arial"/>
          <w:sz w:val="20"/>
        </w:rPr>
      </w:pPr>
      <w:r w:rsidRPr="006D06E9">
        <w:rPr>
          <w:rFonts w:ascii="Arial" w:hAnsi="Arial" w:cs="Arial"/>
          <w:sz w:val="20"/>
          <w:u w:val="single"/>
        </w:rPr>
        <w:t>C.  Alternatives</w:t>
      </w:r>
      <w:r w:rsidRPr="00A548E0">
        <w:rPr>
          <w:rFonts w:ascii="Arial" w:hAnsi="Arial" w:cs="Arial"/>
          <w:sz w:val="20"/>
        </w:rPr>
        <w:t>:</w:t>
      </w:r>
      <w:r w:rsidRPr="006D06E9">
        <w:rPr>
          <w:rFonts w:ascii="Arial" w:hAnsi="Arial" w:cs="Arial"/>
          <w:sz w:val="20"/>
        </w:rPr>
        <w:t xml:space="preserve">  </w:t>
      </w:r>
      <w:r w:rsidR="00E320FF">
        <w:rPr>
          <w:rFonts w:ascii="Arial" w:hAnsi="Arial" w:cs="Arial"/>
          <w:sz w:val="20"/>
        </w:rPr>
        <w:t xml:space="preserve">We estimate that about </w:t>
      </w:r>
      <w:r w:rsidRPr="006D06E9">
        <w:rPr>
          <w:rFonts w:ascii="Arial" w:hAnsi="Arial" w:cs="Arial"/>
          <w:sz w:val="20"/>
        </w:rPr>
        <w:t xml:space="preserve">1% of the facilities </w:t>
      </w:r>
      <w:r w:rsidR="00545A5C" w:rsidRPr="006D06E9">
        <w:rPr>
          <w:rFonts w:ascii="Arial" w:hAnsi="Arial" w:cs="Arial"/>
          <w:sz w:val="20"/>
        </w:rPr>
        <w:t xml:space="preserve">submit an alternative </w:t>
      </w:r>
      <w:r w:rsidRPr="006D06E9">
        <w:rPr>
          <w:rFonts w:ascii="Arial" w:hAnsi="Arial" w:cs="Arial"/>
          <w:sz w:val="20"/>
        </w:rPr>
        <w:t xml:space="preserve">request </w:t>
      </w:r>
      <w:r w:rsidR="00545A5C" w:rsidRPr="006D06E9">
        <w:rPr>
          <w:rFonts w:ascii="Arial" w:hAnsi="Arial" w:cs="Arial"/>
          <w:sz w:val="20"/>
        </w:rPr>
        <w:t xml:space="preserve">per year.  </w:t>
      </w:r>
    </w:p>
    <w:p w:rsidR="00411C9D" w:rsidRPr="006D06E9" w:rsidRDefault="00411C9D" w:rsidP="00A548E0">
      <w:pPr>
        <w:pStyle w:val="t19"/>
        <w:tabs>
          <w:tab w:val="left" w:pos="720"/>
        </w:tabs>
        <w:spacing w:line="240" w:lineRule="auto"/>
        <w:rPr>
          <w:rFonts w:ascii="Arial" w:hAnsi="Arial" w:cs="Arial"/>
          <w:sz w:val="20"/>
        </w:rPr>
      </w:pPr>
    </w:p>
    <w:p w:rsidR="004E0305" w:rsidRPr="006D06E9" w:rsidRDefault="004E0305" w:rsidP="00A548E0">
      <w:pPr>
        <w:pStyle w:val="p8"/>
        <w:tabs>
          <w:tab w:val="left" w:pos="720"/>
        </w:tabs>
        <w:spacing w:line="240" w:lineRule="auto"/>
        <w:ind w:firstLine="360"/>
        <w:rPr>
          <w:rFonts w:ascii="Arial" w:hAnsi="Arial" w:cs="Arial"/>
          <w:sz w:val="20"/>
        </w:rPr>
      </w:pPr>
      <w:r w:rsidRPr="006D06E9">
        <w:rPr>
          <w:rFonts w:ascii="Arial" w:hAnsi="Arial" w:cs="Arial"/>
          <w:sz w:val="20"/>
          <w:u w:val="single"/>
        </w:rPr>
        <w:t>D.  Operations Manual Development</w:t>
      </w:r>
      <w:r w:rsidRPr="006D06E9">
        <w:rPr>
          <w:rFonts w:ascii="Arial" w:hAnsi="Arial" w:cs="Arial"/>
          <w:sz w:val="20"/>
        </w:rPr>
        <w:t xml:space="preserve">:  Operations Manuals only need to be developed once during the lifetime of a facility.  </w:t>
      </w:r>
      <w:r w:rsidR="004F2967">
        <w:rPr>
          <w:rFonts w:ascii="Arial" w:hAnsi="Arial" w:cs="Arial"/>
          <w:sz w:val="20"/>
        </w:rPr>
        <w:t>We estimate that about</w:t>
      </w:r>
      <w:r w:rsidRPr="006D06E9">
        <w:rPr>
          <w:rFonts w:ascii="Arial" w:hAnsi="Arial" w:cs="Arial"/>
          <w:sz w:val="20"/>
        </w:rPr>
        <w:t xml:space="preserve"> 3% of facilities will be replaced by newer facilities in a given year.  </w:t>
      </w:r>
    </w:p>
    <w:p w:rsidR="004E0305" w:rsidRPr="006D06E9" w:rsidRDefault="004E0305" w:rsidP="00A548E0">
      <w:pPr>
        <w:pStyle w:val="p8"/>
        <w:tabs>
          <w:tab w:val="left" w:pos="720"/>
        </w:tabs>
        <w:spacing w:line="240" w:lineRule="auto"/>
        <w:ind w:firstLine="0"/>
        <w:rPr>
          <w:rFonts w:ascii="Arial" w:hAnsi="Arial" w:cs="Arial"/>
          <w:sz w:val="20"/>
        </w:rPr>
      </w:pPr>
    </w:p>
    <w:p w:rsidR="004E0305" w:rsidRPr="006D06E9" w:rsidRDefault="004E0305" w:rsidP="00A548E0">
      <w:pPr>
        <w:pStyle w:val="p8"/>
        <w:tabs>
          <w:tab w:val="left" w:pos="720"/>
        </w:tabs>
        <w:spacing w:line="240" w:lineRule="auto"/>
        <w:ind w:firstLine="360"/>
        <w:rPr>
          <w:rFonts w:ascii="Arial" w:hAnsi="Arial" w:cs="Arial"/>
          <w:sz w:val="20"/>
        </w:rPr>
      </w:pPr>
      <w:r w:rsidRPr="006D06E9">
        <w:rPr>
          <w:rFonts w:ascii="Arial" w:hAnsi="Arial" w:cs="Arial"/>
          <w:sz w:val="20"/>
          <w:u w:val="single"/>
        </w:rPr>
        <w:t>E.  Operations Manual Amendments</w:t>
      </w:r>
      <w:r w:rsidRPr="006D06E9">
        <w:rPr>
          <w:rFonts w:ascii="Arial" w:hAnsi="Arial" w:cs="Arial"/>
          <w:sz w:val="20"/>
        </w:rPr>
        <w:t xml:space="preserve">:  Certain changes to facility systems will require facility owners to amend their Operations Manual.  We </w:t>
      </w:r>
      <w:r w:rsidR="004F2967">
        <w:rPr>
          <w:rFonts w:ascii="Arial" w:hAnsi="Arial" w:cs="Arial"/>
          <w:sz w:val="20"/>
        </w:rPr>
        <w:t xml:space="preserve">estimate that about </w:t>
      </w:r>
      <w:r w:rsidRPr="006D06E9">
        <w:rPr>
          <w:rFonts w:ascii="Arial" w:hAnsi="Arial" w:cs="Arial"/>
          <w:sz w:val="20"/>
        </w:rPr>
        <w:t xml:space="preserve">6% of facilities will update their Operations Manual annually.  </w:t>
      </w:r>
    </w:p>
    <w:p w:rsidR="004E0305" w:rsidRPr="006D06E9" w:rsidRDefault="004E0305" w:rsidP="00A548E0">
      <w:pPr>
        <w:pStyle w:val="p8"/>
        <w:tabs>
          <w:tab w:val="left" w:pos="720"/>
        </w:tabs>
        <w:spacing w:line="240" w:lineRule="auto"/>
        <w:ind w:firstLine="0"/>
        <w:rPr>
          <w:rFonts w:ascii="Arial" w:hAnsi="Arial" w:cs="Arial"/>
          <w:sz w:val="20"/>
        </w:rPr>
      </w:pPr>
    </w:p>
    <w:p w:rsidR="004E0305" w:rsidRPr="006D06E9" w:rsidRDefault="004E0305" w:rsidP="00A548E0">
      <w:pPr>
        <w:pStyle w:val="p8"/>
        <w:tabs>
          <w:tab w:val="left" w:pos="720"/>
        </w:tabs>
        <w:spacing w:line="240" w:lineRule="auto"/>
        <w:ind w:firstLine="360"/>
        <w:rPr>
          <w:rFonts w:ascii="Arial" w:hAnsi="Arial" w:cs="Arial"/>
          <w:sz w:val="20"/>
        </w:rPr>
      </w:pPr>
      <w:r w:rsidRPr="006D06E9">
        <w:rPr>
          <w:rFonts w:ascii="Arial" w:hAnsi="Arial" w:cs="Arial"/>
          <w:sz w:val="20"/>
          <w:u w:val="single"/>
        </w:rPr>
        <w:t>F.  Emergency Manual Development</w:t>
      </w:r>
      <w:r w:rsidRPr="006D06E9">
        <w:rPr>
          <w:rFonts w:ascii="Arial" w:hAnsi="Arial" w:cs="Arial"/>
          <w:sz w:val="20"/>
        </w:rPr>
        <w:t xml:space="preserve">:  </w:t>
      </w:r>
      <w:r w:rsidR="00910930" w:rsidRPr="006D06E9">
        <w:rPr>
          <w:rFonts w:ascii="Arial" w:hAnsi="Arial" w:cs="Arial"/>
          <w:sz w:val="20"/>
        </w:rPr>
        <w:t>S</w:t>
      </w:r>
      <w:r w:rsidRPr="006D06E9">
        <w:rPr>
          <w:rFonts w:ascii="Arial" w:hAnsi="Arial" w:cs="Arial"/>
          <w:sz w:val="20"/>
        </w:rPr>
        <w:t>ame as paragraph D.</w:t>
      </w:r>
    </w:p>
    <w:p w:rsidR="004E0305" w:rsidRPr="006D06E9" w:rsidRDefault="004E0305" w:rsidP="00A548E0">
      <w:pPr>
        <w:pStyle w:val="p8"/>
        <w:tabs>
          <w:tab w:val="left" w:pos="720"/>
        </w:tabs>
        <w:spacing w:line="240" w:lineRule="auto"/>
        <w:ind w:firstLine="0"/>
        <w:rPr>
          <w:rFonts w:ascii="Arial" w:hAnsi="Arial" w:cs="Arial"/>
          <w:sz w:val="20"/>
        </w:rPr>
      </w:pPr>
    </w:p>
    <w:p w:rsidR="004E0305" w:rsidRPr="006D06E9" w:rsidRDefault="004E0305" w:rsidP="00A548E0">
      <w:pPr>
        <w:pStyle w:val="p8"/>
        <w:tabs>
          <w:tab w:val="left" w:pos="720"/>
        </w:tabs>
        <w:spacing w:line="240" w:lineRule="auto"/>
        <w:ind w:firstLine="360"/>
        <w:rPr>
          <w:rFonts w:ascii="Arial" w:hAnsi="Arial" w:cs="Arial"/>
          <w:sz w:val="20"/>
        </w:rPr>
      </w:pPr>
      <w:r w:rsidRPr="006D06E9">
        <w:rPr>
          <w:rFonts w:ascii="Arial" w:hAnsi="Arial" w:cs="Arial"/>
          <w:sz w:val="20"/>
          <w:u w:val="single"/>
        </w:rPr>
        <w:t>G.  Emergency Manual Amendment</w:t>
      </w:r>
      <w:r w:rsidRPr="006D06E9">
        <w:rPr>
          <w:rFonts w:ascii="Arial" w:hAnsi="Arial" w:cs="Arial"/>
          <w:sz w:val="20"/>
        </w:rPr>
        <w:t xml:space="preserve">:  </w:t>
      </w:r>
      <w:r w:rsidR="00910930" w:rsidRPr="006D06E9">
        <w:rPr>
          <w:rFonts w:ascii="Arial" w:hAnsi="Arial" w:cs="Arial"/>
          <w:sz w:val="20"/>
        </w:rPr>
        <w:t xml:space="preserve">Same </w:t>
      </w:r>
      <w:r w:rsidRPr="006D06E9">
        <w:rPr>
          <w:rFonts w:ascii="Arial" w:hAnsi="Arial" w:cs="Arial"/>
          <w:sz w:val="20"/>
        </w:rPr>
        <w:t>as paragraph E.</w:t>
      </w:r>
    </w:p>
    <w:p w:rsidR="004E0305" w:rsidRPr="006D06E9" w:rsidRDefault="004E0305" w:rsidP="00A548E0">
      <w:pPr>
        <w:pStyle w:val="p8"/>
        <w:tabs>
          <w:tab w:val="left" w:pos="720"/>
        </w:tabs>
        <w:spacing w:line="240" w:lineRule="auto"/>
        <w:ind w:firstLine="0"/>
        <w:rPr>
          <w:rFonts w:ascii="Arial" w:hAnsi="Arial" w:cs="Arial"/>
          <w:sz w:val="20"/>
        </w:rPr>
      </w:pPr>
    </w:p>
    <w:p w:rsidR="004E0305" w:rsidRPr="006D06E9" w:rsidRDefault="004E0305" w:rsidP="00A548E0">
      <w:pPr>
        <w:pStyle w:val="p21"/>
        <w:tabs>
          <w:tab w:val="left" w:pos="0"/>
        </w:tabs>
        <w:spacing w:line="240" w:lineRule="auto"/>
        <w:ind w:left="0" w:firstLine="360"/>
        <w:rPr>
          <w:rFonts w:ascii="Arial" w:hAnsi="Arial" w:cs="Arial"/>
          <w:sz w:val="20"/>
        </w:rPr>
      </w:pPr>
      <w:r w:rsidRPr="006D06E9">
        <w:rPr>
          <w:rFonts w:ascii="Arial" w:hAnsi="Arial" w:cs="Arial"/>
          <w:sz w:val="20"/>
          <w:u w:val="single"/>
        </w:rPr>
        <w:t>H.  Person in Charge Qualification and Certification</w:t>
      </w:r>
      <w:r w:rsidRPr="006D06E9">
        <w:rPr>
          <w:rFonts w:ascii="Arial" w:hAnsi="Arial" w:cs="Arial"/>
          <w:sz w:val="20"/>
        </w:rPr>
        <w:t xml:space="preserve">:  An employee need only demonstrate the required qualification and be certified as a Person in Charge once for the duration of his or her employment with a facility.  New qualification and certification must therefore only be conducted to for the new employees.  Large facilities, operating with three shifts, will typically employ three Persons in Charge plus one alternate.  </w:t>
      </w:r>
      <w:r w:rsidR="004F2967">
        <w:rPr>
          <w:rFonts w:ascii="Arial" w:hAnsi="Arial" w:cs="Arial"/>
          <w:sz w:val="20"/>
        </w:rPr>
        <w:t xml:space="preserve">We </w:t>
      </w:r>
      <w:r w:rsidRPr="006D06E9">
        <w:rPr>
          <w:rFonts w:ascii="Arial" w:hAnsi="Arial" w:cs="Arial"/>
          <w:sz w:val="20"/>
        </w:rPr>
        <w:t xml:space="preserve">estimate employee turnover at 33%, </w:t>
      </w:r>
      <w:r w:rsidR="004F2967">
        <w:rPr>
          <w:rFonts w:ascii="Arial" w:hAnsi="Arial" w:cs="Arial"/>
          <w:sz w:val="20"/>
        </w:rPr>
        <w:t xml:space="preserve">thus </w:t>
      </w:r>
      <w:r w:rsidRPr="006D06E9">
        <w:rPr>
          <w:rFonts w:ascii="Arial" w:hAnsi="Arial" w:cs="Arial"/>
          <w:sz w:val="20"/>
        </w:rPr>
        <w:t xml:space="preserve">facilities must recertify, on average, one-third of their four Persons in Charge.  Restated, each facility will on average, conduct certification of 1.33 Persons in Charge each year.  Each facility is a respondent, and the number of responses is the population of LNG and LHG facilities multiplied by 1.33.  </w:t>
      </w:r>
    </w:p>
    <w:p w:rsidR="004E0305" w:rsidRPr="006D06E9" w:rsidRDefault="004E0305" w:rsidP="00A548E0">
      <w:pPr>
        <w:pStyle w:val="p21"/>
        <w:tabs>
          <w:tab w:val="left" w:pos="0"/>
        </w:tabs>
        <w:spacing w:line="240" w:lineRule="auto"/>
        <w:ind w:left="0"/>
        <w:rPr>
          <w:rFonts w:ascii="Arial" w:hAnsi="Arial" w:cs="Arial"/>
          <w:sz w:val="20"/>
          <w:u w:val="single"/>
        </w:rPr>
      </w:pPr>
    </w:p>
    <w:p w:rsidR="004E0305" w:rsidRPr="006D06E9" w:rsidRDefault="004E0305" w:rsidP="00A548E0">
      <w:pPr>
        <w:pStyle w:val="p21"/>
        <w:tabs>
          <w:tab w:val="left" w:pos="0"/>
        </w:tabs>
        <w:spacing w:line="240" w:lineRule="auto"/>
        <w:ind w:left="0" w:firstLine="360"/>
        <w:rPr>
          <w:rFonts w:ascii="Arial" w:hAnsi="Arial" w:cs="Arial"/>
          <w:b/>
          <w:sz w:val="20"/>
        </w:rPr>
      </w:pPr>
      <w:r w:rsidRPr="006D06E9">
        <w:rPr>
          <w:rFonts w:ascii="Arial" w:hAnsi="Arial" w:cs="Arial"/>
          <w:sz w:val="20"/>
          <w:u w:val="single"/>
        </w:rPr>
        <w:t>I.  Declaration of Inspection</w:t>
      </w:r>
      <w:r w:rsidRPr="006D06E9">
        <w:rPr>
          <w:rFonts w:ascii="Arial" w:hAnsi="Arial" w:cs="Arial"/>
          <w:sz w:val="20"/>
        </w:rPr>
        <w:t>:  The Coast Guard estimate</w:t>
      </w:r>
      <w:r w:rsidR="001E15B7" w:rsidRPr="006D06E9">
        <w:rPr>
          <w:rFonts w:ascii="Arial" w:hAnsi="Arial" w:cs="Arial"/>
          <w:sz w:val="20"/>
        </w:rPr>
        <w:t>s</w:t>
      </w:r>
      <w:r w:rsidRPr="006D06E9">
        <w:rPr>
          <w:rFonts w:ascii="Arial" w:hAnsi="Arial" w:cs="Arial"/>
          <w:sz w:val="20"/>
        </w:rPr>
        <w:t xml:space="preserve"> that LHG facilities will, on average, each conduct approximately 26 transfers per year.  Each facility is therefore a respondent, and the number of responses may be calculated by multiplying the population of LHG facilities by 26.  We </w:t>
      </w:r>
      <w:r w:rsidR="001E15B7" w:rsidRPr="006D06E9">
        <w:rPr>
          <w:rFonts w:ascii="Arial" w:hAnsi="Arial" w:cs="Arial"/>
          <w:sz w:val="20"/>
        </w:rPr>
        <w:t xml:space="preserve">estimate </w:t>
      </w:r>
      <w:r w:rsidRPr="006D06E9">
        <w:rPr>
          <w:rFonts w:ascii="Arial" w:hAnsi="Arial" w:cs="Arial"/>
          <w:sz w:val="20"/>
        </w:rPr>
        <w:t>that LNG facilities make on average 46 transfers per year</w:t>
      </w:r>
      <w:r w:rsidR="006023A7" w:rsidRPr="006D06E9">
        <w:rPr>
          <w:rFonts w:ascii="Arial" w:hAnsi="Arial" w:cs="Arial"/>
          <w:sz w:val="20"/>
        </w:rPr>
        <w:t xml:space="preserve">.  </w:t>
      </w:r>
    </w:p>
    <w:p w:rsidR="004E0305" w:rsidRPr="006D06E9" w:rsidRDefault="004E0305" w:rsidP="00A548E0">
      <w:pPr>
        <w:pStyle w:val="t19"/>
        <w:tabs>
          <w:tab w:val="left" w:pos="720"/>
        </w:tabs>
        <w:spacing w:line="240" w:lineRule="auto"/>
        <w:rPr>
          <w:rFonts w:ascii="Arial" w:hAnsi="Arial" w:cs="Arial"/>
          <w:sz w:val="20"/>
        </w:rPr>
      </w:pPr>
    </w:p>
    <w:p w:rsidR="00B550B7" w:rsidRPr="006D06E9" w:rsidRDefault="00B550B7" w:rsidP="00A548E0">
      <w:pPr>
        <w:pStyle w:val="p35"/>
        <w:tabs>
          <w:tab w:val="clear" w:pos="0"/>
        </w:tabs>
        <w:spacing w:line="240" w:lineRule="auto"/>
        <w:ind w:left="0" w:firstLine="360"/>
        <w:rPr>
          <w:rFonts w:ascii="Arial" w:hAnsi="Arial" w:cs="Arial"/>
          <w:b/>
          <w:sz w:val="20"/>
        </w:rPr>
      </w:pPr>
      <w:r w:rsidRPr="006D06E9">
        <w:rPr>
          <w:rFonts w:ascii="Arial" w:hAnsi="Arial" w:cs="Arial"/>
          <w:sz w:val="20"/>
          <w:u w:val="single"/>
        </w:rPr>
        <w:t>J.  Maintenance Records</w:t>
      </w:r>
      <w:r w:rsidRPr="006D06E9">
        <w:rPr>
          <w:rFonts w:ascii="Arial" w:hAnsi="Arial" w:cs="Arial"/>
          <w:sz w:val="20"/>
        </w:rPr>
        <w:t xml:space="preserve">:  Each LHG and LNG facility must conduct and record a series of tests and inspections.  Both the number of respondents and the number of responses is therefore equal to the population of LNG and LHG facilities.  </w:t>
      </w:r>
    </w:p>
    <w:p w:rsidR="00B550B7" w:rsidRPr="006D06E9" w:rsidRDefault="00B550B7" w:rsidP="00A548E0">
      <w:pPr>
        <w:pStyle w:val="p35"/>
        <w:tabs>
          <w:tab w:val="clear" w:pos="0"/>
          <w:tab w:val="clear" w:pos="1140"/>
        </w:tabs>
        <w:spacing w:line="240" w:lineRule="auto"/>
        <w:ind w:left="0" w:firstLine="0"/>
        <w:rPr>
          <w:rFonts w:ascii="Arial" w:hAnsi="Arial" w:cs="Arial"/>
          <w:sz w:val="20"/>
        </w:rPr>
      </w:pPr>
    </w:p>
    <w:p w:rsidR="00323EA4" w:rsidRPr="006D06E9" w:rsidRDefault="00B550B7" w:rsidP="00A548E0">
      <w:pPr>
        <w:pStyle w:val="p35"/>
        <w:tabs>
          <w:tab w:val="clear" w:pos="0"/>
          <w:tab w:val="clear" w:pos="1140"/>
        </w:tabs>
        <w:spacing w:line="240" w:lineRule="auto"/>
        <w:ind w:left="0" w:firstLine="360"/>
        <w:rPr>
          <w:rFonts w:ascii="Arial" w:hAnsi="Arial" w:cs="Arial"/>
          <w:sz w:val="20"/>
        </w:rPr>
      </w:pPr>
      <w:r w:rsidRPr="006D06E9">
        <w:rPr>
          <w:rFonts w:ascii="Arial" w:hAnsi="Arial" w:cs="Arial"/>
          <w:sz w:val="20"/>
        </w:rPr>
        <w:t xml:space="preserve">K. </w:t>
      </w:r>
      <w:r w:rsidRPr="006D06E9">
        <w:rPr>
          <w:rFonts w:ascii="Arial" w:hAnsi="Arial" w:cs="Arial"/>
          <w:sz w:val="20"/>
          <w:u w:val="single"/>
        </w:rPr>
        <w:t>Waterway Suitability Assessment</w:t>
      </w:r>
      <w:r w:rsidRPr="006D06E9">
        <w:rPr>
          <w:rFonts w:ascii="Arial" w:hAnsi="Arial" w:cs="Arial"/>
          <w:sz w:val="20"/>
        </w:rPr>
        <w:t xml:space="preserve">: </w:t>
      </w:r>
      <w:r w:rsidR="006023A7" w:rsidRPr="006D06E9">
        <w:rPr>
          <w:rFonts w:ascii="Arial" w:hAnsi="Arial" w:cs="Arial"/>
          <w:sz w:val="20"/>
        </w:rPr>
        <w:t xml:space="preserve"> A WSA is required when an owner/operator seeks authorization to site, construct, and operate new facility or seeks authority to make modifications to existing facility</w:t>
      </w:r>
      <w:r w:rsidR="004F2967">
        <w:rPr>
          <w:rFonts w:ascii="Arial" w:hAnsi="Arial" w:cs="Arial"/>
          <w:sz w:val="20"/>
        </w:rPr>
        <w:t xml:space="preserve">.  We estimate that 1% of the LHG </w:t>
      </w:r>
      <w:r w:rsidR="008F5C0F">
        <w:rPr>
          <w:rFonts w:ascii="Arial" w:hAnsi="Arial" w:cs="Arial"/>
          <w:sz w:val="20"/>
        </w:rPr>
        <w:t xml:space="preserve">facilities </w:t>
      </w:r>
      <w:r w:rsidR="004F2967">
        <w:rPr>
          <w:rFonts w:ascii="Arial" w:hAnsi="Arial" w:cs="Arial"/>
          <w:sz w:val="20"/>
        </w:rPr>
        <w:t xml:space="preserve">and 1% of the LNG </w:t>
      </w:r>
      <w:r w:rsidR="000C2C07">
        <w:rPr>
          <w:rFonts w:ascii="Arial" w:hAnsi="Arial" w:cs="Arial"/>
          <w:sz w:val="20"/>
        </w:rPr>
        <w:t>facilities</w:t>
      </w:r>
      <w:r w:rsidR="004F2967">
        <w:rPr>
          <w:rFonts w:ascii="Arial" w:hAnsi="Arial" w:cs="Arial"/>
          <w:sz w:val="20"/>
        </w:rPr>
        <w:t xml:space="preserve"> will make </w:t>
      </w:r>
      <w:r w:rsidR="006023A7" w:rsidRPr="006D06E9">
        <w:rPr>
          <w:rFonts w:ascii="Arial" w:hAnsi="Arial" w:cs="Arial"/>
          <w:sz w:val="20"/>
        </w:rPr>
        <w:t>1 submission per year</w:t>
      </w:r>
      <w:r w:rsidR="000C2C07">
        <w:rPr>
          <w:rFonts w:ascii="Arial" w:hAnsi="Arial" w:cs="Arial"/>
          <w:sz w:val="20"/>
        </w:rPr>
        <w:t>.</w:t>
      </w:r>
      <w:r w:rsidR="006023A7" w:rsidRPr="006D06E9">
        <w:rPr>
          <w:rFonts w:ascii="Arial" w:hAnsi="Arial" w:cs="Arial"/>
          <w:sz w:val="20"/>
        </w:rPr>
        <w:t xml:space="preserve">  </w:t>
      </w:r>
    </w:p>
    <w:p w:rsidR="000769A0" w:rsidRPr="006D06E9" w:rsidRDefault="000769A0" w:rsidP="00A548E0">
      <w:pPr>
        <w:pStyle w:val="p35"/>
        <w:tabs>
          <w:tab w:val="clear" w:pos="0"/>
          <w:tab w:val="clear" w:pos="1140"/>
        </w:tabs>
        <w:spacing w:line="240" w:lineRule="auto"/>
        <w:ind w:left="0" w:firstLine="0"/>
        <w:rPr>
          <w:rFonts w:ascii="Arial" w:hAnsi="Arial" w:cs="Arial"/>
          <w:b/>
          <w:sz w:val="20"/>
        </w:rPr>
      </w:pPr>
    </w:p>
    <w:p w:rsidR="00456639" w:rsidRPr="006D06E9" w:rsidRDefault="00456639" w:rsidP="00A548E0">
      <w:pPr>
        <w:pStyle w:val="p10"/>
        <w:spacing w:line="240" w:lineRule="auto"/>
        <w:rPr>
          <w:rFonts w:ascii="Arial" w:hAnsi="Arial" w:cs="Arial"/>
          <w:sz w:val="20"/>
        </w:rPr>
      </w:pPr>
      <w:r w:rsidRPr="006D06E9">
        <w:rPr>
          <w:rFonts w:ascii="Arial" w:hAnsi="Arial" w:cs="Arial"/>
          <w:sz w:val="20"/>
        </w:rPr>
        <w:t xml:space="preserve">13.  </w:t>
      </w:r>
      <w:r w:rsidR="00A1092B">
        <w:rPr>
          <w:rFonts w:ascii="Arial" w:hAnsi="Arial" w:cs="Arial"/>
          <w:sz w:val="20"/>
          <w:u w:val="single"/>
        </w:rPr>
        <w:t>Total</w:t>
      </w:r>
      <w:r w:rsidR="00A1092B" w:rsidRPr="006D06E9">
        <w:rPr>
          <w:rFonts w:ascii="Arial" w:hAnsi="Arial" w:cs="Arial"/>
          <w:sz w:val="20"/>
          <w:u w:val="single"/>
        </w:rPr>
        <w:t xml:space="preserve"> </w:t>
      </w:r>
      <w:r w:rsidRPr="006D06E9">
        <w:rPr>
          <w:rFonts w:ascii="Arial" w:hAnsi="Arial" w:cs="Arial"/>
          <w:sz w:val="20"/>
          <w:u w:val="single"/>
        </w:rPr>
        <w:t>of annualized capital and start-up costs</w:t>
      </w:r>
      <w:r w:rsidRPr="006D06E9">
        <w:rPr>
          <w:rFonts w:ascii="Arial" w:hAnsi="Arial" w:cs="Arial"/>
          <w:sz w:val="20"/>
        </w:rPr>
        <w:t>.</w:t>
      </w:r>
      <w:r w:rsidR="00A1092B">
        <w:rPr>
          <w:rFonts w:ascii="Arial" w:hAnsi="Arial" w:cs="Arial"/>
          <w:sz w:val="20"/>
        </w:rPr>
        <w:t xml:space="preserve">  </w:t>
      </w:r>
    </w:p>
    <w:p w:rsidR="00456639" w:rsidRPr="006D06E9" w:rsidRDefault="00456639" w:rsidP="00A548E0">
      <w:pPr>
        <w:pStyle w:val="p10"/>
        <w:spacing w:line="240" w:lineRule="auto"/>
        <w:rPr>
          <w:rFonts w:ascii="Arial" w:hAnsi="Arial" w:cs="Arial"/>
          <w:sz w:val="20"/>
        </w:rPr>
      </w:pPr>
    </w:p>
    <w:p w:rsidR="00456639" w:rsidRPr="006D06E9" w:rsidRDefault="004E0305" w:rsidP="00A548E0">
      <w:pPr>
        <w:pStyle w:val="p3"/>
        <w:spacing w:line="240" w:lineRule="auto"/>
        <w:rPr>
          <w:rFonts w:ascii="Arial" w:hAnsi="Arial" w:cs="Arial"/>
          <w:sz w:val="20"/>
        </w:rPr>
      </w:pPr>
      <w:r w:rsidRPr="006D06E9">
        <w:rPr>
          <w:rFonts w:ascii="Arial" w:hAnsi="Arial" w:cs="Arial"/>
          <w:sz w:val="20"/>
        </w:rPr>
        <w:t>There are no capital, start-up or maintenance costs associated with this information collection</w:t>
      </w:r>
      <w:r w:rsidR="00456639" w:rsidRPr="006D06E9">
        <w:rPr>
          <w:rFonts w:ascii="Arial" w:hAnsi="Arial" w:cs="Arial"/>
          <w:sz w:val="20"/>
        </w:rPr>
        <w:t>.</w:t>
      </w:r>
    </w:p>
    <w:p w:rsidR="00456639" w:rsidRPr="006D06E9" w:rsidRDefault="00456639" w:rsidP="00A548E0">
      <w:pPr>
        <w:pStyle w:val="p3"/>
        <w:spacing w:line="240" w:lineRule="auto"/>
        <w:rPr>
          <w:rFonts w:ascii="Arial" w:hAnsi="Arial" w:cs="Arial"/>
          <w:sz w:val="20"/>
        </w:rPr>
      </w:pPr>
    </w:p>
    <w:p w:rsidR="00456639" w:rsidRPr="006D06E9" w:rsidRDefault="00456639" w:rsidP="00A548E0">
      <w:pPr>
        <w:pStyle w:val="p3"/>
        <w:spacing w:line="240" w:lineRule="auto"/>
        <w:rPr>
          <w:rFonts w:ascii="Arial" w:hAnsi="Arial" w:cs="Arial"/>
          <w:sz w:val="20"/>
        </w:rPr>
      </w:pPr>
      <w:r w:rsidRPr="006D06E9">
        <w:rPr>
          <w:rFonts w:ascii="Arial" w:hAnsi="Arial" w:cs="Arial"/>
          <w:sz w:val="20"/>
        </w:rPr>
        <w:t xml:space="preserve">14.  </w:t>
      </w:r>
      <w:r w:rsidRPr="006D06E9">
        <w:rPr>
          <w:rFonts w:ascii="Arial" w:hAnsi="Arial" w:cs="Arial"/>
          <w:sz w:val="20"/>
          <w:u w:val="single"/>
        </w:rPr>
        <w:t>Estimates of</w:t>
      </w:r>
      <w:r w:rsidR="00A1092B">
        <w:rPr>
          <w:rFonts w:ascii="Arial" w:hAnsi="Arial" w:cs="Arial"/>
          <w:sz w:val="20"/>
          <w:u w:val="single"/>
        </w:rPr>
        <w:t xml:space="preserve"> annualized</w:t>
      </w:r>
      <w:r w:rsidRPr="006D06E9">
        <w:rPr>
          <w:rFonts w:ascii="Arial" w:hAnsi="Arial" w:cs="Arial"/>
          <w:sz w:val="20"/>
          <w:u w:val="single"/>
        </w:rPr>
        <w:t xml:space="preserve"> Federal Government costs</w:t>
      </w:r>
      <w:r w:rsidRPr="006D06E9">
        <w:rPr>
          <w:rFonts w:ascii="Arial" w:hAnsi="Arial" w:cs="Arial"/>
          <w:sz w:val="20"/>
        </w:rPr>
        <w:t>.</w:t>
      </w:r>
      <w:r w:rsidR="00A1092B">
        <w:rPr>
          <w:rFonts w:ascii="Arial" w:hAnsi="Arial" w:cs="Arial"/>
          <w:sz w:val="20"/>
        </w:rPr>
        <w:t xml:space="preserve">  </w:t>
      </w:r>
    </w:p>
    <w:p w:rsidR="00456639" w:rsidRPr="006D06E9" w:rsidRDefault="00456639" w:rsidP="00A548E0">
      <w:pPr>
        <w:pStyle w:val="p3"/>
        <w:spacing w:line="240" w:lineRule="auto"/>
        <w:rPr>
          <w:rFonts w:ascii="Arial" w:hAnsi="Arial" w:cs="Arial"/>
          <w:sz w:val="20"/>
        </w:rPr>
      </w:pPr>
    </w:p>
    <w:p w:rsidR="002E4C3D" w:rsidRPr="006D06E9" w:rsidRDefault="00A1092B" w:rsidP="00A548E0">
      <w:pPr>
        <w:pStyle w:val="p3"/>
        <w:spacing w:line="240" w:lineRule="auto"/>
        <w:rPr>
          <w:rFonts w:ascii="Arial" w:hAnsi="Arial" w:cs="Arial"/>
          <w:sz w:val="20"/>
        </w:rPr>
      </w:pPr>
      <w:r w:rsidRPr="006B392D">
        <w:rPr>
          <w:rFonts w:ascii="Arial" w:hAnsi="Arial" w:cs="Arial"/>
          <w:sz w:val="20"/>
        </w:rPr>
        <w:t>The estimated annual Federal Government cost is $</w:t>
      </w:r>
      <w:r w:rsidR="00FB6362">
        <w:rPr>
          <w:rFonts w:ascii="Arial" w:hAnsi="Arial" w:cs="Arial"/>
          <w:sz w:val="20"/>
        </w:rPr>
        <w:t>30,716</w:t>
      </w:r>
      <w:r w:rsidRPr="006B392D">
        <w:rPr>
          <w:rFonts w:ascii="Arial" w:hAnsi="Arial" w:cs="Arial"/>
          <w:sz w:val="20"/>
        </w:rPr>
        <w:t xml:space="preserve"> (see Appendix C).  </w:t>
      </w:r>
      <w:r w:rsidR="0039598C">
        <w:rPr>
          <w:rFonts w:ascii="Arial" w:hAnsi="Arial" w:cs="Arial"/>
          <w:sz w:val="20"/>
        </w:rPr>
        <w:t>We estimate that a Lieutenant Commander (LCDR, O-4) will conduct all WSA reviews.  We estimate that a combination of Lieutenant (LT, O-3), Lieutenant Junior Grade (LTJG, O-2) and Petty Officers (E-6 &amp; E-5) will conduct other requirement reviews.  For calculation purposes, we average O-3 &amp; O-2 wage rates (Officers), as well as E-6 &amp; E-5 wage rates (Enlisted).</w:t>
      </w:r>
      <w:r w:rsidR="002676AF" w:rsidRPr="00047300">
        <w:rPr>
          <w:rFonts w:ascii="Arial" w:hAnsi="Arial" w:cs="Arial"/>
          <w:sz w:val="20"/>
        </w:rPr>
        <w:t xml:space="preserve"> </w:t>
      </w:r>
      <w:r w:rsidR="00323EA4" w:rsidRPr="00047300">
        <w:rPr>
          <w:rFonts w:ascii="Arial" w:hAnsi="Arial" w:cs="Arial"/>
          <w:sz w:val="20"/>
        </w:rPr>
        <w:t xml:space="preserve"> </w:t>
      </w:r>
      <w:r w:rsidR="000D1B80" w:rsidRPr="000D1B80">
        <w:rPr>
          <w:rFonts w:ascii="Arial" w:hAnsi="Arial" w:cs="Arial"/>
          <w:sz w:val="20"/>
        </w:rPr>
        <w:t>The wage rate</w:t>
      </w:r>
      <w:r w:rsidR="0039598C">
        <w:rPr>
          <w:rFonts w:ascii="Arial" w:hAnsi="Arial" w:cs="Arial"/>
          <w:sz w:val="20"/>
        </w:rPr>
        <w:t>s</w:t>
      </w:r>
      <w:r w:rsidR="000D1B80" w:rsidRPr="000D1B80">
        <w:rPr>
          <w:rFonts w:ascii="Arial" w:hAnsi="Arial" w:cs="Arial"/>
          <w:sz w:val="20"/>
        </w:rPr>
        <w:t xml:space="preserve"> shown </w:t>
      </w:r>
      <w:r w:rsidR="0039598C">
        <w:rPr>
          <w:rFonts w:ascii="Arial" w:hAnsi="Arial" w:cs="Arial"/>
          <w:sz w:val="20"/>
        </w:rPr>
        <w:t>are</w:t>
      </w:r>
      <w:r w:rsidR="000D1B80" w:rsidRPr="000D1B80">
        <w:rPr>
          <w:rFonts w:ascii="Arial" w:hAnsi="Arial" w:cs="Arial"/>
          <w:sz w:val="20"/>
        </w:rPr>
        <w:t xml:space="preserve"> in accordance with the current edition of COMDTINST 7310.1(series) for “In-Government” personnel.  </w:t>
      </w:r>
    </w:p>
    <w:p w:rsidR="009358B9" w:rsidRPr="006D06E9" w:rsidRDefault="009358B9" w:rsidP="00A548E0">
      <w:pPr>
        <w:pStyle w:val="p3"/>
        <w:spacing w:line="240" w:lineRule="auto"/>
        <w:rPr>
          <w:rFonts w:ascii="Arial" w:hAnsi="Arial" w:cs="Arial"/>
          <w:sz w:val="20"/>
        </w:rPr>
      </w:pPr>
    </w:p>
    <w:p w:rsidR="002E4C3D" w:rsidRPr="006D06E9" w:rsidRDefault="002E4C3D" w:rsidP="00A548E0">
      <w:pPr>
        <w:pStyle w:val="p10"/>
        <w:spacing w:line="240" w:lineRule="auto"/>
        <w:ind w:right="1980"/>
        <w:rPr>
          <w:rFonts w:ascii="Arial" w:hAnsi="Arial" w:cs="Arial"/>
          <w:sz w:val="20"/>
        </w:rPr>
      </w:pPr>
      <w:r w:rsidRPr="006D06E9">
        <w:rPr>
          <w:rFonts w:ascii="Arial" w:hAnsi="Arial" w:cs="Arial"/>
          <w:sz w:val="20"/>
        </w:rPr>
        <w:t xml:space="preserve">15.  </w:t>
      </w:r>
      <w:r w:rsidR="00A1092B">
        <w:rPr>
          <w:rFonts w:ascii="Arial" w:hAnsi="Arial" w:cs="Arial"/>
          <w:sz w:val="20"/>
          <w:u w:val="single"/>
        </w:rPr>
        <w:t>Explain the r</w:t>
      </w:r>
      <w:r w:rsidRPr="006D06E9">
        <w:rPr>
          <w:rFonts w:ascii="Arial" w:hAnsi="Arial" w:cs="Arial"/>
          <w:sz w:val="20"/>
          <w:u w:val="single"/>
        </w:rPr>
        <w:t>easons for the change in burden</w:t>
      </w:r>
      <w:r w:rsidRPr="006D06E9">
        <w:rPr>
          <w:rFonts w:ascii="Arial" w:hAnsi="Arial" w:cs="Arial"/>
          <w:sz w:val="20"/>
        </w:rPr>
        <w:t>.</w:t>
      </w:r>
      <w:r w:rsidR="00A1092B">
        <w:rPr>
          <w:rFonts w:ascii="Arial" w:hAnsi="Arial" w:cs="Arial"/>
          <w:sz w:val="20"/>
        </w:rPr>
        <w:t xml:space="preserve">  </w:t>
      </w:r>
    </w:p>
    <w:p w:rsidR="002E4C3D" w:rsidRPr="006D06E9" w:rsidRDefault="002E4C3D" w:rsidP="00A548E0">
      <w:pPr>
        <w:pStyle w:val="p10"/>
        <w:spacing w:line="240" w:lineRule="auto"/>
        <w:ind w:right="1980"/>
        <w:rPr>
          <w:rFonts w:ascii="Arial" w:hAnsi="Arial" w:cs="Arial"/>
          <w:sz w:val="20"/>
        </w:rPr>
      </w:pPr>
    </w:p>
    <w:p w:rsidR="006023A7" w:rsidRPr="006D06E9" w:rsidRDefault="002E4C3D" w:rsidP="00A548E0">
      <w:pPr>
        <w:rPr>
          <w:rFonts w:ascii="Arial" w:hAnsi="Arial" w:cs="Arial"/>
          <w:sz w:val="20"/>
        </w:rPr>
      </w:pPr>
      <w:r w:rsidRPr="006D06E9">
        <w:rPr>
          <w:rFonts w:ascii="Arial" w:hAnsi="Arial" w:cs="Arial"/>
          <w:sz w:val="20"/>
        </w:rPr>
        <w:t xml:space="preserve">The change </w:t>
      </w:r>
      <w:r w:rsidR="00A1092B" w:rsidRPr="006D06E9">
        <w:rPr>
          <w:rFonts w:ascii="Arial" w:hAnsi="Arial" w:cs="Arial"/>
          <w:sz w:val="20"/>
        </w:rPr>
        <w:t>in burden is an ADJUSTMENT</w:t>
      </w:r>
      <w:r w:rsidR="00A1092B">
        <w:rPr>
          <w:rFonts w:ascii="Arial" w:hAnsi="Arial" w:cs="Arial"/>
          <w:sz w:val="20"/>
        </w:rPr>
        <w:t xml:space="preserve"> </w:t>
      </w:r>
      <w:r w:rsidR="00013BC6">
        <w:rPr>
          <w:rFonts w:ascii="Arial" w:hAnsi="Arial" w:cs="Arial"/>
          <w:sz w:val="20"/>
        </w:rPr>
        <w:t xml:space="preserve">due to </w:t>
      </w:r>
      <w:r w:rsidR="000D1B80">
        <w:rPr>
          <w:rFonts w:ascii="Arial" w:hAnsi="Arial" w:cs="Arial"/>
          <w:sz w:val="20"/>
        </w:rPr>
        <w:t xml:space="preserve">a change </w:t>
      </w:r>
      <w:r w:rsidR="000D1B80" w:rsidRPr="006D06E9">
        <w:rPr>
          <w:rFonts w:ascii="Arial" w:hAnsi="Arial" w:cs="Arial"/>
          <w:sz w:val="20"/>
        </w:rPr>
        <w:t xml:space="preserve">(i.e., </w:t>
      </w:r>
      <w:r w:rsidR="0039598C">
        <w:rPr>
          <w:rFonts w:ascii="Arial" w:hAnsi="Arial" w:cs="Arial"/>
          <w:sz w:val="20"/>
        </w:rPr>
        <w:t>de</w:t>
      </w:r>
      <w:r w:rsidR="000D1B80" w:rsidRPr="00047300">
        <w:rPr>
          <w:rFonts w:ascii="Arial" w:hAnsi="Arial" w:cs="Arial"/>
          <w:sz w:val="20"/>
        </w:rPr>
        <w:t>crease</w:t>
      </w:r>
      <w:r w:rsidR="000D1B80" w:rsidRPr="006D06E9">
        <w:rPr>
          <w:rFonts w:ascii="Arial" w:hAnsi="Arial" w:cs="Arial"/>
          <w:sz w:val="20"/>
        </w:rPr>
        <w:t>)</w:t>
      </w:r>
      <w:r w:rsidR="000D1B80">
        <w:rPr>
          <w:rFonts w:ascii="Arial" w:hAnsi="Arial" w:cs="Arial"/>
          <w:sz w:val="20"/>
        </w:rPr>
        <w:t xml:space="preserve"> in the estimated annual number of </w:t>
      </w:r>
      <w:r w:rsidR="0039598C">
        <w:rPr>
          <w:rFonts w:ascii="Arial" w:hAnsi="Arial" w:cs="Arial"/>
          <w:sz w:val="20"/>
        </w:rPr>
        <w:t>responses</w:t>
      </w:r>
      <w:r w:rsidR="000D1B80">
        <w:rPr>
          <w:rFonts w:ascii="Arial" w:hAnsi="Arial" w:cs="Arial"/>
          <w:sz w:val="20"/>
        </w:rPr>
        <w:t xml:space="preserve">.  </w:t>
      </w:r>
      <w:r w:rsidR="000D1B80" w:rsidRPr="006B392D">
        <w:rPr>
          <w:rFonts w:ascii="Arial" w:hAnsi="Arial" w:cs="Arial"/>
          <w:sz w:val="20"/>
        </w:rPr>
        <w:t xml:space="preserve">Additionally, </w:t>
      </w:r>
      <w:r w:rsidR="00971DBE" w:rsidRPr="006B392D">
        <w:rPr>
          <w:rFonts w:ascii="Arial" w:hAnsi="Arial" w:cs="Arial"/>
          <w:sz w:val="20"/>
        </w:rPr>
        <w:t xml:space="preserve">the change in burden is </w:t>
      </w:r>
      <w:r w:rsidR="00013BC6" w:rsidRPr="006B392D">
        <w:rPr>
          <w:rFonts w:ascii="Arial" w:hAnsi="Arial" w:cs="Arial"/>
          <w:sz w:val="20"/>
        </w:rPr>
        <w:t xml:space="preserve">due to a </w:t>
      </w:r>
      <w:r w:rsidR="002D0F0F" w:rsidRPr="00A548E0">
        <w:rPr>
          <w:rFonts w:ascii="Arial" w:hAnsi="Arial" w:cs="Arial"/>
          <w:sz w:val="20"/>
        </w:rPr>
        <w:t xml:space="preserve">decrease in the estimated annual number of hours to conduct a WSA.  Based on a </w:t>
      </w:r>
      <w:r w:rsidR="00013BC6" w:rsidRPr="006B392D">
        <w:rPr>
          <w:rFonts w:ascii="Arial" w:hAnsi="Arial" w:cs="Arial"/>
          <w:sz w:val="20"/>
        </w:rPr>
        <w:t>reevaluation by the Coast Guard</w:t>
      </w:r>
      <w:r w:rsidR="002D0F0F" w:rsidRPr="00A548E0">
        <w:rPr>
          <w:rFonts w:ascii="Arial" w:hAnsi="Arial" w:cs="Arial"/>
          <w:sz w:val="20"/>
        </w:rPr>
        <w:t xml:space="preserve">, we changed the time to prepare a WSA from 704 hours to 500 hours per submission.  </w:t>
      </w:r>
      <w:r w:rsidR="006023A7" w:rsidRPr="006B392D">
        <w:rPr>
          <w:rFonts w:ascii="Arial" w:hAnsi="Arial" w:cs="Arial"/>
          <w:sz w:val="20"/>
        </w:rPr>
        <w:t>The</w:t>
      </w:r>
      <w:r w:rsidR="006023A7" w:rsidRPr="006D06E9">
        <w:rPr>
          <w:rFonts w:ascii="Arial" w:hAnsi="Arial" w:cs="Arial"/>
          <w:sz w:val="20"/>
        </w:rPr>
        <w:t xml:space="preserve"> </w:t>
      </w:r>
      <w:r w:rsidR="000504C8">
        <w:rPr>
          <w:rFonts w:ascii="Arial" w:hAnsi="Arial" w:cs="Arial"/>
          <w:sz w:val="20"/>
        </w:rPr>
        <w:t xml:space="preserve">reporting and </w:t>
      </w:r>
      <w:r w:rsidR="006023A7" w:rsidRPr="006D06E9">
        <w:rPr>
          <w:rFonts w:ascii="Arial" w:hAnsi="Arial" w:cs="Arial"/>
          <w:sz w:val="20"/>
        </w:rPr>
        <w:t xml:space="preserve">recordkeeping requirements, and the methodology for calculating burden, remain unchanged.  </w:t>
      </w:r>
    </w:p>
    <w:p w:rsidR="006023A7" w:rsidRPr="006D06E9" w:rsidRDefault="006023A7" w:rsidP="00A548E0">
      <w:pPr>
        <w:rPr>
          <w:rFonts w:ascii="Arial" w:hAnsi="Arial" w:cs="Arial"/>
          <w:sz w:val="20"/>
        </w:rPr>
      </w:pPr>
    </w:p>
    <w:p w:rsidR="002E4C3D" w:rsidRPr="006D06E9" w:rsidRDefault="002E4C3D" w:rsidP="00A548E0">
      <w:pPr>
        <w:pStyle w:val="p10"/>
        <w:spacing w:line="240" w:lineRule="auto"/>
        <w:ind w:right="1980"/>
        <w:rPr>
          <w:rFonts w:ascii="Arial" w:hAnsi="Arial" w:cs="Arial"/>
          <w:sz w:val="20"/>
        </w:rPr>
      </w:pPr>
      <w:r w:rsidRPr="006D06E9">
        <w:rPr>
          <w:rFonts w:ascii="Arial" w:hAnsi="Arial" w:cs="Arial"/>
          <w:sz w:val="20"/>
        </w:rPr>
        <w:t xml:space="preserve">16.  </w:t>
      </w:r>
      <w:r w:rsidRPr="006D06E9">
        <w:rPr>
          <w:rFonts w:ascii="Arial" w:hAnsi="Arial" w:cs="Arial"/>
          <w:sz w:val="20"/>
          <w:u w:val="single"/>
        </w:rPr>
        <w:t>Plans for tabulation, statistical analysis, and publication</w:t>
      </w:r>
      <w:r w:rsidRPr="006D06E9">
        <w:rPr>
          <w:rFonts w:ascii="Arial" w:hAnsi="Arial" w:cs="Arial"/>
          <w:sz w:val="20"/>
        </w:rPr>
        <w:t>.</w:t>
      </w:r>
      <w:r w:rsidR="00A1092B">
        <w:rPr>
          <w:rFonts w:ascii="Arial" w:hAnsi="Arial" w:cs="Arial"/>
          <w:sz w:val="20"/>
        </w:rPr>
        <w:t xml:space="preserve">  </w:t>
      </w:r>
    </w:p>
    <w:p w:rsidR="002E4C3D" w:rsidRPr="006D06E9" w:rsidRDefault="002E4C3D" w:rsidP="00A548E0">
      <w:pPr>
        <w:pStyle w:val="p10"/>
        <w:spacing w:line="240" w:lineRule="auto"/>
        <w:ind w:right="1980"/>
        <w:rPr>
          <w:rFonts w:ascii="Arial" w:hAnsi="Arial" w:cs="Arial"/>
          <w:sz w:val="20"/>
        </w:rPr>
      </w:pPr>
    </w:p>
    <w:p w:rsidR="002E4C3D" w:rsidRPr="006D06E9" w:rsidRDefault="002E4C3D" w:rsidP="00A548E0">
      <w:pPr>
        <w:pStyle w:val="p10"/>
        <w:spacing w:line="240" w:lineRule="auto"/>
        <w:ind w:right="1980"/>
        <w:rPr>
          <w:rFonts w:ascii="Arial" w:hAnsi="Arial" w:cs="Arial"/>
          <w:sz w:val="20"/>
        </w:rPr>
      </w:pPr>
      <w:r w:rsidRPr="006D06E9">
        <w:rPr>
          <w:rFonts w:ascii="Arial" w:hAnsi="Arial" w:cs="Arial"/>
          <w:sz w:val="20"/>
        </w:rPr>
        <w:t>This information collection will not be published for statistical purposes.</w:t>
      </w:r>
    </w:p>
    <w:p w:rsidR="002E4C3D" w:rsidRPr="006D06E9" w:rsidRDefault="002E4C3D" w:rsidP="00A548E0">
      <w:pPr>
        <w:pStyle w:val="p10"/>
        <w:spacing w:line="240" w:lineRule="auto"/>
        <w:ind w:right="1980"/>
        <w:rPr>
          <w:rFonts w:ascii="Arial" w:hAnsi="Arial" w:cs="Arial"/>
          <w:sz w:val="20"/>
        </w:rPr>
      </w:pPr>
    </w:p>
    <w:p w:rsidR="002E4C3D" w:rsidRPr="006D06E9" w:rsidRDefault="002E4C3D" w:rsidP="00A548E0">
      <w:pPr>
        <w:pStyle w:val="p10"/>
        <w:spacing w:line="240" w:lineRule="auto"/>
        <w:ind w:right="1980"/>
        <w:rPr>
          <w:rFonts w:ascii="Arial" w:hAnsi="Arial" w:cs="Arial"/>
          <w:sz w:val="20"/>
        </w:rPr>
      </w:pPr>
      <w:r w:rsidRPr="006D06E9">
        <w:rPr>
          <w:rFonts w:ascii="Arial" w:hAnsi="Arial" w:cs="Arial"/>
          <w:sz w:val="20"/>
        </w:rPr>
        <w:t xml:space="preserve">17.  </w:t>
      </w:r>
      <w:r w:rsidRPr="006D06E9">
        <w:rPr>
          <w:rFonts w:ascii="Arial" w:hAnsi="Arial" w:cs="Arial"/>
          <w:sz w:val="20"/>
          <w:u w:val="single"/>
        </w:rPr>
        <w:t>Approval to not display expiration date</w:t>
      </w:r>
      <w:r w:rsidRPr="006D06E9">
        <w:rPr>
          <w:rFonts w:ascii="Arial" w:hAnsi="Arial" w:cs="Arial"/>
          <w:sz w:val="20"/>
        </w:rPr>
        <w:t>.</w:t>
      </w:r>
      <w:r w:rsidR="00A1092B">
        <w:rPr>
          <w:rFonts w:ascii="Arial" w:hAnsi="Arial" w:cs="Arial"/>
          <w:sz w:val="20"/>
        </w:rPr>
        <w:t xml:space="preserve">  </w:t>
      </w:r>
    </w:p>
    <w:p w:rsidR="002E4C3D" w:rsidRPr="006D06E9" w:rsidRDefault="002E4C3D" w:rsidP="00A548E0">
      <w:pPr>
        <w:pStyle w:val="p10"/>
        <w:spacing w:line="240" w:lineRule="auto"/>
        <w:ind w:right="1980"/>
        <w:rPr>
          <w:rFonts w:ascii="Arial" w:hAnsi="Arial" w:cs="Arial"/>
          <w:sz w:val="20"/>
        </w:rPr>
      </w:pPr>
    </w:p>
    <w:p w:rsidR="002E4C3D" w:rsidRPr="006D06E9" w:rsidRDefault="002E4C3D" w:rsidP="00A548E0">
      <w:pPr>
        <w:pStyle w:val="p10"/>
        <w:spacing w:line="240" w:lineRule="auto"/>
        <w:rPr>
          <w:rFonts w:ascii="Arial" w:hAnsi="Arial" w:cs="Arial"/>
          <w:sz w:val="20"/>
        </w:rPr>
      </w:pPr>
      <w:r w:rsidRPr="006D06E9">
        <w:rPr>
          <w:rFonts w:ascii="Arial" w:hAnsi="Arial" w:cs="Arial"/>
          <w:sz w:val="20"/>
        </w:rPr>
        <w:t xml:space="preserve">The Coast Guard will display the expiration date for OMB approval of this information collection. </w:t>
      </w:r>
    </w:p>
    <w:p w:rsidR="002E4C3D" w:rsidRPr="006D06E9" w:rsidRDefault="002E4C3D" w:rsidP="00A548E0">
      <w:pPr>
        <w:pStyle w:val="p10"/>
        <w:spacing w:line="240" w:lineRule="auto"/>
        <w:ind w:right="1980"/>
        <w:rPr>
          <w:rFonts w:ascii="Arial" w:hAnsi="Arial" w:cs="Arial"/>
          <w:sz w:val="20"/>
        </w:rPr>
      </w:pPr>
    </w:p>
    <w:p w:rsidR="002E4C3D" w:rsidRPr="006D06E9" w:rsidRDefault="002E4C3D" w:rsidP="00A548E0">
      <w:pPr>
        <w:pStyle w:val="p10"/>
        <w:spacing w:line="240" w:lineRule="auto"/>
        <w:ind w:right="1980"/>
        <w:rPr>
          <w:rFonts w:ascii="Arial" w:hAnsi="Arial" w:cs="Arial"/>
          <w:sz w:val="20"/>
        </w:rPr>
      </w:pPr>
      <w:r w:rsidRPr="006D06E9">
        <w:rPr>
          <w:rFonts w:ascii="Arial" w:hAnsi="Arial" w:cs="Arial"/>
          <w:sz w:val="20"/>
        </w:rPr>
        <w:t xml:space="preserve">18.  </w:t>
      </w:r>
      <w:r w:rsidRPr="006D06E9">
        <w:rPr>
          <w:rFonts w:ascii="Arial" w:hAnsi="Arial" w:cs="Arial"/>
          <w:sz w:val="20"/>
          <w:u w:val="single"/>
        </w:rPr>
        <w:t>Exception to the certification statement</w:t>
      </w:r>
      <w:r w:rsidRPr="006D06E9">
        <w:rPr>
          <w:rFonts w:ascii="Arial" w:hAnsi="Arial" w:cs="Arial"/>
          <w:sz w:val="20"/>
        </w:rPr>
        <w:t>.</w:t>
      </w:r>
      <w:r w:rsidR="00A1092B">
        <w:rPr>
          <w:rFonts w:ascii="Arial" w:hAnsi="Arial" w:cs="Arial"/>
          <w:sz w:val="20"/>
        </w:rPr>
        <w:t xml:space="preserve">  </w:t>
      </w:r>
    </w:p>
    <w:p w:rsidR="002E4C3D" w:rsidRPr="006D06E9" w:rsidRDefault="002E4C3D" w:rsidP="00A548E0">
      <w:pPr>
        <w:pStyle w:val="p10"/>
        <w:spacing w:line="240" w:lineRule="auto"/>
        <w:ind w:right="1980"/>
        <w:rPr>
          <w:rFonts w:ascii="Arial" w:hAnsi="Arial" w:cs="Arial"/>
          <w:sz w:val="20"/>
          <w:u w:val="single"/>
        </w:rPr>
      </w:pPr>
    </w:p>
    <w:p w:rsidR="002E4C3D" w:rsidRPr="006D06E9" w:rsidRDefault="002E4C3D" w:rsidP="00A548E0">
      <w:pPr>
        <w:pStyle w:val="p10"/>
        <w:spacing w:line="240" w:lineRule="auto"/>
        <w:rPr>
          <w:rFonts w:ascii="Arial" w:hAnsi="Arial" w:cs="Arial"/>
          <w:sz w:val="20"/>
        </w:rPr>
      </w:pPr>
      <w:r w:rsidRPr="006D06E9">
        <w:rPr>
          <w:rFonts w:ascii="Arial" w:hAnsi="Arial" w:cs="Arial"/>
          <w:sz w:val="20"/>
        </w:rPr>
        <w:t>The Coast Guard does not request an exception to the certification of this information collection.</w:t>
      </w:r>
    </w:p>
    <w:p w:rsidR="002E4C3D" w:rsidRPr="006D06E9" w:rsidRDefault="002E4C3D" w:rsidP="00A548E0">
      <w:pPr>
        <w:pStyle w:val="p10"/>
        <w:spacing w:line="240" w:lineRule="auto"/>
        <w:ind w:right="1980"/>
        <w:rPr>
          <w:rFonts w:ascii="Arial" w:hAnsi="Arial" w:cs="Arial"/>
          <w:sz w:val="20"/>
        </w:rPr>
      </w:pPr>
    </w:p>
    <w:p w:rsidR="002E4C3D" w:rsidRPr="006D06E9" w:rsidRDefault="002E4C3D" w:rsidP="00A548E0">
      <w:pPr>
        <w:pStyle w:val="p10"/>
        <w:spacing w:line="240" w:lineRule="auto"/>
        <w:ind w:right="1980"/>
        <w:rPr>
          <w:rFonts w:ascii="Arial" w:hAnsi="Arial" w:cs="Arial"/>
          <w:sz w:val="20"/>
        </w:rPr>
      </w:pPr>
    </w:p>
    <w:p w:rsidR="002E4C3D" w:rsidRPr="00A1092B" w:rsidRDefault="002E4C3D" w:rsidP="00A548E0">
      <w:pPr>
        <w:pStyle w:val="p10"/>
        <w:tabs>
          <w:tab w:val="clear" w:pos="760"/>
        </w:tabs>
        <w:spacing w:line="240" w:lineRule="auto"/>
        <w:ind w:right="1980"/>
        <w:jc w:val="both"/>
        <w:rPr>
          <w:rFonts w:ascii="Arial" w:hAnsi="Arial" w:cs="Arial"/>
          <w:bCs/>
          <w:sz w:val="20"/>
        </w:rPr>
      </w:pPr>
      <w:r w:rsidRPr="006D06E9">
        <w:rPr>
          <w:rFonts w:ascii="Arial" w:hAnsi="Arial" w:cs="Arial"/>
          <w:b/>
          <w:bCs/>
          <w:sz w:val="20"/>
        </w:rPr>
        <w:t xml:space="preserve">B.  </w:t>
      </w:r>
      <w:r w:rsidRPr="00A1092B">
        <w:rPr>
          <w:rFonts w:ascii="Arial" w:hAnsi="Arial" w:cs="Arial"/>
          <w:b/>
          <w:bCs/>
          <w:sz w:val="20"/>
        </w:rPr>
        <w:t>Collection of Information Employing Statistical Methods</w:t>
      </w:r>
      <w:r w:rsidR="00A1092B">
        <w:rPr>
          <w:rFonts w:ascii="Arial" w:hAnsi="Arial" w:cs="Arial"/>
          <w:b/>
          <w:bCs/>
          <w:sz w:val="20"/>
        </w:rPr>
        <w:t xml:space="preserve">  </w:t>
      </w:r>
    </w:p>
    <w:p w:rsidR="002E4C3D" w:rsidRPr="006D06E9" w:rsidRDefault="002E4C3D" w:rsidP="00A548E0">
      <w:pPr>
        <w:pStyle w:val="p10"/>
        <w:spacing w:line="240" w:lineRule="auto"/>
        <w:ind w:right="1980"/>
        <w:jc w:val="both"/>
        <w:rPr>
          <w:rFonts w:ascii="Arial" w:hAnsi="Arial" w:cs="Arial"/>
          <w:sz w:val="20"/>
        </w:rPr>
      </w:pPr>
    </w:p>
    <w:p w:rsidR="00456639" w:rsidRPr="006D06E9" w:rsidRDefault="002E4C3D" w:rsidP="00A548E0">
      <w:pPr>
        <w:pStyle w:val="p10"/>
        <w:spacing w:line="240" w:lineRule="auto"/>
        <w:rPr>
          <w:rFonts w:ascii="Arial" w:hAnsi="Arial" w:cs="Arial"/>
          <w:sz w:val="20"/>
        </w:rPr>
      </w:pPr>
      <w:r w:rsidRPr="006D06E9">
        <w:rPr>
          <w:rFonts w:ascii="Arial" w:hAnsi="Arial" w:cs="Arial"/>
          <w:sz w:val="20"/>
        </w:rPr>
        <w:t>This information collection does not employ statistical methods.</w:t>
      </w:r>
    </w:p>
    <w:p w:rsidR="0022030B" w:rsidRPr="006D06E9" w:rsidRDefault="0022030B" w:rsidP="00A548E0">
      <w:pPr>
        <w:pStyle w:val="p10"/>
        <w:spacing w:line="240" w:lineRule="auto"/>
        <w:rPr>
          <w:rFonts w:ascii="Arial" w:hAnsi="Arial" w:cs="Arial"/>
          <w:sz w:val="20"/>
        </w:rPr>
      </w:pPr>
    </w:p>
    <w:sectPr w:rsidR="0022030B" w:rsidRPr="006D06E9" w:rsidSect="00411C9D">
      <w:headerReference w:type="default" r:id="rId12"/>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8F8" w:rsidRDefault="00B348F8">
      <w:r>
        <w:separator/>
      </w:r>
    </w:p>
  </w:endnote>
  <w:endnote w:type="continuationSeparator" w:id="0">
    <w:p w:rsidR="00B348F8" w:rsidRDefault="00B3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98C" w:rsidRPr="00B00CA3" w:rsidRDefault="0039598C">
    <w:pPr>
      <w:pStyle w:val="Footer"/>
      <w:jc w:val="center"/>
      <w:rPr>
        <w:rFonts w:ascii="Arial" w:hAnsi="Arial" w:cs="Arial"/>
        <w:sz w:val="20"/>
      </w:rPr>
    </w:pPr>
    <w:r w:rsidRPr="00B00CA3">
      <w:rPr>
        <w:rFonts w:ascii="Arial" w:hAnsi="Arial" w:cs="Arial"/>
        <w:sz w:val="20"/>
      </w:rPr>
      <w:fldChar w:fldCharType="begin"/>
    </w:r>
    <w:r w:rsidRPr="00B00CA3">
      <w:rPr>
        <w:rFonts w:ascii="Arial" w:hAnsi="Arial" w:cs="Arial"/>
        <w:sz w:val="20"/>
      </w:rPr>
      <w:instrText xml:space="preserve"> PAGE </w:instrText>
    </w:r>
    <w:r w:rsidRPr="00B00CA3">
      <w:rPr>
        <w:rFonts w:ascii="Arial" w:hAnsi="Arial" w:cs="Arial"/>
        <w:sz w:val="20"/>
      </w:rPr>
      <w:fldChar w:fldCharType="separate"/>
    </w:r>
    <w:r w:rsidR="006D1BB4">
      <w:rPr>
        <w:rFonts w:ascii="Arial" w:hAnsi="Arial" w:cs="Arial"/>
        <w:noProof/>
        <w:sz w:val="20"/>
      </w:rPr>
      <w:t>1</w:t>
    </w:r>
    <w:r w:rsidRPr="00B00CA3">
      <w:rPr>
        <w:rFonts w:ascii="Arial" w:hAnsi="Arial" w:cs="Arial"/>
        <w:sz w:val="20"/>
      </w:rPr>
      <w:fldChar w:fldCharType="end"/>
    </w:r>
    <w:r w:rsidRPr="00B00CA3">
      <w:rPr>
        <w:rFonts w:ascii="Arial" w:hAnsi="Arial" w:cs="Arial"/>
        <w:sz w:val="20"/>
      </w:rPr>
      <w:t xml:space="preserve"> of </w:t>
    </w:r>
    <w:r w:rsidRPr="00B00CA3">
      <w:rPr>
        <w:rFonts w:ascii="Arial" w:hAnsi="Arial" w:cs="Arial"/>
        <w:sz w:val="20"/>
      </w:rPr>
      <w:fldChar w:fldCharType="begin"/>
    </w:r>
    <w:r w:rsidRPr="00B00CA3">
      <w:rPr>
        <w:rFonts w:ascii="Arial" w:hAnsi="Arial" w:cs="Arial"/>
        <w:sz w:val="20"/>
      </w:rPr>
      <w:instrText xml:space="preserve"> NUMPAGES  </w:instrText>
    </w:r>
    <w:r w:rsidRPr="00B00CA3">
      <w:rPr>
        <w:rFonts w:ascii="Arial" w:hAnsi="Arial" w:cs="Arial"/>
        <w:sz w:val="20"/>
      </w:rPr>
      <w:fldChar w:fldCharType="separate"/>
    </w:r>
    <w:r w:rsidR="006D1BB4">
      <w:rPr>
        <w:rFonts w:ascii="Arial" w:hAnsi="Arial" w:cs="Arial"/>
        <w:noProof/>
        <w:sz w:val="20"/>
      </w:rPr>
      <w:t>3</w:t>
    </w:r>
    <w:r w:rsidRPr="00B00CA3">
      <w:rPr>
        <w:rFonts w:ascii="Arial" w:hAnsi="Arial" w:cs="Arial"/>
        <w:sz w:val="20"/>
      </w:rPr>
      <w:fldChar w:fldCharType="end"/>
    </w:r>
  </w:p>
  <w:p w:rsidR="0039598C" w:rsidRPr="00B00CA3" w:rsidRDefault="0039598C">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8F8" w:rsidRDefault="00B348F8">
      <w:r>
        <w:separator/>
      </w:r>
    </w:p>
  </w:footnote>
  <w:footnote w:type="continuationSeparator" w:id="0">
    <w:p w:rsidR="00B348F8" w:rsidRDefault="00B348F8">
      <w:r>
        <w:continuationSeparator/>
      </w:r>
    </w:p>
  </w:footnote>
  <w:footnote w:id="1">
    <w:p w:rsidR="0039598C" w:rsidRPr="00A548E0" w:rsidRDefault="0039598C">
      <w:pPr>
        <w:pStyle w:val="FootnoteText"/>
        <w:rPr>
          <w:rFonts w:ascii="Arial" w:hAnsi="Arial" w:cs="Arial"/>
          <w:sz w:val="18"/>
          <w:szCs w:val="18"/>
        </w:rPr>
      </w:pPr>
      <w:r w:rsidRPr="00A548E0">
        <w:rPr>
          <w:rStyle w:val="FootnoteReference"/>
          <w:rFonts w:ascii="Arial" w:hAnsi="Arial" w:cs="Arial"/>
          <w:sz w:val="18"/>
          <w:szCs w:val="18"/>
        </w:rPr>
        <w:footnoteRef/>
      </w:r>
      <w:r w:rsidRPr="00A548E0">
        <w:rPr>
          <w:rFonts w:ascii="Arial" w:hAnsi="Arial" w:cs="Arial"/>
          <w:sz w:val="18"/>
          <w:szCs w:val="18"/>
        </w:rPr>
        <w:t xml:space="preserve">  Of the active LNG facilities in the United States (including storage facilities), this collection is relevant to the current shoreside facilities (including expansion projects) as well as proposals for new facilities that require an initial LOI.  </w:t>
      </w:r>
    </w:p>
  </w:footnote>
  <w:footnote w:id="2">
    <w:p w:rsidR="0039598C" w:rsidRPr="00A548E0" w:rsidRDefault="0039598C" w:rsidP="006D06E9">
      <w:pPr>
        <w:rPr>
          <w:rFonts w:ascii="Arial" w:hAnsi="Arial" w:cs="Arial"/>
          <w:sz w:val="18"/>
          <w:szCs w:val="18"/>
        </w:rPr>
      </w:pPr>
      <w:r w:rsidRPr="00A548E0">
        <w:rPr>
          <w:rStyle w:val="FootnoteReference"/>
          <w:rFonts w:ascii="Arial" w:hAnsi="Arial" w:cs="Arial"/>
          <w:sz w:val="18"/>
          <w:szCs w:val="18"/>
        </w:rPr>
        <w:footnoteRef/>
      </w:r>
      <w:r w:rsidRPr="00A548E0">
        <w:rPr>
          <w:rFonts w:ascii="Arial" w:hAnsi="Arial" w:cs="Arial"/>
          <w:sz w:val="18"/>
          <w:szCs w:val="18"/>
        </w:rPr>
        <w:t xml:space="preserve">  In addition, this collection accounts for the cost and time that is required for an LNG or LHG facility to conduct and perform a WSA.  On October 18, 2005, the Federal Energy Regulatory Commission (FERC) published a final rule in the Federal Register (70 FR 60426) implementing the Energy Policy Act of 2005 and requiring pre-filing procedures for reviewing LNG terminals and other natural gas facilities.  The FERC rulemaking amended the regulations in 18 CFR parts 153 and 157 by requiring LNG and other natural gas facility owners and operators (referred to collectively herein as “LNG owners and operators”) to submit a WSA to the U.S. Coast Guard pursuant to 33 CFR 127.007 and 18 CFR 157.21(a) and (d).  </w:t>
      </w:r>
    </w:p>
  </w:footnote>
  <w:footnote w:id="3">
    <w:p w:rsidR="0039598C" w:rsidRPr="00A548E0" w:rsidRDefault="0039598C">
      <w:pPr>
        <w:pStyle w:val="FootnoteText"/>
        <w:rPr>
          <w:rFonts w:ascii="Arial" w:hAnsi="Arial" w:cs="Arial"/>
          <w:sz w:val="18"/>
          <w:szCs w:val="18"/>
        </w:rPr>
      </w:pPr>
      <w:r w:rsidRPr="00A548E0">
        <w:rPr>
          <w:rStyle w:val="FootnoteReference"/>
          <w:rFonts w:ascii="Arial" w:hAnsi="Arial" w:cs="Arial"/>
          <w:sz w:val="18"/>
          <w:szCs w:val="18"/>
        </w:rPr>
        <w:footnoteRef/>
      </w:r>
      <w:r w:rsidRPr="00A548E0">
        <w:rPr>
          <w:rFonts w:ascii="Arial" w:hAnsi="Arial" w:cs="Arial"/>
          <w:sz w:val="18"/>
          <w:szCs w:val="18"/>
        </w:rPr>
        <w:t xml:space="preserve">  Upon receiving an LNG owner or operator’s request to participate, the Director of the Commission’s Office of Energy Projects (Director) determines whether the LNG owner or operator has adequately addressed the requirements of 18 CFR part 157 and may begin the pre-filing process.  The FERC regulation requires LNG owners or operators to file their LOI and Preliminary WSA with the Coast Guard at the same time they make their initial filing with FERC per their pre-filing procedures in 18 CFR 157.21.  The LNG owner or operator must submit the LOI and the Preliminary WSA to the COTP.  Under the rules, the LOI submission requirements for an LHG facility will differ from an LNG facility.  Applicants for LHG facilities must submit an LOI to the COTP no later than the date when the applicant files their permit application with the lead State or Federal agency having jurisdiction.  However, in all cases it must be at least 1 year prior to the start of construction.  At the time the applicant submits an LOI, the applicant must also submit a Preliminary WSA to the COTP.  Finally, a Follow-on WSA must be submitted to the COTP at least 180 days prior to the start of construction.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98C" w:rsidRPr="00B00CA3" w:rsidRDefault="0039598C">
    <w:pPr>
      <w:pStyle w:val="Header"/>
      <w:rPr>
        <w:rFonts w:ascii="Arial" w:hAnsi="Arial" w:cs="Arial"/>
        <w:sz w:val="20"/>
      </w:rPr>
    </w:pPr>
    <w:r w:rsidRPr="00B00CA3">
      <w:rPr>
        <w:rFonts w:ascii="Arial" w:hAnsi="Arial" w:cs="Arial"/>
        <w:sz w:val="20"/>
      </w:rPr>
      <w:t>1625-0049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1AF"/>
    <w:multiLevelType w:val="singleLevel"/>
    <w:tmpl w:val="D584C5B8"/>
    <w:lvl w:ilvl="0">
      <w:start w:val="1"/>
      <w:numFmt w:val="decimal"/>
      <w:lvlText w:val="(%1"/>
      <w:lvlJc w:val="left"/>
      <w:pPr>
        <w:tabs>
          <w:tab w:val="num" w:pos="1170"/>
        </w:tabs>
        <w:ind w:left="1170" w:hanging="360"/>
      </w:pPr>
      <w:rPr>
        <w:rFonts w:hint="default"/>
        <w:i/>
      </w:rPr>
    </w:lvl>
  </w:abstractNum>
  <w:abstractNum w:abstractNumId="1">
    <w:nsid w:val="082E0922"/>
    <w:multiLevelType w:val="singleLevel"/>
    <w:tmpl w:val="2DF8F73E"/>
    <w:lvl w:ilvl="0">
      <w:start w:val="1"/>
      <w:numFmt w:val="decimal"/>
      <w:lvlText w:val="(%1"/>
      <w:lvlJc w:val="left"/>
      <w:pPr>
        <w:tabs>
          <w:tab w:val="num" w:pos="1170"/>
        </w:tabs>
        <w:ind w:left="1170" w:hanging="360"/>
      </w:pPr>
      <w:rPr>
        <w:rFonts w:hint="default"/>
        <w:i/>
      </w:rPr>
    </w:lvl>
  </w:abstractNum>
  <w:abstractNum w:abstractNumId="2">
    <w:nsid w:val="10A82117"/>
    <w:multiLevelType w:val="singleLevel"/>
    <w:tmpl w:val="65F28C40"/>
    <w:lvl w:ilvl="0">
      <w:start w:val="1"/>
      <w:numFmt w:val="decimal"/>
      <w:lvlText w:val="(%1"/>
      <w:lvlJc w:val="left"/>
      <w:pPr>
        <w:tabs>
          <w:tab w:val="num" w:pos="1170"/>
        </w:tabs>
        <w:ind w:left="1170" w:hanging="360"/>
      </w:pPr>
      <w:rPr>
        <w:rFonts w:hint="default"/>
        <w:i/>
      </w:rPr>
    </w:lvl>
  </w:abstractNum>
  <w:abstractNum w:abstractNumId="3">
    <w:nsid w:val="11982854"/>
    <w:multiLevelType w:val="singleLevel"/>
    <w:tmpl w:val="C0287A82"/>
    <w:lvl w:ilvl="0">
      <w:start w:val="1"/>
      <w:numFmt w:val="upperLetter"/>
      <w:lvlText w:val="%1."/>
      <w:lvlJc w:val="left"/>
      <w:pPr>
        <w:tabs>
          <w:tab w:val="num" w:pos="1170"/>
        </w:tabs>
        <w:ind w:left="1170" w:hanging="360"/>
      </w:pPr>
      <w:rPr>
        <w:rFonts w:hint="default"/>
      </w:rPr>
    </w:lvl>
  </w:abstractNum>
  <w:abstractNum w:abstractNumId="4">
    <w:nsid w:val="13472CC9"/>
    <w:multiLevelType w:val="singleLevel"/>
    <w:tmpl w:val="CA2EC222"/>
    <w:lvl w:ilvl="0">
      <w:start w:val="1"/>
      <w:numFmt w:val="decimal"/>
      <w:lvlText w:val="(%1) "/>
      <w:legacy w:legacy="1" w:legacySpace="0" w:legacyIndent="360"/>
      <w:lvlJc w:val="left"/>
      <w:pPr>
        <w:ind w:left="920" w:hanging="360"/>
      </w:pPr>
      <w:rPr>
        <w:rFonts w:ascii="Times" w:hAnsi="Times" w:hint="default"/>
        <w:b w:val="0"/>
        <w:i w:val="0"/>
        <w:sz w:val="24"/>
        <w:u w:val="none"/>
      </w:rPr>
    </w:lvl>
  </w:abstractNum>
  <w:abstractNum w:abstractNumId="5">
    <w:nsid w:val="156E41DF"/>
    <w:multiLevelType w:val="singleLevel"/>
    <w:tmpl w:val="A26C9F2E"/>
    <w:lvl w:ilvl="0">
      <w:start w:val="1"/>
      <w:numFmt w:val="bullet"/>
      <w:lvlText w:val="-"/>
      <w:lvlJc w:val="left"/>
      <w:pPr>
        <w:tabs>
          <w:tab w:val="num" w:pos="1080"/>
        </w:tabs>
        <w:ind w:left="1080" w:hanging="360"/>
      </w:pPr>
      <w:rPr>
        <w:rFonts w:hint="default"/>
      </w:rPr>
    </w:lvl>
  </w:abstractNum>
  <w:abstractNum w:abstractNumId="6">
    <w:nsid w:val="18E24D6F"/>
    <w:multiLevelType w:val="singleLevel"/>
    <w:tmpl w:val="CA2EC222"/>
    <w:lvl w:ilvl="0">
      <w:start w:val="1"/>
      <w:numFmt w:val="decimal"/>
      <w:lvlText w:val="(%1) "/>
      <w:legacy w:legacy="1" w:legacySpace="0" w:legacyIndent="360"/>
      <w:lvlJc w:val="left"/>
      <w:pPr>
        <w:ind w:left="1170" w:hanging="360"/>
      </w:pPr>
      <w:rPr>
        <w:rFonts w:ascii="Times" w:hAnsi="Times" w:hint="default"/>
        <w:b w:val="0"/>
        <w:i w:val="0"/>
        <w:sz w:val="24"/>
        <w:u w:val="none"/>
      </w:rPr>
    </w:lvl>
  </w:abstractNum>
  <w:abstractNum w:abstractNumId="7">
    <w:nsid w:val="1BDE5A49"/>
    <w:multiLevelType w:val="hybridMultilevel"/>
    <w:tmpl w:val="EBBA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E5C1F"/>
    <w:multiLevelType w:val="singleLevel"/>
    <w:tmpl w:val="BA389DC2"/>
    <w:lvl w:ilvl="0">
      <w:start w:val="1"/>
      <w:numFmt w:val="decimal"/>
      <w:lvlText w:val="(%1"/>
      <w:lvlJc w:val="left"/>
      <w:pPr>
        <w:tabs>
          <w:tab w:val="num" w:pos="1170"/>
        </w:tabs>
        <w:ind w:left="1170" w:hanging="360"/>
      </w:pPr>
      <w:rPr>
        <w:rFonts w:hint="default"/>
        <w:i/>
      </w:rPr>
    </w:lvl>
  </w:abstractNum>
  <w:abstractNum w:abstractNumId="9">
    <w:nsid w:val="20A47B09"/>
    <w:multiLevelType w:val="hybridMultilevel"/>
    <w:tmpl w:val="6CB8721C"/>
    <w:lvl w:ilvl="0" w:tplc="E89EB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B8B2A22"/>
    <w:multiLevelType w:val="hybridMultilevel"/>
    <w:tmpl w:val="17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DD017F"/>
    <w:multiLevelType w:val="singleLevel"/>
    <w:tmpl w:val="20E2C5CA"/>
    <w:lvl w:ilvl="0">
      <w:start w:val="2"/>
      <w:numFmt w:val="decimal"/>
      <w:lvlText w:val="(%1) "/>
      <w:legacy w:legacy="1" w:legacySpace="0" w:legacyIndent="360"/>
      <w:lvlJc w:val="left"/>
      <w:pPr>
        <w:ind w:left="1170" w:hanging="360"/>
      </w:pPr>
      <w:rPr>
        <w:rFonts w:ascii="Times" w:hAnsi="Times" w:hint="default"/>
        <w:b w:val="0"/>
        <w:i w:val="0"/>
        <w:sz w:val="24"/>
        <w:u w:val="none"/>
      </w:rPr>
    </w:lvl>
  </w:abstractNum>
  <w:abstractNum w:abstractNumId="13">
    <w:nsid w:val="322029AD"/>
    <w:multiLevelType w:val="singleLevel"/>
    <w:tmpl w:val="166A3D4A"/>
    <w:lvl w:ilvl="0">
      <w:start w:val="1"/>
      <w:numFmt w:val="decimal"/>
      <w:lvlText w:val="(%1"/>
      <w:lvlJc w:val="left"/>
      <w:pPr>
        <w:tabs>
          <w:tab w:val="num" w:pos="1170"/>
        </w:tabs>
        <w:ind w:left="1170" w:hanging="360"/>
      </w:pPr>
      <w:rPr>
        <w:rFonts w:hint="default"/>
        <w:i/>
      </w:rPr>
    </w:lvl>
  </w:abstractNum>
  <w:abstractNum w:abstractNumId="14">
    <w:nsid w:val="35D269A0"/>
    <w:multiLevelType w:val="singleLevel"/>
    <w:tmpl w:val="E5C2D890"/>
    <w:lvl w:ilvl="0">
      <w:start w:val="1"/>
      <w:numFmt w:val="decimal"/>
      <w:lvlText w:val="%1)"/>
      <w:lvlJc w:val="left"/>
      <w:pPr>
        <w:tabs>
          <w:tab w:val="num" w:pos="810"/>
        </w:tabs>
        <w:ind w:left="810" w:hanging="360"/>
      </w:pPr>
      <w:rPr>
        <w:rFonts w:hint="default"/>
      </w:rPr>
    </w:lvl>
  </w:abstractNum>
  <w:abstractNum w:abstractNumId="15">
    <w:nsid w:val="3A7427D5"/>
    <w:multiLevelType w:val="singleLevel"/>
    <w:tmpl w:val="A92ECFC6"/>
    <w:lvl w:ilvl="0">
      <w:start w:val="7"/>
      <w:numFmt w:val="decimal"/>
      <w:lvlText w:val="(%1) "/>
      <w:legacy w:legacy="1" w:legacySpace="0" w:legacyIndent="360"/>
      <w:lvlJc w:val="left"/>
      <w:pPr>
        <w:ind w:left="1230" w:hanging="360"/>
      </w:pPr>
      <w:rPr>
        <w:rFonts w:ascii="Times" w:hAnsi="Times" w:hint="default"/>
        <w:b w:val="0"/>
        <w:i w:val="0"/>
        <w:sz w:val="24"/>
        <w:u w:val="none"/>
      </w:rPr>
    </w:lvl>
  </w:abstractNum>
  <w:abstractNum w:abstractNumId="16">
    <w:nsid w:val="3ED82B77"/>
    <w:multiLevelType w:val="singleLevel"/>
    <w:tmpl w:val="76DAFD00"/>
    <w:lvl w:ilvl="0">
      <w:start w:val="3"/>
      <w:numFmt w:val="decimal"/>
      <w:lvlText w:val="(%1) "/>
      <w:legacy w:legacy="1" w:legacySpace="0" w:legacyIndent="360"/>
      <w:lvlJc w:val="left"/>
      <w:pPr>
        <w:ind w:left="1170" w:hanging="360"/>
      </w:pPr>
      <w:rPr>
        <w:rFonts w:ascii="Times" w:hAnsi="Times" w:hint="default"/>
        <w:b w:val="0"/>
        <w:i w:val="0"/>
        <w:sz w:val="24"/>
        <w:u w:val="none"/>
      </w:rPr>
    </w:lvl>
  </w:abstractNum>
  <w:abstractNum w:abstractNumId="17">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260AD5"/>
    <w:multiLevelType w:val="singleLevel"/>
    <w:tmpl w:val="8A4C04D4"/>
    <w:lvl w:ilvl="0">
      <w:start w:val="4"/>
      <w:numFmt w:val="decimal"/>
      <w:lvlText w:val="(%1) "/>
      <w:legacy w:legacy="1" w:legacySpace="0" w:legacyIndent="360"/>
      <w:lvlJc w:val="left"/>
      <w:pPr>
        <w:ind w:left="1170" w:hanging="360"/>
      </w:pPr>
      <w:rPr>
        <w:rFonts w:ascii="Times" w:hAnsi="Times" w:hint="default"/>
        <w:b w:val="0"/>
        <w:i w:val="0"/>
        <w:sz w:val="24"/>
        <w:u w:val="none"/>
      </w:rPr>
    </w:lvl>
  </w:abstractNum>
  <w:abstractNum w:abstractNumId="20">
    <w:nsid w:val="4DFB4D43"/>
    <w:multiLevelType w:val="singleLevel"/>
    <w:tmpl w:val="794610EA"/>
    <w:lvl w:ilvl="0">
      <w:start w:val="1"/>
      <w:numFmt w:val="decimal"/>
      <w:lvlText w:val="(%1"/>
      <w:lvlJc w:val="left"/>
      <w:pPr>
        <w:tabs>
          <w:tab w:val="num" w:pos="1170"/>
        </w:tabs>
        <w:ind w:left="1170" w:hanging="360"/>
      </w:pPr>
      <w:rPr>
        <w:rFonts w:hint="default"/>
        <w:i/>
      </w:rPr>
    </w:lvl>
  </w:abstractNum>
  <w:abstractNum w:abstractNumId="21">
    <w:nsid w:val="4E7C33A1"/>
    <w:multiLevelType w:val="singleLevel"/>
    <w:tmpl w:val="D2189006"/>
    <w:lvl w:ilvl="0">
      <w:start w:val="8"/>
      <w:numFmt w:val="upperLetter"/>
      <w:lvlText w:val="%1."/>
      <w:lvlJc w:val="left"/>
      <w:pPr>
        <w:tabs>
          <w:tab w:val="num" w:pos="1220"/>
        </w:tabs>
        <w:ind w:left="1220" w:hanging="360"/>
      </w:pPr>
      <w:rPr>
        <w:rFonts w:hint="default"/>
        <w:b/>
      </w:rPr>
    </w:lvl>
  </w:abstractNum>
  <w:abstractNum w:abstractNumId="22">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2D0377"/>
    <w:multiLevelType w:val="singleLevel"/>
    <w:tmpl w:val="357C45E0"/>
    <w:lvl w:ilvl="0">
      <w:start w:val="1"/>
      <w:numFmt w:val="decimal"/>
      <w:lvlText w:val="(%1"/>
      <w:lvlJc w:val="left"/>
      <w:pPr>
        <w:tabs>
          <w:tab w:val="num" w:pos="1170"/>
        </w:tabs>
        <w:ind w:left="1170" w:hanging="360"/>
      </w:pPr>
      <w:rPr>
        <w:rFonts w:hint="default"/>
        <w:i/>
      </w:rPr>
    </w:lvl>
  </w:abstractNum>
  <w:abstractNum w:abstractNumId="24">
    <w:nsid w:val="514466FF"/>
    <w:multiLevelType w:val="singleLevel"/>
    <w:tmpl w:val="3D7C162A"/>
    <w:lvl w:ilvl="0">
      <w:start w:val="1"/>
      <w:numFmt w:val="decimal"/>
      <w:lvlText w:val="(%1"/>
      <w:lvlJc w:val="left"/>
      <w:pPr>
        <w:tabs>
          <w:tab w:val="num" w:pos="1170"/>
        </w:tabs>
        <w:ind w:left="1170" w:hanging="360"/>
      </w:pPr>
      <w:rPr>
        <w:rFonts w:hint="default"/>
        <w:i/>
      </w:rPr>
    </w:lvl>
  </w:abstractNum>
  <w:abstractNum w:abstractNumId="25">
    <w:nsid w:val="5CA145D0"/>
    <w:multiLevelType w:val="singleLevel"/>
    <w:tmpl w:val="F10A92CA"/>
    <w:lvl w:ilvl="0">
      <w:start w:val="6"/>
      <w:numFmt w:val="upperLetter"/>
      <w:lvlText w:val="%1."/>
      <w:lvlJc w:val="left"/>
      <w:pPr>
        <w:tabs>
          <w:tab w:val="num" w:pos="920"/>
        </w:tabs>
        <w:ind w:left="920" w:hanging="360"/>
      </w:pPr>
      <w:rPr>
        <w:rFonts w:hint="default"/>
      </w:rPr>
    </w:lvl>
  </w:abstractNum>
  <w:abstractNum w:abstractNumId="26">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1E26401"/>
    <w:multiLevelType w:val="singleLevel"/>
    <w:tmpl w:val="9C725D14"/>
    <w:lvl w:ilvl="0">
      <w:start w:val="1"/>
      <w:numFmt w:val="decimal"/>
      <w:lvlText w:val="(%1"/>
      <w:lvlJc w:val="left"/>
      <w:pPr>
        <w:tabs>
          <w:tab w:val="num" w:pos="1170"/>
        </w:tabs>
        <w:ind w:left="1170" w:hanging="360"/>
      </w:pPr>
      <w:rPr>
        <w:rFonts w:hint="default"/>
        <w:i/>
      </w:rPr>
    </w:lvl>
  </w:abstractNum>
  <w:abstractNum w:abstractNumId="28">
    <w:nsid w:val="65751773"/>
    <w:multiLevelType w:val="singleLevel"/>
    <w:tmpl w:val="9C0E4218"/>
    <w:lvl w:ilvl="0">
      <w:start w:val="1"/>
      <w:numFmt w:val="upperLetter"/>
      <w:lvlText w:val="%1."/>
      <w:lvlJc w:val="left"/>
      <w:pPr>
        <w:tabs>
          <w:tab w:val="num" w:pos="1170"/>
        </w:tabs>
        <w:ind w:left="1170" w:hanging="360"/>
      </w:pPr>
      <w:rPr>
        <w:rFonts w:hint="default"/>
        <w:b/>
      </w:rPr>
    </w:lvl>
  </w:abstractNum>
  <w:abstractNum w:abstractNumId="29">
    <w:nsid w:val="70117E43"/>
    <w:multiLevelType w:val="singleLevel"/>
    <w:tmpl w:val="5776CA92"/>
    <w:lvl w:ilvl="0">
      <w:start w:val="1"/>
      <w:numFmt w:val="decimal"/>
      <w:lvlText w:val="(%1"/>
      <w:lvlJc w:val="left"/>
      <w:pPr>
        <w:tabs>
          <w:tab w:val="num" w:pos="1170"/>
        </w:tabs>
        <w:ind w:left="1170" w:hanging="360"/>
      </w:pPr>
      <w:rPr>
        <w:rFonts w:hint="default"/>
        <w:i/>
      </w:rPr>
    </w:lvl>
  </w:abstractNum>
  <w:abstractNum w:abstractNumId="30">
    <w:nsid w:val="7D533A59"/>
    <w:multiLevelType w:val="singleLevel"/>
    <w:tmpl w:val="3CDE5F90"/>
    <w:lvl w:ilvl="0">
      <w:start w:val="8"/>
      <w:numFmt w:val="upperLetter"/>
      <w:lvlText w:val="%1."/>
      <w:lvlJc w:val="left"/>
      <w:pPr>
        <w:tabs>
          <w:tab w:val="num" w:pos="1160"/>
        </w:tabs>
        <w:ind w:left="1160" w:hanging="360"/>
      </w:pPr>
      <w:rPr>
        <w:rFonts w:hint="default"/>
      </w:rPr>
    </w:lvl>
  </w:abstractNum>
  <w:num w:numId="1">
    <w:abstractNumId w:val="4"/>
  </w:num>
  <w:num w:numId="2">
    <w:abstractNumId w:val="6"/>
  </w:num>
  <w:num w:numId="3">
    <w:abstractNumId w:val="12"/>
  </w:num>
  <w:num w:numId="4">
    <w:abstractNumId w:val="16"/>
  </w:num>
  <w:num w:numId="5">
    <w:abstractNumId w:val="19"/>
  </w:num>
  <w:num w:numId="6">
    <w:abstractNumId w:val="15"/>
  </w:num>
  <w:num w:numId="7">
    <w:abstractNumId w:val="5"/>
  </w:num>
  <w:num w:numId="8">
    <w:abstractNumId w:val="14"/>
  </w:num>
  <w:num w:numId="9">
    <w:abstractNumId w:val="3"/>
  </w:num>
  <w:num w:numId="10">
    <w:abstractNumId w:val="13"/>
  </w:num>
  <w:num w:numId="11">
    <w:abstractNumId w:val="20"/>
  </w:num>
  <w:num w:numId="12">
    <w:abstractNumId w:val="2"/>
  </w:num>
  <w:num w:numId="13">
    <w:abstractNumId w:val="29"/>
  </w:num>
  <w:num w:numId="14">
    <w:abstractNumId w:val="28"/>
  </w:num>
  <w:num w:numId="15">
    <w:abstractNumId w:val="1"/>
  </w:num>
  <w:num w:numId="16">
    <w:abstractNumId w:val="27"/>
  </w:num>
  <w:num w:numId="17">
    <w:abstractNumId w:val="8"/>
  </w:num>
  <w:num w:numId="18">
    <w:abstractNumId w:val="24"/>
  </w:num>
  <w:num w:numId="19">
    <w:abstractNumId w:val="23"/>
  </w:num>
  <w:num w:numId="20">
    <w:abstractNumId w:val="0"/>
  </w:num>
  <w:num w:numId="21">
    <w:abstractNumId w:val="25"/>
  </w:num>
  <w:num w:numId="22">
    <w:abstractNumId w:val="30"/>
  </w:num>
  <w:num w:numId="23">
    <w:abstractNumId w:val="21"/>
  </w:num>
  <w:num w:numId="24">
    <w:abstractNumId w:val="17"/>
  </w:num>
  <w:num w:numId="25">
    <w:abstractNumId w:val="26"/>
  </w:num>
  <w:num w:numId="26">
    <w:abstractNumId w:val="10"/>
  </w:num>
  <w:num w:numId="27">
    <w:abstractNumId w:val="22"/>
  </w:num>
  <w:num w:numId="28">
    <w:abstractNumId w:val="11"/>
  </w:num>
  <w:num w:numId="29">
    <w:abstractNumId w:val="18"/>
  </w:num>
  <w:num w:numId="30">
    <w:abstractNumId w:val="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68"/>
    <w:rsid w:val="00013BC6"/>
    <w:rsid w:val="0001465F"/>
    <w:rsid w:val="00030473"/>
    <w:rsid w:val="00047300"/>
    <w:rsid w:val="00047699"/>
    <w:rsid w:val="000504C8"/>
    <w:rsid w:val="00053779"/>
    <w:rsid w:val="00054F38"/>
    <w:rsid w:val="00062ABE"/>
    <w:rsid w:val="000769A0"/>
    <w:rsid w:val="00077E47"/>
    <w:rsid w:val="000801BC"/>
    <w:rsid w:val="00091215"/>
    <w:rsid w:val="0009143B"/>
    <w:rsid w:val="000946BA"/>
    <w:rsid w:val="00097E68"/>
    <w:rsid w:val="00097F05"/>
    <w:rsid w:val="000A5AA7"/>
    <w:rsid w:val="000B16EE"/>
    <w:rsid w:val="000B582A"/>
    <w:rsid w:val="000B7FD2"/>
    <w:rsid w:val="000C2C07"/>
    <w:rsid w:val="000D029C"/>
    <w:rsid w:val="000D1B80"/>
    <w:rsid w:val="000D37DF"/>
    <w:rsid w:val="000E093C"/>
    <w:rsid w:val="000E32F4"/>
    <w:rsid w:val="000F1B77"/>
    <w:rsid w:val="001059C7"/>
    <w:rsid w:val="001076A7"/>
    <w:rsid w:val="0014258B"/>
    <w:rsid w:val="00146143"/>
    <w:rsid w:val="001479D6"/>
    <w:rsid w:val="00150026"/>
    <w:rsid w:val="00156025"/>
    <w:rsid w:val="001775B5"/>
    <w:rsid w:val="0019017D"/>
    <w:rsid w:val="001A2BF7"/>
    <w:rsid w:val="001A51AB"/>
    <w:rsid w:val="001B3E7B"/>
    <w:rsid w:val="001B66BB"/>
    <w:rsid w:val="001C03B4"/>
    <w:rsid w:val="001C47AF"/>
    <w:rsid w:val="001C500B"/>
    <w:rsid w:val="001C582B"/>
    <w:rsid w:val="001D1B73"/>
    <w:rsid w:val="001E15B7"/>
    <w:rsid w:val="001E692D"/>
    <w:rsid w:val="001F42A9"/>
    <w:rsid w:val="00202141"/>
    <w:rsid w:val="00213936"/>
    <w:rsid w:val="0022030B"/>
    <w:rsid w:val="00236822"/>
    <w:rsid w:val="002376D5"/>
    <w:rsid w:val="002676AF"/>
    <w:rsid w:val="002848E6"/>
    <w:rsid w:val="00293057"/>
    <w:rsid w:val="002B15CF"/>
    <w:rsid w:val="002C11D8"/>
    <w:rsid w:val="002C7FA7"/>
    <w:rsid w:val="002D0F0F"/>
    <w:rsid w:val="002D1C7C"/>
    <w:rsid w:val="002E4C3D"/>
    <w:rsid w:val="002F0206"/>
    <w:rsid w:val="002F3006"/>
    <w:rsid w:val="00302568"/>
    <w:rsid w:val="00312E58"/>
    <w:rsid w:val="00321110"/>
    <w:rsid w:val="00323EA4"/>
    <w:rsid w:val="003277EB"/>
    <w:rsid w:val="003413B8"/>
    <w:rsid w:val="003512C8"/>
    <w:rsid w:val="00371A3E"/>
    <w:rsid w:val="00394581"/>
    <w:rsid w:val="0039598C"/>
    <w:rsid w:val="003978A2"/>
    <w:rsid w:val="003A01C5"/>
    <w:rsid w:val="003B1CA3"/>
    <w:rsid w:val="003C3297"/>
    <w:rsid w:val="003C6410"/>
    <w:rsid w:val="003C6A15"/>
    <w:rsid w:val="003D0BB6"/>
    <w:rsid w:val="003D4982"/>
    <w:rsid w:val="003F3F88"/>
    <w:rsid w:val="003F6061"/>
    <w:rsid w:val="003F647D"/>
    <w:rsid w:val="00411C9D"/>
    <w:rsid w:val="00415172"/>
    <w:rsid w:val="0044155A"/>
    <w:rsid w:val="0044454D"/>
    <w:rsid w:val="00447297"/>
    <w:rsid w:val="00456420"/>
    <w:rsid w:val="00456639"/>
    <w:rsid w:val="00473027"/>
    <w:rsid w:val="0047748F"/>
    <w:rsid w:val="004A3EAD"/>
    <w:rsid w:val="004A5062"/>
    <w:rsid w:val="004C05CC"/>
    <w:rsid w:val="004C147A"/>
    <w:rsid w:val="004C77B8"/>
    <w:rsid w:val="004E0305"/>
    <w:rsid w:val="004E1B26"/>
    <w:rsid w:val="004E1E07"/>
    <w:rsid w:val="004E2F99"/>
    <w:rsid w:val="004F2967"/>
    <w:rsid w:val="005009C1"/>
    <w:rsid w:val="0050547F"/>
    <w:rsid w:val="00512A18"/>
    <w:rsid w:val="00514174"/>
    <w:rsid w:val="0052475D"/>
    <w:rsid w:val="0052776E"/>
    <w:rsid w:val="00533325"/>
    <w:rsid w:val="00535ABC"/>
    <w:rsid w:val="005452E1"/>
    <w:rsid w:val="00545632"/>
    <w:rsid w:val="00545A5C"/>
    <w:rsid w:val="00550474"/>
    <w:rsid w:val="005643D4"/>
    <w:rsid w:val="005711BF"/>
    <w:rsid w:val="0057398A"/>
    <w:rsid w:val="00576102"/>
    <w:rsid w:val="005967B9"/>
    <w:rsid w:val="005B108D"/>
    <w:rsid w:val="005B7568"/>
    <w:rsid w:val="005C068D"/>
    <w:rsid w:val="005C1488"/>
    <w:rsid w:val="005D527B"/>
    <w:rsid w:val="005E28A6"/>
    <w:rsid w:val="005E793F"/>
    <w:rsid w:val="005F7F69"/>
    <w:rsid w:val="006023A7"/>
    <w:rsid w:val="006045DB"/>
    <w:rsid w:val="00614E7B"/>
    <w:rsid w:val="00622B03"/>
    <w:rsid w:val="00630019"/>
    <w:rsid w:val="0064476A"/>
    <w:rsid w:val="00646A67"/>
    <w:rsid w:val="00655D36"/>
    <w:rsid w:val="006A7B3B"/>
    <w:rsid w:val="006B392D"/>
    <w:rsid w:val="006B79EB"/>
    <w:rsid w:val="006C1D0E"/>
    <w:rsid w:val="006C42C5"/>
    <w:rsid w:val="006D06E9"/>
    <w:rsid w:val="006D1BB4"/>
    <w:rsid w:val="006D6B06"/>
    <w:rsid w:val="007076F4"/>
    <w:rsid w:val="007112DA"/>
    <w:rsid w:val="007165CE"/>
    <w:rsid w:val="00732783"/>
    <w:rsid w:val="007341B8"/>
    <w:rsid w:val="00745CD1"/>
    <w:rsid w:val="00745DF6"/>
    <w:rsid w:val="007548EA"/>
    <w:rsid w:val="00765A59"/>
    <w:rsid w:val="007710FC"/>
    <w:rsid w:val="00771883"/>
    <w:rsid w:val="0077299B"/>
    <w:rsid w:val="00782665"/>
    <w:rsid w:val="00794034"/>
    <w:rsid w:val="00795067"/>
    <w:rsid w:val="007A2E26"/>
    <w:rsid w:val="007B0786"/>
    <w:rsid w:val="007C0CCD"/>
    <w:rsid w:val="007C5AAA"/>
    <w:rsid w:val="007C6684"/>
    <w:rsid w:val="007D108E"/>
    <w:rsid w:val="007F65EC"/>
    <w:rsid w:val="00821203"/>
    <w:rsid w:val="00823F4D"/>
    <w:rsid w:val="00843CEA"/>
    <w:rsid w:val="00845CDB"/>
    <w:rsid w:val="00852F35"/>
    <w:rsid w:val="0088566F"/>
    <w:rsid w:val="008A0CF3"/>
    <w:rsid w:val="008A4608"/>
    <w:rsid w:val="008B062D"/>
    <w:rsid w:val="008B18F4"/>
    <w:rsid w:val="008B6777"/>
    <w:rsid w:val="008C3A7D"/>
    <w:rsid w:val="008D1BE1"/>
    <w:rsid w:val="008D3B95"/>
    <w:rsid w:val="008F0AB9"/>
    <w:rsid w:val="008F3D90"/>
    <w:rsid w:val="008F5C0F"/>
    <w:rsid w:val="0090319E"/>
    <w:rsid w:val="00903B65"/>
    <w:rsid w:val="00910930"/>
    <w:rsid w:val="009217A1"/>
    <w:rsid w:val="00925AC6"/>
    <w:rsid w:val="009358B9"/>
    <w:rsid w:val="0094419E"/>
    <w:rsid w:val="00944F37"/>
    <w:rsid w:val="00951855"/>
    <w:rsid w:val="00961C61"/>
    <w:rsid w:val="00971DBE"/>
    <w:rsid w:val="00977518"/>
    <w:rsid w:val="00991708"/>
    <w:rsid w:val="0099256B"/>
    <w:rsid w:val="00992A47"/>
    <w:rsid w:val="009A3AEC"/>
    <w:rsid w:val="009B4261"/>
    <w:rsid w:val="009B61F2"/>
    <w:rsid w:val="009B7070"/>
    <w:rsid w:val="009C56C8"/>
    <w:rsid w:val="009C6A07"/>
    <w:rsid w:val="009E02AC"/>
    <w:rsid w:val="009E15CA"/>
    <w:rsid w:val="009E19AE"/>
    <w:rsid w:val="009F2DD0"/>
    <w:rsid w:val="009F3E6D"/>
    <w:rsid w:val="00A108DD"/>
    <w:rsid w:val="00A1092B"/>
    <w:rsid w:val="00A33B31"/>
    <w:rsid w:val="00A548E0"/>
    <w:rsid w:val="00A66508"/>
    <w:rsid w:val="00A8124D"/>
    <w:rsid w:val="00A84C6F"/>
    <w:rsid w:val="00A947DF"/>
    <w:rsid w:val="00A9637C"/>
    <w:rsid w:val="00AA35DC"/>
    <w:rsid w:val="00AC271A"/>
    <w:rsid w:val="00AC3EFE"/>
    <w:rsid w:val="00B000D0"/>
    <w:rsid w:val="00B00CA3"/>
    <w:rsid w:val="00B10973"/>
    <w:rsid w:val="00B1186D"/>
    <w:rsid w:val="00B161E2"/>
    <w:rsid w:val="00B341AF"/>
    <w:rsid w:val="00B348F8"/>
    <w:rsid w:val="00B550B7"/>
    <w:rsid w:val="00B56498"/>
    <w:rsid w:val="00B710A8"/>
    <w:rsid w:val="00B877D9"/>
    <w:rsid w:val="00B901AC"/>
    <w:rsid w:val="00B90D7D"/>
    <w:rsid w:val="00B96A3B"/>
    <w:rsid w:val="00BA5AD4"/>
    <w:rsid w:val="00BA65DD"/>
    <w:rsid w:val="00BA7046"/>
    <w:rsid w:val="00BB6165"/>
    <w:rsid w:val="00BC1E6B"/>
    <w:rsid w:val="00BF01D9"/>
    <w:rsid w:val="00C02A85"/>
    <w:rsid w:val="00C11730"/>
    <w:rsid w:val="00C172E7"/>
    <w:rsid w:val="00C45027"/>
    <w:rsid w:val="00C5195B"/>
    <w:rsid w:val="00C60C3D"/>
    <w:rsid w:val="00C736F6"/>
    <w:rsid w:val="00C86B14"/>
    <w:rsid w:val="00CA263B"/>
    <w:rsid w:val="00CA52B7"/>
    <w:rsid w:val="00CA767F"/>
    <w:rsid w:val="00CC477F"/>
    <w:rsid w:val="00CC7E68"/>
    <w:rsid w:val="00CE68CB"/>
    <w:rsid w:val="00CF69B5"/>
    <w:rsid w:val="00D11D45"/>
    <w:rsid w:val="00D132D2"/>
    <w:rsid w:val="00D2649D"/>
    <w:rsid w:val="00D345EB"/>
    <w:rsid w:val="00D40C19"/>
    <w:rsid w:val="00D47C60"/>
    <w:rsid w:val="00D605E9"/>
    <w:rsid w:val="00D9183C"/>
    <w:rsid w:val="00D953BA"/>
    <w:rsid w:val="00DA0734"/>
    <w:rsid w:val="00DA5A20"/>
    <w:rsid w:val="00DA7E65"/>
    <w:rsid w:val="00DC1748"/>
    <w:rsid w:val="00DC4B18"/>
    <w:rsid w:val="00DD2032"/>
    <w:rsid w:val="00DF072B"/>
    <w:rsid w:val="00E14F44"/>
    <w:rsid w:val="00E15B73"/>
    <w:rsid w:val="00E21294"/>
    <w:rsid w:val="00E30C3C"/>
    <w:rsid w:val="00E320FF"/>
    <w:rsid w:val="00E34785"/>
    <w:rsid w:val="00E35974"/>
    <w:rsid w:val="00E50E94"/>
    <w:rsid w:val="00E52E49"/>
    <w:rsid w:val="00E65512"/>
    <w:rsid w:val="00EA2C9E"/>
    <w:rsid w:val="00EB00DC"/>
    <w:rsid w:val="00EC7833"/>
    <w:rsid w:val="00EE3DE7"/>
    <w:rsid w:val="00EF3194"/>
    <w:rsid w:val="00F02E9D"/>
    <w:rsid w:val="00F10E36"/>
    <w:rsid w:val="00F11B64"/>
    <w:rsid w:val="00F16E2D"/>
    <w:rsid w:val="00F254AD"/>
    <w:rsid w:val="00F3158A"/>
    <w:rsid w:val="00F36895"/>
    <w:rsid w:val="00F662C7"/>
    <w:rsid w:val="00F77CDE"/>
    <w:rsid w:val="00FB585A"/>
    <w:rsid w:val="00FB6362"/>
    <w:rsid w:val="00FC3B28"/>
    <w:rsid w:val="00FC4F8D"/>
    <w:rsid w:val="00FC5094"/>
    <w:rsid w:val="00FC7FE0"/>
    <w:rsid w:val="00FD4FE4"/>
    <w:rsid w:val="00FE4064"/>
    <w:rsid w:val="00FE6B18"/>
    <w:rsid w:val="00FF18E6"/>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Times" w:hAnsi="Times"/>
      <w:sz w:val="24"/>
    </w:rPr>
  </w:style>
  <w:style w:type="paragraph" w:styleId="Heading1">
    <w:name w:val="heading 1"/>
    <w:basedOn w:val="Normal"/>
    <w:next w:val="Normal"/>
    <w:qFormat/>
    <w:pPr>
      <w:keepNext/>
      <w:ind w:left="36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tabs>
        <w:tab w:val="left" w:pos="540"/>
        <w:tab w:val="decimal" w:pos="1780"/>
        <w:tab w:val="decimal" w:pos="3080"/>
        <w:tab w:val="decimal" w:pos="4420"/>
        <w:tab w:val="left" w:pos="5360"/>
      </w:tabs>
      <w:spacing w:line="240" w:lineRule="atLeast"/>
    </w:pPr>
  </w:style>
  <w:style w:type="paragraph" w:customStyle="1" w:styleId="c2">
    <w:name w:val="c2"/>
    <w:basedOn w:val="Normal"/>
    <w:pPr>
      <w:spacing w:line="240" w:lineRule="atLeast"/>
      <w:jc w:val="center"/>
    </w:pPr>
  </w:style>
  <w:style w:type="paragraph" w:customStyle="1" w:styleId="p3">
    <w:name w:val="p3"/>
    <w:basedOn w:val="Normal"/>
    <w:pPr>
      <w:tabs>
        <w:tab w:val="left" w:pos="720"/>
      </w:tabs>
      <w:spacing w:line="240" w:lineRule="atLeast"/>
    </w:pPr>
  </w:style>
  <w:style w:type="paragraph" w:customStyle="1" w:styleId="p4">
    <w:name w:val="p4"/>
    <w:basedOn w:val="Normal"/>
    <w:pPr>
      <w:tabs>
        <w:tab w:val="left" w:pos="680"/>
      </w:tabs>
      <w:spacing w:line="240" w:lineRule="atLeast"/>
    </w:pPr>
  </w:style>
  <w:style w:type="paragraph" w:customStyle="1" w:styleId="p5">
    <w:name w:val="p5"/>
    <w:basedOn w:val="Normal"/>
    <w:pPr>
      <w:tabs>
        <w:tab w:val="left" w:pos="680"/>
      </w:tabs>
      <w:spacing w:line="240" w:lineRule="atLeast"/>
      <w:ind w:firstLine="680"/>
    </w:pPr>
  </w:style>
  <w:style w:type="paragraph" w:customStyle="1" w:styleId="p6">
    <w:name w:val="p6"/>
    <w:basedOn w:val="Normal"/>
    <w:pPr>
      <w:tabs>
        <w:tab w:val="left" w:pos="0"/>
        <w:tab w:val="left" w:pos="1140"/>
      </w:tabs>
      <w:spacing w:line="240" w:lineRule="atLeast"/>
      <w:ind w:firstLine="560"/>
    </w:pPr>
  </w:style>
  <w:style w:type="paragraph" w:customStyle="1" w:styleId="c7">
    <w:name w:val="c7"/>
    <w:basedOn w:val="Normal"/>
    <w:pPr>
      <w:spacing w:line="240" w:lineRule="atLeast"/>
      <w:jc w:val="center"/>
    </w:pPr>
  </w:style>
  <w:style w:type="paragraph" w:customStyle="1" w:styleId="p8">
    <w:name w:val="p8"/>
    <w:basedOn w:val="Normal"/>
    <w:pPr>
      <w:tabs>
        <w:tab w:val="left" w:pos="560"/>
      </w:tabs>
      <w:spacing w:line="240" w:lineRule="atLeast"/>
      <w:ind w:firstLine="560"/>
    </w:pPr>
  </w:style>
  <w:style w:type="paragraph" w:customStyle="1" w:styleId="c9">
    <w:name w:val="c9"/>
    <w:basedOn w:val="Normal"/>
    <w:pPr>
      <w:spacing w:line="240" w:lineRule="atLeast"/>
      <w:jc w:val="center"/>
    </w:pPr>
  </w:style>
  <w:style w:type="paragraph" w:customStyle="1" w:styleId="p10">
    <w:name w:val="p10"/>
    <w:basedOn w:val="Normal"/>
    <w:pPr>
      <w:tabs>
        <w:tab w:val="left" w:pos="760"/>
      </w:tabs>
      <w:spacing w:line="240" w:lineRule="atLeast"/>
    </w:pPr>
  </w:style>
  <w:style w:type="paragraph" w:customStyle="1" w:styleId="t11">
    <w:name w:val="t11"/>
    <w:basedOn w:val="Normal"/>
    <w:pPr>
      <w:tabs>
        <w:tab w:val="left" w:pos="1160"/>
        <w:tab w:val="left" w:pos="2920"/>
        <w:tab w:val="decimal" w:pos="8060"/>
      </w:tabs>
      <w:spacing w:line="240" w:lineRule="atLeast"/>
    </w:pPr>
  </w:style>
  <w:style w:type="paragraph" w:customStyle="1" w:styleId="t13">
    <w:name w:val="t13"/>
    <w:basedOn w:val="Normal"/>
    <w:pPr>
      <w:tabs>
        <w:tab w:val="left" w:pos="1160"/>
        <w:tab w:val="right" w:pos="8500"/>
      </w:tabs>
      <w:spacing w:line="240" w:lineRule="atLeast"/>
    </w:pPr>
  </w:style>
  <w:style w:type="paragraph" w:customStyle="1" w:styleId="t14">
    <w:name w:val="t14"/>
    <w:basedOn w:val="Normal"/>
    <w:pPr>
      <w:tabs>
        <w:tab w:val="left" w:pos="1160"/>
        <w:tab w:val="left" w:pos="2920"/>
        <w:tab w:val="decimal" w:pos="8060"/>
      </w:tabs>
      <w:spacing w:line="240" w:lineRule="atLeast"/>
    </w:pPr>
  </w:style>
  <w:style w:type="paragraph" w:customStyle="1" w:styleId="t15">
    <w:name w:val="t15"/>
    <w:basedOn w:val="Normal"/>
    <w:pPr>
      <w:tabs>
        <w:tab w:val="left" w:pos="1160"/>
        <w:tab w:val="left" w:pos="4940"/>
        <w:tab w:val="decimal" w:pos="8060"/>
      </w:tabs>
      <w:spacing w:line="240" w:lineRule="atLeast"/>
    </w:pPr>
  </w:style>
  <w:style w:type="paragraph" w:customStyle="1" w:styleId="p16">
    <w:name w:val="p16"/>
    <w:basedOn w:val="Normal"/>
    <w:pPr>
      <w:tabs>
        <w:tab w:val="left" w:pos="0"/>
        <w:tab w:val="left" w:pos="1300"/>
      </w:tabs>
      <w:spacing w:line="240" w:lineRule="atLeast"/>
      <w:ind w:firstLine="560"/>
    </w:pPr>
  </w:style>
  <w:style w:type="paragraph" w:customStyle="1" w:styleId="p17">
    <w:name w:val="p17"/>
    <w:basedOn w:val="Normal"/>
    <w:pPr>
      <w:tabs>
        <w:tab w:val="left" w:pos="7560"/>
      </w:tabs>
      <w:spacing w:line="240" w:lineRule="atLeast"/>
      <w:ind w:left="1140"/>
    </w:pPr>
  </w:style>
  <w:style w:type="paragraph" w:customStyle="1" w:styleId="t18">
    <w:name w:val="t18"/>
    <w:basedOn w:val="Normal"/>
    <w:pPr>
      <w:tabs>
        <w:tab w:val="left" w:pos="1160"/>
        <w:tab w:val="left" w:pos="4060"/>
        <w:tab w:val="left" w:pos="6400"/>
        <w:tab w:val="decimal" w:pos="7480"/>
      </w:tabs>
      <w:spacing w:line="240" w:lineRule="atLeast"/>
    </w:pPr>
  </w:style>
  <w:style w:type="paragraph" w:customStyle="1" w:styleId="t19">
    <w:name w:val="t19"/>
    <w:basedOn w:val="Normal"/>
    <w:pPr>
      <w:tabs>
        <w:tab w:val="decimal" w:pos="1280"/>
        <w:tab w:val="right" w:pos="6920"/>
        <w:tab w:val="decimal" w:pos="8060"/>
      </w:tabs>
      <w:spacing w:line="240" w:lineRule="atLeast"/>
    </w:pPr>
  </w:style>
  <w:style w:type="paragraph" w:customStyle="1" w:styleId="t20">
    <w:name w:val="t20"/>
    <w:basedOn w:val="Normal"/>
    <w:pPr>
      <w:tabs>
        <w:tab w:val="left" w:pos="1160"/>
        <w:tab w:val="decimal" w:pos="7480"/>
      </w:tabs>
      <w:spacing w:line="240" w:lineRule="atLeast"/>
    </w:pPr>
  </w:style>
  <w:style w:type="paragraph" w:customStyle="1" w:styleId="p21">
    <w:name w:val="p21"/>
    <w:basedOn w:val="Normal"/>
    <w:pPr>
      <w:spacing w:line="240" w:lineRule="atLeast"/>
      <w:ind w:left="1140"/>
    </w:pPr>
  </w:style>
  <w:style w:type="paragraph" w:customStyle="1" w:styleId="p22">
    <w:name w:val="p22"/>
    <w:basedOn w:val="Normal"/>
    <w:pPr>
      <w:tabs>
        <w:tab w:val="left" w:pos="0"/>
      </w:tabs>
      <w:spacing w:line="240" w:lineRule="atLeast"/>
      <w:ind w:left="6320" w:hanging="5280"/>
    </w:pPr>
  </w:style>
  <w:style w:type="paragraph" w:customStyle="1" w:styleId="t23">
    <w:name w:val="t23"/>
    <w:basedOn w:val="Normal"/>
    <w:pPr>
      <w:tabs>
        <w:tab w:val="right" w:pos="8500"/>
      </w:tabs>
      <w:spacing w:line="240" w:lineRule="atLeast"/>
    </w:pPr>
  </w:style>
  <w:style w:type="paragraph" w:customStyle="1" w:styleId="t24">
    <w:name w:val="t24"/>
    <w:basedOn w:val="Normal"/>
    <w:pPr>
      <w:tabs>
        <w:tab w:val="decimal" w:pos="8060"/>
      </w:tabs>
      <w:spacing w:line="240" w:lineRule="atLeast"/>
    </w:pPr>
  </w:style>
  <w:style w:type="paragraph" w:customStyle="1" w:styleId="t25">
    <w:name w:val="t25"/>
    <w:basedOn w:val="Normal"/>
    <w:pPr>
      <w:tabs>
        <w:tab w:val="decimal" w:pos="8060"/>
      </w:tabs>
      <w:spacing w:line="240" w:lineRule="atLeast"/>
    </w:pPr>
  </w:style>
  <w:style w:type="paragraph" w:customStyle="1" w:styleId="t26">
    <w:name w:val="t26"/>
    <w:basedOn w:val="Normal"/>
    <w:pPr>
      <w:tabs>
        <w:tab w:val="decimal" w:pos="8060"/>
      </w:tabs>
      <w:spacing w:line="240" w:lineRule="atLeast"/>
    </w:pPr>
  </w:style>
  <w:style w:type="paragraph" w:customStyle="1" w:styleId="t28">
    <w:name w:val="t28"/>
    <w:basedOn w:val="Normal"/>
    <w:pPr>
      <w:tabs>
        <w:tab w:val="left" w:pos="7440"/>
        <w:tab w:val="decimal" w:pos="8340"/>
      </w:tabs>
      <w:spacing w:line="240" w:lineRule="atLeast"/>
    </w:pPr>
  </w:style>
  <w:style w:type="paragraph" w:customStyle="1" w:styleId="p29">
    <w:name w:val="p29"/>
    <w:basedOn w:val="Normal"/>
    <w:pPr>
      <w:tabs>
        <w:tab w:val="left" w:pos="0"/>
      </w:tabs>
      <w:spacing w:line="240" w:lineRule="atLeast"/>
      <w:ind w:left="7660" w:hanging="6520"/>
    </w:pPr>
  </w:style>
  <w:style w:type="paragraph" w:customStyle="1" w:styleId="t30">
    <w:name w:val="t30"/>
    <w:basedOn w:val="Normal"/>
    <w:pPr>
      <w:tabs>
        <w:tab w:val="left" w:pos="8180"/>
        <w:tab w:val="right" w:pos="9460"/>
      </w:tabs>
      <w:spacing w:line="240" w:lineRule="atLeast"/>
    </w:pPr>
  </w:style>
  <w:style w:type="paragraph" w:customStyle="1" w:styleId="t31">
    <w:name w:val="t31"/>
    <w:basedOn w:val="Normal"/>
    <w:pPr>
      <w:tabs>
        <w:tab w:val="decimal" w:pos="9120"/>
      </w:tabs>
      <w:spacing w:line="240" w:lineRule="atLeast"/>
    </w:pPr>
  </w:style>
  <w:style w:type="paragraph" w:customStyle="1" w:styleId="t32">
    <w:name w:val="t32"/>
    <w:basedOn w:val="Normal"/>
    <w:pPr>
      <w:tabs>
        <w:tab w:val="left" w:pos="8560"/>
        <w:tab w:val="decimal" w:pos="9700"/>
      </w:tabs>
      <w:spacing w:line="240" w:lineRule="atLeast"/>
    </w:pPr>
  </w:style>
  <w:style w:type="paragraph" w:customStyle="1" w:styleId="t33">
    <w:name w:val="t33"/>
    <w:basedOn w:val="Normal"/>
    <w:pPr>
      <w:tabs>
        <w:tab w:val="decimal" w:pos="920"/>
        <w:tab w:val="decimal" w:pos="9120"/>
      </w:tabs>
      <w:spacing w:line="240" w:lineRule="atLeast"/>
    </w:pPr>
  </w:style>
  <w:style w:type="paragraph" w:customStyle="1" w:styleId="p34">
    <w:name w:val="p34"/>
    <w:basedOn w:val="Normal"/>
    <w:pPr>
      <w:tabs>
        <w:tab w:val="left" w:pos="0"/>
      </w:tabs>
      <w:spacing w:line="240" w:lineRule="atLeast"/>
      <w:ind w:left="8180" w:hanging="6880"/>
    </w:pPr>
  </w:style>
  <w:style w:type="paragraph" w:customStyle="1" w:styleId="p35">
    <w:name w:val="p35"/>
    <w:basedOn w:val="Normal"/>
    <w:pPr>
      <w:tabs>
        <w:tab w:val="left" w:pos="0"/>
        <w:tab w:val="left" w:pos="1140"/>
      </w:tabs>
      <w:spacing w:line="480" w:lineRule="atLeast"/>
      <w:ind w:left="560" w:firstLine="580"/>
    </w:pPr>
  </w:style>
  <w:style w:type="paragraph" w:customStyle="1" w:styleId="p36">
    <w:name w:val="p36"/>
    <w:basedOn w:val="Normal"/>
    <w:pPr>
      <w:tabs>
        <w:tab w:val="left" w:pos="560"/>
      </w:tabs>
      <w:spacing w:line="240" w:lineRule="atLeast"/>
    </w:pPr>
  </w:style>
  <w:style w:type="paragraph" w:customStyle="1" w:styleId="t37">
    <w:name w:val="t37"/>
    <w:basedOn w:val="Normal"/>
    <w:pPr>
      <w:tabs>
        <w:tab w:val="decimal" w:pos="920"/>
        <w:tab w:val="left" w:pos="1160"/>
        <w:tab w:val="decimal" w:pos="8340"/>
      </w:tabs>
      <w:spacing w:line="240" w:lineRule="atLeast"/>
    </w:pPr>
  </w:style>
  <w:style w:type="paragraph" w:customStyle="1" w:styleId="t38">
    <w:name w:val="t38"/>
    <w:basedOn w:val="Normal"/>
    <w:pPr>
      <w:tabs>
        <w:tab w:val="left" w:pos="4740"/>
        <w:tab w:val="decimal" w:pos="8340"/>
      </w:tabs>
      <w:spacing w:line="240" w:lineRule="atLeast"/>
    </w:pPr>
  </w:style>
  <w:style w:type="paragraph" w:customStyle="1" w:styleId="p39">
    <w:name w:val="p39"/>
    <w:basedOn w:val="Normal"/>
    <w:pPr>
      <w:tabs>
        <w:tab w:val="left" w:pos="2820"/>
      </w:tabs>
      <w:spacing w:line="240" w:lineRule="atLeast"/>
    </w:pPr>
  </w:style>
  <w:style w:type="paragraph" w:customStyle="1" w:styleId="t40">
    <w:name w:val="t40"/>
    <w:basedOn w:val="Normal"/>
    <w:pPr>
      <w:tabs>
        <w:tab w:val="decimal" w:pos="660"/>
        <w:tab w:val="left" w:pos="1160"/>
        <w:tab w:val="decimal" w:pos="8760"/>
        <w:tab w:val="left" w:pos="8880"/>
      </w:tabs>
      <w:spacing w:line="240" w:lineRule="atLeast"/>
    </w:pPr>
  </w:style>
  <w:style w:type="paragraph" w:customStyle="1" w:styleId="t41">
    <w:name w:val="t41"/>
    <w:basedOn w:val="Normal"/>
    <w:pPr>
      <w:tabs>
        <w:tab w:val="decimal" w:pos="660"/>
        <w:tab w:val="left" w:pos="1160"/>
        <w:tab w:val="right" w:pos="9700"/>
      </w:tabs>
      <w:spacing w:line="240" w:lineRule="atLeast"/>
    </w:pPr>
  </w:style>
  <w:style w:type="paragraph" w:customStyle="1" w:styleId="t42">
    <w:name w:val="t42"/>
    <w:basedOn w:val="Normal"/>
    <w:pPr>
      <w:tabs>
        <w:tab w:val="decimal" w:pos="660"/>
        <w:tab w:val="left" w:pos="1160"/>
        <w:tab w:val="left" w:pos="4940"/>
        <w:tab w:val="decimal" w:pos="8780"/>
      </w:tabs>
      <w:spacing w:line="240" w:lineRule="atLeast"/>
    </w:pPr>
  </w:style>
  <w:style w:type="paragraph" w:customStyle="1" w:styleId="t43">
    <w:name w:val="t43"/>
    <w:basedOn w:val="Normal"/>
    <w:pPr>
      <w:tabs>
        <w:tab w:val="decimal" w:pos="3940"/>
      </w:tabs>
      <w:spacing w:line="240" w:lineRule="atLeast"/>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5967B9"/>
    <w:rPr>
      <w:rFonts w:ascii="Tahoma" w:hAnsi="Tahoma" w:cs="Tahoma"/>
      <w:sz w:val="16"/>
      <w:szCs w:val="16"/>
    </w:rPr>
  </w:style>
  <w:style w:type="paragraph" w:styleId="FootnoteText">
    <w:name w:val="footnote text"/>
    <w:basedOn w:val="Normal"/>
    <w:semiHidden/>
    <w:rsid w:val="00732783"/>
    <w:rPr>
      <w:sz w:val="20"/>
    </w:rPr>
  </w:style>
  <w:style w:type="character" w:styleId="FootnoteReference">
    <w:name w:val="footnote reference"/>
    <w:semiHidden/>
    <w:rsid w:val="00732783"/>
    <w:rPr>
      <w:vertAlign w:val="superscript"/>
    </w:rPr>
  </w:style>
  <w:style w:type="character" w:styleId="Hyperlink">
    <w:name w:val="Hyperlink"/>
    <w:rsid w:val="00B000D0"/>
    <w:rPr>
      <w:color w:val="0000FF"/>
      <w:u w:val="single"/>
    </w:rPr>
  </w:style>
  <w:style w:type="character" w:styleId="CommentReference">
    <w:name w:val="annotation reference"/>
    <w:semiHidden/>
    <w:rsid w:val="00CF69B5"/>
    <w:rPr>
      <w:sz w:val="16"/>
      <w:szCs w:val="16"/>
    </w:rPr>
  </w:style>
  <w:style w:type="paragraph" w:styleId="CommentText">
    <w:name w:val="annotation text"/>
    <w:basedOn w:val="Normal"/>
    <w:link w:val="CommentTextChar"/>
    <w:semiHidden/>
    <w:rsid w:val="00CF69B5"/>
    <w:pPr>
      <w:widowControl/>
    </w:pPr>
    <w:rPr>
      <w:rFonts w:ascii="Times New Roman" w:hAnsi="Times New Roman"/>
      <w:sz w:val="20"/>
    </w:rPr>
  </w:style>
  <w:style w:type="paragraph" w:styleId="CommentSubject">
    <w:name w:val="annotation subject"/>
    <w:basedOn w:val="CommentText"/>
    <w:next w:val="CommentText"/>
    <w:link w:val="CommentSubjectChar"/>
    <w:rsid w:val="001775B5"/>
    <w:pPr>
      <w:widowControl w:val="0"/>
    </w:pPr>
    <w:rPr>
      <w:rFonts w:ascii="Times" w:hAnsi="Times"/>
      <w:b/>
      <w:bCs/>
    </w:rPr>
  </w:style>
  <w:style w:type="character" w:customStyle="1" w:styleId="CommentTextChar">
    <w:name w:val="Comment Text Char"/>
    <w:basedOn w:val="DefaultParagraphFont"/>
    <w:link w:val="CommentText"/>
    <w:semiHidden/>
    <w:rsid w:val="001775B5"/>
  </w:style>
  <w:style w:type="character" w:customStyle="1" w:styleId="CommentSubjectChar">
    <w:name w:val="Comment Subject Char"/>
    <w:basedOn w:val="CommentTextChar"/>
    <w:link w:val="CommentSubject"/>
    <w:rsid w:val="001775B5"/>
  </w:style>
  <w:style w:type="character" w:customStyle="1" w:styleId="FooterChar">
    <w:name w:val="Footer Char"/>
    <w:link w:val="Footer"/>
    <w:uiPriority w:val="99"/>
    <w:rsid w:val="001C582B"/>
    <w:rPr>
      <w:rFonts w:ascii="Times" w:hAnsi="Times"/>
      <w:sz w:val="24"/>
    </w:rPr>
  </w:style>
  <w:style w:type="character" w:styleId="FollowedHyperlink">
    <w:name w:val="FollowedHyperlink"/>
    <w:rsid w:val="003D4982"/>
    <w:rPr>
      <w:color w:val="800080"/>
      <w:u w:val="single"/>
    </w:rPr>
  </w:style>
  <w:style w:type="paragraph" w:styleId="BodyTextIndent">
    <w:name w:val="Body Text Indent"/>
    <w:basedOn w:val="Normal"/>
    <w:link w:val="BodyTextIndentChar"/>
    <w:rsid w:val="008F3D90"/>
    <w:pPr>
      <w:widowControl/>
      <w:ind w:left="450" w:hanging="450"/>
    </w:pPr>
    <w:rPr>
      <w:rFonts w:ascii="Courier New" w:hAnsi="Courier New"/>
      <w:sz w:val="20"/>
    </w:rPr>
  </w:style>
  <w:style w:type="character" w:customStyle="1" w:styleId="BodyTextIndentChar">
    <w:name w:val="Body Text Indent Char"/>
    <w:link w:val="BodyTextIndent"/>
    <w:rsid w:val="008F3D90"/>
    <w:rPr>
      <w:rFonts w:ascii="Courier New" w:hAnsi="Courier New"/>
    </w:rPr>
  </w:style>
  <w:style w:type="paragraph" w:styleId="EndnoteText">
    <w:name w:val="endnote text"/>
    <w:basedOn w:val="Normal"/>
    <w:link w:val="EndnoteTextChar"/>
    <w:rsid w:val="000C2C07"/>
    <w:rPr>
      <w:sz w:val="20"/>
    </w:rPr>
  </w:style>
  <w:style w:type="character" w:customStyle="1" w:styleId="EndnoteTextChar">
    <w:name w:val="Endnote Text Char"/>
    <w:link w:val="EndnoteText"/>
    <w:rsid w:val="000C2C07"/>
    <w:rPr>
      <w:rFonts w:ascii="Times" w:hAnsi="Times"/>
    </w:rPr>
  </w:style>
  <w:style w:type="character" w:styleId="EndnoteReference">
    <w:name w:val="endnote reference"/>
    <w:rsid w:val="000C2C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Times" w:hAnsi="Times"/>
      <w:sz w:val="24"/>
    </w:rPr>
  </w:style>
  <w:style w:type="paragraph" w:styleId="Heading1">
    <w:name w:val="heading 1"/>
    <w:basedOn w:val="Normal"/>
    <w:next w:val="Normal"/>
    <w:qFormat/>
    <w:pPr>
      <w:keepNext/>
      <w:ind w:left="36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tabs>
        <w:tab w:val="left" w:pos="540"/>
        <w:tab w:val="decimal" w:pos="1780"/>
        <w:tab w:val="decimal" w:pos="3080"/>
        <w:tab w:val="decimal" w:pos="4420"/>
        <w:tab w:val="left" w:pos="5360"/>
      </w:tabs>
      <w:spacing w:line="240" w:lineRule="atLeast"/>
    </w:pPr>
  </w:style>
  <w:style w:type="paragraph" w:customStyle="1" w:styleId="c2">
    <w:name w:val="c2"/>
    <w:basedOn w:val="Normal"/>
    <w:pPr>
      <w:spacing w:line="240" w:lineRule="atLeast"/>
      <w:jc w:val="center"/>
    </w:pPr>
  </w:style>
  <w:style w:type="paragraph" w:customStyle="1" w:styleId="p3">
    <w:name w:val="p3"/>
    <w:basedOn w:val="Normal"/>
    <w:pPr>
      <w:tabs>
        <w:tab w:val="left" w:pos="720"/>
      </w:tabs>
      <w:spacing w:line="240" w:lineRule="atLeast"/>
    </w:pPr>
  </w:style>
  <w:style w:type="paragraph" w:customStyle="1" w:styleId="p4">
    <w:name w:val="p4"/>
    <w:basedOn w:val="Normal"/>
    <w:pPr>
      <w:tabs>
        <w:tab w:val="left" w:pos="680"/>
      </w:tabs>
      <w:spacing w:line="240" w:lineRule="atLeast"/>
    </w:pPr>
  </w:style>
  <w:style w:type="paragraph" w:customStyle="1" w:styleId="p5">
    <w:name w:val="p5"/>
    <w:basedOn w:val="Normal"/>
    <w:pPr>
      <w:tabs>
        <w:tab w:val="left" w:pos="680"/>
      </w:tabs>
      <w:spacing w:line="240" w:lineRule="atLeast"/>
      <w:ind w:firstLine="680"/>
    </w:pPr>
  </w:style>
  <w:style w:type="paragraph" w:customStyle="1" w:styleId="p6">
    <w:name w:val="p6"/>
    <w:basedOn w:val="Normal"/>
    <w:pPr>
      <w:tabs>
        <w:tab w:val="left" w:pos="0"/>
        <w:tab w:val="left" w:pos="1140"/>
      </w:tabs>
      <w:spacing w:line="240" w:lineRule="atLeast"/>
      <w:ind w:firstLine="560"/>
    </w:pPr>
  </w:style>
  <w:style w:type="paragraph" w:customStyle="1" w:styleId="c7">
    <w:name w:val="c7"/>
    <w:basedOn w:val="Normal"/>
    <w:pPr>
      <w:spacing w:line="240" w:lineRule="atLeast"/>
      <w:jc w:val="center"/>
    </w:pPr>
  </w:style>
  <w:style w:type="paragraph" w:customStyle="1" w:styleId="p8">
    <w:name w:val="p8"/>
    <w:basedOn w:val="Normal"/>
    <w:pPr>
      <w:tabs>
        <w:tab w:val="left" w:pos="560"/>
      </w:tabs>
      <w:spacing w:line="240" w:lineRule="atLeast"/>
      <w:ind w:firstLine="560"/>
    </w:pPr>
  </w:style>
  <w:style w:type="paragraph" w:customStyle="1" w:styleId="c9">
    <w:name w:val="c9"/>
    <w:basedOn w:val="Normal"/>
    <w:pPr>
      <w:spacing w:line="240" w:lineRule="atLeast"/>
      <w:jc w:val="center"/>
    </w:pPr>
  </w:style>
  <w:style w:type="paragraph" w:customStyle="1" w:styleId="p10">
    <w:name w:val="p10"/>
    <w:basedOn w:val="Normal"/>
    <w:pPr>
      <w:tabs>
        <w:tab w:val="left" w:pos="760"/>
      </w:tabs>
      <w:spacing w:line="240" w:lineRule="atLeast"/>
    </w:pPr>
  </w:style>
  <w:style w:type="paragraph" w:customStyle="1" w:styleId="t11">
    <w:name w:val="t11"/>
    <w:basedOn w:val="Normal"/>
    <w:pPr>
      <w:tabs>
        <w:tab w:val="left" w:pos="1160"/>
        <w:tab w:val="left" w:pos="2920"/>
        <w:tab w:val="decimal" w:pos="8060"/>
      </w:tabs>
      <w:spacing w:line="240" w:lineRule="atLeast"/>
    </w:pPr>
  </w:style>
  <w:style w:type="paragraph" w:customStyle="1" w:styleId="t13">
    <w:name w:val="t13"/>
    <w:basedOn w:val="Normal"/>
    <w:pPr>
      <w:tabs>
        <w:tab w:val="left" w:pos="1160"/>
        <w:tab w:val="right" w:pos="8500"/>
      </w:tabs>
      <w:spacing w:line="240" w:lineRule="atLeast"/>
    </w:pPr>
  </w:style>
  <w:style w:type="paragraph" w:customStyle="1" w:styleId="t14">
    <w:name w:val="t14"/>
    <w:basedOn w:val="Normal"/>
    <w:pPr>
      <w:tabs>
        <w:tab w:val="left" w:pos="1160"/>
        <w:tab w:val="left" w:pos="2920"/>
        <w:tab w:val="decimal" w:pos="8060"/>
      </w:tabs>
      <w:spacing w:line="240" w:lineRule="atLeast"/>
    </w:pPr>
  </w:style>
  <w:style w:type="paragraph" w:customStyle="1" w:styleId="t15">
    <w:name w:val="t15"/>
    <w:basedOn w:val="Normal"/>
    <w:pPr>
      <w:tabs>
        <w:tab w:val="left" w:pos="1160"/>
        <w:tab w:val="left" w:pos="4940"/>
        <w:tab w:val="decimal" w:pos="8060"/>
      </w:tabs>
      <w:spacing w:line="240" w:lineRule="atLeast"/>
    </w:pPr>
  </w:style>
  <w:style w:type="paragraph" w:customStyle="1" w:styleId="p16">
    <w:name w:val="p16"/>
    <w:basedOn w:val="Normal"/>
    <w:pPr>
      <w:tabs>
        <w:tab w:val="left" w:pos="0"/>
        <w:tab w:val="left" w:pos="1300"/>
      </w:tabs>
      <w:spacing w:line="240" w:lineRule="atLeast"/>
      <w:ind w:firstLine="560"/>
    </w:pPr>
  </w:style>
  <w:style w:type="paragraph" w:customStyle="1" w:styleId="p17">
    <w:name w:val="p17"/>
    <w:basedOn w:val="Normal"/>
    <w:pPr>
      <w:tabs>
        <w:tab w:val="left" w:pos="7560"/>
      </w:tabs>
      <w:spacing w:line="240" w:lineRule="atLeast"/>
      <w:ind w:left="1140"/>
    </w:pPr>
  </w:style>
  <w:style w:type="paragraph" w:customStyle="1" w:styleId="t18">
    <w:name w:val="t18"/>
    <w:basedOn w:val="Normal"/>
    <w:pPr>
      <w:tabs>
        <w:tab w:val="left" w:pos="1160"/>
        <w:tab w:val="left" w:pos="4060"/>
        <w:tab w:val="left" w:pos="6400"/>
        <w:tab w:val="decimal" w:pos="7480"/>
      </w:tabs>
      <w:spacing w:line="240" w:lineRule="atLeast"/>
    </w:pPr>
  </w:style>
  <w:style w:type="paragraph" w:customStyle="1" w:styleId="t19">
    <w:name w:val="t19"/>
    <w:basedOn w:val="Normal"/>
    <w:pPr>
      <w:tabs>
        <w:tab w:val="decimal" w:pos="1280"/>
        <w:tab w:val="right" w:pos="6920"/>
        <w:tab w:val="decimal" w:pos="8060"/>
      </w:tabs>
      <w:spacing w:line="240" w:lineRule="atLeast"/>
    </w:pPr>
  </w:style>
  <w:style w:type="paragraph" w:customStyle="1" w:styleId="t20">
    <w:name w:val="t20"/>
    <w:basedOn w:val="Normal"/>
    <w:pPr>
      <w:tabs>
        <w:tab w:val="left" w:pos="1160"/>
        <w:tab w:val="decimal" w:pos="7480"/>
      </w:tabs>
      <w:spacing w:line="240" w:lineRule="atLeast"/>
    </w:pPr>
  </w:style>
  <w:style w:type="paragraph" w:customStyle="1" w:styleId="p21">
    <w:name w:val="p21"/>
    <w:basedOn w:val="Normal"/>
    <w:pPr>
      <w:spacing w:line="240" w:lineRule="atLeast"/>
      <w:ind w:left="1140"/>
    </w:pPr>
  </w:style>
  <w:style w:type="paragraph" w:customStyle="1" w:styleId="p22">
    <w:name w:val="p22"/>
    <w:basedOn w:val="Normal"/>
    <w:pPr>
      <w:tabs>
        <w:tab w:val="left" w:pos="0"/>
      </w:tabs>
      <w:spacing w:line="240" w:lineRule="atLeast"/>
      <w:ind w:left="6320" w:hanging="5280"/>
    </w:pPr>
  </w:style>
  <w:style w:type="paragraph" w:customStyle="1" w:styleId="t23">
    <w:name w:val="t23"/>
    <w:basedOn w:val="Normal"/>
    <w:pPr>
      <w:tabs>
        <w:tab w:val="right" w:pos="8500"/>
      </w:tabs>
      <w:spacing w:line="240" w:lineRule="atLeast"/>
    </w:pPr>
  </w:style>
  <w:style w:type="paragraph" w:customStyle="1" w:styleId="t24">
    <w:name w:val="t24"/>
    <w:basedOn w:val="Normal"/>
    <w:pPr>
      <w:tabs>
        <w:tab w:val="decimal" w:pos="8060"/>
      </w:tabs>
      <w:spacing w:line="240" w:lineRule="atLeast"/>
    </w:pPr>
  </w:style>
  <w:style w:type="paragraph" w:customStyle="1" w:styleId="t25">
    <w:name w:val="t25"/>
    <w:basedOn w:val="Normal"/>
    <w:pPr>
      <w:tabs>
        <w:tab w:val="decimal" w:pos="8060"/>
      </w:tabs>
      <w:spacing w:line="240" w:lineRule="atLeast"/>
    </w:pPr>
  </w:style>
  <w:style w:type="paragraph" w:customStyle="1" w:styleId="t26">
    <w:name w:val="t26"/>
    <w:basedOn w:val="Normal"/>
    <w:pPr>
      <w:tabs>
        <w:tab w:val="decimal" w:pos="8060"/>
      </w:tabs>
      <w:spacing w:line="240" w:lineRule="atLeast"/>
    </w:pPr>
  </w:style>
  <w:style w:type="paragraph" w:customStyle="1" w:styleId="t28">
    <w:name w:val="t28"/>
    <w:basedOn w:val="Normal"/>
    <w:pPr>
      <w:tabs>
        <w:tab w:val="left" w:pos="7440"/>
        <w:tab w:val="decimal" w:pos="8340"/>
      </w:tabs>
      <w:spacing w:line="240" w:lineRule="atLeast"/>
    </w:pPr>
  </w:style>
  <w:style w:type="paragraph" w:customStyle="1" w:styleId="p29">
    <w:name w:val="p29"/>
    <w:basedOn w:val="Normal"/>
    <w:pPr>
      <w:tabs>
        <w:tab w:val="left" w:pos="0"/>
      </w:tabs>
      <w:spacing w:line="240" w:lineRule="atLeast"/>
      <w:ind w:left="7660" w:hanging="6520"/>
    </w:pPr>
  </w:style>
  <w:style w:type="paragraph" w:customStyle="1" w:styleId="t30">
    <w:name w:val="t30"/>
    <w:basedOn w:val="Normal"/>
    <w:pPr>
      <w:tabs>
        <w:tab w:val="left" w:pos="8180"/>
        <w:tab w:val="right" w:pos="9460"/>
      </w:tabs>
      <w:spacing w:line="240" w:lineRule="atLeast"/>
    </w:pPr>
  </w:style>
  <w:style w:type="paragraph" w:customStyle="1" w:styleId="t31">
    <w:name w:val="t31"/>
    <w:basedOn w:val="Normal"/>
    <w:pPr>
      <w:tabs>
        <w:tab w:val="decimal" w:pos="9120"/>
      </w:tabs>
      <w:spacing w:line="240" w:lineRule="atLeast"/>
    </w:pPr>
  </w:style>
  <w:style w:type="paragraph" w:customStyle="1" w:styleId="t32">
    <w:name w:val="t32"/>
    <w:basedOn w:val="Normal"/>
    <w:pPr>
      <w:tabs>
        <w:tab w:val="left" w:pos="8560"/>
        <w:tab w:val="decimal" w:pos="9700"/>
      </w:tabs>
      <w:spacing w:line="240" w:lineRule="atLeast"/>
    </w:pPr>
  </w:style>
  <w:style w:type="paragraph" w:customStyle="1" w:styleId="t33">
    <w:name w:val="t33"/>
    <w:basedOn w:val="Normal"/>
    <w:pPr>
      <w:tabs>
        <w:tab w:val="decimal" w:pos="920"/>
        <w:tab w:val="decimal" w:pos="9120"/>
      </w:tabs>
      <w:spacing w:line="240" w:lineRule="atLeast"/>
    </w:pPr>
  </w:style>
  <w:style w:type="paragraph" w:customStyle="1" w:styleId="p34">
    <w:name w:val="p34"/>
    <w:basedOn w:val="Normal"/>
    <w:pPr>
      <w:tabs>
        <w:tab w:val="left" w:pos="0"/>
      </w:tabs>
      <w:spacing w:line="240" w:lineRule="atLeast"/>
      <w:ind w:left="8180" w:hanging="6880"/>
    </w:pPr>
  </w:style>
  <w:style w:type="paragraph" w:customStyle="1" w:styleId="p35">
    <w:name w:val="p35"/>
    <w:basedOn w:val="Normal"/>
    <w:pPr>
      <w:tabs>
        <w:tab w:val="left" w:pos="0"/>
        <w:tab w:val="left" w:pos="1140"/>
      </w:tabs>
      <w:spacing w:line="480" w:lineRule="atLeast"/>
      <w:ind w:left="560" w:firstLine="580"/>
    </w:pPr>
  </w:style>
  <w:style w:type="paragraph" w:customStyle="1" w:styleId="p36">
    <w:name w:val="p36"/>
    <w:basedOn w:val="Normal"/>
    <w:pPr>
      <w:tabs>
        <w:tab w:val="left" w:pos="560"/>
      </w:tabs>
      <w:spacing w:line="240" w:lineRule="atLeast"/>
    </w:pPr>
  </w:style>
  <w:style w:type="paragraph" w:customStyle="1" w:styleId="t37">
    <w:name w:val="t37"/>
    <w:basedOn w:val="Normal"/>
    <w:pPr>
      <w:tabs>
        <w:tab w:val="decimal" w:pos="920"/>
        <w:tab w:val="left" w:pos="1160"/>
        <w:tab w:val="decimal" w:pos="8340"/>
      </w:tabs>
      <w:spacing w:line="240" w:lineRule="atLeast"/>
    </w:pPr>
  </w:style>
  <w:style w:type="paragraph" w:customStyle="1" w:styleId="t38">
    <w:name w:val="t38"/>
    <w:basedOn w:val="Normal"/>
    <w:pPr>
      <w:tabs>
        <w:tab w:val="left" w:pos="4740"/>
        <w:tab w:val="decimal" w:pos="8340"/>
      </w:tabs>
      <w:spacing w:line="240" w:lineRule="atLeast"/>
    </w:pPr>
  </w:style>
  <w:style w:type="paragraph" w:customStyle="1" w:styleId="p39">
    <w:name w:val="p39"/>
    <w:basedOn w:val="Normal"/>
    <w:pPr>
      <w:tabs>
        <w:tab w:val="left" w:pos="2820"/>
      </w:tabs>
      <w:spacing w:line="240" w:lineRule="atLeast"/>
    </w:pPr>
  </w:style>
  <w:style w:type="paragraph" w:customStyle="1" w:styleId="t40">
    <w:name w:val="t40"/>
    <w:basedOn w:val="Normal"/>
    <w:pPr>
      <w:tabs>
        <w:tab w:val="decimal" w:pos="660"/>
        <w:tab w:val="left" w:pos="1160"/>
        <w:tab w:val="decimal" w:pos="8760"/>
        <w:tab w:val="left" w:pos="8880"/>
      </w:tabs>
      <w:spacing w:line="240" w:lineRule="atLeast"/>
    </w:pPr>
  </w:style>
  <w:style w:type="paragraph" w:customStyle="1" w:styleId="t41">
    <w:name w:val="t41"/>
    <w:basedOn w:val="Normal"/>
    <w:pPr>
      <w:tabs>
        <w:tab w:val="decimal" w:pos="660"/>
        <w:tab w:val="left" w:pos="1160"/>
        <w:tab w:val="right" w:pos="9700"/>
      </w:tabs>
      <w:spacing w:line="240" w:lineRule="atLeast"/>
    </w:pPr>
  </w:style>
  <w:style w:type="paragraph" w:customStyle="1" w:styleId="t42">
    <w:name w:val="t42"/>
    <w:basedOn w:val="Normal"/>
    <w:pPr>
      <w:tabs>
        <w:tab w:val="decimal" w:pos="660"/>
        <w:tab w:val="left" w:pos="1160"/>
        <w:tab w:val="left" w:pos="4940"/>
        <w:tab w:val="decimal" w:pos="8780"/>
      </w:tabs>
      <w:spacing w:line="240" w:lineRule="atLeast"/>
    </w:pPr>
  </w:style>
  <w:style w:type="paragraph" w:customStyle="1" w:styleId="t43">
    <w:name w:val="t43"/>
    <w:basedOn w:val="Normal"/>
    <w:pPr>
      <w:tabs>
        <w:tab w:val="decimal" w:pos="3940"/>
      </w:tabs>
      <w:spacing w:line="240" w:lineRule="atLeast"/>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5967B9"/>
    <w:rPr>
      <w:rFonts w:ascii="Tahoma" w:hAnsi="Tahoma" w:cs="Tahoma"/>
      <w:sz w:val="16"/>
      <w:szCs w:val="16"/>
    </w:rPr>
  </w:style>
  <w:style w:type="paragraph" w:styleId="FootnoteText">
    <w:name w:val="footnote text"/>
    <w:basedOn w:val="Normal"/>
    <w:semiHidden/>
    <w:rsid w:val="00732783"/>
    <w:rPr>
      <w:sz w:val="20"/>
    </w:rPr>
  </w:style>
  <w:style w:type="character" w:styleId="FootnoteReference">
    <w:name w:val="footnote reference"/>
    <w:semiHidden/>
    <w:rsid w:val="00732783"/>
    <w:rPr>
      <w:vertAlign w:val="superscript"/>
    </w:rPr>
  </w:style>
  <w:style w:type="character" w:styleId="Hyperlink">
    <w:name w:val="Hyperlink"/>
    <w:rsid w:val="00B000D0"/>
    <w:rPr>
      <w:color w:val="0000FF"/>
      <w:u w:val="single"/>
    </w:rPr>
  </w:style>
  <w:style w:type="character" w:styleId="CommentReference">
    <w:name w:val="annotation reference"/>
    <w:semiHidden/>
    <w:rsid w:val="00CF69B5"/>
    <w:rPr>
      <w:sz w:val="16"/>
      <w:szCs w:val="16"/>
    </w:rPr>
  </w:style>
  <w:style w:type="paragraph" w:styleId="CommentText">
    <w:name w:val="annotation text"/>
    <w:basedOn w:val="Normal"/>
    <w:link w:val="CommentTextChar"/>
    <w:semiHidden/>
    <w:rsid w:val="00CF69B5"/>
    <w:pPr>
      <w:widowControl/>
    </w:pPr>
    <w:rPr>
      <w:rFonts w:ascii="Times New Roman" w:hAnsi="Times New Roman"/>
      <w:sz w:val="20"/>
    </w:rPr>
  </w:style>
  <w:style w:type="paragraph" w:styleId="CommentSubject">
    <w:name w:val="annotation subject"/>
    <w:basedOn w:val="CommentText"/>
    <w:next w:val="CommentText"/>
    <w:link w:val="CommentSubjectChar"/>
    <w:rsid w:val="001775B5"/>
    <w:pPr>
      <w:widowControl w:val="0"/>
    </w:pPr>
    <w:rPr>
      <w:rFonts w:ascii="Times" w:hAnsi="Times"/>
      <w:b/>
      <w:bCs/>
    </w:rPr>
  </w:style>
  <w:style w:type="character" w:customStyle="1" w:styleId="CommentTextChar">
    <w:name w:val="Comment Text Char"/>
    <w:basedOn w:val="DefaultParagraphFont"/>
    <w:link w:val="CommentText"/>
    <w:semiHidden/>
    <w:rsid w:val="001775B5"/>
  </w:style>
  <w:style w:type="character" w:customStyle="1" w:styleId="CommentSubjectChar">
    <w:name w:val="Comment Subject Char"/>
    <w:basedOn w:val="CommentTextChar"/>
    <w:link w:val="CommentSubject"/>
    <w:rsid w:val="001775B5"/>
  </w:style>
  <w:style w:type="character" w:customStyle="1" w:styleId="FooterChar">
    <w:name w:val="Footer Char"/>
    <w:link w:val="Footer"/>
    <w:uiPriority w:val="99"/>
    <w:rsid w:val="001C582B"/>
    <w:rPr>
      <w:rFonts w:ascii="Times" w:hAnsi="Times"/>
      <w:sz w:val="24"/>
    </w:rPr>
  </w:style>
  <w:style w:type="character" w:styleId="FollowedHyperlink">
    <w:name w:val="FollowedHyperlink"/>
    <w:rsid w:val="003D4982"/>
    <w:rPr>
      <w:color w:val="800080"/>
      <w:u w:val="single"/>
    </w:rPr>
  </w:style>
  <w:style w:type="paragraph" w:styleId="BodyTextIndent">
    <w:name w:val="Body Text Indent"/>
    <w:basedOn w:val="Normal"/>
    <w:link w:val="BodyTextIndentChar"/>
    <w:rsid w:val="008F3D90"/>
    <w:pPr>
      <w:widowControl/>
      <w:ind w:left="450" w:hanging="450"/>
    </w:pPr>
    <w:rPr>
      <w:rFonts w:ascii="Courier New" w:hAnsi="Courier New"/>
      <w:sz w:val="20"/>
    </w:rPr>
  </w:style>
  <w:style w:type="character" w:customStyle="1" w:styleId="BodyTextIndentChar">
    <w:name w:val="Body Text Indent Char"/>
    <w:link w:val="BodyTextIndent"/>
    <w:rsid w:val="008F3D90"/>
    <w:rPr>
      <w:rFonts w:ascii="Courier New" w:hAnsi="Courier New"/>
    </w:rPr>
  </w:style>
  <w:style w:type="paragraph" w:styleId="EndnoteText">
    <w:name w:val="endnote text"/>
    <w:basedOn w:val="Normal"/>
    <w:link w:val="EndnoteTextChar"/>
    <w:rsid w:val="000C2C07"/>
    <w:rPr>
      <w:sz w:val="20"/>
    </w:rPr>
  </w:style>
  <w:style w:type="character" w:customStyle="1" w:styleId="EndnoteTextChar">
    <w:name w:val="Endnote Text Char"/>
    <w:link w:val="EndnoteText"/>
    <w:rsid w:val="000C2C07"/>
    <w:rPr>
      <w:rFonts w:ascii="Times" w:hAnsi="Times"/>
    </w:rPr>
  </w:style>
  <w:style w:type="character" w:styleId="EndnoteReference">
    <w:name w:val="endnote reference"/>
    <w:rsid w:val="000C2C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6159">
      <w:bodyDiv w:val="1"/>
      <w:marLeft w:val="0"/>
      <w:marRight w:val="0"/>
      <w:marTop w:val="0"/>
      <w:marBottom w:val="0"/>
      <w:divBdr>
        <w:top w:val="none" w:sz="0" w:space="0" w:color="auto"/>
        <w:left w:val="none" w:sz="0" w:space="0" w:color="auto"/>
        <w:bottom w:val="none" w:sz="0" w:space="0" w:color="auto"/>
        <w:right w:val="none" w:sz="0" w:space="0" w:color="auto"/>
      </w:divBdr>
    </w:div>
    <w:div w:id="416901553">
      <w:bodyDiv w:val="1"/>
      <w:marLeft w:val="0"/>
      <w:marRight w:val="0"/>
      <w:marTop w:val="0"/>
      <w:marBottom w:val="0"/>
      <w:divBdr>
        <w:top w:val="none" w:sz="0" w:space="0" w:color="auto"/>
        <w:left w:val="none" w:sz="0" w:space="0" w:color="auto"/>
        <w:bottom w:val="none" w:sz="0" w:space="0" w:color="auto"/>
        <w:right w:val="none" w:sz="0" w:space="0" w:color="auto"/>
      </w:divBdr>
    </w:div>
    <w:div w:id="487551305">
      <w:bodyDiv w:val="1"/>
      <w:marLeft w:val="0"/>
      <w:marRight w:val="0"/>
      <w:marTop w:val="0"/>
      <w:marBottom w:val="0"/>
      <w:divBdr>
        <w:top w:val="none" w:sz="0" w:space="0" w:color="auto"/>
        <w:left w:val="none" w:sz="0" w:space="0" w:color="auto"/>
        <w:bottom w:val="none" w:sz="0" w:space="0" w:color="auto"/>
        <w:right w:val="none" w:sz="0" w:space="0" w:color="auto"/>
      </w:divBdr>
    </w:div>
    <w:div w:id="535851011">
      <w:bodyDiv w:val="1"/>
      <w:marLeft w:val="0"/>
      <w:marRight w:val="0"/>
      <w:marTop w:val="0"/>
      <w:marBottom w:val="0"/>
      <w:divBdr>
        <w:top w:val="none" w:sz="0" w:space="0" w:color="auto"/>
        <w:left w:val="none" w:sz="0" w:space="0" w:color="auto"/>
        <w:bottom w:val="none" w:sz="0" w:space="0" w:color="auto"/>
        <w:right w:val="none" w:sz="0" w:space="0" w:color="auto"/>
      </w:divBdr>
    </w:div>
    <w:div w:id="899558661">
      <w:bodyDiv w:val="1"/>
      <w:marLeft w:val="0"/>
      <w:marRight w:val="0"/>
      <w:marTop w:val="0"/>
      <w:marBottom w:val="0"/>
      <w:divBdr>
        <w:top w:val="none" w:sz="0" w:space="0" w:color="auto"/>
        <w:left w:val="none" w:sz="0" w:space="0" w:color="auto"/>
        <w:bottom w:val="none" w:sz="0" w:space="0" w:color="auto"/>
        <w:right w:val="none" w:sz="0" w:space="0" w:color="auto"/>
      </w:divBdr>
    </w:div>
    <w:div w:id="952899644">
      <w:bodyDiv w:val="1"/>
      <w:marLeft w:val="0"/>
      <w:marRight w:val="0"/>
      <w:marTop w:val="0"/>
      <w:marBottom w:val="0"/>
      <w:divBdr>
        <w:top w:val="none" w:sz="0" w:space="0" w:color="auto"/>
        <w:left w:val="none" w:sz="0" w:space="0" w:color="auto"/>
        <w:bottom w:val="none" w:sz="0" w:space="0" w:color="auto"/>
        <w:right w:val="none" w:sz="0" w:space="0" w:color="auto"/>
      </w:divBdr>
    </w:div>
    <w:div w:id="1002701964">
      <w:bodyDiv w:val="1"/>
      <w:marLeft w:val="0"/>
      <w:marRight w:val="0"/>
      <w:marTop w:val="0"/>
      <w:marBottom w:val="0"/>
      <w:divBdr>
        <w:top w:val="none" w:sz="0" w:space="0" w:color="auto"/>
        <w:left w:val="none" w:sz="0" w:space="0" w:color="auto"/>
        <w:bottom w:val="none" w:sz="0" w:space="0" w:color="auto"/>
        <w:right w:val="none" w:sz="0" w:space="0" w:color="auto"/>
      </w:divBdr>
    </w:div>
    <w:div w:id="1496142853">
      <w:bodyDiv w:val="1"/>
      <w:marLeft w:val="0"/>
      <w:marRight w:val="0"/>
      <w:marTop w:val="0"/>
      <w:marBottom w:val="0"/>
      <w:divBdr>
        <w:top w:val="none" w:sz="0" w:space="0" w:color="auto"/>
        <w:left w:val="none" w:sz="0" w:space="0" w:color="auto"/>
        <w:bottom w:val="none" w:sz="0" w:space="0" w:color="auto"/>
        <w:right w:val="none" w:sz="0" w:space="0" w:color="auto"/>
      </w:divBdr>
    </w:div>
    <w:div w:id="21079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09-06-25/html/E9-14906.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hs.gov/sites/default/files/publications/privacy_pia_uscg_misle.pdf" TargetMode="External"/><Relationship Id="rId4" Type="http://schemas.microsoft.com/office/2007/relationships/stylesWithEffects" Target="stylesWithEffects.xml"/><Relationship Id="rId9" Type="http://schemas.openxmlformats.org/officeDocument/2006/relationships/hyperlink" Target="https://www.uscg.mil/Units/Organiz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30B75-A26C-465C-B90D-3D5B0AF6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18382</CharactersWithSpaces>
  <SharedDoc>false</SharedDoc>
  <HLinks>
    <vt:vector size="18" baseType="variant">
      <vt:variant>
        <vt:i4>5767175</vt:i4>
      </vt:variant>
      <vt:variant>
        <vt:i4>6</vt:i4>
      </vt:variant>
      <vt:variant>
        <vt:i4>0</vt:i4>
      </vt:variant>
      <vt:variant>
        <vt:i4>5</vt:i4>
      </vt:variant>
      <vt:variant>
        <vt:lpwstr>https://www.gpo.gov/fdsys/pkg/FR-2009-06-25/html/E9-14906.htm</vt:lpwstr>
      </vt:variant>
      <vt:variant>
        <vt:lpwstr/>
      </vt:variant>
      <vt:variant>
        <vt:i4>852075</vt:i4>
      </vt:variant>
      <vt:variant>
        <vt:i4>3</vt:i4>
      </vt:variant>
      <vt:variant>
        <vt:i4>0</vt:i4>
      </vt:variant>
      <vt:variant>
        <vt:i4>5</vt:i4>
      </vt:variant>
      <vt:variant>
        <vt:lpwstr>https://www.dhs.gov/sites/default/files/publications/privacy_pia_uscg_misle.pdf</vt:lpwstr>
      </vt:variant>
      <vt:variant>
        <vt:lpwstr/>
      </vt: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SYSTEM</cp:lastModifiedBy>
  <cp:revision>2</cp:revision>
  <cp:lastPrinted>2019-06-03T18:28:00Z</cp:lastPrinted>
  <dcterms:created xsi:type="dcterms:W3CDTF">2019-10-22T16:53:00Z</dcterms:created>
  <dcterms:modified xsi:type="dcterms:W3CDTF">2019-10-22T16:53:00Z</dcterms:modified>
</cp:coreProperties>
</file>