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4A" w:rsidP="00F06866" w:rsidRDefault="00F06866" w14:paraId="37FF8855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19290C">
        <w:rPr>
          <w:sz w:val="28"/>
        </w:rPr>
        <w:t>1652</w:t>
      </w:r>
      <w:r>
        <w:rPr>
          <w:sz w:val="28"/>
        </w:rPr>
        <w:t>-</w:t>
      </w:r>
      <w:r w:rsidR="0019290C">
        <w:rPr>
          <w:sz w:val="28"/>
        </w:rPr>
        <w:t>0058</w:t>
      </w:r>
      <w:r>
        <w:rPr>
          <w:sz w:val="28"/>
        </w:rPr>
        <w:t>)</w:t>
      </w:r>
    </w:p>
    <w:p w:rsidR="00794B46" w:rsidP="00434E33" w:rsidRDefault="00794B46" w14:paraId="611DE77D" w14:textId="77777777">
      <w:pPr>
        <w:rPr>
          <w:b/>
        </w:rPr>
      </w:pPr>
    </w:p>
    <w:p w:rsidRPr="009239AA" w:rsidR="00E50293" w:rsidP="00434E33" w:rsidRDefault="004F0863" w14:paraId="5346929B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0FB8A117" wp14:anchorId="2E3A5A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2A5909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28267B">
        <w:t>Consolidated User Guide Survey</w:t>
      </w:r>
    </w:p>
    <w:p w:rsidR="005E714A" w:rsidP="00F75832" w:rsidRDefault="005E714A" w14:paraId="5573293C" w14:textId="77777777">
      <w:pPr>
        <w:jc w:val="right"/>
      </w:pPr>
    </w:p>
    <w:p w:rsidRPr="003929F0" w:rsidR="00F84C66" w:rsidP="00862ADD" w:rsidRDefault="00F15956" w14:paraId="3E01D656" w14:textId="018D4368">
      <w:pPr>
        <w:rPr>
          <w:i/>
        </w:rPr>
      </w:pPr>
      <w:r>
        <w:rPr>
          <w:b/>
        </w:rPr>
        <w:t>PURPOSE</w:t>
      </w:r>
      <w:r w:rsidRPr="009239AA">
        <w:rPr>
          <w:b/>
        </w:rPr>
        <w:t>:</w:t>
      </w:r>
      <w:r w:rsidR="00862ADD">
        <w:rPr>
          <w:b/>
        </w:rPr>
        <w:t xml:space="preserve"> </w:t>
      </w:r>
      <w:r w:rsidRPr="00E17443" w:rsidR="00E17443">
        <w:rPr>
          <w:i/>
        </w:rPr>
        <w:t>The objective of this surve</w:t>
      </w:r>
      <w:r w:rsidR="00E17443">
        <w:rPr>
          <w:i/>
        </w:rPr>
        <w:t xml:space="preserve">y is to gather feedback </w:t>
      </w:r>
      <w:r w:rsidRPr="003929F0" w:rsidR="00862ADD">
        <w:rPr>
          <w:i/>
        </w:rPr>
        <w:t>from</w:t>
      </w:r>
      <w:r w:rsidRPr="003929F0" w:rsidR="00395267">
        <w:rPr>
          <w:i/>
        </w:rPr>
        <w:t xml:space="preserve"> </w:t>
      </w:r>
      <w:r w:rsidR="00C20C1C">
        <w:rPr>
          <w:i/>
        </w:rPr>
        <w:t xml:space="preserve">eligible and </w:t>
      </w:r>
      <w:r w:rsidRPr="003929F0" w:rsidR="00395267">
        <w:rPr>
          <w:i/>
        </w:rPr>
        <w:t xml:space="preserve">active </w:t>
      </w:r>
      <w:r w:rsidRPr="003929F0" w:rsidR="004F58B1">
        <w:rPr>
          <w:i/>
        </w:rPr>
        <w:t>aircraft operators</w:t>
      </w:r>
      <w:r w:rsidR="00785AD9">
        <w:rPr>
          <w:i/>
        </w:rPr>
        <w:t xml:space="preserve"> who </w:t>
      </w:r>
      <w:r w:rsidR="000003A1">
        <w:rPr>
          <w:i/>
        </w:rPr>
        <w:t xml:space="preserve">submit to </w:t>
      </w:r>
      <w:r w:rsidR="00785AD9">
        <w:rPr>
          <w:i/>
        </w:rPr>
        <w:t>the Transportation Security Administration’s (TSA) Secure Flight system</w:t>
      </w:r>
      <w:r w:rsidRPr="003929F0" w:rsidR="004F58B1">
        <w:rPr>
          <w:i/>
        </w:rPr>
        <w:t xml:space="preserve"> </w:t>
      </w:r>
      <w:r w:rsidR="00785AD9">
        <w:rPr>
          <w:i/>
        </w:rPr>
        <w:t>to</w:t>
      </w:r>
      <w:r w:rsidR="00E17443">
        <w:rPr>
          <w:i/>
        </w:rPr>
        <w:t xml:space="preserve"> </w:t>
      </w:r>
      <w:r w:rsidRPr="003929F0" w:rsidR="00862ADD">
        <w:rPr>
          <w:i/>
        </w:rPr>
        <w:t>determin</w:t>
      </w:r>
      <w:r w:rsidR="00785AD9">
        <w:rPr>
          <w:i/>
        </w:rPr>
        <w:t>e</w:t>
      </w:r>
      <w:r w:rsidRPr="003929F0" w:rsidR="00862ADD">
        <w:rPr>
          <w:i/>
        </w:rPr>
        <w:t xml:space="preserve"> </w:t>
      </w:r>
      <w:r w:rsidRPr="003929F0" w:rsidR="004F58B1">
        <w:rPr>
          <w:i/>
        </w:rPr>
        <w:t xml:space="preserve">the </w:t>
      </w:r>
      <w:r w:rsidRPr="003929F0" w:rsidR="00CB72F3">
        <w:rPr>
          <w:i/>
        </w:rPr>
        <w:t>overall</w:t>
      </w:r>
      <w:r w:rsidRPr="003929F0" w:rsidR="00862ADD">
        <w:rPr>
          <w:i/>
        </w:rPr>
        <w:t xml:space="preserve"> </w:t>
      </w:r>
      <w:r w:rsidRPr="003929F0" w:rsidR="00CB72F3">
        <w:rPr>
          <w:i/>
        </w:rPr>
        <w:t>satisfaction</w:t>
      </w:r>
      <w:r w:rsidR="00785AD9">
        <w:rPr>
          <w:i/>
        </w:rPr>
        <w:t xml:space="preserve"> with</w:t>
      </w:r>
      <w:r w:rsidRPr="003929F0" w:rsidR="00C20C1C">
        <w:rPr>
          <w:i/>
        </w:rPr>
        <w:t xml:space="preserve"> </w:t>
      </w:r>
      <w:r w:rsidRPr="003929F0" w:rsidR="004F58B1">
        <w:rPr>
          <w:i/>
        </w:rPr>
        <w:t xml:space="preserve">and </w:t>
      </w:r>
      <w:r w:rsidRPr="003929F0" w:rsidR="00A97283">
        <w:rPr>
          <w:i/>
        </w:rPr>
        <w:t>usability</w:t>
      </w:r>
      <w:r w:rsidRPr="003929F0" w:rsidDel="00C20C1C" w:rsidR="00A97283">
        <w:rPr>
          <w:i/>
        </w:rPr>
        <w:t xml:space="preserve"> </w:t>
      </w:r>
      <w:r w:rsidR="00785AD9">
        <w:rPr>
          <w:i/>
        </w:rPr>
        <w:t>of</w:t>
      </w:r>
      <w:r w:rsidRPr="003929F0" w:rsidR="004F58B1">
        <w:rPr>
          <w:i/>
        </w:rPr>
        <w:t xml:space="preserve"> the </w:t>
      </w:r>
      <w:r w:rsidRPr="003929F0" w:rsidR="00273EC0">
        <w:rPr>
          <w:i/>
        </w:rPr>
        <w:t>Department of Homeland Security (DHS)</w:t>
      </w:r>
      <w:r w:rsidR="00273EC0">
        <w:rPr>
          <w:i/>
        </w:rPr>
        <w:t xml:space="preserve"> Customs and Border Protection (CBP)</w:t>
      </w:r>
      <w:r w:rsidR="00785AD9">
        <w:rPr>
          <w:i/>
        </w:rPr>
        <w:t xml:space="preserve">and </w:t>
      </w:r>
      <w:r w:rsidR="00273EC0">
        <w:rPr>
          <w:i/>
        </w:rPr>
        <w:t>TSA Consolidated User Guide (CUG)</w:t>
      </w:r>
      <w:r w:rsidR="00E037BE">
        <w:rPr>
          <w:i/>
        </w:rPr>
        <w:t xml:space="preserve">.  </w:t>
      </w:r>
      <w:r w:rsidRPr="003929F0" w:rsidR="00F84C66">
        <w:rPr>
          <w:i/>
        </w:rPr>
        <w:t xml:space="preserve">The CUG </w:t>
      </w:r>
      <w:r w:rsidR="00785AD9">
        <w:rPr>
          <w:i/>
        </w:rPr>
        <w:t>was</w:t>
      </w:r>
      <w:r w:rsidRPr="003929F0" w:rsidR="00F84C66">
        <w:rPr>
          <w:i/>
        </w:rPr>
        <w:t xml:space="preserve"> jointly </w:t>
      </w:r>
      <w:r w:rsidR="00116C46">
        <w:rPr>
          <w:i/>
        </w:rPr>
        <w:t>created</w:t>
      </w:r>
      <w:r w:rsidRPr="003929F0" w:rsidR="00F84C66">
        <w:rPr>
          <w:i/>
        </w:rPr>
        <w:t xml:space="preserve"> </w:t>
      </w:r>
      <w:r w:rsidR="00D11233">
        <w:rPr>
          <w:i/>
        </w:rPr>
        <w:t>b</w:t>
      </w:r>
      <w:r w:rsidR="00785AD9">
        <w:rPr>
          <w:i/>
        </w:rPr>
        <w:t>y</w:t>
      </w:r>
      <w:r w:rsidRPr="003929F0" w:rsidR="00F84C66">
        <w:rPr>
          <w:i/>
        </w:rPr>
        <w:t xml:space="preserve"> </w:t>
      </w:r>
      <w:r w:rsidR="00746FA2">
        <w:rPr>
          <w:i/>
        </w:rPr>
        <w:t>CBP</w:t>
      </w:r>
      <w:r w:rsidR="00D11233">
        <w:rPr>
          <w:i/>
        </w:rPr>
        <w:t xml:space="preserve"> and </w:t>
      </w:r>
      <w:r w:rsidR="00746FA2">
        <w:rPr>
          <w:i/>
        </w:rPr>
        <w:t>TSA</w:t>
      </w:r>
      <w:r w:rsidRPr="003929F0" w:rsidR="00746FA2">
        <w:rPr>
          <w:i/>
        </w:rPr>
        <w:t xml:space="preserve"> </w:t>
      </w:r>
      <w:r w:rsidRPr="003929F0" w:rsidR="00F84C66">
        <w:rPr>
          <w:i/>
        </w:rPr>
        <w:t xml:space="preserve">to assist aircraft operators </w:t>
      </w:r>
      <w:r w:rsidR="00DC7001">
        <w:rPr>
          <w:i/>
        </w:rPr>
        <w:t>with implementing</w:t>
      </w:r>
      <w:r w:rsidRPr="003929F0" w:rsidR="00F84C66">
        <w:rPr>
          <w:i/>
        </w:rPr>
        <w:t xml:space="preserve"> CBP and TSA’s technical requirements</w:t>
      </w:r>
      <w:r w:rsidR="00E037BE">
        <w:rPr>
          <w:i/>
        </w:rPr>
        <w:t xml:space="preserve">. </w:t>
      </w:r>
      <w:r w:rsidR="00116C46">
        <w:rPr>
          <w:i/>
        </w:rPr>
        <w:t>The</w:t>
      </w:r>
      <w:r w:rsidR="00E17443">
        <w:rPr>
          <w:i/>
        </w:rPr>
        <w:t xml:space="preserve"> </w:t>
      </w:r>
      <w:r w:rsidRPr="003929F0" w:rsidR="00E17443">
        <w:rPr>
          <w:i/>
        </w:rPr>
        <w:t>procedure</w:t>
      </w:r>
      <w:r w:rsidR="00E17443">
        <w:rPr>
          <w:i/>
        </w:rPr>
        <w:t xml:space="preserve">s </w:t>
      </w:r>
      <w:r w:rsidRPr="003929F0" w:rsidR="00F84C66">
        <w:rPr>
          <w:i/>
        </w:rPr>
        <w:t>and associated</w:t>
      </w:r>
      <w:r w:rsidR="00E17443">
        <w:rPr>
          <w:i/>
        </w:rPr>
        <w:t xml:space="preserve"> requirements</w:t>
      </w:r>
      <w:r w:rsidRPr="003929F0" w:rsidR="00F84C66">
        <w:rPr>
          <w:i/>
        </w:rPr>
        <w:t xml:space="preserve"> are published together </w:t>
      </w:r>
      <w:r w:rsidRPr="003929F0" w:rsidR="003929F0">
        <w:rPr>
          <w:i/>
        </w:rPr>
        <w:t>in the CUG</w:t>
      </w:r>
      <w:r w:rsidR="00E037BE">
        <w:rPr>
          <w:i/>
        </w:rPr>
        <w:t>. The</w:t>
      </w:r>
      <w:r w:rsidR="00C20C1C">
        <w:rPr>
          <w:i/>
        </w:rPr>
        <w:t xml:space="preserve"> </w:t>
      </w:r>
      <w:r w:rsidR="00F45663">
        <w:rPr>
          <w:i/>
        </w:rPr>
        <w:t xml:space="preserve">CUG </w:t>
      </w:r>
      <w:r w:rsidR="00C20C1C">
        <w:rPr>
          <w:i/>
        </w:rPr>
        <w:t>guidance provides</w:t>
      </w:r>
      <w:r w:rsidRPr="003929F0" w:rsidR="003929F0">
        <w:rPr>
          <w:i/>
        </w:rPr>
        <w:t xml:space="preserve"> </w:t>
      </w:r>
      <w:r w:rsidRPr="003929F0" w:rsidR="00F84C66">
        <w:rPr>
          <w:i/>
        </w:rPr>
        <w:t>aircraft operators the information necessary to implement changes to information technology systems, networks, and operations to comply with DHS regulations.</w:t>
      </w:r>
    </w:p>
    <w:p w:rsidR="00293708" w:rsidP="00293708" w:rsidRDefault="00293708" w14:paraId="67887E87" w14:textId="77777777">
      <w:pPr>
        <w:rPr>
          <w:b/>
        </w:rPr>
      </w:pPr>
    </w:p>
    <w:p w:rsidRPr="008A432D" w:rsidR="00293708" w:rsidP="00722663" w:rsidRDefault="00434E33" w14:paraId="712DB854" w14:textId="56C6013C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>:</w:t>
      </w:r>
      <w:r w:rsidR="00E17443">
        <w:t xml:space="preserve"> </w:t>
      </w:r>
      <w:r w:rsidRPr="00677E96" w:rsidR="00677E96">
        <w:rPr>
          <w:i/>
        </w:rPr>
        <w:t>Respondents are representatives (e.g. Security Directors) from approximately 215 domestic and foreign aircraft operators that are Secure Flight eligible and actively submit to the TSA</w:t>
      </w:r>
      <w:r w:rsidR="000003A1">
        <w:rPr>
          <w:i/>
        </w:rPr>
        <w:t>’s</w:t>
      </w:r>
      <w:r w:rsidRPr="00677E96" w:rsidR="00677E96">
        <w:rPr>
          <w:i/>
        </w:rPr>
        <w:t xml:space="preserve"> Secure Flight System</w:t>
      </w:r>
      <w:r w:rsidR="00746FA2">
        <w:rPr>
          <w:i/>
        </w:rPr>
        <w:t>.</w:t>
      </w:r>
    </w:p>
    <w:p w:rsidR="00E26329" w:rsidRDefault="00E26329" w14:paraId="0205746B" w14:textId="77777777">
      <w:pPr>
        <w:rPr>
          <w:b/>
        </w:rPr>
      </w:pPr>
    </w:p>
    <w:p w:rsidRPr="00F06866" w:rsidR="00F06866" w:rsidRDefault="00F06866" w14:paraId="264FD0C3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5F08A2E8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CB72F3" w14:paraId="695E757F" w14:textId="7E425892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A97283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 </w:t>
      </w:r>
      <w:r>
        <w:rPr>
          <w:bCs/>
          <w:sz w:val="24"/>
        </w:rPr>
        <w:t>]</w:t>
      </w:r>
      <w:r w:rsidRPr="00F06866" w:rsidR="0096108F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 w:rsidR="0096108F">
        <w:rPr>
          <w:bCs/>
          <w:sz w:val="24"/>
        </w:rPr>
        <w:t xml:space="preserve"> </w:t>
      </w:r>
      <w:r w:rsidRPr="00F06866" w:rsidR="0096108F">
        <w:rPr>
          <w:bCs/>
          <w:sz w:val="24"/>
        </w:rPr>
        <w:tab/>
        <w:t>[</w:t>
      </w:r>
      <w:r w:rsidR="00E17443">
        <w:rPr>
          <w:bCs/>
          <w:sz w:val="24"/>
        </w:rPr>
        <w:t xml:space="preserve"> </w:t>
      </w:r>
      <w:r w:rsidRPr="00F06866" w:rsidR="0096108F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 w:rsidR="0096108F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 w:rsidR="0096108F">
        <w:rPr>
          <w:bCs/>
          <w:sz w:val="24"/>
        </w:rPr>
        <w:t xml:space="preserve"> </w:t>
      </w:r>
    </w:p>
    <w:p w:rsidR="0096108F" w:rsidP="0096108F" w:rsidRDefault="0096108F" w14:paraId="67CE7375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</w:t>
      </w:r>
      <w:r w:rsidR="009A06C6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</w:t>
      </w:r>
      <w:r w:rsidR="009A4473">
        <w:rPr>
          <w:bCs/>
          <w:sz w:val="24"/>
        </w:rPr>
        <w:t xml:space="preserve">such as </w:t>
      </w:r>
      <w:r w:rsidR="009239AA">
        <w:rPr>
          <w:bCs/>
          <w:sz w:val="24"/>
        </w:rPr>
        <w:t>Website or Software</w:t>
      </w:r>
      <w:r w:rsidR="009A4473">
        <w:rPr>
          <w:bCs/>
          <w:sz w:val="24"/>
        </w:rPr>
        <w:t>)</w:t>
      </w:r>
      <w:r w:rsidR="00F06866">
        <w:rPr>
          <w:bCs/>
          <w:sz w:val="24"/>
        </w:rPr>
        <w:tab/>
        <w:t xml:space="preserve">[ </w:t>
      </w:r>
      <w:r w:rsidR="009A06C6">
        <w:rPr>
          <w:bCs/>
          <w:sz w:val="24"/>
        </w:rPr>
        <w:t xml:space="preserve"> </w:t>
      </w:r>
      <w:r w:rsidR="00F06866">
        <w:rPr>
          <w:bCs/>
          <w:sz w:val="24"/>
        </w:rPr>
        <w:t>] Small Discussion Group</w:t>
      </w:r>
    </w:p>
    <w:p w:rsidRPr="00F06866" w:rsidR="00F06866" w:rsidP="0096108F" w:rsidRDefault="00935ADA" w14:paraId="7630460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9A06C6">
        <w:rPr>
          <w:bCs/>
          <w:sz w:val="24"/>
        </w:rPr>
        <w:t xml:space="preserve"> 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E17443">
        <w:rPr>
          <w:bCs/>
          <w:sz w:val="24"/>
        </w:rPr>
        <w:t>X</w:t>
      </w:r>
      <w:r w:rsidR="009A06C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>____</w:t>
      </w:r>
      <w:r w:rsidR="00E17443">
        <w:rPr>
          <w:bCs/>
          <w:sz w:val="24"/>
          <w:u w:val="single"/>
        </w:rPr>
        <w:t>E-mail________</w:t>
      </w:r>
    </w:p>
    <w:p w:rsidR="00434E33" w:rsidRDefault="00434E33" w14:paraId="34FBD51C" w14:textId="77777777">
      <w:pPr>
        <w:pStyle w:val="Header"/>
        <w:tabs>
          <w:tab w:val="clear" w:pos="4320"/>
          <w:tab w:val="clear" w:pos="8640"/>
        </w:tabs>
      </w:pPr>
    </w:p>
    <w:p w:rsidR="0028267B" w:rsidRDefault="0028267B" w14:paraId="3C2B672B" w14:textId="77777777">
      <w:pPr>
        <w:rPr>
          <w:b/>
        </w:rPr>
      </w:pPr>
    </w:p>
    <w:p w:rsidR="00CA2650" w:rsidRDefault="00441434" w14:paraId="6821A7D9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6E3117C1" w14:textId="77777777">
      <w:pPr>
        <w:rPr>
          <w:sz w:val="16"/>
          <w:szCs w:val="16"/>
        </w:rPr>
      </w:pPr>
    </w:p>
    <w:p w:rsidRPr="009C13B9" w:rsidR="008101A5" w:rsidP="008101A5" w:rsidRDefault="008101A5" w14:paraId="6C6944D7" w14:textId="77777777">
      <w:r>
        <w:t xml:space="preserve">I certify the following to be true: </w:t>
      </w:r>
    </w:p>
    <w:p w:rsidR="008101A5" w:rsidP="008101A5" w:rsidRDefault="008101A5" w14:paraId="1D82E485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418571E5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376F4525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42BC65F2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509FD605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1EE2673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6E9F7ECD" w14:textId="77777777"/>
    <w:p w:rsidRPr="00825E4F" w:rsidR="000003A1" w:rsidP="00D11233" w:rsidRDefault="00D11233" w14:paraId="389FAE3A" w14:textId="74628BA1">
      <w:pPr>
        <w:rPr>
          <w:rFonts w:ascii="Segoe Script" w:hAnsi="Segoe Script"/>
        </w:rPr>
      </w:pPr>
      <w:r>
        <w:t xml:space="preserve">Name: </w:t>
      </w:r>
      <w:r w:rsidRPr="00825E4F" w:rsidR="000003A1">
        <w:rPr>
          <w:rFonts w:ascii="Segoe Script" w:hAnsi="Segoe Script"/>
          <w:u w:val="single"/>
        </w:rPr>
        <w:t>Dina Merrikh</w:t>
      </w:r>
    </w:p>
    <w:p w:rsidR="004470DF" w:rsidP="00825E4F" w:rsidRDefault="00D11233" w14:paraId="45E212F2" w14:textId="5230247C">
      <w:pPr>
        <w:ind w:left="720"/>
      </w:pPr>
      <w:r>
        <w:t xml:space="preserve">Dina Merrikh </w:t>
      </w:r>
    </w:p>
    <w:p w:rsidR="00D11233" w:rsidP="00825E4F" w:rsidRDefault="00D11233" w14:paraId="55AC17B6" w14:textId="57662C4A">
      <w:pPr>
        <w:ind w:left="720"/>
        <w:rPr>
          <w:color w:val="000000"/>
        </w:rPr>
      </w:pPr>
      <w:r>
        <w:rPr>
          <w:color w:val="000000"/>
        </w:rPr>
        <w:t>Industry Performance and Analysis Section Chief</w:t>
      </w:r>
    </w:p>
    <w:p w:rsidR="004470DF" w:rsidP="00825E4F" w:rsidRDefault="00D11233" w14:paraId="6DFEB6BC" w14:textId="647CDDC1">
      <w:pPr>
        <w:ind w:left="720"/>
      </w:pPr>
      <w:r w:rsidRPr="00D11233">
        <w:t>Secure Flight &amp; Crew Vetting Program Management Branch</w:t>
      </w:r>
      <w:r>
        <w:t xml:space="preserve"> </w:t>
      </w:r>
    </w:p>
    <w:p w:rsidR="004470DF" w:rsidP="00825E4F" w:rsidRDefault="00D11233" w14:paraId="65BEF2D3" w14:textId="4364316A">
      <w:pPr>
        <w:ind w:left="720"/>
      </w:pPr>
      <w:r w:rsidRPr="00D11233">
        <w:rPr>
          <w:color w:val="000000"/>
        </w:rPr>
        <w:t>Enrollment Services &amp; Vetting Programs/Program Management Division</w:t>
      </w:r>
      <w:r w:rsidRPr="00D11233">
        <w:t xml:space="preserve"> </w:t>
      </w:r>
    </w:p>
    <w:p w:rsidRPr="00D11233" w:rsidR="00D11233" w:rsidP="00825E4F" w:rsidRDefault="000003A1" w14:paraId="00623F20" w14:textId="403BD71C">
      <w:pPr>
        <w:ind w:left="720"/>
        <w:rPr>
          <w:color w:val="000000"/>
        </w:rPr>
      </w:pPr>
      <w:r>
        <w:rPr>
          <w:color w:val="000000"/>
        </w:rPr>
        <w:t>TSA</w:t>
      </w:r>
    </w:p>
    <w:p w:rsidR="009C13B9" w:rsidP="009C13B9" w:rsidRDefault="009C13B9" w14:paraId="128D5C23" w14:textId="77777777">
      <w:pPr>
        <w:pStyle w:val="ListParagraph"/>
        <w:ind w:left="360"/>
      </w:pPr>
    </w:p>
    <w:p w:rsidR="009C13B9" w:rsidP="009C13B9" w:rsidRDefault="009C13B9" w14:paraId="5414538D" w14:textId="77777777">
      <w:r>
        <w:t>To assist review, please provide answers to the following question:</w:t>
      </w:r>
    </w:p>
    <w:p w:rsidR="009C13B9" w:rsidP="009C13B9" w:rsidRDefault="009C13B9" w14:paraId="2AD621D7" w14:textId="77777777">
      <w:pPr>
        <w:pStyle w:val="ListParagraph"/>
        <w:ind w:left="360"/>
      </w:pPr>
    </w:p>
    <w:p w:rsidRPr="00C86E91" w:rsidR="009C13B9" w:rsidP="00C86E91" w:rsidRDefault="00C86E91" w14:paraId="73DCF1DF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7E37DDC3" w14:textId="77777777">
      <w:pPr>
        <w:pStyle w:val="ListParagraph"/>
        <w:numPr>
          <w:ilvl w:val="0"/>
          <w:numId w:val="18"/>
        </w:numPr>
      </w:pPr>
      <w:r>
        <w:lastRenderedPageBreak/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</w:t>
      </w:r>
      <w:r w:rsidR="00CD0196">
        <w:t xml:space="preserve"> </w:t>
      </w:r>
      <w:r w:rsidR="009239AA">
        <w:t>] Yes  [</w:t>
      </w:r>
      <w:r w:rsidR="00CD0196">
        <w:t xml:space="preserve"> </w:t>
      </w:r>
      <w:r w:rsidR="0028267B">
        <w:t>X</w:t>
      </w:r>
      <w:r w:rsidR="00CD0196">
        <w:t xml:space="preserve"> </w:t>
      </w:r>
      <w:r w:rsidR="009239AA">
        <w:t xml:space="preserve">]  No </w:t>
      </w:r>
    </w:p>
    <w:p w:rsidR="00C86E91" w:rsidP="00C86E91" w:rsidRDefault="009C13B9" w14:paraId="40437574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</w:t>
      </w:r>
      <w:r w:rsidR="001502C7">
        <w:t xml:space="preserve">  </w:t>
      </w:r>
      <w:r w:rsidR="009239AA">
        <w:t>] No</w:t>
      </w:r>
      <w:r w:rsidR="00C86E91">
        <w:t xml:space="preserve">   </w:t>
      </w:r>
    </w:p>
    <w:p w:rsidR="00C86E91" w:rsidP="00C86E91" w:rsidRDefault="00C86E91" w14:paraId="76FDC777" w14:textId="77777777">
      <w:pPr>
        <w:pStyle w:val="ListParagraph"/>
        <w:numPr>
          <w:ilvl w:val="0"/>
          <w:numId w:val="18"/>
        </w:numPr>
      </w:pPr>
      <w:r>
        <w:t>If Applicable, has a System or Records Notice been published?  [  ] Yes  [</w:t>
      </w:r>
      <w:r w:rsidR="00293708">
        <w:t xml:space="preserve">  </w:t>
      </w:r>
      <w:r>
        <w:t>] No</w:t>
      </w:r>
    </w:p>
    <w:p w:rsidR="00794B46" w:rsidP="00C86E91" w:rsidRDefault="00794B46" w14:paraId="00DA28C1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4C5A25CA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3968A0A2" w14:textId="77777777">
      <w:r>
        <w:t>Is an incentive (</w:t>
      </w:r>
      <w:r w:rsidR="009A4473">
        <w:t xml:space="preserve">such as </w:t>
      </w:r>
      <w:r>
        <w:t>money or reimbursement of expenses, token of appreciation) provided to participants?  [  ] Yes [</w:t>
      </w:r>
      <w:r w:rsidR="00293708">
        <w:t xml:space="preserve"> </w:t>
      </w:r>
      <w:r w:rsidR="0028267B">
        <w:t>X</w:t>
      </w:r>
      <w:r w:rsidR="00293708">
        <w:t xml:space="preserve"> </w:t>
      </w:r>
      <w:r>
        <w:t xml:space="preserve">] No  </w:t>
      </w:r>
    </w:p>
    <w:p w:rsidR="004D6E14" w:rsidRDefault="004D6E14" w14:paraId="7DE73B84" w14:textId="77777777">
      <w:pPr>
        <w:rPr>
          <w:b/>
        </w:rPr>
      </w:pPr>
    </w:p>
    <w:p w:rsidR="00C86E91" w:rsidRDefault="00C86E91" w14:paraId="2AE340E6" w14:textId="77777777">
      <w:pPr>
        <w:rPr>
          <w:b/>
        </w:rPr>
      </w:pPr>
    </w:p>
    <w:p w:rsidR="005E714A" w:rsidP="00C86E91" w:rsidRDefault="005E714A" w14:paraId="6B3D7A77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309008F0" w14:textId="77777777">
      <w:pPr>
        <w:keepNext/>
        <w:keepLines/>
        <w:rPr>
          <w:b/>
        </w:rPr>
      </w:pPr>
    </w:p>
    <w:tbl>
      <w:tblPr>
        <w:tblW w:w="8480" w:type="dxa"/>
        <w:tblLook w:val="04A0" w:firstRow="1" w:lastRow="0" w:firstColumn="1" w:lastColumn="0" w:noHBand="0" w:noVBand="1"/>
      </w:tblPr>
      <w:tblGrid>
        <w:gridCol w:w="3520"/>
        <w:gridCol w:w="1620"/>
        <w:gridCol w:w="1620"/>
        <w:gridCol w:w="1720"/>
      </w:tblGrid>
      <w:tr w:rsidR="00B15F5B" w:rsidTr="00B15F5B" w14:paraId="52E21D28" w14:textId="77777777">
        <w:trPr>
          <w:trHeight w:val="29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F5B" w:rsidRDefault="00B15F5B" w14:paraId="52AF4F44" w14:textId="7777777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Table 1: Time Burden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F5B" w:rsidRDefault="00B15F5B" w14:paraId="2A80B3E1" w14:textId="777777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F5B" w:rsidRDefault="00B15F5B" w14:paraId="26817FDA" w14:textId="77777777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F5B" w:rsidRDefault="00B15F5B" w14:paraId="5112A21D" w14:textId="77777777">
            <w:pPr>
              <w:rPr>
                <w:sz w:val="20"/>
                <w:szCs w:val="20"/>
              </w:rPr>
            </w:pPr>
          </w:p>
        </w:tc>
      </w:tr>
      <w:tr w:rsidR="00B15F5B" w:rsidTr="00B15F5B" w14:paraId="3C7274EC" w14:textId="77777777">
        <w:trPr>
          <w:trHeight w:val="860"/>
        </w:trPr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B15F5B" w:rsidRDefault="00B15F5B" w14:paraId="47857394" w14:textId="777777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Category of Respondent 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B15F5B" w:rsidRDefault="00B15F5B" w14:paraId="65AFCBC1" w14:textId="777777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No. of Respondents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B15F5B" w:rsidRDefault="00B15F5B" w14:paraId="2428A6E6" w14:textId="777777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per Response (Hours)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B15F5B" w:rsidRDefault="00B15F5B" w14:paraId="46977BBA" w14:textId="777777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Burden (Hours)</w:t>
            </w:r>
          </w:p>
        </w:tc>
      </w:tr>
      <w:tr w:rsidR="00B15F5B" w:rsidTr="00B15F5B" w14:paraId="33075F97" w14:textId="77777777">
        <w:trPr>
          <w:trHeight w:val="460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B15F5B" w:rsidRDefault="00B15F5B" w14:paraId="0DFC6039" w14:textId="7777777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B15F5B" w:rsidRDefault="00B15F5B" w14:paraId="2604200F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B15F5B" w:rsidRDefault="00B15F5B" w14:paraId="074E9F84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B15F5B" w:rsidRDefault="00B15F5B" w14:paraId="6E4A4A0A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C= A x B</w:t>
            </w:r>
          </w:p>
        </w:tc>
      </w:tr>
      <w:tr w:rsidR="00B15F5B" w:rsidTr="00B15F5B" w14:paraId="6723B04C" w14:textId="77777777">
        <w:trPr>
          <w:trHeight w:val="940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B15F5B" w:rsidRDefault="00B15F5B" w14:paraId="3CEAE45F" w14:textId="77777777">
            <w:pPr>
              <w:rPr>
                <w:color w:val="000000"/>
              </w:rPr>
            </w:pPr>
            <w:r>
              <w:rPr>
                <w:color w:val="000000"/>
              </w:rPr>
              <w:t>Secure Flight Domestic and Foreign Aircraft Operator Representatives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B15F5B" w:rsidRDefault="00B15F5B" w14:paraId="1A47D30D" w14:textId="77777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B15F5B" w:rsidP="002934F1" w:rsidRDefault="00B15F5B" w14:paraId="50785896" w14:textId="78A6F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0.1666</w:t>
            </w:r>
            <w:r w:rsidR="002934F1">
              <w:rPr>
                <w:color w:val="000000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B15F5B" w:rsidRDefault="00B15F5B" w14:paraId="33EB5B8B" w14:textId="77777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35.8</w:t>
            </w:r>
          </w:p>
        </w:tc>
      </w:tr>
      <w:tr w:rsidR="00B15F5B" w:rsidTr="00B15F5B" w14:paraId="696FEBE6" w14:textId="77777777">
        <w:trPr>
          <w:trHeight w:val="300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B15F5B" w:rsidRDefault="00B15F5B" w14:paraId="5F2F346A" w14:textId="777777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B15F5B" w:rsidRDefault="00B15F5B" w14:paraId="30FABA6C" w14:textId="777777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B15F5B" w:rsidP="002934F1" w:rsidRDefault="00B15F5B" w14:paraId="1DCE9B00" w14:textId="5499434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0.166</w:t>
            </w:r>
            <w:r w:rsidR="002934F1">
              <w:rPr>
                <w:b/>
                <w:bCs/>
                <w:color w:val="000000"/>
              </w:rPr>
              <w:t>67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B15F5B" w:rsidRDefault="00B15F5B" w14:paraId="1A1D19B5" w14:textId="777777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35.8</w:t>
            </w:r>
          </w:p>
        </w:tc>
      </w:tr>
    </w:tbl>
    <w:p w:rsidR="00B15F5B" w:rsidP="00F3170F" w:rsidRDefault="00B15F5B" w14:paraId="177FF0F1" w14:textId="23AC93D8"/>
    <w:p w:rsidR="00B15F5B" w:rsidP="00F3170F" w:rsidRDefault="00B15F5B" w14:paraId="2EB079FF" w14:textId="7205492B"/>
    <w:tbl>
      <w:tblPr>
        <w:tblW w:w="8820" w:type="dxa"/>
        <w:tblLook w:val="04A0" w:firstRow="1" w:lastRow="0" w:firstColumn="1" w:lastColumn="0" w:noHBand="0" w:noVBand="1"/>
      </w:tblPr>
      <w:tblGrid>
        <w:gridCol w:w="3520"/>
        <w:gridCol w:w="1620"/>
        <w:gridCol w:w="1880"/>
        <w:gridCol w:w="1800"/>
      </w:tblGrid>
      <w:tr w:rsidR="00B15F5B" w:rsidTr="00CB72F3" w14:paraId="7D607138" w14:textId="77777777">
        <w:trPr>
          <w:trHeight w:val="3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F5B" w:rsidRDefault="00B15F5B" w14:paraId="422F8046" w14:textId="777777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Table 2: Cost Burden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F5B" w:rsidRDefault="00B15F5B" w14:paraId="3358DAA4" w14:textId="77777777">
            <w:pPr>
              <w:rPr>
                <w:b/>
                <w:bCs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F5B" w:rsidRDefault="00B15F5B" w14:paraId="72C89DEA" w14:textId="7777777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F5B" w:rsidRDefault="00B15F5B" w14:paraId="155F2022" w14:textId="77777777">
            <w:pPr>
              <w:rPr>
                <w:sz w:val="20"/>
                <w:szCs w:val="20"/>
              </w:rPr>
            </w:pPr>
          </w:p>
        </w:tc>
      </w:tr>
      <w:tr w:rsidR="00B15F5B" w:rsidTr="00CB72F3" w14:paraId="2E8953D5" w14:textId="77777777">
        <w:trPr>
          <w:trHeight w:val="600"/>
        </w:trPr>
        <w:tc>
          <w:tcPr>
            <w:tcW w:w="3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B15F5B" w:rsidRDefault="00B15F5B" w14:paraId="77E46C5F" w14:textId="777777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Category of Respondent 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B15F5B" w:rsidRDefault="00B15F5B" w14:paraId="111E829C" w14:textId="777777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Burden (Hours)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B15F5B" w:rsidRDefault="00B15F5B" w14:paraId="5A854528" w14:textId="777777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Wage Rate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B15F5B" w:rsidRDefault="00B15F5B" w14:paraId="45BAE8FF" w14:textId="777777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Cost Burden </w:t>
            </w:r>
          </w:p>
        </w:tc>
      </w:tr>
      <w:tr w:rsidR="00B15F5B" w:rsidTr="00CB72F3" w14:paraId="63AA017D" w14:textId="77777777">
        <w:trPr>
          <w:trHeight w:val="310"/>
        </w:trPr>
        <w:tc>
          <w:tcPr>
            <w:tcW w:w="3520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="00B15F5B" w:rsidRDefault="00B15F5B" w14:paraId="6561DA02" w14:textId="77777777">
            <w:pPr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B15F5B" w:rsidRDefault="00B15F5B" w14:paraId="75F57170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B15F5B" w:rsidRDefault="00B15F5B" w14:paraId="640DD969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B15F5B" w:rsidRDefault="00B15F5B" w14:paraId="025A7793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E= C x D</w:t>
            </w:r>
          </w:p>
        </w:tc>
      </w:tr>
      <w:tr w:rsidR="00B15F5B" w:rsidTr="00CB72F3" w14:paraId="7CA2830D" w14:textId="77777777">
        <w:trPr>
          <w:trHeight w:val="930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B15F5B" w:rsidRDefault="00B15F5B" w14:paraId="0C08165F" w14:textId="77777777">
            <w:pPr>
              <w:rPr>
                <w:color w:val="000000"/>
              </w:rPr>
            </w:pPr>
            <w:r>
              <w:rPr>
                <w:color w:val="000000"/>
              </w:rPr>
              <w:t>Secure Flight Domestic and Foreign Aircraft Operator Representatives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B15F5B" w:rsidRDefault="00B15F5B" w14:paraId="2D4EEB97" w14:textId="77777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35.8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B15F5B" w:rsidRDefault="00B15F5B" w14:paraId="47B0D8B8" w14:textId="777777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$            98.05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B15F5B" w:rsidRDefault="00B15F5B" w14:paraId="6676F504" w14:textId="77777777">
            <w:pPr>
              <w:rPr>
                <w:color w:val="000000"/>
              </w:rPr>
            </w:pPr>
            <w:r>
              <w:rPr>
                <w:color w:val="000000"/>
              </w:rPr>
              <w:t xml:space="preserve"> $         3,513.32 </w:t>
            </w:r>
          </w:p>
        </w:tc>
      </w:tr>
      <w:tr w:rsidR="00B15F5B" w:rsidTr="00CB72F3" w14:paraId="5ED84B6C" w14:textId="77777777">
        <w:trPr>
          <w:trHeight w:val="300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B15F5B" w:rsidRDefault="00B15F5B" w14:paraId="018A7972" w14:textId="777777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Totals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B15F5B" w:rsidRDefault="00B15F5B" w14:paraId="3861B74C" w14:textId="777777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35.8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B15F5B" w:rsidRDefault="00B15F5B" w14:paraId="17C1B0E2" w14:textId="777777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B15F5B" w:rsidRDefault="00B15F5B" w14:paraId="7CAB9DF9" w14:textId="777777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$         3,513.32 </w:t>
            </w:r>
          </w:p>
        </w:tc>
      </w:tr>
    </w:tbl>
    <w:p w:rsidR="00B15F5B" w:rsidP="00F3170F" w:rsidRDefault="00B15F5B" w14:paraId="4FD4F686" w14:textId="77777777"/>
    <w:p w:rsidRPr="004470DF" w:rsidR="00441434" w:rsidP="00F3170F" w:rsidRDefault="00441434" w14:paraId="20AF10AD" w14:textId="725407E8">
      <w:pPr>
        <w:rPr>
          <w:b/>
        </w:rPr>
      </w:pPr>
    </w:p>
    <w:p w:rsidR="004470DF" w:rsidP="00F3170F" w:rsidRDefault="004470DF" w14:paraId="296CED1C" w14:textId="77777777"/>
    <w:p w:rsidR="005E714A" w:rsidRDefault="001C39F7" w14:paraId="771F7C4F" w14:textId="4B0D9439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3E726E">
        <w:t xml:space="preserve">: </w:t>
      </w:r>
      <w:r w:rsidRPr="003E726E" w:rsidR="003E726E">
        <w:rPr>
          <w:b/>
        </w:rPr>
        <w:t>$</w:t>
      </w:r>
      <w:r w:rsidR="002934F1">
        <w:rPr>
          <w:b/>
        </w:rPr>
        <w:t>134.80</w:t>
      </w:r>
    </w:p>
    <w:p w:rsidR="003E726E" w:rsidRDefault="003E726E" w14:paraId="0DF0DD23" w14:textId="77777777">
      <w:pPr>
        <w:rPr>
          <w:b/>
        </w:rPr>
      </w:pPr>
    </w:p>
    <w:p w:rsidR="008A1C98" w:rsidRDefault="008A1C98" w14:paraId="30123D0C" w14:textId="7D5E7360">
      <w:pPr>
        <w:rPr>
          <w:b/>
          <w:bCs/>
          <w:u w:val="single"/>
        </w:rPr>
      </w:pPr>
    </w:p>
    <w:tbl>
      <w:tblPr>
        <w:tblW w:w="8798" w:type="dxa"/>
        <w:tblLook w:val="04A0" w:firstRow="1" w:lastRow="0" w:firstColumn="1" w:lastColumn="0" w:noHBand="0" w:noVBand="1"/>
      </w:tblPr>
      <w:tblGrid>
        <w:gridCol w:w="3652"/>
        <w:gridCol w:w="1681"/>
        <w:gridCol w:w="1681"/>
        <w:gridCol w:w="1784"/>
      </w:tblGrid>
      <w:tr w:rsidR="003E56DF" w:rsidTr="00CB72F3" w14:paraId="53C8B5D5" w14:textId="77777777">
        <w:trPr>
          <w:trHeight w:val="301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6DF" w:rsidRDefault="003E56DF" w14:paraId="6158C0FB" w14:textId="7777777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Table 3: Government Cost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6DF" w:rsidRDefault="003E56DF" w14:paraId="24F03F91" w14:textId="777777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6DF" w:rsidRDefault="003E56DF" w14:paraId="2FC3641C" w14:textId="77777777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6DF" w:rsidRDefault="003E56DF" w14:paraId="75E4561E" w14:textId="77777777">
            <w:pPr>
              <w:rPr>
                <w:sz w:val="20"/>
                <w:szCs w:val="20"/>
              </w:rPr>
            </w:pPr>
          </w:p>
        </w:tc>
      </w:tr>
      <w:tr w:rsidR="003E56DF" w:rsidTr="00CB72F3" w14:paraId="194072E4" w14:textId="77777777">
        <w:trPr>
          <w:trHeight w:val="1293"/>
        </w:trPr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3E56DF" w:rsidP="00746FA2" w:rsidRDefault="003E56DF" w14:paraId="55F48CD0" w14:textId="00235C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TSA </w:t>
            </w:r>
            <w:r w:rsidR="00746FA2">
              <w:rPr>
                <w:b/>
                <w:bCs/>
                <w:color w:val="000000"/>
              </w:rPr>
              <w:t>Pay Band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3E56DF" w:rsidRDefault="003E56DF" w14:paraId="21CAD8A3" w14:textId="777777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Average Hourly Loaded Rate of </w:t>
            </w:r>
            <w:bookmarkStart w:name="_GoBack" w:id="0"/>
            <w:bookmarkEnd w:id="0"/>
            <w:r>
              <w:rPr>
                <w:b/>
                <w:bCs/>
                <w:color w:val="000000"/>
              </w:rPr>
              <w:t>Pay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3E56DF" w:rsidRDefault="003E56DF" w14:paraId="7DE5AD38" w14:textId="777777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Burden (Hours)</w:t>
            </w:r>
          </w:p>
        </w:tc>
        <w:tc>
          <w:tcPr>
            <w:tcW w:w="1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3E56DF" w:rsidRDefault="003E56DF" w14:paraId="6F332C89" w14:textId="777777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Estimated Annual Cost to the Federal Government</w:t>
            </w:r>
          </w:p>
        </w:tc>
      </w:tr>
      <w:tr w:rsidR="003E56DF" w:rsidTr="00CB72F3" w14:paraId="16CC3F3A" w14:textId="77777777">
        <w:trPr>
          <w:trHeight w:val="334"/>
        </w:trPr>
        <w:tc>
          <w:tcPr>
            <w:tcW w:w="3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3E56DF" w:rsidRDefault="003E56DF" w14:paraId="588456B0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TSA Analyst : H-Band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3E56DF" w:rsidRDefault="003E56DF" w14:paraId="67FE912D" w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A  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3E56DF" w:rsidRDefault="003E56DF" w14:paraId="2C145320" w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3E56DF" w:rsidRDefault="003E56DF" w14:paraId="22C5BC0F" w14:textId="7777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 = A x B</w:t>
            </w:r>
          </w:p>
        </w:tc>
      </w:tr>
      <w:tr w:rsidR="003E56DF" w:rsidTr="00CB72F3" w14:paraId="0A574E0B" w14:textId="77777777">
        <w:trPr>
          <w:trHeight w:val="668"/>
        </w:trPr>
        <w:tc>
          <w:tcPr>
            <w:tcW w:w="3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3E56DF" w:rsidRDefault="003E56DF" w14:paraId="34A25B41" w14:textId="777777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Totals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3E56DF" w:rsidP="002934F1" w:rsidRDefault="003E56DF" w14:paraId="53939585" w14:textId="0BC6F0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$            40.</w:t>
            </w:r>
            <w:r w:rsidR="002934F1">
              <w:rPr>
                <w:b/>
                <w:bCs/>
                <w:color w:val="000000"/>
              </w:rPr>
              <w:t>44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3E56DF" w:rsidRDefault="003E56DF" w14:paraId="5FDBDF0A" w14:textId="777777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3.33333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3E56DF" w:rsidP="002934F1" w:rsidRDefault="003E56DF" w14:paraId="110866AA" w14:textId="4E811B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$            134.</w:t>
            </w:r>
            <w:r w:rsidR="002934F1">
              <w:rPr>
                <w:b/>
                <w:bCs/>
                <w:color w:val="000000"/>
              </w:rPr>
              <w:t>80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</w:tbl>
    <w:p w:rsidR="003E56DF" w:rsidRDefault="003E56DF" w14:paraId="2B7D145A" w14:textId="77777777">
      <w:pPr>
        <w:rPr>
          <w:b/>
          <w:bCs/>
          <w:u w:val="single"/>
        </w:rPr>
      </w:pPr>
    </w:p>
    <w:p w:rsidR="008A1C98" w:rsidRDefault="008A1C98" w14:paraId="46BCD232" w14:textId="77777777">
      <w:pPr>
        <w:rPr>
          <w:b/>
          <w:bCs/>
          <w:u w:val="single"/>
        </w:rPr>
      </w:pPr>
    </w:p>
    <w:p w:rsidR="0069403B" w:rsidP="00F06866" w:rsidRDefault="00ED6492" w14:paraId="54D8A406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 w14:paraId="16196E8C" w14:textId="77777777">
      <w:pPr>
        <w:rPr>
          <w:b/>
        </w:rPr>
      </w:pPr>
    </w:p>
    <w:p w:rsidR="00F06866" w:rsidP="00F06866" w:rsidRDefault="00636621" w14:paraId="68B2A7B4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28D8A319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BA62D4">
        <w:t>X</w:t>
      </w:r>
      <w:r>
        <w:t xml:space="preserve"> ] Yes</w:t>
      </w:r>
      <w:r>
        <w:tab/>
        <w:t>[</w:t>
      </w:r>
      <w:r w:rsidR="00293708">
        <w:t xml:space="preserve">  </w:t>
      </w:r>
      <w:r>
        <w:t>] No</w:t>
      </w:r>
    </w:p>
    <w:p w:rsidR="00636621" w:rsidP="00636621" w:rsidRDefault="00636621" w14:paraId="19F5AF7B" w14:textId="77777777">
      <w:pPr>
        <w:pStyle w:val="ListParagraph"/>
      </w:pPr>
    </w:p>
    <w:p w:rsidR="00636621" w:rsidP="001B0AAA" w:rsidRDefault="00636621" w14:paraId="0159BA69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2D58CC" w:rsidP="002D58CC" w:rsidRDefault="002D58CC" w14:paraId="6A50EE83" w14:textId="77777777"/>
    <w:p w:rsidRPr="000003A1" w:rsidR="004010C9" w:rsidP="004010C9" w:rsidRDefault="004E6C08" w14:paraId="3DDB036A" w14:textId="168B8A1B">
      <w:pPr>
        <w:rPr>
          <w:i/>
        </w:rPr>
      </w:pPr>
      <w:r>
        <w:rPr>
          <w:i/>
        </w:rPr>
        <w:t xml:space="preserve">The customer list would include </w:t>
      </w:r>
      <w:r w:rsidR="004B10F8">
        <w:rPr>
          <w:i/>
        </w:rPr>
        <w:t>emailing a</w:t>
      </w:r>
      <w:r w:rsidR="00DD7E86">
        <w:rPr>
          <w:i/>
        </w:rPr>
        <w:t>n identical</w:t>
      </w:r>
      <w:r w:rsidR="004B10F8">
        <w:rPr>
          <w:i/>
        </w:rPr>
        <w:t xml:space="preserve"> survey to an aircraft operator representative from each </w:t>
      </w:r>
      <w:r>
        <w:rPr>
          <w:i/>
        </w:rPr>
        <w:t>domestic and internation</w:t>
      </w:r>
      <w:r w:rsidR="00870E87">
        <w:rPr>
          <w:i/>
        </w:rPr>
        <w:t>al</w:t>
      </w:r>
      <w:r>
        <w:rPr>
          <w:i/>
        </w:rPr>
        <w:t xml:space="preserve"> aircraft operator</w:t>
      </w:r>
      <w:r w:rsidR="00226079">
        <w:rPr>
          <w:i/>
        </w:rPr>
        <w:t xml:space="preserve">, </w:t>
      </w:r>
      <w:r w:rsidR="000003A1">
        <w:rPr>
          <w:i/>
        </w:rPr>
        <w:t xml:space="preserve">who actively submit to the </w:t>
      </w:r>
      <w:r w:rsidRPr="000003A1" w:rsidR="00226079">
        <w:rPr>
          <w:i/>
        </w:rPr>
        <w:t>Secure Flight</w:t>
      </w:r>
      <w:r w:rsidR="000003A1">
        <w:rPr>
          <w:i/>
        </w:rPr>
        <w:t xml:space="preserve"> system</w:t>
      </w:r>
      <w:r w:rsidRPr="000003A1">
        <w:rPr>
          <w:i/>
        </w:rPr>
        <w:t>.</w:t>
      </w:r>
      <w:r w:rsidRPr="000003A1" w:rsidR="004B10F8">
        <w:rPr>
          <w:i/>
        </w:rPr>
        <w:t xml:space="preserve"> </w:t>
      </w:r>
      <w:r w:rsidRPr="000003A1">
        <w:rPr>
          <w:i/>
        </w:rPr>
        <w:t xml:space="preserve"> </w:t>
      </w:r>
    </w:p>
    <w:p w:rsidR="004D6E14" w:rsidP="00A403BB" w:rsidRDefault="004D6E14" w14:paraId="161EC710" w14:textId="77777777">
      <w:pPr>
        <w:rPr>
          <w:b/>
        </w:rPr>
      </w:pPr>
    </w:p>
    <w:p w:rsidR="00A403BB" w:rsidP="00A403BB" w:rsidRDefault="00A403BB" w14:paraId="35C76437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3D5C5CAF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2D58CC" w14:paraId="1B5C8316" w14:textId="77777777">
      <w:pPr>
        <w:ind w:left="720"/>
      </w:pPr>
      <w:r>
        <w:t>[</w:t>
      </w:r>
      <w:r w:rsidR="00BA62D4">
        <w:t xml:space="preserve"> </w:t>
      </w:r>
      <w:r w:rsidR="00293708">
        <w:t xml:space="preserve"> </w:t>
      </w:r>
      <w:r w:rsidR="00A403BB">
        <w:t>] Web-based</w:t>
      </w:r>
      <w:r w:rsidR="001B0AAA">
        <w:t xml:space="preserve"> or other forms of Social Media </w:t>
      </w:r>
    </w:p>
    <w:p w:rsidR="001B0AAA" w:rsidP="001B0AAA" w:rsidRDefault="00A403BB" w14:paraId="471DB0D8" w14:textId="77777777">
      <w:pPr>
        <w:ind w:left="720"/>
      </w:pPr>
      <w:r>
        <w:t xml:space="preserve">[ </w:t>
      </w:r>
      <w:r w:rsidR="002D58CC">
        <w:t xml:space="preserve"> </w:t>
      </w:r>
      <w:r>
        <w:t>] Telephone</w:t>
      </w:r>
      <w:r>
        <w:tab/>
      </w:r>
    </w:p>
    <w:p w:rsidR="001B0AAA" w:rsidP="001B0AAA" w:rsidRDefault="00A403BB" w14:paraId="59161DBE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407FE29B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BA62D4" w:rsidP="00BA62D4" w:rsidRDefault="00A403BB" w14:paraId="05253352" w14:textId="77777777">
      <w:pPr>
        <w:ind w:left="720"/>
      </w:pPr>
      <w:r>
        <w:t>[</w:t>
      </w:r>
      <w:r w:rsidR="00BA62D4">
        <w:t>X</w:t>
      </w:r>
      <w:r>
        <w:t xml:space="preserve"> ] Other, Explain</w:t>
      </w:r>
      <w:r w:rsidR="00BA62D4">
        <w:t>: Email outreach</w:t>
      </w:r>
    </w:p>
    <w:p w:rsidR="002D58CC" w:rsidP="004010C9" w:rsidRDefault="002D58CC" w14:paraId="7F2E908D" w14:textId="77777777"/>
    <w:p w:rsidR="00F24CFC" w:rsidP="00F24CFC" w:rsidRDefault="00F24CFC" w14:paraId="386C612B" w14:textId="77777777">
      <w:pPr>
        <w:pStyle w:val="ListParagraph"/>
        <w:numPr>
          <w:ilvl w:val="0"/>
          <w:numId w:val="17"/>
        </w:numPr>
      </w:pPr>
      <w:r>
        <w:t>Will interviewers or fa</w:t>
      </w:r>
      <w:r w:rsidR="002D58CC">
        <w:t xml:space="preserve">cilitators be used?  [  ] Yes [ </w:t>
      </w:r>
      <w:r w:rsidR="00BA62D4">
        <w:t>X</w:t>
      </w:r>
      <w:r w:rsidR="00293708">
        <w:t xml:space="preserve"> </w:t>
      </w:r>
      <w:r>
        <w:t>] No</w:t>
      </w:r>
    </w:p>
    <w:p w:rsidR="00F24CFC" w:rsidP="00F24CFC" w:rsidRDefault="00F24CFC" w14:paraId="30D8707C" w14:textId="77777777">
      <w:pPr>
        <w:pStyle w:val="ListParagraph"/>
        <w:ind w:left="360"/>
      </w:pPr>
      <w:r>
        <w:t xml:space="preserve"> </w:t>
      </w:r>
    </w:p>
    <w:p w:rsidR="004E6C08" w:rsidP="004E6C08" w:rsidRDefault="00F24CFC" w14:paraId="0388C080" w14:textId="3DAACFEF">
      <w:r w:rsidRPr="00F24CFC">
        <w:rPr>
          <w:b/>
        </w:rPr>
        <w:t>Please make sure that all instruments, instructions, and scripts are submitted with the request.</w:t>
      </w:r>
    </w:p>
    <w:p w:rsidR="005E714A" w:rsidP="004E6C08" w:rsidRDefault="005E714A" w14:paraId="304DA832" w14:textId="77777777"/>
    <w:sectPr w:rsidR="005E714A" w:rsidSect="00194AC6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F561D" w14:textId="77777777" w:rsidR="00164DC7" w:rsidRDefault="00164DC7">
      <w:r>
        <w:separator/>
      </w:r>
    </w:p>
  </w:endnote>
  <w:endnote w:type="continuationSeparator" w:id="0">
    <w:p w14:paraId="3D8F45F8" w14:textId="77777777" w:rsidR="00164DC7" w:rsidRDefault="00164DC7">
      <w:r>
        <w:continuationSeparator/>
      </w:r>
    </w:p>
  </w:endnote>
  <w:endnote w:type="continuationNotice" w:id="1">
    <w:p w14:paraId="0035FB40" w14:textId="77777777" w:rsidR="00164DC7" w:rsidRDefault="00164D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B3DAD" w14:textId="74DE0B70" w:rsidR="004E6E38" w:rsidRDefault="004E6E38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3299E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3A8FB" w14:textId="77777777" w:rsidR="00164DC7" w:rsidRDefault="00164DC7">
      <w:r>
        <w:separator/>
      </w:r>
    </w:p>
  </w:footnote>
  <w:footnote w:type="continuationSeparator" w:id="0">
    <w:p w14:paraId="1E1B15E2" w14:textId="77777777" w:rsidR="00164DC7" w:rsidRDefault="00164DC7">
      <w:r>
        <w:continuationSeparator/>
      </w:r>
    </w:p>
  </w:footnote>
  <w:footnote w:type="continuationNotice" w:id="1">
    <w:p w14:paraId="33DEEC57" w14:textId="77777777" w:rsidR="00164DC7" w:rsidRDefault="00164D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003A1"/>
    <w:rsid w:val="00005BBC"/>
    <w:rsid w:val="00023A57"/>
    <w:rsid w:val="00040CB7"/>
    <w:rsid w:val="00047A64"/>
    <w:rsid w:val="00067329"/>
    <w:rsid w:val="0008673E"/>
    <w:rsid w:val="000B1600"/>
    <w:rsid w:val="000B2838"/>
    <w:rsid w:val="000D44CA"/>
    <w:rsid w:val="000D769E"/>
    <w:rsid w:val="000E200B"/>
    <w:rsid w:val="000F68BE"/>
    <w:rsid w:val="0010254D"/>
    <w:rsid w:val="00116C46"/>
    <w:rsid w:val="00121F52"/>
    <w:rsid w:val="001502C7"/>
    <w:rsid w:val="00152429"/>
    <w:rsid w:val="00161025"/>
    <w:rsid w:val="00164DC7"/>
    <w:rsid w:val="00170A5D"/>
    <w:rsid w:val="001927A4"/>
    <w:rsid w:val="0019290C"/>
    <w:rsid w:val="00194AC6"/>
    <w:rsid w:val="001A23B0"/>
    <w:rsid w:val="001A25CC"/>
    <w:rsid w:val="001B0AAA"/>
    <w:rsid w:val="001C39F7"/>
    <w:rsid w:val="001E2580"/>
    <w:rsid w:val="001F085F"/>
    <w:rsid w:val="00216A06"/>
    <w:rsid w:val="00226079"/>
    <w:rsid w:val="00237B48"/>
    <w:rsid w:val="0024521E"/>
    <w:rsid w:val="00253B29"/>
    <w:rsid w:val="00255324"/>
    <w:rsid w:val="0025637E"/>
    <w:rsid w:val="00263C3D"/>
    <w:rsid w:val="00266988"/>
    <w:rsid w:val="00273EC0"/>
    <w:rsid w:val="00274236"/>
    <w:rsid w:val="00274D0B"/>
    <w:rsid w:val="00280C8B"/>
    <w:rsid w:val="0028267B"/>
    <w:rsid w:val="00285B78"/>
    <w:rsid w:val="002875A8"/>
    <w:rsid w:val="002934F1"/>
    <w:rsid w:val="00293708"/>
    <w:rsid w:val="0029458D"/>
    <w:rsid w:val="002A2358"/>
    <w:rsid w:val="002B0928"/>
    <w:rsid w:val="002B3C95"/>
    <w:rsid w:val="002D0B92"/>
    <w:rsid w:val="002D58CC"/>
    <w:rsid w:val="00367DB8"/>
    <w:rsid w:val="003929F0"/>
    <w:rsid w:val="00395267"/>
    <w:rsid w:val="003A5398"/>
    <w:rsid w:val="003A636D"/>
    <w:rsid w:val="003D5BBE"/>
    <w:rsid w:val="003E3C61"/>
    <w:rsid w:val="003E56DF"/>
    <w:rsid w:val="003E726E"/>
    <w:rsid w:val="003F0C4E"/>
    <w:rsid w:val="003F1C5B"/>
    <w:rsid w:val="004010C9"/>
    <w:rsid w:val="00406FA9"/>
    <w:rsid w:val="0042204E"/>
    <w:rsid w:val="00433FFB"/>
    <w:rsid w:val="00434E33"/>
    <w:rsid w:val="00441434"/>
    <w:rsid w:val="004470DF"/>
    <w:rsid w:val="0045264C"/>
    <w:rsid w:val="004876EC"/>
    <w:rsid w:val="004B10F8"/>
    <w:rsid w:val="004B1462"/>
    <w:rsid w:val="004D6E14"/>
    <w:rsid w:val="004E6C08"/>
    <w:rsid w:val="004E6E38"/>
    <w:rsid w:val="004F0863"/>
    <w:rsid w:val="004F58B1"/>
    <w:rsid w:val="005009B0"/>
    <w:rsid w:val="00506AD4"/>
    <w:rsid w:val="005716B6"/>
    <w:rsid w:val="00576243"/>
    <w:rsid w:val="00576E3A"/>
    <w:rsid w:val="005A1006"/>
    <w:rsid w:val="005C6653"/>
    <w:rsid w:val="005D1702"/>
    <w:rsid w:val="005D5BE2"/>
    <w:rsid w:val="005E35BA"/>
    <w:rsid w:val="005E714A"/>
    <w:rsid w:val="00602E36"/>
    <w:rsid w:val="006068CD"/>
    <w:rsid w:val="006140A0"/>
    <w:rsid w:val="00615D0B"/>
    <w:rsid w:val="0063299E"/>
    <w:rsid w:val="00636621"/>
    <w:rsid w:val="00642B49"/>
    <w:rsid w:val="00677E96"/>
    <w:rsid w:val="006832D9"/>
    <w:rsid w:val="0069403B"/>
    <w:rsid w:val="006C08A1"/>
    <w:rsid w:val="006F3491"/>
    <w:rsid w:val="006F3DDE"/>
    <w:rsid w:val="00704678"/>
    <w:rsid w:val="00705288"/>
    <w:rsid w:val="00722663"/>
    <w:rsid w:val="007425E7"/>
    <w:rsid w:val="00746FA2"/>
    <w:rsid w:val="007643B5"/>
    <w:rsid w:val="00764984"/>
    <w:rsid w:val="0078277A"/>
    <w:rsid w:val="00785AD9"/>
    <w:rsid w:val="00794B46"/>
    <w:rsid w:val="007B1363"/>
    <w:rsid w:val="007E0263"/>
    <w:rsid w:val="00802607"/>
    <w:rsid w:val="008101A5"/>
    <w:rsid w:val="0081536C"/>
    <w:rsid w:val="00822664"/>
    <w:rsid w:val="00825E4F"/>
    <w:rsid w:val="00842540"/>
    <w:rsid w:val="00843796"/>
    <w:rsid w:val="00855FEA"/>
    <w:rsid w:val="008603A0"/>
    <w:rsid w:val="00862ADD"/>
    <w:rsid w:val="00870E87"/>
    <w:rsid w:val="00885F82"/>
    <w:rsid w:val="00895229"/>
    <w:rsid w:val="008A1C98"/>
    <w:rsid w:val="008A432D"/>
    <w:rsid w:val="008B0A28"/>
    <w:rsid w:val="008E0960"/>
    <w:rsid w:val="008F0203"/>
    <w:rsid w:val="008F50D4"/>
    <w:rsid w:val="00914A56"/>
    <w:rsid w:val="009239AA"/>
    <w:rsid w:val="009359E8"/>
    <w:rsid w:val="00935ADA"/>
    <w:rsid w:val="009431D3"/>
    <w:rsid w:val="00946B6C"/>
    <w:rsid w:val="00955A71"/>
    <w:rsid w:val="0096108F"/>
    <w:rsid w:val="0096766A"/>
    <w:rsid w:val="009844EE"/>
    <w:rsid w:val="009A06C6"/>
    <w:rsid w:val="009A4473"/>
    <w:rsid w:val="009A46D3"/>
    <w:rsid w:val="009C13B9"/>
    <w:rsid w:val="009C7CD3"/>
    <w:rsid w:val="009D01A2"/>
    <w:rsid w:val="009D331F"/>
    <w:rsid w:val="009E0FB4"/>
    <w:rsid w:val="009F5923"/>
    <w:rsid w:val="00A07F79"/>
    <w:rsid w:val="00A13D12"/>
    <w:rsid w:val="00A403BB"/>
    <w:rsid w:val="00A674DF"/>
    <w:rsid w:val="00A7590A"/>
    <w:rsid w:val="00A83AA6"/>
    <w:rsid w:val="00A9259F"/>
    <w:rsid w:val="00A94EFF"/>
    <w:rsid w:val="00A966B0"/>
    <w:rsid w:val="00A97283"/>
    <w:rsid w:val="00AB4283"/>
    <w:rsid w:val="00AD3236"/>
    <w:rsid w:val="00AE1809"/>
    <w:rsid w:val="00B15F5B"/>
    <w:rsid w:val="00B252F6"/>
    <w:rsid w:val="00B42A3F"/>
    <w:rsid w:val="00B73CA4"/>
    <w:rsid w:val="00B80D76"/>
    <w:rsid w:val="00B81CDC"/>
    <w:rsid w:val="00BA2105"/>
    <w:rsid w:val="00BA62D4"/>
    <w:rsid w:val="00BA7E06"/>
    <w:rsid w:val="00BB43B5"/>
    <w:rsid w:val="00BB5350"/>
    <w:rsid w:val="00BB6219"/>
    <w:rsid w:val="00BD290F"/>
    <w:rsid w:val="00C025E3"/>
    <w:rsid w:val="00C12313"/>
    <w:rsid w:val="00C14CC4"/>
    <w:rsid w:val="00C20C1C"/>
    <w:rsid w:val="00C27F64"/>
    <w:rsid w:val="00C31063"/>
    <w:rsid w:val="00C33C52"/>
    <w:rsid w:val="00C40D8B"/>
    <w:rsid w:val="00C444BC"/>
    <w:rsid w:val="00C467C4"/>
    <w:rsid w:val="00C47304"/>
    <w:rsid w:val="00C8407A"/>
    <w:rsid w:val="00C8488C"/>
    <w:rsid w:val="00C86E91"/>
    <w:rsid w:val="00CA2650"/>
    <w:rsid w:val="00CB1078"/>
    <w:rsid w:val="00CB72F3"/>
    <w:rsid w:val="00CC6FAF"/>
    <w:rsid w:val="00CC7090"/>
    <w:rsid w:val="00CD0196"/>
    <w:rsid w:val="00CE20E4"/>
    <w:rsid w:val="00CE37E9"/>
    <w:rsid w:val="00CF62B0"/>
    <w:rsid w:val="00CF79DE"/>
    <w:rsid w:val="00D03938"/>
    <w:rsid w:val="00D11233"/>
    <w:rsid w:val="00D11E55"/>
    <w:rsid w:val="00D24698"/>
    <w:rsid w:val="00D61819"/>
    <w:rsid w:val="00D6383F"/>
    <w:rsid w:val="00DB1DF0"/>
    <w:rsid w:val="00DB59D0"/>
    <w:rsid w:val="00DC0976"/>
    <w:rsid w:val="00DC33D3"/>
    <w:rsid w:val="00DC7001"/>
    <w:rsid w:val="00DD7E86"/>
    <w:rsid w:val="00DF341F"/>
    <w:rsid w:val="00E037BE"/>
    <w:rsid w:val="00E06E0F"/>
    <w:rsid w:val="00E17443"/>
    <w:rsid w:val="00E26329"/>
    <w:rsid w:val="00E3508D"/>
    <w:rsid w:val="00E40B50"/>
    <w:rsid w:val="00E47A24"/>
    <w:rsid w:val="00E50293"/>
    <w:rsid w:val="00E63766"/>
    <w:rsid w:val="00E65FFC"/>
    <w:rsid w:val="00E74E8D"/>
    <w:rsid w:val="00E80951"/>
    <w:rsid w:val="00E86CC6"/>
    <w:rsid w:val="00EB2D63"/>
    <w:rsid w:val="00EB56B3"/>
    <w:rsid w:val="00ED6492"/>
    <w:rsid w:val="00ED725C"/>
    <w:rsid w:val="00EF2095"/>
    <w:rsid w:val="00F06866"/>
    <w:rsid w:val="00F15956"/>
    <w:rsid w:val="00F24CFC"/>
    <w:rsid w:val="00F3170F"/>
    <w:rsid w:val="00F45663"/>
    <w:rsid w:val="00F64D22"/>
    <w:rsid w:val="00F65A9C"/>
    <w:rsid w:val="00F722A2"/>
    <w:rsid w:val="00F75832"/>
    <w:rsid w:val="00F84C66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20BDBF56"/>
  <w15:docId w15:val="{77DB845D-6025-43FA-88D9-B5B9BF90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80C8B"/>
    <w:rPr>
      <w:color w:val="0000FF"/>
      <w:u w:val="single"/>
    </w:rPr>
  </w:style>
  <w:style w:type="paragraph" w:styleId="Revision">
    <w:name w:val="Revision"/>
    <w:hidden/>
    <w:uiPriority w:val="99"/>
    <w:semiHidden/>
    <w:rsid w:val="00B73C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rog_x002e__x0020_Office xmlns="b4b07245-ae5e-4f46-8beb-6f9ce3b587d9">ESVP</Prog_x002e__x0020_Office>
    <Type_x0020_of_x0020_Request xmlns="b4b07245-ae5e-4f46-8beb-6f9ce3b587d9">Gen. IC</Type_x0020_of_x0020_Request>
    <Col_x002e__x0020_Yr_x002e_ xmlns="b4b07245-ae5e-4f46-8beb-6f9ce3b587d9">FY19</Col_x002e__x0020_Yr_x002e_>
    <Reviewer_x0020_Cmt_x0028_s_x0029_ xmlns="b4b07245-ae5e-4f46-8beb-6f9ce3b587d9" xsi:nil="true"/>
    <Doc_x002e__x0020_Type xmlns="b4b07245-ae5e-4f46-8beb-6f9ce3b587d9">Gen. Appl.</Doc_x002e__x0020_Type>
    <Other_x0020_Actions xmlns="b4b07245-ae5e-4f46-8beb-6f9ce3b587d9">
      <Value>OCC Review</Value>
    </Other_x0020_Actions>
    <_dlc_DocId xmlns="dcc26ded-df53-40e4-b0ec-50f0378640d6">2MNXFYDWMX7Y-59266938-188</_dlc_DocId>
    <_dlc_DocIdUrl xmlns="dcc26ded-df53-40e4-b0ec-50f0378640d6">
      <Url>https://office.ishare.tsa.dhs.gov/sites/oit/bmo/pra/_layouts/15/DocIdRedir.aspx?ID=2MNXFYDWMX7Y-59266938-188</Url>
      <Description>2MNXFYDWMX7Y-59266938-188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9FBD1FF58F94DB7D415D06E803387" ma:contentTypeVersion="6" ma:contentTypeDescription="Create a new document." ma:contentTypeScope="" ma:versionID="254327f4e6266507aa98335d7995dd9f">
  <xsd:schema xmlns:xsd="http://www.w3.org/2001/XMLSchema" xmlns:xs="http://www.w3.org/2001/XMLSchema" xmlns:p="http://schemas.microsoft.com/office/2006/metadata/properties" xmlns:ns2="dcc26ded-df53-40e4-b0ec-50f0378640d6" xmlns:ns3="b4b07245-ae5e-4f46-8beb-6f9ce3b587d9" targetNamespace="http://schemas.microsoft.com/office/2006/metadata/properties" ma:root="true" ma:fieldsID="9169c822c883f086c35c4c16eb6a268c" ns2:_="" ns3:_="">
    <xsd:import namespace="dcc26ded-df53-40e4-b0ec-50f0378640d6"/>
    <xsd:import namespace="b4b07245-ae5e-4f46-8beb-6f9ce3b587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l_x002e__x0020_Yr_x002e_" minOccurs="0"/>
                <xsd:element ref="ns3:Type_x0020_of_x0020_Request"/>
                <xsd:element ref="ns3:Doc_x002e__x0020_Type" minOccurs="0"/>
                <xsd:element ref="ns3:Reviewer_x0020_Cmt_x0028_s_x0029_" minOccurs="0"/>
                <xsd:element ref="ns3:Prog_x002e__x0020_Office" minOccurs="0"/>
                <xsd:element ref="ns3:Other_x0020_Act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26ded-df53-40e4-b0ec-50f0378640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07245-ae5e-4f46-8beb-6f9ce3b587d9" elementFormDefault="qualified">
    <xsd:import namespace="http://schemas.microsoft.com/office/2006/documentManagement/types"/>
    <xsd:import namespace="http://schemas.microsoft.com/office/infopath/2007/PartnerControls"/>
    <xsd:element name="Col_x002e__x0020_Yr_x002e_" ma:index="11" nillable="true" ma:displayName="Col. Yr." ma:default="FY19" ma:format="Dropdown" ma:internalName="Col_x002e__x0020_Yr_x002e_">
      <xsd:simpleType>
        <xsd:union memberTypes="dms:Text">
          <xsd:simpleType>
            <xsd:restriction base="dms:Choice">
              <xsd:enumeration value="FY19"/>
              <xsd:enumeration value="FY20"/>
              <xsd:enumeration value="FY21"/>
              <xsd:enumeration value="FY22"/>
            </xsd:restriction>
          </xsd:simpleType>
        </xsd:union>
      </xsd:simpleType>
    </xsd:element>
    <xsd:element name="Type_x0020_of_x0020_Request" ma:index="12" ma:displayName="Request Type" ma:default="EXT" ma:format="Dropdown" ma:internalName="Type_x0020_of_x0020_Request">
      <xsd:simpleType>
        <xsd:union memberTypes="dms:Text">
          <xsd:simpleType>
            <xsd:restriction base="dms:Choice">
              <xsd:enumeration value="EXT"/>
              <xsd:enumeration value="REV"/>
              <xsd:enumeration value="Gen. IC"/>
              <xsd:enumeration value="83C"/>
            </xsd:restriction>
          </xsd:simpleType>
        </xsd:union>
      </xsd:simpleType>
    </xsd:element>
    <xsd:element name="Doc_x002e__x0020_Type" ma:index="13" nillable="true" ma:displayName="Doc. Type" ma:default="N/A" ma:format="Dropdown" ma:internalName="Doc_x002e__x0020_Type">
      <xsd:simpleType>
        <xsd:union memberTypes="dms:Text">
          <xsd:simpleType>
            <xsd:restriction base="dms:Choice">
              <xsd:enumeration value="60DN"/>
              <xsd:enumeration value="30DN"/>
              <xsd:enumeration value="SS Pt. A"/>
              <xsd:enumeration value="SS Pt. B"/>
              <xsd:enumeration value="FR Pub."/>
              <xsd:enumeration value="N/A"/>
              <xsd:enumeration value="Instrument"/>
              <xsd:enumeration value="Screenshot(s)"/>
              <xsd:enumeration value="Instruction"/>
              <xsd:enumeration value="Gen. Appl."/>
              <xsd:enumeration value="PTA"/>
              <xsd:enumeration value="OMB NOA"/>
              <xsd:enumeration value="Auth."/>
              <xsd:enumeration value="SORN"/>
              <xsd:enumeration value="PIA"/>
            </xsd:restriction>
          </xsd:simpleType>
        </xsd:union>
      </xsd:simpleType>
    </xsd:element>
    <xsd:element name="Reviewer_x0020_Cmt_x0028_s_x0029_" ma:index="14" nillable="true" ma:displayName="Reviewer Cmt(s)" ma:internalName="Reviewer_x0020_Cmt_x0028_s_x0029_">
      <xsd:simpleType>
        <xsd:restriction base="dms:Text">
          <xsd:maxLength value="255"/>
        </xsd:restriction>
      </xsd:simpleType>
    </xsd:element>
    <xsd:element name="Prog_x002e__x0020_Office" ma:index="15" nillable="true" ma:displayName="Prog. Office" ma:default="N/A" ma:format="Dropdown" ma:internalName="Prog_x002e__x0020_Office">
      <xsd:simpleType>
        <xsd:union memberTypes="dms:Text">
          <xsd:simpleType>
            <xsd:restriction base="dms:Choice">
              <xsd:enumeration value="SPIE"/>
              <xsd:enumeration value="LE/FAMS"/>
              <xsd:enumeration value="I&amp;A"/>
              <xsd:enumeration value="T&amp;D"/>
              <xsd:enumeration value="CFO"/>
              <xsd:enumeration value="HC"/>
              <xsd:enumeration value="IT"/>
              <xsd:enumeration value="CRL/OTE"/>
              <xsd:enumeration value="RCA"/>
              <xsd:enumeration value="SEC. OPs."/>
              <xsd:enumeration value="N/A"/>
            </xsd:restriction>
          </xsd:simpleType>
        </xsd:union>
      </xsd:simpleType>
    </xsd:element>
    <xsd:element name="Other_x0020_Actions" ma:index="16" nillable="true" ma:displayName="Other Actions" ma:default="Legacy" ma:internalName="Other_x0020_Ac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 Review"/>
                    <xsd:enumeration value="EAB Review"/>
                    <xsd:enumeration value="OCC Review"/>
                    <xsd:enumeration value="DocTracker"/>
                    <xsd:enumeration value="OCC Admin"/>
                    <xsd:enumeration value="Legacy"/>
                    <xsd:enumeration value="ROCIS"/>
                    <xsd:enumeration value="DHS Privacy"/>
                    <xsd:enumeration value="TSA Privacy"/>
                    <xsd:enumeration value="Fed. Reg."/>
                    <xsd:enumeration value="PO/EAB Review"/>
                    <xsd:enumeration value="FORM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rojec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8B86C-0904-493B-A7A5-67F7C1CC3D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29B40-0BDB-4CAE-98D2-51BEE6FB2AB9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b4b07245-ae5e-4f46-8beb-6f9ce3b587d9"/>
    <ds:schemaRef ds:uri="dcc26ded-df53-40e4-b0ec-50f0378640d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A7C047B-6C87-48DD-98C5-5A0C9DE1DBC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DDBDA5-450E-47CB-BD0D-765138CBC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26ded-df53-40e4-b0ec-50f0378640d6"/>
    <ds:schemaRef ds:uri="b4b07245-ae5e-4f46-8beb-6f9ce3b58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A36B559-8BF3-4584-94F2-3B7E64B4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approval under THE GENERIC CLEARANCE</vt:lpstr>
    </vt:vector>
  </TitlesOfParts>
  <Company>ssa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approval under THE GENERIC CLEARANCE</dc:title>
  <dc:creator>558022</dc:creator>
  <cp:keywords>5000.22</cp:keywords>
  <cp:lastModifiedBy>Walsh, Christina</cp:lastModifiedBy>
  <cp:revision>2</cp:revision>
  <cp:lastPrinted>2019-07-18T14:13:00Z</cp:lastPrinted>
  <dcterms:created xsi:type="dcterms:W3CDTF">2020-01-29T15:52:00Z</dcterms:created>
  <dcterms:modified xsi:type="dcterms:W3CDTF">2020-01-29T15:52:00Z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0x01010051E9FBD1FF58F94DB7D415D06E803387</vt:lpwstr>
  </property>
  <property fmtid="{D5CDD505-2E9C-101B-9397-08002B2CF9AE}" pid="4" name="Owner">
    <vt:lpwstr/>
  </property>
  <property fmtid="{D5CDD505-2E9C-101B-9397-08002B2CF9AE}" pid="5" name="Status">
    <vt:lpwstr>Draft</vt:lpwstr>
  </property>
  <property fmtid="{D5CDD505-2E9C-101B-9397-08002B2CF9AE}" pid="6" name="_dlc_DocIdItemGuid">
    <vt:lpwstr>16a62022-2507-4ee6-a6d9-250548943af3</vt:lpwstr>
  </property>
</Properties>
</file>