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2D89" w:rsidR="005E714A" w:rsidP="00F06866" w:rsidRDefault="00F06866" w14:paraId="6DFEEF7C" w14:textId="77777777">
      <w:pPr>
        <w:pStyle w:val="Heading2"/>
        <w:tabs>
          <w:tab w:val="left" w:pos="900"/>
        </w:tabs>
        <w:ind w:right="-180"/>
      </w:pPr>
      <w:r w:rsidRPr="00A32D89">
        <w:t xml:space="preserve">Request for Approval under the “Generic Clearance for the Collection of Routine Customer Feedback” (OMB Control Number: </w:t>
      </w:r>
      <w:r w:rsidRPr="00A32D89" w:rsidR="002265FD">
        <w:t>1652-0058</w:t>
      </w:r>
      <w:r w:rsidRPr="00A32D89">
        <w:t>)</w:t>
      </w:r>
    </w:p>
    <w:p w:rsidRPr="00883DF2" w:rsidR="00090D77" w:rsidP="00434E33" w:rsidRDefault="007444AB" w14:paraId="1CF4A7AC" w14:textId="4F819D95">
      <w:pPr>
        <w:rPr>
          <w:b/>
          <w:color w:val="1F3864" w:themeColor="accent5" w:themeShade="80"/>
        </w:rPr>
      </w:pPr>
      <w:r w:rsidRPr="00A32D89">
        <w:rPr>
          <w:b/>
          <w:noProof/>
        </w:rPr>
        <mc:AlternateContent>
          <mc:Choice Requires="wps">
            <w:drawing>
              <wp:anchor distT="0" distB="0" distL="114300" distR="114300" simplePos="0" relativeHeight="251659264" behindDoc="0" locked="0" layoutInCell="0" allowOverlap="1" wp14:editId="0A2990D2" wp14:anchorId="1D741A8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D7765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A32D89" w:rsidR="005E714A">
        <w:rPr>
          <w:b/>
        </w:rPr>
        <w:t>TITLE OF INFORMATION COLLECTION:</w:t>
      </w:r>
      <w:r w:rsidRPr="00A32D89" w:rsidR="00A32D89">
        <w:rPr>
          <w:b/>
        </w:rPr>
        <w:t xml:space="preserve">  </w:t>
      </w:r>
      <w:r w:rsidRPr="00883DF2" w:rsidR="00090D77">
        <w:rPr>
          <w:color w:val="1F3864" w:themeColor="accent5" w:themeShade="80"/>
        </w:rPr>
        <w:t>Explosives Detection Canine (EDC) and Passenger Screening Canine (PSC) Handler Courses Post-Graduate Evaluation for Graduates</w:t>
      </w:r>
      <w:r w:rsidRPr="00883DF2" w:rsidR="00495615">
        <w:rPr>
          <w:color w:val="1F3864" w:themeColor="accent5" w:themeShade="80"/>
        </w:rPr>
        <w:t xml:space="preserve"> and Supervisors of Course Graduates.</w:t>
      </w:r>
    </w:p>
    <w:p w:rsidRPr="00A32D89" w:rsidR="005E714A" w:rsidRDefault="005E714A" w14:paraId="70D1234F" w14:textId="77777777"/>
    <w:p w:rsidRPr="00A32D89" w:rsidR="001B0AAA" w:rsidRDefault="00F15956" w14:paraId="224485E3" w14:textId="77777777">
      <w:r w:rsidRPr="00A32D89">
        <w:rPr>
          <w:b/>
        </w:rPr>
        <w:t>PURPOSE:</w:t>
      </w:r>
    </w:p>
    <w:p w:rsidRPr="00A32D89" w:rsidR="001B0AAA" w:rsidRDefault="001B0AAA" w14:paraId="39D1166E" w14:textId="77777777"/>
    <w:p w:rsidR="00480EF9" w:rsidP="00C51370" w:rsidRDefault="00090D77" w14:paraId="10CBBFF9" w14:textId="37711FC8">
      <w:pPr>
        <w:spacing w:before="120" w:after="120"/>
        <w:rPr>
          <w:color w:val="1F3864" w:themeColor="accent5" w:themeShade="80"/>
        </w:rPr>
      </w:pPr>
      <w:r w:rsidRPr="00883DF2">
        <w:rPr>
          <w:color w:val="1F3864" w:themeColor="accent5" w:themeShade="80"/>
        </w:rPr>
        <w:t>The C</w:t>
      </w:r>
      <w:r w:rsidRPr="00883DF2" w:rsidR="00883DF2">
        <w:rPr>
          <w:color w:val="1F3864" w:themeColor="accent5" w:themeShade="80"/>
        </w:rPr>
        <w:t xml:space="preserve">anine </w:t>
      </w:r>
      <w:r w:rsidRPr="00883DF2">
        <w:rPr>
          <w:color w:val="1F3864" w:themeColor="accent5" w:themeShade="80"/>
        </w:rPr>
        <w:t>T</w:t>
      </w:r>
      <w:r w:rsidRPr="00883DF2" w:rsidR="00883DF2">
        <w:rPr>
          <w:color w:val="1F3864" w:themeColor="accent5" w:themeShade="80"/>
        </w:rPr>
        <w:t xml:space="preserve">raining </w:t>
      </w:r>
      <w:r w:rsidRPr="00883DF2">
        <w:rPr>
          <w:color w:val="1F3864" w:themeColor="accent5" w:themeShade="80"/>
        </w:rPr>
        <w:t>C</w:t>
      </w:r>
      <w:r w:rsidRPr="00883DF2" w:rsidR="00883DF2">
        <w:rPr>
          <w:color w:val="1F3864" w:themeColor="accent5" w:themeShade="80"/>
        </w:rPr>
        <w:t>enter (CTC)</w:t>
      </w:r>
      <w:r w:rsidRPr="00883DF2">
        <w:rPr>
          <w:color w:val="1F3864" w:themeColor="accent5" w:themeShade="80"/>
        </w:rPr>
        <w:t xml:space="preserve"> is conducting ongoing evaluation studies to determine the effectiveness and value of its</w:t>
      </w:r>
      <w:r w:rsidR="00480EF9">
        <w:rPr>
          <w:color w:val="1F3864" w:themeColor="accent5" w:themeShade="80"/>
        </w:rPr>
        <w:t xml:space="preserve"> formal</w:t>
      </w:r>
      <w:r w:rsidRPr="00883DF2">
        <w:rPr>
          <w:color w:val="1F3864" w:themeColor="accent5" w:themeShade="80"/>
        </w:rPr>
        <w:t xml:space="preserve"> training programs for Federal, State, and local law enforcement personnel</w:t>
      </w:r>
      <w:r w:rsidR="00480EF9">
        <w:rPr>
          <w:color w:val="1F3864" w:themeColor="accent5" w:themeShade="80"/>
        </w:rPr>
        <w:t xml:space="preserve"> using </w:t>
      </w:r>
      <w:r w:rsidRPr="00883DF2" w:rsidR="00A31E07">
        <w:rPr>
          <w:color w:val="1F3864" w:themeColor="accent5" w:themeShade="80"/>
        </w:rPr>
        <w:t>t</w:t>
      </w:r>
      <w:r w:rsidRPr="00883DF2">
        <w:rPr>
          <w:color w:val="1F3864" w:themeColor="accent5" w:themeShade="80"/>
        </w:rPr>
        <w:t>he Kirkpatrick four-level model.</w:t>
      </w:r>
      <w:r w:rsidR="00282B22">
        <w:rPr>
          <w:rStyle w:val="FootnoteReference"/>
          <w:color w:val="1F3864" w:themeColor="accent5" w:themeShade="80"/>
        </w:rPr>
        <w:footnoteReference w:id="1"/>
      </w:r>
      <w:r w:rsidRPr="00883DF2">
        <w:rPr>
          <w:color w:val="1F3864" w:themeColor="accent5" w:themeShade="80"/>
        </w:rPr>
        <w:t xml:space="preserve">  </w:t>
      </w:r>
      <w:r w:rsidRPr="00883DF2" w:rsidR="00FD75C9">
        <w:rPr>
          <w:color w:val="1F3864" w:themeColor="accent5" w:themeShade="80"/>
        </w:rPr>
        <w:t>CTC will distribute a</w:t>
      </w:r>
      <w:r w:rsidRPr="00883DF2">
        <w:rPr>
          <w:color w:val="1F3864" w:themeColor="accent5" w:themeShade="80"/>
        </w:rPr>
        <w:t xml:space="preserve"> survey to graduates </w:t>
      </w:r>
      <w:r w:rsidRPr="00883DF2" w:rsidR="009C1DF6">
        <w:rPr>
          <w:color w:val="1F3864" w:themeColor="accent5" w:themeShade="80"/>
        </w:rPr>
        <w:t xml:space="preserve">and supervisors of graduates </w:t>
      </w:r>
      <w:r w:rsidRPr="00883DF2">
        <w:rPr>
          <w:color w:val="1F3864" w:themeColor="accent5" w:themeShade="80"/>
        </w:rPr>
        <w:t xml:space="preserve">to collect data to measure at Level III of the model.  This level </w:t>
      </w:r>
      <w:r w:rsidR="00480EF9">
        <w:rPr>
          <w:color w:val="1F3864" w:themeColor="accent5" w:themeShade="80"/>
        </w:rPr>
        <w:t xml:space="preserve">of the evaluation is used to </w:t>
      </w:r>
      <w:r w:rsidRPr="00883DF2">
        <w:rPr>
          <w:color w:val="1F3864" w:themeColor="accent5" w:themeShade="80"/>
        </w:rPr>
        <w:t xml:space="preserve">determine whether the training program has changed the behavior of the participants; i.e., </w:t>
      </w:r>
      <w:r w:rsidR="00480EF9">
        <w:rPr>
          <w:color w:val="1F3864" w:themeColor="accent5" w:themeShade="80"/>
        </w:rPr>
        <w:t xml:space="preserve">whether </w:t>
      </w:r>
      <w:r w:rsidRPr="00883DF2">
        <w:rPr>
          <w:color w:val="1F3864" w:themeColor="accent5" w:themeShade="80"/>
        </w:rPr>
        <w:t xml:space="preserve">what the student learned </w:t>
      </w:r>
      <w:r w:rsidR="00480EF9">
        <w:rPr>
          <w:color w:val="1F3864" w:themeColor="accent5" w:themeShade="80"/>
        </w:rPr>
        <w:t xml:space="preserve">is </w:t>
      </w:r>
      <w:r w:rsidRPr="00883DF2">
        <w:rPr>
          <w:color w:val="1F3864" w:themeColor="accent5" w:themeShade="80"/>
        </w:rPr>
        <w:t>being applied on the job</w:t>
      </w:r>
      <w:r w:rsidR="00480EF9">
        <w:rPr>
          <w:color w:val="1F3864" w:themeColor="accent5" w:themeShade="80"/>
        </w:rPr>
        <w:t>.</w:t>
      </w:r>
    </w:p>
    <w:p w:rsidRPr="00A32D89" w:rsidR="00090D77" w:rsidP="00C51370" w:rsidRDefault="00090D77" w14:paraId="78DFF36A" w14:textId="33F4FF2E">
      <w:pPr>
        <w:spacing w:before="120" w:after="120"/>
      </w:pPr>
      <w:r w:rsidRPr="00883DF2">
        <w:rPr>
          <w:color w:val="1F3864" w:themeColor="accent5" w:themeShade="80"/>
        </w:rPr>
        <w:t>This evaluation further supports the CTC’s efforts to gather program performance-measure data regarding the accountability of training costs and to assure value of training</w:t>
      </w:r>
      <w:r w:rsidRPr="00883DF2" w:rsidR="00917B22">
        <w:rPr>
          <w:color w:val="1F3864" w:themeColor="accent5" w:themeShade="80"/>
        </w:rPr>
        <w:t>.</w:t>
      </w:r>
      <w:r w:rsidR="00480EF9">
        <w:rPr>
          <w:color w:val="1F3864" w:themeColor="accent5" w:themeShade="80"/>
        </w:rPr>
        <w:t xml:space="preserve">  </w:t>
      </w:r>
      <w:r w:rsidRPr="00883DF2">
        <w:rPr>
          <w:color w:val="1F3864" w:themeColor="accent5" w:themeShade="80"/>
        </w:rPr>
        <w:t xml:space="preserve">The information collected on these surveys will provide the CTC with data on how the training participants have transferred the knowledge and skills learned to their jobs.  Collection of this information will help the CTC determine whether the training program is consistently meeting objectives and impacting the performance of the individuals in their work place.  </w:t>
      </w:r>
      <w:r w:rsidR="00480EF9">
        <w:rPr>
          <w:color w:val="1F3864" w:themeColor="accent5" w:themeShade="80"/>
        </w:rPr>
        <w:t>The</w:t>
      </w:r>
      <w:r w:rsidRPr="00883DF2" w:rsidR="00480EF9">
        <w:rPr>
          <w:color w:val="1F3864" w:themeColor="accent5" w:themeShade="80"/>
        </w:rPr>
        <w:t xml:space="preserve"> Kirkpatrick Level III evaluations is </w:t>
      </w:r>
      <w:r w:rsidR="00480EF9">
        <w:rPr>
          <w:color w:val="1F3864" w:themeColor="accent5" w:themeShade="80"/>
        </w:rPr>
        <w:t xml:space="preserve">also </w:t>
      </w:r>
      <w:r w:rsidRPr="00883DF2" w:rsidR="00480EF9">
        <w:rPr>
          <w:color w:val="1F3864" w:themeColor="accent5" w:themeShade="80"/>
        </w:rPr>
        <w:t xml:space="preserve">a necessary requirement of Federal Law Enforcement Training Accreditation (FLETA) (Standard 3.56, Program Effectiveness Evaluations—Level 3), which is the accrediting body founded by the Office of Management and Budget and Congress to validate Federal law enforcement training efforts, spending, and allocation of resources.  </w:t>
      </w:r>
      <w:r w:rsidR="00480EF9">
        <w:rPr>
          <w:color w:val="1F3864" w:themeColor="accent5" w:themeShade="80"/>
        </w:rPr>
        <w:t>Finally, t</w:t>
      </w:r>
      <w:r w:rsidRPr="00883DF2">
        <w:rPr>
          <w:color w:val="1F3864" w:themeColor="accent5" w:themeShade="80"/>
        </w:rPr>
        <w:t>hese efforts support the President’s Agenda for Human Capital Management</w:t>
      </w:r>
      <w:r w:rsidRPr="00883DF2" w:rsidR="006307C5">
        <w:rPr>
          <w:color w:val="1F3864" w:themeColor="accent5" w:themeShade="80"/>
        </w:rPr>
        <w:t>,</w:t>
      </w:r>
      <w:r w:rsidRPr="00883DF2">
        <w:rPr>
          <w:color w:val="1F3864" w:themeColor="accent5" w:themeShade="80"/>
        </w:rPr>
        <w:t xml:space="preserve"> which includes elements to improve employee performance and to identify specific outcome metrics through which to demonstrate agency program results.</w:t>
      </w:r>
    </w:p>
    <w:p w:rsidRPr="00A32D89" w:rsidR="00F9382C" w:rsidP="00434E33" w:rsidRDefault="00F9382C" w14:paraId="464D00DF" w14:textId="77777777">
      <w:pPr>
        <w:pStyle w:val="Header"/>
        <w:tabs>
          <w:tab w:val="clear" w:pos="4320"/>
          <w:tab w:val="clear" w:pos="8640"/>
        </w:tabs>
      </w:pPr>
    </w:p>
    <w:p w:rsidRPr="00A32D89" w:rsidR="00434E33" w:rsidP="00434E33" w:rsidRDefault="00434E33" w14:paraId="13274348" w14:textId="77777777">
      <w:pPr>
        <w:pStyle w:val="Header"/>
        <w:tabs>
          <w:tab w:val="clear" w:pos="4320"/>
          <w:tab w:val="clear" w:pos="8640"/>
        </w:tabs>
        <w:rPr>
          <w:i/>
          <w:snapToGrid/>
        </w:rPr>
      </w:pPr>
      <w:r w:rsidRPr="00A32D89">
        <w:rPr>
          <w:b/>
        </w:rPr>
        <w:t>DESCRIPTION OF RESPONDENTS</w:t>
      </w:r>
      <w:r w:rsidRPr="00A32D89">
        <w:t xml:space="preserve">: </w:t>
      </w:r>
    </w:p>
    <w:p w:rsidRPr="00A32D89" w:rsidR="00F15956" w:rsidRDefault="00F15956" w14:paraId="644CD395" w14:textId="77777777"/>
    <w:p w:rsidRPr="00883DF2" w:rsidR="00883A48" w:rsidP="00C51370" w:rsidRDefault="00090D77" w14:paraId="725DDE55" w14:textId="4CB9A18C">
      <w:pPr>
        <w:rPr>
          <w:color w:val="1F3864" w:themeColor="accent5" w:themeShade="80"/>
        </w:rPr>
      </w:pPr>
      <w:r w:rsidRPr="00883DF2">
        <w:rPr>
          <w:color w:val="1F3864" w:themeColor="accent5" w:themeShade="80"/>
        </w:rPr>
        <w:t xml:space="preserve">Respondents are students </w:t>
      </w:r>
      <w:r w:rsidRPr="00883DF2" w:rsidR="00CA02C1">
        <w:rPr>
          <w:color w:val="1F3864" w:themeColor="accent5" w:themeShade="80"/>
        </w:rPr>
        <w:t xml:space="preserve">and supervisors of students </w:t>
      </w:r>
      <w:r w:rsidRPr="00883DF2">
        <w:rPr>
          <w:color w:val="1F3864" w:themeColor="accent5" w:themeShade="80"/>
        </w:rPr>
        <w:t xml:space="preserve">external to TSA, who </w:t>
      </w:r>
      <w:r w:rsidRPr="00883DF2" w:rsidR="00322012">
        <w:rPr>
          <w:color w:val="1F3864" w:themeColor="accent5" w:themeShade="80"/>
        </w:rPr>
        <w:t xml:space="preserve">are becoming—or need to requalify as—explosives or passenger screening canine handlers, and </w:t>
      </w:r>
      <w:r w:rsidRPr="00883DF2">
        <w:rPr>
          <w:color w:val="1F3864" w:themeColor="accent5" w:themeShade="80"/>
        </w:rPr>
        <w:t xml:space="preserve">participate </w:t>
      </w:r>
      <w:r w:rsidRPr="00883DF2" w:rsidR="00322012">
        <w:rPr>
          <w:color w:val="1F3864" w:themeColor="accent5" w:themeShade="80"/>
        </w:rPr>
        <w:t xml:space="preserve">in Explosives Detection Canine (EDC) and Passenger Screening Canine (PSC) Handler Courses.  Examples of external participants </w:t>
      </w:r>
      <w:r w:rsidRPr="00883DF2">
        <w:rPr>
          <w:color w:val="1F3864" w:themeColor="accent5" w:themeShade="80"/>
        </w:rPr>
        <w:t>in</w:t>
      </w:r>
      <w:r w:rsidRPr="00883DF2" w:rsidR="00322012">
        <w:rPr>
          <w:color w:val="1F3864" w:themeColor="accent5" w:themeShade="80"/>
        </w:rPr>
        <w:t xml:space="preserve">clude </w:t>
      </w:r>
      <w:r w:rsidR="00C454AA">
        <w:rPr>
          <w:color w:val="1F3864" w:themeColor="accent5" w:themeShade="80"/>
        </w:rPr>
        <w:t xml:space="preserve">non-TSA </w:t>
      </w:r>
      <w:r w:rsidRPr="00883DF2" w:rsidR="00322012">
        <w:rPr>
          <w:color w:val="1F3864" w:themeColor="accent5" w:themeShade="80"/>
        </w:rPr>
        <w:t xml:space="preserve">Federal, State, and local law enforcement personnel, such as from the </w:t>
      </w:r>
      <w:r w:rsidRPr="00883DF2" w:rsidR="00F9382C">
        <w:rPr>
          <w:color w:val="1F3864" w:themeColor="accent5" w:themeShade="80"/>
        </w:rPr>
        <w:t xml:space="preserve">U.S. Department of </w:t>
      </w:r>
      <w:r w:rsidRPr="00883DF2" w:rsidR="00322012">
        <w:rPr>
          <w:color w:val="1F3864" w:themeColor="accent5" w:themeShade="80"/>
        </w:rPr>
        <w:t xml:space="preserve">State, </w:t>
      </w:r>
      <w:r w:rsidRPr="00883DF2" w:rsidR="00F9382C">
        <w:rPr>
          <w:color w:val="1F3864" w:themeColor="accent5" w:themeShade="80"/>
        </w:rPr>
        <w:t>highway patrol</w:t>
      </w:r>
      <w:r w:rsidRPr="00883DF2" w:rsidR="00322012">
        <w:rPr>
          <w:color w:val="1F3864" w:themeColor="accent5" w:themeShade="80"/>
        </w:rPr>
        <w:t>, and local police departments and sheriff offices, respectively</w:t>
      </w:r>
      <w:r w:rsidR="00C454AA">
        <w:rPr>
          <w:color w:val="1F3864" w:themeColor="accent5" w:themeShade="80"/>
        </w:rPr>
        <w:t>, who deploy canine teams trained by the TSA at the CTC</w:t>
      </w:r>
      <w:r w:rsidRPr="00883DF2" w:rsidR="00883A48">
        <w:rPr>
          <w:color w:val="1F3864" w:themeColor="accent5" w:themeShade="80"/>
        </w:rPr>
        <w:t>.</w:t>
      </w:r>
    </w:p>
    <w:p w:rsidRPr="00A32D89" w:rsidR="00883A48" w:rsidRDefault="00883A48" w14:paraId="16274F9A" w14:textId="77777777"/>
    <w:p w:rsidRPr="00A32D89" w:rsidR="00F06866" w:rsidRDefault="00F06866" w14:paraId="7D258FFF" w14:textId="77777777">
      <w:pPr>
        <w:rPr>
          <w:b/>
        </w:rPr>
      </w:pPr>
      <w:r w:rsidRPr="00A32D89">
        <w:rPr>
          <w:b/>
        </w:rPr>
        <w:t>TYPE OF COLLECTION:</w:t>
      </w:r>
      <w:r w:rsidRPr="00A32D89">
        <w:t xml:space="preserve"> (Check one)</w:t>
      </w:r>
    </w:p>
    <w:p w:rsidRPr="00A32D89" w:rsidR="00441434" w:rsidP="0096108F" w:rsidRDefault="00441434" w14:paraId="25122DAA" w14:textId="77777777">
      <w:pPr>
        <w:pStyle w:val="BodyTextIndent"/>
        <w:tabs>
          <w:tab w:val="left" w:pos="360"/>
        </w:tabs>
        <w:ind w:left="0"/>
        <w:rPr>
          <w:bCs/>
          <w:sz w:val="24"/>
          <w:szCs w:val="24"/>
        </w:rPr>
      </w:pPr>
    </w:p>
    <w:p w:rsidRPr="00A32D89" w:rsidR="00F06866" w:rsidP="0096108F" w:rsidRDefault="0096108F" w14:paraId="456E8855" w14:textId="69476A6E">
      <w:pPr>
        <w:pStyle w:val="BodyTextIndent"/>
        <w:tabs>
          <w:tab w:val="left" w:pos="360"/>
        </w:tabs>
        <w:ind w:left="0"/>
        <w:rPr>
          <w:bCs/>
          <w:sz w:val="24"/>
          <w:szCs w:val="24"/>
        </w:rPr>
      </w:pPr>
      <w:r w:rsidRPr="00A32D89">
        <w:rPr>
          <w:bCs/>
          <w:sz w:val="24"/>
          <w:szCs w:val="24"/>
        </w:rPr>
        <w:t xml:space="preserve">[ ] </w:t>
      </w:r>
      <w:r w:rsidRPr="00A32D89" w:rsidR="00F06866">
        <w:rPr>
          <w:bCs/>
          <w:sz w:val="24"/>
          <w:szCs w:val="24"/>
        </w:rPr>
        <w:t>Customer Comment Card/Complaint Form</w:t>
      </w:r>
      <w:r w:rsidRPr="00A32D89">
        <w:rPr>
          <w:bCs/>
          <w:sz w:val="24"/>
          <w:szCs w:val="24"/>
        </w:rPr>
        <w:tab/>
        <w:t>[</w:t>
      </w:r>
      <w:r w:rsidR="00883DF2">
        <w:rPr>
          <w:bCs/>
          <w:sz w:val="24"/>
          <w:szCs w:val="24"/>
        </w:rPr>
        <w:t>X</w:t>
      </w:r>
      <w:r w:rsidRPr="00A32D89">
        <w:rPr>
          <w:bCs/>
          <w:sz w:val="24"/>
          <w:szCs w:val="24"/>
        </w:rPr>
        <w:t xml:space="preserve">] </w:t>
      </w:r>
      <w:r w:rsidRPr="00A32D89" w:rsidR="00F06866">
        <w:rPr>
          <w:bCs/>
          <w:sz w:val="24"/>
          <w:szCs w:val="24"/>
        </w:rPr>
        <w:t>Customer Satisfaction Survey</w:t>
      </w:r>
    </w:p>
    <w:p w:rsidRPr="00A32D89" w:rsidR="0096108F" w:rsidP="0096108F" w:rsidRDefault="0096108F" w14:paraId="3C70F9D9" w14:textId="77777777">
      <w:pPr>
        <w:pStyle w:val="BodyTextIndent"/>
        <w:tabs>
          <w:tab w:val="left" w:pos="360"/>
        </w:tabs>
        <w:ind w:left="0"/>
        <w:rPr>
          <w:bCs/>
          <w:sz w:val="24"/>
          <w:szCs w:val="24"/>
        </w:rPr>
      </w:pPr>
      <w:r w:rsidRPr="00A32D89">
        <w:rPr>
          <w:bCs/>
          <w:sz w:val="24"/>
          <w:szCs w:val="24"/>
        </w:rPr>
        <w:t xml:space="preserve">[ ] </w:t>
      </w:r>
      <w:r w:rsidRPr="00A32D89" w:rsidR="00F06866">
        <w:rPr>
          <w:bCs/>
          <w:sz w:val="24"/>
          <w:szCs w:val="24"/>
        </w:rPr>
        <w:t>Usability</w:t>
      </w:r>
      <w:r w:rsidRPr="00A32D89" w:rsidR="009239AA">
        <w:rPr>
          <w:bCs/>
          <w:sz w:val="24"/>
          <w:szCs w:val="24"/>
        </w:rPr>
        <w:t xml:space="preserve"> Testing (e.g., Website or Software</w:t>
      </w:r>
      <w:r w:rsidRPr="00A32D89" w:rsidR="00F06866">
        <w:rPr>
          <w:bCs/>
          <w:sz w:val="24"/>
          <w:szCs w:val="24"/>
        </w:rPr>
        <w:tab/>
        <w:t>[ ] Small Discussion Group</w:t>
      </w:r>
    </w:p>
    <w:p w:rsidRPr="00A32D89" w:rsidR="00F06866" w:rsidP="0096108F" w:rsidRDefault="00935ADA" w14:paraId="552DD2EC" w14:textId="46C91DB4">
      <w:pPr>
        <w:pStyle w:val="BodyTextIndent"/>
        <w:tabs>
          <w:tab w:val="left" w:pos="360"/>
        </w:tabs>
        <w:ind w:left="0"/>
        <w:rPr>
          <w:bCs/>
          <w:sz w:val="24"/>
          <w:szCs w:val="24"/>
        </w:rPr>
      </w:pPr>
      <w:r w:rsidRPr="00A32D89">
        <w:rPr>
          <w:bCs/>
          <w:sz w:val="24"/>
          <w:szCs w:val="24"/>
        </w:rPr>
        <w:t>[</w:t>
      </w:r>
      <w:r w:rsidRPr="00A32D89" w:rsidR="00CF6542">
        <w:rPr>
          <w:bCs/>
          <w:sz w:val="24"/>
          <w:szCs w:val="24"/>
        </w:rPr>
        <w:t xml:space="preserve"> </w:t>
      </w:r>
      <w:r w:rsidRPr="00A32D89">
        <w:rPr>
          <w:bCs/>
          <w:sz w:val="24"/>
          <w:szCs w:val="24"/>
        </w:rPr>
        <w:t>]  Focus Group</w:t>
      </w:r>
      <w:r w:rsidRPr="00A32D89">
        <w:rPr>
          <w:bCs/>
          <w:sz w:val="24"/>
          <w:szCs w:val="24"/>
        </w:rPr>
        <w:tab/>
      </w:r>
      <w:r w:rsidRPr="00A32D89">
        <w:rPr>
          <w:bCs/>
          <w:sz w:val="24"/>
          <w:szCs w:val="24"/>
        </w:rPr>
        <w:tab/>
      </w:r>
      <w:r w:rsidRPr="00A32D89">
        <w:rPr>
          <w:bCs/>
          <w:sz w:val="24"/>
          <w:szCs w:val="24"/>
        </w:rPr>
        <w:tab/>
      </w:r>
      <w:r w:rsidRPr="00A32D89">
        <w:rPr>
          <w:bCs/>
          <w:sz w:val="24"/>
          <w:szCs w:val="24"/>
        </w:rPr>
        <w:tab/>
      </w:r>
      <w:r w:rsidRPr="00A32D89">
        <w:rPr>
          <w:bCs/>
          <w:sz w:val="24"/>
          <w:szCs w:val="24"/>
        </w:rPr>
        <w:tab/>
      </w:r>
      <w:r w:rsidRPr="00A32D89" w:rsidR="00F06866">
        <w:rPr>
          <w:bCs/>
          <w:sz w:val="24"/>
          <w:szCs w:val="24"/>
        </w:rPr>
        <w:t>[] Other:</w:t>
      </w:r>
      <w:r w:rsidRPr="00A32D89" w:rsidR="00F9382C">
        <w:rPr>
          <w:bCs/>
          <w:sz w:val="24"/>
          <w:szCs w:val="24"/>
        </w:rPr>
        <w:t xml:space="preserve">  </w:t>
      </w:r>
    </w:p>
    <w:p w:rsidRPr="00A32D89" w:rsidR="00434E33" w:rsidRDefault="00434E33" w14:paraId="5A018073" w14:textId="77777777">
      <w:pPr>
        <w:pStyle w:val="Header"/>
        <w:tabs>
          <w:tab w:val="clear" w:pos="4320"/>
          <w:tab w:val="clear" w:pos="8640"/>
        </w:tabs>
      </w:pPr>
    </w:p>
    <w:p w:rsidRPr="00A32D89" w:rsidR="00CA2650" w:rsidRDefault="00441434" w14:paraId="06A99805" w14:textId="77777777">
      <w:pPr>
        <w:rPr>
          <w:b/>
        </w:rPr>
      </w:pPr>
      <w:r w:rsidRPr="00A32D89">
        <w:rPr>
          <w:b/>
        </w:rPr>
        <w:t>C</w:t>
      </w:r>
      <w:r w:rsidRPr="00A32D89" w:rsidR="009C13B9">
        <w:rPr>
          <w:b/>
        </w:rPr>
        <w:t>ERTIFICATION:</w:t>
      </w:r>
    </w:p>
    <w:p w:rsidRPr="00A32D89" w:rsidR="00441434" w:rsidRDefault="00441434" w14:paraId="33399BEF" w14:textId="77777777"/>
    <w:p w:rsidRPr="00A32D89" w:rsidR="008101A5" w:rsidP="008101A5" w:rsidRDefault="008101A5" w14:paraId="441FE86E" w14:textId="77777777">
      <w:r w:rsidRPr="00A32D89">
        <w:t>I certify the following to</w:t>
      </w:r>
      <w:r w:rsidRPr="00A32D89" w:rsidR="00F9382C">
        <w:t xml:space="preserve"> be true:</w:t>
      </w:r>
    </w:p>
    <w:p w:rsidRPr="00A32D89" w:rsidR="008101A5" w:rsidP="008101A5" w:rsidRDefault="008101A5" w14:paraId="17249E2D" w14:textId="77777777">
      <w:pPr>
        <w:pStyle w:val="ListParagraph"/>
        <w:numPr>
          <w:ilvl w:val="0"/>
          <w:numId w:val="14"/>
        </w:numPr>
      </w:pPr>
      <w:r w:rsidRPr="00A32D89">
        <w:t>The collection is voluntary.</w:t>
      </w:r>
    </w:p>
    <w:p w:rsidRPr="00A32D89" w:rsidR="008101A5" w:rsidP="008101A5" w:rsidRDefault="008101A5" w14:paraId="72D4F27F" w14:textId="77777777">
      <w:pPr>
        <w:pStyle w:val="ListParagraph"/>
        <w:numPr>
          <w:ilvl w:val="0"/>
          <w:numId w:val="14"/>
        </w:numPr>
      </w:pPr>
      <w:r w:rsidRPr="00A32D89">
        <w:t>The collection is low-burden for respondents and low-cost for the Federal Government.</w:t>
      </w:r>
    </w:p>
    <w:p w:rsidRPr="00A32D89" w:rsidR="008101A5" w:rsidP="008101A5" w:rsidRDefault="008101A5" w14:paraId="6E67DD48" w14:textId="77777777">
      <w:pPr>
        <w:pStyle w:val="ListParagraph"/>
        <w:numPr>
          <w:ilvl w:val="0"/>
          <w:numId w:val="14"/>
        </w:numPr>
      </w:pPr>
      <w:r w:rsidRPr="00A32D89">
        <w:t xml:space="preserve">The collection is non-controversial and does </w:t>
      </w:r>
      <w:r w:rsidRPr="00A32D89">
        <w:rPr>
          <w:u w:val="single"/>
        </w:rPr>
        <w:t>not</w:t>
      </w:r>
      <w:r w:rsidRPr="00A32D89">
        <w:t xml:space="preserve"> raise issues of concern to other federal agencies.</w:t>
      </w:r>
    </w:p>
    <w:p w:rsidRPr="00A32D89" w:rsidR="008101A5" w:rsidP="008101A5" w:rsidRDefault="008101A5" w14:paraId="21A109C5" w14:textId="77777777">
      <w:pPr>
        <w:pStyle w:val="ListParagraph"/>
        <w:numPr>
          <w:ilvl w:val="0"/>
          <w:numId w:val="14"/>
        </w:numPr>
      </w:pPr>
      <w:r w:rsidRPr="00A32D89">
        <w:t xml:space="preserve">The results are </w:t>
      </w:r>
      <w:r w:rsidRPr="00A32D89">
        <w:rPr>
          <w:u w:val="single"/>
        </w:rPr>
        <w:t>not</w:t>
      </w:r>
      <w:r w:rsidRPr="00A32D89">
        <w:t xml:space="preserve"> intended to be disseminated to the public</w:t>
      </w:r>
      <w:r w:rsidRPr="00A32D89" w:rsidR="00F9382C">
        <w:t>.</w:t>
      </w:r>
    </w:p>
    <w:p w:rsidRPr="00A32D89" w:rsidR="008101A5" w:rsidP="008101A5" w:rsidRDefault="008101A5" w14:paraId="3A0092B9" w14:textId="77777777">
      <w:pPr>
        <w:pStyle w:val="ListParagraph"/>
        <w:numPr>
          <w:ilvl w:val="0"/>
          <w:numId w:val="14"/>
        </w:numPr>
      </w:pPr>
      <w:r w:rsidRPr="00A32D89">
        <w:t xml:space="preserve">Information gathered will not be used for the purpose of </w:t>
      </w:r>
      <w:r w:rsidRPr="00A32D89">
        <w:rPr>
          <w:u w:val="single"/>
        </w:rPr>
        <w:t>substantially</w:t>
      </w:r>
      <w:r w:rsidRPr="00A32D89">
        <w:t xml:space="preserve"> informing </w:t>
      </w:r>
      <w:r w:rsidRPr="00A32D89">
        <w:rPr>
          <w:u w:val="single"/>
        </w:rPr>
        <w:t xml:space="preserve">influential </w:t>
      </w:r>
      <w:r w:rsidRPr="00A32D89" w:rsidR="00F9382C">
        <w:t>policy decisions.</w:t>
      </w:r>
    </w:p>
    <w:p w:rsidRPr="00A32D89" w:rsidR="008101A5" w:rsidP="008101A5" w:rsidRDefault="008101A5" w14:paraId="430999F9" w14:textId="77777777">
      <w:pPr>
        <w:pStyle w:val="ListParagraph"/>
        <w:numPr>
          <w:ilvl w:val="0"/>
          <w:numId w:val="14"/>
        </w:numPr>
      </w:pPr>
      <w:r w:rsidRPr="00A32D89">
        <w:t>The collection is targeted to the solicitation of opinions from respondents who have experience with the program or may have experience with the program in the future.</w:t>
      </w:r>
    </w:p>
    <w:p w:rsidRPr="00A32D89" w:rsidR="009C13B9" w:rsidP="009C13B9" w:rsidRDefault="009C13B9" w14:paraId="6264CC55" w14:textId="77777777"/>
    <w:p w:rsidRPr="00883DF2" w:rsidR="00F9382C" w:rsidP="00F9382C" w:rsidRDefault="009C13B9" w14:paraId="4FFFC1C7" w14:textId="24FE81D9">
      <w:pPr>
        <w:rPr>
          <w:color w:val="1F3864" w:themeColor="accent5" w:themeShade="80"/>
        </w:rPr>
      </w:pPr>
      <w:r w:rsidRPr="00A32D89">
        <w:t>Name:</w:t>
      </w:r>
      <w:r w:rsidRPr="00A32D89" w:rsidR="00734169">
        <w:t xml:space="preserve"> </w:t>
      </w:r>
      <w:r w:rsidRPr="00883DF2" w:rsidR="00734169">
        <w:rPr>
          <w:i/>
          <w:color w:val="1F3864" w:themeColor="accent5" w:themeShade="80"/>
          <w:u w:val="single"/>
        </w:rPr>
        <w:t>Mary Jane (Molly) Wankel</w:t>
      </w:r>
    </w:p>
    <w:p w:rsidRPr="00883DF2" w:rsidR="00734169" w:rsidP="003926A9" w:rsidRDefault="00F9382C" w14:paraId="711ADB5D" w14:textId="77777777">
      <w:pPr>
        <w:ind w:left="720"/>
        <w:rPr>
          <w:color w:val="1F3864" w:themeColor="accent5" w:themeShade="80"/>
        </w:rPr>
      </w:pPr>
      <w:r w:rsidRPr="00883DF2">
        <w:rPr>
          <w:color w:val="1F3864" w:themeColor="accent5" w:themeShade="80"/>
        </w:rPr>
        <w:t xml:space="preserve">Mary Jane (Molly) Wankel, PhD, PMP; </w:t>
      </w:r>
    </w:p>
    <w:p w:rsidRPr="00883DF2" w:rsidR="00734169" w:rsidP="003926A9" w:rsidRDefault="00F9382C" w14:paraId="2E5E71F4" w14:textId="77777777">
      <w:pPr>
        <w:ind w:left="720"/>
        <w:rPr>
          <w:color w:val="1F3864" w:themeColor="accent5" w:themeShade="80"/>
        </w:rPr>
      </w:pPr>
      <w:r w:rsidRPr="00883DF2">
        <w:rPr>
          <w:color w:val="1F3864" w:themeColor="accent5" w:themeShade="80"/>
        </w:rPr>
        <w:t xml:space="preserve">Program Analyst; TSA, </w:t>
      </w:r>
    </w:p>
    <w:p w:rsidRPr="00883DF2" w:rsidR="00734169" w:rsidP="003926A9" w:rsidRDefault="00F9382C" w14:paraId="78465828" w14:textId="4CB73D6C">
      <w:pPr>
        <w:ind w:left="720"/>
        <w:rPr>
          <w:color w:val="1F3864" w:themeColor="accent5" w:themeShade="80"/>
        </w:rPr>
      </w:pPr>
      <w:r w:rsidRPr="00883DF2">
        <w:rPr>
          <w:color w:val="1F3864" w:themeColor="accent5" w:themeShade="80"/>
        </w:rPr>
        <w:t>Training and Development; Standards and Integration</w:t>
      </w:r>
    </w:p>
    <w:p w:rsidRPr="00883DF2" w:rsidR="00F9382C" w:rsidP="003926A9" w:rsidRDefault="00F9382C" w14:paraId="3DB0F16A" w14:textId="170FD1FE">
      <w:pPr>
        <w:ind w:left="720"/>
        <w:rPr>
          <w:color w:val="1F3864" w:themeColor="accent5" w:themeShade="80"/>
        </w:rPr>
      </w:pPr>
      <w:r w:rsidRPr="00883DF2">
        <w:rPr>
          <w:color w:val="1F3864" w:themeColor="accent5" w:themeShade="80"/>
        </w:rPr>
        <w:t>Policy Section</w:t>
      </w:r>
    </w:p>
    <w:p w:rsidRPr="00A32D89" w:rsidR="009C13B9" w:rsidP="00F9382C" w:rsidRDefault="009C13B9" w14:paraId="482A4527" w14:textId="77777777">
      <w:pPr>
        <w:pStyle w:val="ListParagraph"/>
        <w:ind w:left="0"/>
      </w:pPr>
    </w:p>
    <w:p w:rsidRPr="00A32D89" w:rsidR="009C13B9" w:rsidP="009C13B9" w:rsidRDefault="009C13B9" w14:paraId="18ABB440" w14:textId="77777777">
      <w:r w:rsidRPr="00A32D89">
        <w:t>To assist review, please provide answers to the following question:</w:t>
      </w:r>
    </w:p>
    <w:p w:rsidRPr="00A32D89" w:rsidR="009C13B9" w:rsidP="00F9382C" w:rsidRDefault="009C13B9" w14:paraId="0E2EAEE1" w14:textId="77777777">
      <w:pPr>
        <w:pStyle w:val="ListParagraph"/>
        <w:ind w:left="0"/>
      </w:pPr>
    </w:p>
    <w:p w:rsidRPr="00A32D89" w:rsidR="009C13B9" w:rsidP="00C86E91" w:rsidRDefault="00C86E91" w14:paraId="2FF7A6FC" w14:textId="77777777">
      <w:pPr>
        <w:rPr>
          <w:b/>
        </w:rPr>
      </w:pPr>
      <w:r w:rsidRPr="00A32D89">
        <w:rPr>
          <w:b/>
        </w:rPr>
        <w:t>Personally Identifiable Information:</w:t>
      </w:r>
    </w:p>
    <w:p w:rsidRPr="00A32D89" w:rsidR="00C86E91" w:rsidP="00C86E91" w:rsidRDefault="009C13B9" w14:paraId="4ACDE2B2" w14:textId="77777777">
      <w:pPr>
        <w:pStyle w:val="ListParagraph"/>
        <w:numPr>
          <w:ilvl w:val="0"/>
          <w:numId w:val="18"/>
        </w:numPr>
      </w:pPr>
      <w:r w:rsidRPr="00A32D89">
        <w:t>Is</w:t>
      </w:r>
      <w:r w:rsidRPr="00A32D89" w:rsidR="00237B48">
        <w:t xml:space="preserve"> personally identifiable information (PII) collected</w:t>
      </w:r>
      <w:r w:rsidRPr="00A32D89">
        <w:t xml:space="preserve">?  </w:t>
      </w:r>
      <w:r w:rsidRPr="00A32D89" w:rsidR="009239AA">
        <w:t>[  ] Yes  [</w:t>
      </w:r>
      <w:r w:rsidRPr="00A32D89" w:rsidR="00090D77">
        <w:rPr>
          <w:b/>
        </w:rPr>
        <w:t>X</w:t>
      </w:r>
      <w:r w:rsidRPr="00A32D89" w:rsidR="009239AA">
        <w:t xml:space="preserve">]  No </w:t>
      </w:r>
    </w:p>
    <w:p w:rsidRPr="00A32D89" w:rsidR="00C86E91" w:rsidP="00C86E91" w:rsidRDefault="009C13B9" w14:paraId="577E95A3" w14:textId="77777777">
      <w:pPr>
        <w:pStyle w:val="ListParagraph"/>
        <w:numPr>
          <w:ilvl w:val="0"/>
          <w:numId w:val="18"/>
        </w:numPr>
      </w:pPr>
      <w:r w:rsidRPr="00A32D89">
        <w:t xml:space="preserve">If </w:t>
      </w:r>
      <w:r w:rsidRPr="00A32D89" w:rsidR="009239AA">
        <w:t>Yes,</w:t>
      </w:r>
      <w:r w:rsidRPr="00A32D89">
        <w:t xml:space="preserve"> </w:t>
      </w:r>
      <w:r w:rsidRPr="00A32D89" w:rsidR="002B34CD">
        <w:t>will any</w:t>
      </w:r>
      <w:r w:rsidRPr="00A32D89" w:rsidR="009239AA">
        <w:t xml:space="preserve"> information that</w:t>
      </w:r>
      <w:r w:rsidRPr="00A32D89" w:rsidR="002B34CD">
        <w:t xml:space="preserve"> is collected</w:t>
      </w:r>
      <w:r w:rsidRPr="00A32D89" w:rsidR="009239AA">
        <w:t xml:space="preserve"> be included in records that are subject to the Privacy Act of 1974?   [  ] Yes [  ] No</w:t>
      </w:r>
      <w:r w:rsidRPr="00A32D89" w:rsidR="00C86E91">
        <w:t xml:space="preserve">   </w:t>
      </w:r>
    </w:p>
    <w:p w:rsidRPr="00A32D89" w:rsidR="00C86E91" w:rsidP="00C86E91" w:rsidRDefault="00C86E91" w14:paraId="2E3F794A" w14:textId="77777777">
      <w:pPr>
        <w:pStyle w:val="ListParagraph"/>
        <w:numPr>
          <w:ilvl w:val="0"/>
          <w:numId w:val="18"/>
        </w:numPr>
      </w:pPr>
      <w:r w:rsidRPr="00A32D89">
        <w:t xml:space="preserve">If </w:t>
      </w:r>
      <w:r w:rsidRPr="00A32D89" w:rsidR="002B34CD">
        <w:t>Yes</w:t>
      </w:r>
      <w:r w:rsidRPr="00A32D89">
        <w:t>, has a</w:t>
      </w:r>
      <w:r w:rsidRPr="00A32D89" w:rsidR="002B34CD">
        <w:t>n up-to-date</w:t>
      </w:r>
      <w:r w:rsidRPr="00A32D89">
        <w:t xml:space="preserve"> System o</w:t>
      </w:r>
      <w:r w:rsidRPr="00A32D89" w:rsidR="002B34CD">
        <w:t>f</w:t>
      </w:r>
      <w:r w:rsidRPr="00A32D89">
        <w:t xml:space="preserve"> Records Notice</w:t>
      </w:r>
      <w:r w:rsidRPr="00A32D89" w:rsidR="002B34CD">
        <w:t xml:space="preserve"> (SORN)</w:t>
      </w:r>
      <w:r w:rsidRPr="00A32D89">
        <w:t xml:space="preserve"> been published?  [  ] Yes  [  ] No</w:t>
      </w:r>
    </w:p>
    <w:p w:rsidRPr="00A32D89" w:rsidR="00CF6542" w:rsidP="00C86E91" w:rsidRDefault="00CF6542" w14:paraId="541CD503" w14:textId="77777777">
      <w:pPr>
        <w:pStyle w:val="ListParagraph"/>
        <w:ind w:left="0"/>
        <w:rPr>
          <w:b/>
        </w:rPr>
      </w:pPr>
    </w:p>
    <w:p w:rsidRPr="00A32D89" w:rsidR="00C86E91" w:rsidP="00C86E91" w:rsidRDefault="00CB1078" w14:paraId="7124B8B7" w14:textId="77777777">
      <w:pPr>
        <w:pStyle w:val="ListParagraph"/>
        <w:ind w:left="0"/>
        <w:rPr>
          <w:b/>
        </w:rPr>
      </w:pPr>
      <w:r w:rsidRPr="00A32D89">
        <w:rPr>
          <w:b/>
        </w:rPr>
        <w:t>Gifts or Payments</w:t>
      </w:r>
      <w:r w:rsidRPr="00A32D89" w:rsidR="00C86E91">
        <w:rPr>
          <w:b/>
        </w:rPr>
        <w:t>:</w:t>
      </w:r>
    </w:p>
    <w:p w:rsidRPr="00A32D89" w:rsidR="00C86E91" w:rsidP="00C86E91" w:rsidRDefault="00C86E91" w14:paraId="28CF4283" w14:textId="77777777">
      <w:r w:rsidRPr="00A32D89">
        <w:t>Is an incentive (e.g., money or reimbursement of expenses, token of appreciation) provided to participants?  [  ] Yes [</w:t>
      </w:r>
      <w:r w:rsidRPr="00A32D89" w:rsidR="00090D77">
        <w:rPr>
          <w:b/>
        </w:rPr>
        <w:t>X</w:t>
      </w:r>
      <w:r w:rsidRPr="00A32D89">
        <w:t xml:space="preserve">] No  </w:t>
      </w:r>
    </w:p>
    <w:p w:rsidRPr="00A32D89" w:rsidR="004D6E14" w:rsidRDefault="004D6E14" w14:paraId="32376326" w14:textId="77777777">
      <w:pPr>
        <w:rPr>
          <w:b/>
        </w:rPr>
      </w:pPr>
    </w:p>
    <w:p w:rsidRPr="00A32D89" w:rsidR="00F24CFC" w:rsidRDefault="00F24CFC" w14:paraId="11E36E31" w14:textId="77777777">
      <w:pPr>
        <w:rPr>
          <w:b/>
        </w:rPr>
      </w:pPr>
    </w:p>
    <w:p w:rsidRPr="00A32D89" w:rsidR="00C86E91" w:rsidRDefault="00C86E91" w14:paraId="5D0708EB" w14:textId="77777777">
      <w:pPr>
        <w:rPr>
          <w:b/>
        </w:rPr>
      </w:pPr>
    </w:p>
    <w:p w:rsidRPr="00A32D89" w:rsidR="00C86E91" w:rsidRDefault="00C86E91" w14:paraId="71EE0545" w14:textId="77777777">
      <w:pPr>
        <w:rPr>
          <w:b/>
        </w:rPr>
      </w:pPr>
    </w:p>
    <w:p w:rsidRPr="00A32D89" w:rsidR="005E714A" w:rsidP="00C86E91" w:rsidRDefault="005E714A" w14:paraId="534D2977" w14:textId="77777777">
      <w:pPr>
        <w:rPr>
          <w:i/>
        </w:rPr>
      </w:pPr>
      <w:r w:rsidRPr="00A32D89">
        <w:rPr>
          <w:b/>
        </w:rPr>
        <w:t>BURDEN HOUR</w:t>
      </w:r>
      <w:r w:rsidRPr="00A32D89" w:rsidR="00441434">
        <w:rPr>
          <w:b/>
        </w:rPr>
        <w:t>S</w:t>
      </w:r>
      <w:r w:rsidRPr="00A32D89">
        <w:t xml:space="preserve"> </w:t>
      </w:r>
    </w:p>
    <w:p w:rsidRPr="00A32D89" w:rsidR="006832D9" w:rsidP="00F3170F" w:rsidRDefault="006832D9" w14:paraId="523CAEBE" w14:textId="77777777">
      <w:pPr>
        <w:keepNext/>
        <w:keepLines/>
        <w:rPr>
          <w:b/>
        </w:rPr>
      </w:pPr>
    </w:p>
    <w:tbl>
      <w:tblPr>
        <w:tblW w:w="99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08"/>
        <w:gridCol w:w="1583"/>
        <w:gridCol w:w="1770"/>
        <w:gridCol w:w="1038"/>
      </w:tblGrid>
      <w:tr w:rsidRPr="00A32D89" w:rsidR="00EF2095" w:rsidTr="003926A9" w14:paraId="4EE5B640" w14:textId="77777777">
        <w:trPr>
          <w:trHeight w:val="286"/>
        </w:trPr>
        <w:tc>
          <w:tcPr>
            <w:tcW w:w="5608" w:type="dxa"/>
          </w:tcPr>
          <w:p w:rsidRPr="00A32D89" w:rsidR="006832D9" w:rsidP="00C8488C" w:rsidRDefault="00E40B50" w14:paraId="7D089A2B" w14:textId="77777777">
            <w:pPr>
              <w:rPr>
                <w:b/>
              </w:rPr>
            </w:pPr>
            <w:r w:rsidRPr="00A32D89">
              <w:rPr>
                <w:b/>
              </w:rPr>
              <w:t>Category of Respondent</w:t>
            </w:r>
            <w:r w:rsidRPr="00A32D89" w:rsidR="00EF2095">
              <w:rPr>
                <w:b/>
              </w:rPr>
              <w:t xml:space="preserve"> </w:t>
            </w:r>
          </w:p>
        </w:tc>
        <w:tc>
          <w:tcPr>
            <w:tcW w:w="1583" w:type="dxa"/>
          </w:tcPr>
          <w:p w:rsidRPr="00A32D89" w:rsidR="006832D9" w:rsidP="00843796" w:rsidRDefault="006832D9" w14:paraId="4E0F5A15" w14:textId="77777777">
            <w:pPr>
              <w:rPr>
                <w:b/>
              </w:rPr>
            </w:pPr>
            <w:r w:rsidRPr="00A32D89">
              <w:rPr>
                <w:b/>
              </w:rPr>
              <w:t>N</w:t>
            </w:r>
            <w:r w:rsidRPr="00A32D89" w:rsidR="009F5923">
              <w:rPr>
                <w:b/>
              </w:rPr>
              <w:t>o.</w:t>
            </w:r>
            <w:r w:rsidRPr="00A32D89">
              <w:rPr>
                <w:b/>
              </w:rPr>
              <w:t xml:space="preserve"> of Respondents</w:t>
            </w:r>
          </w:p>
        </w:tc>
        <w:tc>
          <w:tcPr>
            <w:tcW w:w="1770" w:type="dxa"/>
          </w:tcPr>
          <w:p w:rsidRPr="00A32D89" w:rsidR="006832D9" w:rsidP="00843796" w:rsidRDefault="006832D9" w14:paraId="3DFFB836" w14:textId="77777777">
            <w:pPr>
              <w:rPr>
                <w:b/>
              </w:rPr>
            </w:pPr>
            <w:r w:rsidRPr="00A32D89">
              <w:rPr>
                <w:b/>
              </w:rPr>
              <w:t>Participation Time</w:t>
            </w:r>
          </w:p>
        </w:tc>
        <w:tc>
          <w:tcPr>
            <w:tcW w:w="1038" w:type="dxa"/>
          </w:tcPr>
          <w:p w:rsidRPr="00A32D89" w:rsidR="006832D9" w:rsidP="00843796" w:rsidRDefault="006832D9" w14:paraId="164ACEA1" w14:textId="77777777">
            <w:pPr>
              <w:rPr>
                <w:b/>
              </w:rPr>
            </w:pPr>
            <w:r w:rsidRPr="00A32D89">
              <w:rPr>
                <w:b/>
              </w:rPr>
              <w:t>Burden</w:t>
            </w:r>
          </w:p>
        </w:tc>
      </w:tr>
      <w:tr w:rsidRPr="00A32D89" w:rsidR="00EF2095" w:rsidTr="003926A9" w14:paraId="2F308F55" w14:textId="77777777">
        <w:trPr>
          <w:trHeight w:val="286"/>
        </w:trPr>
        <w:tc>
          <w:tcPr>
            <w:tcW w:w="5608" w:type="dxa"/>
          </w:tcPr>
          <w:p w:rsidRPr="00883DF2" w:rsidR="006832D9" w:rsidRDefault="00F9382C" w14:paraId="5D8DA531" w14:textId="7E3DC44D">
            <w:pPr>
              <w:rPr>
                <w:color w:val="1F3864" w:themeColor="accent5" w:themeShade="80"/>
              </w:rPr>
            </w:pPr>
            <w:r w:rsidRPr="00883DF2">
              <w:rPr>
                <w:color w:val="1F3864" w:themeColor="accent5" w:themeShade="80"/>
              </w:rPr>
              <w:t>Total EDC</w:t>
            </w:r>
            <w:r w:rsidRPr="00883DF2" w:rsidR="00BA5DEF">
              <w:rPr>
                <w:color w:val="1F3864" w:themeColor="accent5" w:themeShade="80"/>
              </w:rPr>
              <w:t xml:space="preserve"> Graduates</w:t>
            </w:r>
          </w:p>
        </w:tc>
        <w:tc>
          <w:tcPr>
            <w:tcW w:w="1583" w:type="dxa"/>
          </w:tcPr>
          <w:p w:rsidRPr="00883DF2" w:rsidR="006832D9" w:rsidP="00843796" w:rsidRDefault="00F9382C" w14:paraId="1E0730E1" w14:textId="77777777">
            <w:pPr>
              <w:rPr>
                <w:color w:val="1F3864" w:themeColor="accent5" w:themeShade="80"/>
              </w:rPr>
            </w:pPr>
            <w:r w:rsidRPr="00883DF2">
              <w:rPr>
                <w:color w:val="1F3864" w:themeColor="accent5" w:themeShade="80"/>
              </w:rPr>
              <w:t>72</w:t>
            </w:r>
          </w:p>
        </w:tc>
        <w:tc>
          <w:tcPr>
            <w:tcW w:w="1770" w:type="dxa"/>
          </w:tcPr>
          <w:p w:rsidRPr="00883DF2" w:rsidR="006832D9" w:rsidP="00843796" w:rsidRDefault="000C492A" w14:paraId="14EAE6AE" w14:textId="62150E89">
            <w:pPr>
              <w:rPr>
                <w:color w:val="1F3864" w:themeColor="accent5" w:themeShade="80"/>
              </w:rPr>
            </w:pPr>
            <w:r w:rsidRPr="00883DF2">
              <w:rPr>
                <w:color w:val="1F3864" w:themeColor="accent5" w:themeShade="80"/>
              </w:rPr>
              <w:t>12 minutes</w:t>
            </w:r>
            <w:r w:rsidRPr="00883DF2" w:rsidR="00CA1E41">
              <w:rPr>
                <w:color w:val="1F3864" w:themeColor="accent5" w:themeShade="80"/>
              </w:rPr>
              <w:t xml:space="preserve"> (0.2 hour)</w:t>
            </w:r>
          </w:p>
        </w:tc>
        <w:tc>
          <w:tcPr>
            <w:tcW w:w="1038" w:type="dxa"/>
          </w:tcPr>
          <w:p w:rsidRPr="00883DF2" w:rsidR="006832D9" w:rsidP="00843796" w:rsidRDefault="00CA1E41" w14:paraId="12A06ADE" w14:textId="5DC30D0E">
            <w:pPr>
              <w:rPr>
                <w:color w:val="1F3864" w:themeColor="accent5" w:themeShade="80"/>
              </w:rPr>
            </w:pPr>
            <w:r w:rsidRPr="00883DF2">
              <w:rPr>
                <w:color w:val="1F3864" w:themeColor="accent5" w:themeShade="80"/>
              </w:rPr>
              <w:t>14.4 hours</w:t>
            </w:r>
          </w:p>
        </w:tc>
      </w:tr>
      <w:tr w:rsidRPr="00A32D89" w:rsidR="00BA5DEF" w:rsidTr="003926A9" w14:paraId="7D261005" w14:textId="77777777">
        <w:trPr>
          <w:trHeight w:val="286"/>
        </w:trPr>
        <w:tc>
          <w:tcPr>
            <w:tcW w:w="5608" w:type="dxa"/>
          </w:tcPr>
          <w:p w:rsidRPr="00883DF2" w:rsidR="00BA5DEF" w:rsidP="00843796" w:rsidRDefault="00BA5DEF" w14:paraId="314F7818" w14:textId="50474A40">
            <w:pPr>
              <w:rPr>
                <w:color w:val="1F3864" w:themeColor="accent5" w:themeShade="80"/>
              </w:rPr>
            </w:pPr>
            <w:r w:rsidRPr="00883DF2">
              <w:rPr>
                <w:color w:val="1F3864" w:themeColor="accent5" w:themeShade="80"/>
              </w:rPr>
              <w:t>Total EDC Graduates’ Supervisors</w:t>
            </w:r>
          </w:p>
        </w:tc>
        <w:tc>
          <w:tcPr>
            <w:tcW w:w="1583" w:type="dxa"/>
          </w:tcPr>
          <w:p w:rsidRPr="00883DF2" w:rsidR="00BA5DEF" w:rsidP="00843796" w:rsidRDefault="00BA5DEF" w14:paraId="50BEF5BA" w14:textId="62CF7812">
            <w:pPr>
              <w:rPr>
                <w:color w:val="1F3864" w:themeColor="accent5" w:themeShade="80"/>
              </w:rPr>
            </w:pPr>
            <w:r w:rsidRPr="00883DF2">
              <w:rPr>
                <w:color w:val="1F3864" w:themeColor="accent5" w:themeShade="80"/>
              </w:rPr>
              <w:t>72</w:t>
            </w:r>
          </w:p>
        </w:tc>
        <w:tc>
          <w:tcPr>
            <w:tcW w:w="1770" w:type="dxa"/>
          </w:tcPr>
          <w:p w:rsidRPr="00883DF2" w:rsidR="00BA5DEF" w:rsidP="00843796" w:rsidRDefault="00B46D80" w14:paraId="2BC575EE" w14:textId="77777777">
            <w:pPr>
              <w:rPr>
                <w:color w:val="1F3864" w:themeColor="accent5" w:themeShade="80"/>
              </w:rPr>
            </w:pPr>
            <w:r w:rsidRPr="00883DF2">
              <w:rPr>
                <w:color w:val="1F3864" w:themeColor="accent5" w:themeShade="80"/>
              </w:rPr>
              <w:t>12 minutes</w:t>
            </w:r>
          </w:p>
          <w:p w:rsidRPr="00883DF2" w:rsidR="00B46D80" w:rsidP="00843796" w:rsidRDefault="00B46D80" w14:paraId="48E5C593" w14:textId="726801FE">
            <w:pPr>
              <w:rPr>
                <w:color w:val="1F3864" w:themeColor="accent5" w:themeShade="80"/>
              </w:rPr>
            </w:pPr>
            <w:r w:rsidRPr="00883DF2">
              <w:rPr>
                <w:color w:val="1F3864" w:themeColor="accent5" w:themeShade="80"/>
              </w:rPr>
              <w:t>(0.2 hour)</w:t>
            </w:r>
          </w:p>
        </w:tc>
        <w:tc>
          <w:tcPr>
            <w:tcW w:w="1038" w:type="dxa"/>
          </w:tcPr>
          <w:p w:rsidRPr="00883DF2" w:rsidR="00BA5DEF" w:rsidP="00843796" w:rsidRDefault="00B46D80" w14:paraId="31D96C8C" w14:textId="19785AB1">
            <w:pPr>
              <w:rPr>
                <w:color w:val="1F3864" w:themeColor="accent5" w:themeShade="80"/>
              </w:rPr>
            </w:pPr>
            <w:r w:rsidRPr="00883DF2">
              <w:rPr>
                <w:color w:val="1F3864" w:themeColor="accent5" w:themeShade="80"/>
              </w:rPr>
              <w:t>14.4</w:t>
            </w:r>
          </w:p>
        </w:tc>
      </w:tr>
      <w:tr w:rsidRPr="00A32D89" w:rsidR="00EF2095" w:rsidTr="003926A9" w14:paraId="51B87B4D" w14:textId="77777777">
        <w:trPr>
          <w:trHeight w:val="286"/>
        </w:trPr>
        <w:tc>
          <w:tcPr>
            <w:tcW w:w="5608" w:type="dxa"/>
          </w:tcPr>
          <w:p w:rsidRPr="00883DF2" w:rsidR="006832D9" w:rsidP="00134C01" w:rsidRDefault="000C492A" w14:paraId="74F76AB2" w14:textId="0F21B6A1">
            <w:pPr>
              <w:rPr>
                <w:color w:val="1F3864" w:themeColor="accent5" w:themeShade="80"/>
              </w:rPr>
            </w:pPr>
            <w:r w:rsidRPr="00883DF2">
              <w:rPr>
                <w:color w:val="1F3864" w:themeColor="accent5" w:themeShade="80"/>
              </w:rPr>
              <w:t xml:space="preserve">Total PSC </w:t>
            </w:r>
            <w:r w:rsidRPr="00883DF2" w:rsidR="00BA5DEF">
              <w:rPr>
                <w:color w:val="1F3864" w:themeColor="accent5" w:themeShade="80"/>
              </w:rPr>
              <w:t xml:space="preserve"> Graduates</w:t>
            </w:r>
          </w:p>
        </w:tc>
        <w:tc>
          <w:tcPr>
            <w:tcW w:w="1583" w:type="dxa"/>
          </w:tcPr>
          <w:p w:rsidRPr="00883DF2" w:rsidR="006832D9" w:rsidP="00843796" w:rsidRDefault="000C492A" w14:paraId="52C51F0E" w14:textId="77777777">
            <w:pPr>
              <w:rPr>
                <w:color w:val="1F3864" w:themeColor="accent5" w:themeShade="80"/>
              </w:rPr>
            </w:pPr>
            <w:r w:rsidRPr="00883DF2">
              <w:rPr>
                <w:color w:val="1F3864" w:themeColor="accent5" w:themeShade="80"/>
              </w:rPr>
              <w:t>16</w:t>
            </w:r>
          </w:p>
        </w:tc>
        <w:tc>
          <w:tcPr>
            <w:tcW w:w="1770" w:type="dxa"/>
          </w:tcPr>
          <w:p w:rsidRPr="00883DF2" w:rsidR="006832D9" w:rsidP="00843796" w:rsidRDefault="000C492A" w14:paraId="616F330B" w14:textId="77777777">
            <w:pPr>
              <w:rPr>
                <w:color w:val="1F3864" w:themeColor="accent5" w:themeShade="80"/>
              </w:rPr>
            </w:pPr>
            <w:r w:rsidRPr="00883DF2">
              <w:rPr>
                <w:color w:val="1F3864" w:themeColor="accent5" w:themeShade="80"/>
              </w:rPr>
              <w:t>12 minutes</w:t>
            </w:r>
          </w:p>
          <w:p w:rsidRPr="00883DF2" w:rsidR="00CA1E41" w:rsidP="00843796" w:rsidRDefault="00CA1E41" w14:paraId="6F45479B" w14:textId="7E86444C">
            <w:pPr>
              <w:rPr>
                <w:color w:val="1F3864" w:themeColor="accent5" w:themeShade="80"/>
              </w:rPr>
            </w:pPr>
            <w:r w:rsidRPr="00883DF2">
              <w:rPr>
                <w:color w:val="1F3864" w:themeColor="accent5" w:themeShade="80"/>
              </w:rPr>
              <w:t>(0.2 hour)</w:t>
            </w:r>
          </w:p>
        </w:tc>
        <w:tc>
          <w:tcPr>
            <w:tcW w:w="1038" w:type="dxa"/>
          </w:tcPr>
          <w:p w:rsidRPr="00883DF2" w:rsidR="006832D9" w:rsidP="00843796" w:rsidRDefault="00614A9F" w14:paraId="4FD8F83F" w14:textId="63F46513">
            <w:pPr>
              <w:rPr>
                <w:color w:val="1F3864" w:themeColor="accent5" w:themeShade="80"/>
              </w:rPr>
            </w:pPr>
            <w:r w:rsidRPr="00883DF2">
              <w:rPr>
                <w:color w:val="1F3864" w:themeColor="accent5" w:themeShade="80"/>
              </w:rPr>
              <w:t>3.2 hours</w:t>
            </w:r>
          </w:p>
        </w:tc>
      </w:tr>
      <w:tr w:rsidRPr="00A32D89" w:rsidR="00BA5DEF" w:rsidTr="003926A9" w14:paraId="7D30B313" w14:textId="77777777">
        <w:trPr>
          <w:trHeight w:val="286"/>
        </w:trPr>
        <w:tc>
          <w:tcPr>
            <w:tcW w:w="5608" w:type="dxa"/>
          </w:tcPr>
          <w:p w:rsidRPr="00883DF2" w:rsidR="00BA5DEF" w:rsidP="00843796" w:rsidRDefault="00BA5DEF" w14:paraId="2449940F" w14:textId="12F9E555">
            <w:pPr>
              <w:rPr>
                <w:color w:val="1F3864" w:themeColor="accent5" w:themeShade="80"/>
              </w:rPr>
            </w:pPr>
            <w:r w:rsidRPr="00883DF2">
              <w:rPr>
                <w:color w:val="1F3864" w:themeColor="accent5" w:themeShade="80"/>
              </w:rPr>
              <w:t>Total PSC Graduates’ Supervisors</w:t>
            </w:r>
          </w:p>
        </w:tc>
        <w:tc>
          <w:tcPr>
            <w:tcW w:w="1583" w:type="dxa"/>
          </w:tcPr>
          <w:p w:rsidRPr="00883DF2" w:rsidR="00BA5DEF" w:rsidP="00843796" w:rsidRDefault="00BA5DEF" w14:paraId="35C1D353" w14:textId="4D31E587">
            <w:pPr>
              <w:rPr>
                <w:color w:val="1F3864" w:themeColor="accent5" w:themeShade="80"/>
              </w:rPr>
            </w:pPr>
            <w:r w:rsidRPr="00883DF2">
              <w:rPr>
                <w:color w:val="1F3864" w:themeColor="accent5" w:themeShade="80"/>
              </w:rPr>
              <w:t>16</w:t>
            </w:r>
          </w:p>
        </w:tc>
        <w:tc>
          <w:tcPr>
            <w:tcW w:w="1770" w:type="dxa"/>
          </w:tcPr>
          <w:p w:rsidRPr="00883DF2" w:rsidR="00BA5DEF" w:rsidP="00843796" w:rsidRDefault="00B46D80" w14:paraId="7F4B23C0" w14:textId="77777777">
            <w:pPr>
              <w:rPr>
                <w:color w:val="1F3864" w:themeColor="accent5" w:themeShade="80"/>
              </w:rPr>
            </w:pPr>
            <w:r w:rsidRPr="00883DF2">
              <w:rPr>
                <w:color w:val="1F3864" w:themeColor="accent5" w:themeShade="80"/>
              </w:rPr>
              <w:t>12 minutes</w:t>
            </w:r>
          </w:p>
          <w:p w:rsidRPr="00883DF2" w:rsidR="00B46D80" w:rsidP="00843796" w:rsidRDefault="00B46D80" w14:paraId="67D4E2C1" w14:textId="190A9D16">
            <w:pPr>
              <w:rPr>
                <w:color w:val="1F3864" w:themeColor="accent5" w:themeShade="80"/>
              </w:rPr>
            </w:pPr>
            <w:r w:rsidRPr="00883DF2">
              <w:rPr>
                <w:color w:val="1F3864" w:themeColor="accent5" w:themeShade="80"/>
              </w:rPr>
              <w:t>(0.2 hour)</w:t>
            </w:r>
          </w:p>
        </w:tc>
        <w:tc>
          <w:tcPr>
            <w:tcW w:w="1038" w:type="dxa"/>
          </w:tcPr>
          <w:p w:rsidRPr="00883DF2" w:rsidR="00BA5DEF" w:rsidP="00843796" w:rsidRDefault="00B46D80" w14:paraId="6D0BEA84" w14:textId="6C286018">
            <w:pPr>
              <w:rPr>
                <w:color w:val="1F3864" w:themeColor="accent5" w:themeShade="80"/>
              </w:rPr>
            </w:pPr>
            <w:r w:rsidRPr="00883DF2">
              <w:rPr>
                <w:color w:val="1F3864" w:themeColor="accent5" w:themeShade="80"/>
              </w:rPr>
              <w:t>3.2 hours</w:t>
            </w:r>
          </w:p>
        </w:tc>
      </w:tr>
      <w:tr w:rsidRPr="00A32D89" w:rsidR="007A724C" w:rsidTr="003926A9" w14:paraId="29544269" w14:textId="77777777">
        <w:trPr>
          <w:trHeight w:val="302"/>
        </w:trPr>
        <w:tc>
          <w:tcPr>
            <w:tcW w:w="5608" w:type="dxa"/>
          </w:tcPr>
          <w:p w:rsidRPr="00883DF2" w:rsidR="007A724C" w:rsidP="00843796" w:rsidRDefault="00BA5DEF" w14:paraId="72AF6EBF" w14:textId="11A4B6D3">
            <w:pPr>
              <w:rPr>
                <w:color w:val="1F3864" w:themeColor="accent5" w:themeShade="80"/>
              </w:rPr>
            </w:pPr>
            <w:r w:rsidRPr="00883DF2">
              <w:rPr>
                <w:color w:val="1F3864" w:themeColor="accent5" w:themeShade="80"/>
              </w:rPr>
              <w:lastRenderedPageBreak/>
              <w:t xml:space="preserve">Less </w:t>
            </w:r>
            <w:r w:rsidRPr="00883DF2" w:rsidR="007A724C">
              <w:rPr>
                <w:color w:val="1F3864" w:themeColor="accent5" w:themeShade="80"/>
              </w:rPr>
              <w:t xml:space="preserve">Federal </w:t>
            </w:r>
            <w:r w:rsidRPr="00883DF2">
              <w:rPr>
                <w:color w:val="1F3864" w:themeColor="accent5" w:themeShade="80"/>
              </w:rPr>
              <w:t xml:space="preserve">Graduates and Supervisors </w:t>
            </w:r>
            <w:r w:rsidRPr="00883DF2" w:rsidR="007A724C">
              <w:rPr>
                <w:color w:val="1F3864" w:themeColor="accent5" w:themeShade="80"/>
              </w:rPr>
              <w:t>Respondents</w:t>
            </w:r>
            <w:r w:rsidRPr="00883DF2">
              <w:rPr>
                <w:rStyle w:val="FootnoteReference"/>
                <w:color w:val="1F3864" w:themeColor="accent5" w:themeShade="80"/>
              </w:rPr>
              <w:footnoteReference w:id="2"/>
            </w:r>
          </w:p>
        </w:tc>
        <w:tc>
          <w:tcPr>
            <w:tcW w:w="1583" w:type="dxa"/>
          </w:tcPr>
          <w:p w:rsidRPr="00883DF2" w:rsidR="007A724C" w:rsidP="00843796" w:rsidRDefault="007A724C" w14:paraId="4F389C8F" w14:textId="56BEDD5B">
            <w:pPr>
              <w:rPr>
                <w:color w:val="1F3864" w:themeColor="accent5" w:themeShade="80"/>
              </w:rPr>
            </w:pPr>
            <w:r w:rsidRPr="00883DF2">
              <w:rPr>
                <w:color w:val="1F3864" w:themeColor="accent5" w:themeShade="80"/>
              </w:rPr>
              <w:t>(</w:t>
            </w:r>
            <w:r w:rsidRPr="00883DF2" w:rsidR="00B46D80">
              <w:rPr>
                <w:color w:val="1F3864" w:themeColor="accent5" w:themeShade="80"/>
              </w:rPr>
              <w:t>56</w:t>
            </w:r>
            <w:r w:rsidRPr="00883DF2">
              <w:rPr>
                <w:color w:val="1F3864" w:themeColor="accent5" w:themeShade="80"/>
              </w:rPr>
              <w:t>)</w:t>
            </w:r>
          </w:p>
        </w:tc>
        <w:tc>
          <w:tcPr>
            <w:tcW w:w="1770" w:type="dxa"/>
          </w:tcPr>
          <w:p w:rsidRPr="00883DF2" w:rsidR="007A724C" w:rsidP="00843796" w:rsidRDefault="007A724C" w14:paraId="2A49189A" w14:textId="77777777">
            <w:pPr>
              <w:rPr>
                <w:color w:val="1F3864" w:themeColor="accent5" w:themeShade="80"/>
              </w:rPr>
            </w:pPr>
            <w:r w:rsidRPr="00883DF2">
              <w:rPr>
                <w:color w:val="1F3864" w:themeColor="accent5" w:themeShade="80"/>
              </w:rPr>
              <w:t>12 minutes</w:t>
            </w:r>
          </w:p>
          <w:p w:rsidRPr="00883DF2" w:rsidR="007A724C" w:rsidP="00843796" w:rsidRDefault="007A724C" w14:paraId="49DAE780" w14:textId="27921898">
            <w:pPr>
              <w:rPr>
                <w:color w:val="1F3864" w:themeColor="accent5" w:themeShade="80"/>
              </w:rPr>
            </w:pPr>
            <w:r w:rsidRPr="00883DF2">
              <w:rPr>
                <w:color w:val="1F3864" w:themeColor="accent5" w:themeShade="80"/>
              </w:rPr>
              <w:t>(0.2 hour)</w:t>
            </w:r>
          </w:p>
        </w:tc>
        <w:tc>
          <w:tcPr>
            <w:tcW w:w="1038" w:type="dxa"/>
          </w:tcPr>
          <w:p w:rsidRPr="00883DF2" w:rsidR="007A724C" w:rsidP="00843796" w:rsidRDefault="007A724C" w14:paraId="6DEFF343" w14:textId="65C0D219">
            <w:pPr>
              <w:rPr>
                <w:color w:val="1F3864" w:themeColor="accent5" w:themeShade="80"/>
              </w:rPr>
            </w:pPr>
            <w:r w:rsidRPr="00883DF2">
              <w:rPr>
                <w:color w:val="1F3864" w:themeColor="accent5" w:themeShade="80"/>
              </w:rPr>
              <w:t>(</w:t>
            </w:r>
            <w:r w:rsidRPr="00883DF2" w:rsidR="008977BC">
              <w:rPr>
                <w:color w:val="1F3864" w:themeColor="accent5" w:themeShade="80"/>
              </w:rPr>
              <w:t xml:space="preserve">11.2 </w:t>
            </w:r>
            <w:r w:rsidRPr="00883DF2" w:rsidR="00B46D80">
              <w:rPr>
                <w:color w:val="1F3864" w:themeColor="accent5" w:themeShade="80"/>
              </w:rPr>
              <w:t>hours</w:t>
            </w:r>
            <w:r w:rsidRPr="00883DF2">
              <w:rPr>
                <w:color w:val="1F3864" w:themeColor="accent5" w:themeShade="80"/>
              </w:rPr>
              <w:t>)</w:t>
            </w:r>
          </w:p>
        </w:tc>
      </w:tr>
      <w:tr w:rsidRPr="00A32D89" w:rsidR="00EF2095" w:rsidTr="003926A9" w14:paraId="0501AC84" w14:textId="77777777">
        <w:trPr>
          <w:trHeight w:val="302"/>
        </w:trPr>
        <w:tc>
          <w:tcPr>
            <w:tcW w:w="5608" w:type="dxa"/>
          </w:tcPr>
          <w:p w:rsidRPr="00883DF2" w:rsidR="006832D9" w:rsidP="00843796" w:rsidRDefault="006832D9" w14:paraId="2D5F20D3" w14:textId="77777777">
            <w:pPr>
              <w:rPr>
                <w:b/>
                <w:color w:val="1F3864" w:themeColor="accent5" w:themeShade="80"/>
              </w:rPr>
            </w:pPr>
            <w:r w:rsidRPr="00883DF2">
              <w:rPr>
                <w:b/>
                <w:color w:val="1F3864" w:themeColor="accent5" w:themeShade="80"/>
              </w:rPr>
              <w:t>Totals</w:t>
            </w:r>
          </w:p>
        </w:tc>
        <w:tc>
          <w:tcPr>
            <w:tcW w:w="1583" w:type="dxa"/>
          </w:tcPr>
          <w:p w:rsidRPr="00883DF2" w:rsidR="006832D9" w:rsidP="00843796" w:rsidRDefault="00B46D80" w14:paraId="357B0F0D" w14:textId="5B44A105">
            <w:pPr>
              <w:rPr>
                <w:b/>
                <w:color w:val="1F3864" w:themeColor="accent5" w:themeShade="80"/>
              </w:rPr>
            </w:pPr>
            <w:r w:rsidRPr="00883DF2">
              <w:rPr>
                <w:b/>
                <w:color w:val="1F3864" w:themeColor="accent5" w:themeShade="80"/>
              </w:rPr>
              <w:t>120</w:t>
            </w:r>
          </w:p>
        </w:tc>
        <w:tc>
          <w:tcPr>
            <w:tcW w:w="1770" w:type="dxa"/>
          </w:tcPr>
          <w:p w:rsidRPr="00883DF2" w:rsidR="006832D9" w:rsidP="00843796" w:rsidRDefault="000C492A" w14:paraId="1A0469B0" w14:textId="77777777">
            <w:pPr>
              <w:rPr>
                <w:b/>
                <w:color w:val="1F3864" w:themeColor="accent5" w:themeShade="80"/>
              </w:rPr>
            </w:pPr>
            <w:r w:rsidRPr="00883DF2">
              <w:rPr>
                <w:b/>
                <w:color w:val="1F3864" w:themeColor="accent5" w:themeShade="80"/>
              </w:rPr>
              <w:t>12 minutes</w:t>
            </w:r>
          </w:p>
          <w:p w:rsidRPr="00883DF2" w:rsidR="00614A9F" w:rsidP="00843796" w:rsidRDefault="00614A9F" w14:paraId="4CFD3BBD" w14:textId="0F7C0B45">
            <w:pPr>
              <w:rPr>
                <w:b/>
                <w:color w:val="1F3864" w:themeColor="accent5" w:themeShade="80"/>
              </w:rPr>
            </w:pPr>
            <w:r w:rsidRPr="00883DF2">
              <w:rPr>
                <w:b/>
                <w:color w:val="1F3864" w:themeColor="accent5" w:themeShade="80"/>
              </w:rPr>
              <w:t>(0.2 hour)</w:t>
            </w:r>
          </w:p>
        </w:tc>
        <w:tc>
          <w:tcPr>
            <w:tcW w:w="1038" w:type="dxa"/>
          </w:tcPr>
          <w:p w:rsidRPr="00883DF2" w:rsidR="006832D9" w:rsidP="00B46D80" w:rsidRDefault="00B46D80" w14:paraId="29E9AF95" w14:textId="110D8B57">
            <w:pPr>
              <w:rPr>
                <w:b/>
                <w:color w:val="1F3864" w:themeColor="accent5" w:themeShade="80"/>
              </w:rPr>
            </w:pPr>
            <w:r w:rsidRPr="00883DF2">
              <w:rPr>
                <w:b/>
                <w:color w:val="1F3864" w:themeColor="accent5" w:themeShade="80"/>
              </w:rPr>
              <w:t xml:space="preserve">24 </w:t>
            </w:r>
            <w:r w:rsidRPr="00883DF2" w:rsidR="000C492A">
              <w:rPr>
                <w:b/>
                <w:color w:val="1F3864" w:themeColor="accent5" w:themeShade="80"/>
              </w:rPr>
              <w:t>hours</w:t>
            </w:r>
          </w:p>
        </w:tc>
      </w:tr>
    </w:tbl>
    <w:p w:rsidRPr="00A32D89" w:rsidR="00F3170F" w:rsidP="00F3170F" w:rsidRDefault="00F3170F" w14:paraId="2C43FF13" w14:textId="77777777"/>
    <w:p w:rsidRPr="00883DF2" w:rsidR="00DC332C" w:rsidRDefault="00DC332C" w14:paraId="53427A3C" w14:textId="3ADF521E">
      <w:pPr>
        <w:rPr>
          <w:color w:val="1F3864" w:themeColor="accent5" w:themeShade="80"/>
        </w:rPr>
      </w:pPr>
      <w:r w:rsidRPr="00883DF2">
        <w:rPr>
          <w:color w:val="1F3864" w:themeColor="accent5" w:themeShade="80"/>
        </w:rPr>
        <w:t xml:space="preserve">TSA estimates the total cost burden </w:t>
      </w:r>
      <w:r w:rsidRPr="00883DF2" w:rsidR="00E559B7">
        <w:rPr>
          <w:color w:val="1F3864" w:themeColor="accent5" w:themeShade="80"/>
        </w:rPr>
        <w:t xml:space="preserve">to the public </w:t>
      </w:r>
      <w:r w:rsidRPr="00883DF2">
        <w:rPr>
          <w:color w:val="1F3864" w:themeColor="accent5" w:themeShade="80"/>
        </w:rPr>
        <w:t xml:space="preserve">to be </w:t>
      </w:r>
      <w:r w:rsidRPr="00883DF2" w:rsidR="00E559B7">
        <w:rPr>
          <w:b/>
          <w:color w:val="1F3864" w:themeColor="accent5" w:themeShade="80"/>
        </w:rPr>
        <w:t>$</w:t>
      </w:r>
      <w:r w:rsidRPr="00883DF2" w:rsidR="00446B8B">
        <w:rPr>
          <w:b/>
          <w:color w:val="1F3864" w:themeColor="accent5" w:themeShade="80"/>
        </w:rPr>
        <w:t>1,259.04</w:t>
      </w:r>
      <w:r w:rsidRPr="00883DF2" w:rsidR="00E559B7">
        <w:rPr>
          <w:color w:val="1F3864" w:themeColor="accent5" w:themeShade="80"/>
        </w:rPr>
        <w:t xml:space="preserve"> </w:t>
      </w:r>
      <w:r w:rsidRPr="00883DF2" w:rsidR="008977BC">
        <w:rPr>
          <w:color w:val="1F3864" w:themeColor="accent5" w:themeShade="80"/>
        </w:rPr>
        <w:t>(</w:t>
      </w:r>
      <w:r w:rsidRPr="00883DF2" w:rsidR="00E559B7">
        <w:rPr>
          <w:color w:val="1F3864" w:themeColor="accent5" w:themeShade="80"/>
        </w:rPr>
        <w:t>(</w:t>
      </w:r>
      <w:r w:rsidRPr="00883DF2" w:rsidR="008977BC">
        <w:rPr>
          <w:color w:val="1F3864" w:themeColor="accent5" w:themeShade="80"/>
        </w:rPr>
        <w:t>12</w:t>
      </w:r>
      <w:r w:rsidRPr="00883DF2">
        <w:rPr>
          <w:color w:val="1F3864" w:themeColor="accent5" w:themeShade="80"/>
        </w:rPr>
        <w:t xml:space="preserve"> hours × </w:t>
      </w:r>
      <w:r w:rsidRPr="00883DF2" w:rsidR="00E559B7">
        <w:rPr>
          <w:color w:val="1F3864" w:themeColor="accent5" w:themeShade="80"/>
        </w:rPr>
        <w:t>$43.29</w:t>
      </w:r>
      <w:r w:rsidRPr="00883DF2">
        <w:rPr>
          <w:rStyle w:val="FootnoteReference"/>
          <w:color w:val="1F3864" w:themeColor="accent5" w:themeShade="80"/>
        </w:rPr>
        <w:footnoteReference w:id="3"/>
      </w:r>
      <w:r w:rsidRPr="00883DF2" w:rsidR="00E559B7">
        <w:rPr>
          <w:color w:val="1F3864" w:themeColor="accent5" w:themeShade="80"/>
        </w:rPr>
        <w:t>)</w:t>
      </w:r>
      <w:r w:rsidRPr="00883DF2" w:rsidR="008977BC">
        <w:rPr>
          <w:color w:val="1F3864" w:themeColor="accent5" w:themeShade="80"/>
        </w:rPr>
        <w:t xml:space="preserve"> + (12 hours x </w:t>
      </w:r>
      <w:r w:rsidRPr="00883DF2" w:rsidR="00ED40A6">
        <w:rPr>
          <w:color w:val="1F3864" w:themeColor="accent5" w:themeShade="80"/>
        </w:rPr>
        <w:t>$</w:t>
      </w:r>
      <w:r w:rsidRPr="00883DF2" w:rsidR="0032674D">
        <w:rPr>
          <w:color w:val="1F3864" w:themeColor="accent5" w:themeShade="80"/>
        </w:rPr>
        <w:t>61.63</w:t>
      </w:r>
      <w:r w:rsidRPr="00883DF2" w:rsidR="00ED40A6">
        <w:rPr>
          <w:rStyle w:val="FootnoteReference"/>
          <w:color w:val="1F3864" w:themeColor="accent5" w:themeShade="80"/>
        </w:rPr>
        <w:footnoteReference w:id="4"/>
      </w:r>
      <w:r w:rsidRPr="00883DF2" w:rsidR="0032674D">
        <w:rPr>
          <w:color w:val="1F3864" w:themeColor="accent5" w:themeShade="80"/>
        </w:rPr>
        <w:t>))</w:t>
      </w:r>
    </w:p>
    <w:p w:rsidRPr="00A32D89" w:rsidR="00DC332C" w:rsidRDefault="00DC332C" w14:paraId="5F9E1FE6" w14:textId="77777777">
      <w:pPr>
        <w:rPr>
          <w:b/>
        </w:rPr>
      </w:pPr>
    </w:p>
    <w:p w:rsidRPr="00883DF2" w:rsidR="000C492A" w:rsidRDefault="001C39F7" w14:paraId="479D3B71" w14:textId="137E3235">
      <w:pPr>
        <w:rPr>
          <w:color w:val="1F3864" w:themeColor="accent5" w:themeShade="80"/>
        </w:rPr>
      </w:pPr>
      <w:r w:rsidRPr="00A32D89">
        <w:rPr>
          <w:b/>
        </w:rPr>
        <w:t xml:space="preserve">FEDERAL </w:t>
      </w:r>
      <w:r w:rsidRPr="00A32D89" w:rsidR="009F5923">
        <w:rPr>
          <w:b/>
        </w:rPr>
        <w:t>COST</w:t>
      </w:r>
      <w:r w:rsidRPr="00A32D89" w:rsidR="00F06866">
        <w:rPr>
          <w:b/>
        </w:rPr>
        <w:t>:</w:t>
      </w:r>
      <w:r w:rsidRPr="00A32D89" w:rsidR="00895229">
        <w:rPr>
          <w:b/>
        </w:rPr>
        <w:t xml:space="preserve"> </w:t>
      </w:r>
      <w:r w:rsidRPr="00A32D89" w:rsidR="00C86E91">
        <w:rPr>
          <w:b/>
        </w:rPr>
        <w:t xml:space="preserve"> </w:t>
      </w:r>
      <w:r w:rsidRPr="00883DF2" w:rsidR="00C86E91">
        <w:rPr>
          <w:color w:val="1F3864" w:themeColor="accent5" w:themeShade="80"/>
        </w:rPr>
        <w:t>The estimated annual cost to the Federal government is</w:t>
      </w:r>
      <w:r w:rsidRPr="00883DF2" w:rsidR="000C492A">
        <w:rPr>
          <w:color w:val="1F3864" w:themeColor="accent5" w:themeShade="80"/>
        </w:rPr>
        <w:t>:</w:t>
      </w:r>
      <w:r w:rsidRPr="00883DF2" w:rsidR="00CA1E41">
        <w:rPr>
          <w:color w:val="1F3864" w:themeColor="accent5" w:themeShade="80"/>
        </w:rPr>
        <w:tab/>
      </w:r>
      <w:r w:rsidRPr="00883DF2" w:rsidR="00CA1E41">
        <w:rPr>
          <w:b/>
          <w:color w:val="1F3864" w:themeColor="accent5" w:themeShade="80"/>
        </w:rPr>
        <w:t>$12,8</w:t>
      </w:r>
      <w:r w:rsidRPr="00883DF2" w:rsidR="003926A9">
        <w:rPr>
          <w:b/>
          <w:color w:val="1F3864" w:themeColor="accent5" w:themeShade="80"/>
        </w:rPr>
        <w:t>2</w:t>
      </w:r>
      <w:r w:rsidRPr="00883DF2" w:rsidR="00CA1E41">
        <w:rPr>
          <w:b/>
          <w:color w:val="1F3864" w:themeColor="accent5" w:themeShade="80"/>
        </w:rPr>
        <w:t>3.68</w:t>
      </w:r>
    </w:p>
    <w:p w:rsidRPr="00883DF2" w:rsidR="000C492A" w:rsidRDefault="000C492A" w14:paraId="75FE3916" w14:textId="77777777">
      <w:pPr>
        <w:rPr>
          <w:color w:val="1F3864" w:themeColor="accent5" w:themeShade="80"/>
        </w:rPr>
      </w:pPr>
    </w:p>
    <w:tbl>
      <w:tblPr>
        <w:tblW w:w="0" w:type="auto"/>
        <w:jc w:val="center"/>
        <w:tblLook w:val="01E0" w:firstRow="1" w:lastRow="1" w:firstColumn="1" w:lastColumn="1" w:noHBand="0" w:noVBand="0"/>
      </w:tblPr>
      <w:tblGrid>
        <w:gridCol w:w="3528"/>
        <w:gridCol w:w="1872"/>
      </w:tblGrid>
      <w:tr w:rsidRPr="00883DF2" w:rsidR="00883DF2" w:rsidTr="003926A9" w14:paraId="3585360A" w14:textId="77777777">
        <w:trPr>
          <w:jc w:val="center"/>
        </w:trPr>
        <w:tc>
          <w:tcPr>
            <w:tcW w:w="3528" w:type="dxa"/>
          </w:tcPr>
          <w:p w:rsidRPr="00883DF2" w:rsidR="000C492A" w:rsidP="00C7049A" w:rsidRDefault="000C492A" w14:paraId="34E0F56F" w14:textId="77777777">
            <w:pPr>
              <w:rPr>
                <w:color w:val="1F3864" w:themeColor="accent5" w:themeShade="80"/>
              </w:rPr>
            </w:pPr>
            <w:r w:rsidRPr="00883DF2">
              <w:rPr>
                <w:color w:val="1F3864" w:themeColor="accent5" w:themeShade="80"/>
              </w:rPr>
              <w:t>Printing:</w:t>
            </w:r>
          </w:p>
        </w:tc>
        <w:tc>
          <w:tcPr>
            <w:tcW w:w="1872" w:type="dxa"/>
          </w:tcPr>
          <w:p w:rsidRPr="00883DF2" w:rsidR="000C492A" w:rsidP="00C7049A" w:rsidRDefault="000C492A" w14:paraId="3534614A" w14:textId="77777777">
            <w:pPr>
              <w:rPr>
                <w:color w:val="1F3864" w:themeColor="accent5" w:themeShade="80"/>
              </w:rPr>
            </w:pPr>
            <w:r w:rsidRPr="00883DF2">
              <w:rPr>
                <w:color w:val="1F3864" w:themeColor="accent5" w:themeShade="80"/>
              </w:rPr>
              <w:t>None</w:t>
            </w:r>
          </w:p>
        </w:tc>
      </w:tr>
      <w:tr w:rsidRPr="00883DF2" w:rsidR="00883DF2" w:rsidTr="003926A9" w14:paraId="37116EB9" w14:textId="77777777">
        <w:trPr>
          <w:jc w:val="center"/>
        </w:trPr>
        <w:tc>
          <w:tcPr>
            <w:tcW w:w="3528" w:type="dxa"/>
          </w:tcPr>
          <w:p w:rsidRPr="00883DF2" w:rsidR="000C492A" w:rsidP="00C7049A" w:rsidRDefault="000C492A" w14:paraId="5276F586" w14:textId="77777777">
            <w:pPr>
              <w:rPr>
                <w:color w:val="1F3864" w:themeColor="accent5" w:themeShade="80"/>
              </w:rPr>
            </w:pPr>
            <w:r w:rsidRPr="00883DF2">
              <w:rPr>
                <w:color w:val="1F3864" w:themeColor="accent5" w:themeShade="80"/>
              </w:rPr>
              <w:t>Distribution (electronic):</w:t>
            </w:r>
          </w:p>
        </w:tc>
        <w:tc>
          <w:tcPr>
            <w:tcW w:w="1872" w:type="dxa"/>
          </w:tcPr>
          <w:p w:rsidRPr="00883DF2" w:rsidR="000C492A" w:rsidP="00C7049A" w:rsidRDefault="000C492A" w14:paraId="38B5F1FE" w14:textId="77777777">
            <w:pPr>
              <w:rPr>
                <w:color w:val="1F3864" w:themeColor="accent5" w:themeShade="80"/>
              </w:rPr>
            </w:pPr>
            <w:r w:rsidRPr="00883DF2">
              <w:rPr>
                <w:color w:val="1F3864" w:themeColor="accent5" w:themeShade="80"/>
              </w:rPr>
              <w:t>None</w:t>
            </w:r>
          </w:p>
        </w:tc>
      </w:tr>
      <w:tr w:rsidRPr="00883DF2" w:rsidR="00883DF2" w:rsidTr="003926A9" w14:paraId="26172075" w14:textId="77777777">
        <w:trPr>
          <w:jc w:val="center"/>
        </w:trPr>
        <w:tc>
          <w:tcPr>
            <w:tcW w:w="3528" w:type="dxa"/>
          </w:tcPr>
          <w:p w:rsidRPr="00883DF2" w:rsidR="000C492A" w:rsidP="00CA1E41" w:rsidRDefault="000C492A" w14:paraId="32D173B1" w14:textId="528A8CEA">
            <w:pPr>
              <w:rPr>
                <w:color w:val="1F3864" w:themeColor="accent5" w:themeShade="80"/>
              </w:rPr>
            </w:pPr>
            <w:r w:rsidRPr="00883DF2">
              <w:rPr>
                <w:color w:val="1F3864" w:themeColor="accent5" w:themeShade="80"/>
              </w:rPr>
              <w:t>Staff salary (monthly review, analysis, and reporting—I Band (equivalent to GS13)</w:t>
            </w:r>
            <w:r w:rsidRPr="00883DF2" w:rsidR="00CA1E41">
              <w:rPr>
                <w:rStyle w:val="FootnoteReference"/>
                <w:color w:val="1F3864" w:themeColor="accent5" w:themeShade="80"/>
              </w:rPr>
              <w:footnoteReference w:id="5"/>
            </w:r>
            <w:r w:rsidRPr="00883DF2">
              <w:rPr>
                <w:color w:val="1F3864" w:themeColor="accent5" w:themeShade="80"/>
              </w:rPr>
              <w:t xml:space="preserve"> </w:t>
            </w:r>
            <w:r w:rsidRPr="00883DF2" w:rsidR="00CA1E41">
              <w:rPr>
                <w:color w:val="1F3864" w:themeColor="accent5" w:themeShade="80"/>
              </w:rPr>
              <w:t>×</w:t>
            </w:r>
            <w:r w:rsidRPr="00883DF2">
              <w:rPr>
                <w:color w:val="1F3864" w:themeColor="accent5" w:themeShade="80"/>
              </w:rPr>
              <w:t xml:space="preserve"> 16 hrs per month</w:t>
            </w:r>
            <w:r w:rsidRPr="00883DF2" w:rsidR="00CA1E41">
              <w:rPr>
                <w:color w:val="1F3864" w:themeColor="accent5" w:themeShade="80"/>
              </w:rPr>
              <w:t xml:space="preserve"> × 12 months</w:t>
            </w:r>
            <w:r w:rsidRPr="00883DF2">
              <w:rPr>
                <w:color w:val="1F3864" w:themeColor="accent5" w:themeShade="80"/>
              </w:rPr>
              <w:t>:</w:t>
            </w:r>
          </w:p>
        </w:tc>
        <w:tc>
          <w:tcPr>
            <w:tcW w:w="1872" w:type="dxa"/>
            <w:tcBorders>
              <w:bottom w:val="double" w:color="auto" w:sz="4" w:space="0"/>
            </w:tcBorders>
          </w:tcPr>
          <w:p w:rsidRPr="00883DF2" w:rsidR="000C492A" w:rsidP="00CA1E41" w:rsidRDefault="000C492A" w14:paraId="285027E4" w14:textId="4E588186">
            <w:pPr>
              <w:rPr>
                <w:color w:val="1F3864" w:themeColor="accent5" w:themeShade="80"/>
              </w:rPr>
            </w:pPr>
            <w:r w:rsidRPr="00883DF2">
              <w:rPr>
                <w:color w:val="1F3864" w:themeColor="accent5" w:themeShade="80"/>
              </w:rPr>
              <w:t xml:space="preserve">$ </w:t>
            </w:r>
            <w:r w:rsidRPr="00883DF2" w:rsidR="00CA1E41">
              <w:rPr>
                <w:color w:val="1F3864" w:themeColor="accent5" w:themeShade="80"/>
              </w:rPr>
              <w:t>12,823.68</w:t>
            </w:r>
          </w:p>
        </w:tc>
      </w:tr>
      <w:tr w:rsidRPr="00883DF2" w:rsidR="00883DF2" w:rsidTr="003926A9" w14:paraId="0FF79C4F" w14:textId="77777777">
        <w:trPr>
          <w:jc w:val="center"/>
        </w:trPr>
        <w:tc>
          <w:tcPr>
            <w:tcW w:w="3528" w:type="dxa"/>
          </w:tcPr>
          <w:p w:rsidRPr="00883DF2" w:rsidR="000C492A" w:rsidP="00C7049A" w:rsidRDefault="000C492A" w14:paraId="6044FF0B" w14:textId="77777777">
            <w:pPr>
              <w:rPr>
                <w:color w:val="1F3864" w:themeColor="accent5" w:themeShade="80"/>
              </w:rPr>
            </w:pPr>
          </w:p>
          <w:p w:rsidRPr="00883DF2" w:rsidR="000C492A" w:rsidP="00C7049A" w:rsidRDefault="000C492A" w14:paraId="51F94155" w14:textId="77777777">
            <w:pPr>
              <w:jc w:val="right"/>
              <w:rPr>
                <w:b/>
                <w:color w:val="1F3864" w:themeColor="accent5" w:themeShade="80"/>
              </w:rPr>
            </w:pPr>
            <w:r w:rsidRPr="00883DF2">
              <w:rPr>
                <w:b/>
                <w:color w:val="1F3864" w:themeColor="accent5" w:themeShade="80"/>
              </w:rPr>
              <w:t>Total:</w:t>
            </w:r>
          </w:p>
        </w:tc>
        <w:tc>
          <w:tcPr>
            <w:tcW w:w="1872" w:type="dxa"/>
            <w:tcBorders>
              <w:top w:val="double" w:color="auto" w:sz="4" w:space="0"/>
            </w:tcBorders>
          </w:tcPr>
          <w:p w:rsidRPr="00883DF2" w:rsidR="000C492A" w:rsidP="00C7049A" w:rsidRDefault="000C492A" w14:paraId="624C28C7" w14:textId="77777777">
            <w:pPr>
              <w:rPr>
                <w:color w:val="1F3864" w:themeColor="accent5" w:themeShade="80"/>
              </w:rPr>
            </w:pPr>
          </w:p>
          <w:p w:rsidRPr="00883DF2" w:rsidR="000C492A" w:rsidP="00C7049A" w:rsidRDefault="000C492A" w14:paraId="1EC53E66" w14:textId="513AC0B8">
            <w:pPr>
              <w:rPr>
                <w:color w:val="1F3864" w:themeColor="accent5" w:themeShade="80"/>
              </w:rPr>
            </w:pPr>
            <w:r w:rsidRPr="00883DF2">
              <w:rPr>
                <w:color w:val="1F3864" w:themeColor="accent5" w:themeShade="80"/>
              </w:rPr>
              <w:t>$</w:t>
            </w:r>
            <w:r w:rsidRPr="00883DF2" w:rsidR="003926A9">
              <w:rPr>
                <w:color w:val="1F3864" w:themeColor="accent5" w:themeShade="80"/>
              </w:rPr>
              <w:t xml:space="preserve"> </w:t>
            </w:r>
            <w:r w:rsidRPr="00883DF2">
              <w:rPr>
                <w:color w:val="1F3864" w:themeColor="accent5" w:themeShade="80"/>
              </w:rPr>
              <w:t xml:space="preserve"> </w:t>
            </w:r>
            <w:r w:rsidRPr="00883DF2" w:rsidR="00CA1E41">
              <w:rPr>
                <w:color w:val="1F3864" w:themeColor="accent5" w:themeShade="80"/>
              </w:rPr>
              <w:t>12,823.68</w:t>
            </w:r>
          </w:p>
        </w:tc>
      </w:tr>
    </w:tbl>
    <w:p w:rsidRPr="00A32D89" w:rsidR="00ED6492" w:rsidRDefault="00ED6492" w14:paraId="29344097" w14:textId="77777777">
      <w:pPr>
        <w:rPr>
          <w:b/>
          <w:bCs/>
          <w:u w:val="single"/>
        </w:rPr>
      </w:pPr>
    </w:p>
    <w:p w:rsidRPr="00A32D89" w:rsidR="0069403B" w:rsidP="00F06866" w:rsidRDefault="00ED6492" w14:paraId="549EBC0B" w14:textId="1F83F632">
      <w:pPr>
        <w:rPr>
          <w:b/>
        </w:rPr>
      </w:pPr>
      <w:r w:rsidRPr="00A32D89">
        <w:rPr>
          <w:b/>
          <w:bCs/>
          <w:u w:val="single"/>
        </w:rPr>
        <w:t xml:space="preserve">If you are conducting a focus group, survey, or plan to employ statistical methods, please </w:t>
      </w:r>
      <w:r w:rsidRPr="00A32D89" w:rsidR="0069403B">
        <w:rPr>
          <w:b/>
          <w:bCs/>
          <w:u w:val="single"/>
        </w:rPr>
        <w:t>provide answers to the following questions:</w:t>
      </w:r>
    </w:p>
    <w:p w:rsidRPr="00A32D89" w:rsidR="0069403B" w:rsidP="00F06866" w:rsidRDefault="0069403B" w14:paraId="68A0CE02" w14:textId="77777777">
      <w:pPr>
        <w:rPr>
          <w:b/>
        </w:rPr>
      </w:pPr>
    </w:p>
    <w:p w:rsidRPr="00A32D89" w:rsidR="00F06866" w:rsidP="00F06866" w:rsidRDefault="00636621" w14:paraId="7C0BFEA9" w14:textId="77777777">
      <w:pPr>
        <w:rPr>
          <w:b/>
        </w:rPr>
      </w:pPr>
      <w:r w:rsidRPr="00A32D89">
        <w:rPr>
          <w:b/>
        </w:rPr>
        <w:t>The</w:t>
      </w:r>
      <w:r w:rsidRPr="00A32D89" w:rsidR="0069403B">
        <w:rPr>
          <w:b/>
        </w:rPr>
        <w:t xml:space="preserve"> select</w:t>
      </w:r>
      <w:r w:rsidRPr="00A32D89">
        <w:rPr>
          <w:b/>
        </w:rPr>
        <w:t>ion of your targeted respondents</w:t>
      </w:r>
    </w:p>
    <w:p w:rsidRPr="00A32D89" w:rsidR="0069403B" w:rsidP="0069403B" w:rsidRDefault="0069403B" w14:paraId="733594B9" w14:textId="77777777">
      <w:pPr>
        <w:pStyle w:val="ListParagraph"/>
        <w:numPr>
          <w:ilvl w:val="0"/>
          <w:numId w:val="15"/>
        </w:numPr>
      </w:pPr>
      <w:r w:rsidRPr="00A32D89">
        <w:t>Do you have a customer list or something similar that defines the universe of potential respondents</w:t>
      </w:r>
      <w:r w:rsidRPr="00A32D89" w:rsidR="00636621">
        <w:t xml:space="preserve"> and do you have a sampling plan for selecting from this universe</w:t>
      </w:r>
      <w:r w:rsidRPr="00A32D89">
        <w:t>?</w:t>
      </w:r>
      <w:r w:rsidRPr="00A32D89">
        <w:tab/>
      </w:r>
      <w:r w:rsidRPr="00A32D89">
        <w:tab/>
      </w:r>
      <w:r w:rsidRPr="00A32D89">
        <w:tab/>
      </w:r>
      <w:r w:rsidRPr="00A32D89">
        <w:tab/>
      </w:r>
      <w:r w:rsidRPr="00A32D89">
        <w:tab/>
      </w:r>
      <w:r w:rsidRPr="00A32D89">
        <w:tab/>
      </w:r>
      <w:r w:rsidRPr="00A32D89">
        <w:tab/>
      </w:r>
      <w:r w:rsidRPr="00A32D89">
        <w:tab/>
      </w:r>
      <w:r w:rsidRPr="00A32D89" w:rsidR="00636621">
        <w:tab/>
      </w:r>
      <w:r w:rsidRPr="00A32D89" w:rsidR="00636621">
        <w:tab/>
      </w:r>
      <w:r w:rsidRPr="00A32D89" w:rsidR="00636621">
        <w:tab/>
      </w:r>
      <w:r w:rsidRPr="00A32D89">
        <w:t>[ ] Yes</w:t>
      </w:r>
      <w:r w:rsidRPr="00A32D89">
        <w:tab/>
        <w:t>[</w:t>
      </w:r>
      <w:r w:rsidRPr="00A32D89" w:rsidR="00322012">
        <w:rPr>
          <w:b/>
        </w:rPr>
        <w:t>X</w:t>
      </w:r>
      <w:r w:rsidRPr="00A32D89">
        <w:t>] No</w:t>
      </w:r>
    </w:p>
    <w:p w:rsidRPr="00A32D89" w:rsidR="00636621" w:rsidP="00636621" w:rsidRDefault="00636621" w14:paraId="69977CCF" w14:textId="77777777">
      <w:pPr>
        <w:pStyle w:val="ListParagraph"/>
      </w:pPr>
    </w:p>
    <w:p w:rsidRPr="00A32D89" w:rsidR="00636621" w:rsidP="001B0AAA" w:rsidRDefault="00636621" w14:paraId="739BF7EC" w14:textId="77777777">
      <w:r w:rsidRPr="00A32D89">
        <w:t>If the answer is yes, please provide a description of both below</w:t>
      </w:r>
      <w:r w:rsidRPr="00A32D89" w:rsidR="00A403BB">
        <w:t xml:space="preserve"> (or attach the sampling plan)</w:t>
      </w:r>
      <w:r w:rsidRPr="00A32D89">
        <w:t>?   If the answer is no, please provide a description of how you plan to identify your potential group of respondents</w:t>
      </w:r>
      <w:r w:rsidRPr="00A32D89" w:rsidR="001B0AAA">
        <w:t xml:space="preserve"> and how you will select them</w:t>
      </w:r>
      <w:r w:rsidRPr="00A32D89">
        <w:t>?</w:t>
      </w:r>
    </w:p>
    <w:p w:rsidRPr="00A32D89" w:rsidR="00A403BB" w:rsidP="00A403BB" w:rsidRDefault="00A403BB" w14:paraId="41831A10" w14:textId="77777777"/>
    <w:p w:rsidRPr="00883DF2" w:rsidR="00734169" w:rsidP="00C51370" w:rsidRDefault="00734169" w14:paraId="5D8B9F11" w14:textId="51A97844">
      <w:pPr>
        <w:rPr>
          <w:color w:val="1F3864" w:themeColor="accent5" w:themeShade="80"/>
        </w:rPr>
      </w:pPr>
      <w:r w:rsidRPr="00883DF2">
        <w:rPr>
          <w:color w:val="1F3864" w:themeColor="accent5" w:themeShade="80"/>
        </w:rPr>
        <w:t xml:space="preserve">The sample </w:t>
      </w:r>
      <w:r w:rsidR="00480EF9">
        <w:rPr>
          <w:color w:val="1F3864" w:themeColor="accent5" w:themeShade="80"/>
        </w:rPr>
        <w:t>consists of</w:t>
      </w:r>
      <w:r w:rsidRPr="00883DF2">
        <w:rPr>
          <w:color w:val="1F3864" w:themeColor="accent5" w:themeShade="80"/>
        </w:rPr>
        <w:t xml:space="preserve"> </w:t>
      </w:r>
      <w:r w:rsidR="00E873C3">
        <w:rPr>
          <w:color w:val="1F3864" w:themeColor="accent5" w:themeShade="80"/>
        </w:rPr>
        <w:t xml:space="preserve">ALL students external to TSA </w:t>
      </w:r>
      <w:r w:rsidR="00024BF8">
        <w:rPr>
          <w:color w:val="1F3864" w:themeColor="accent5" w:themeShade="80"/>
        </w:rPr>
        <w:t xml:space="preserve">who completed </w:t>
      </w:r>
      <w:r w:rsidRPr="00883DF2" w:rsidR="00024BF8">
        <w:rPr>
          <w:color w:val="1F3864" w:themeColor="accent5" w:themeShade="80"/>
        </w:rPr>
        <w:t>Explosives Detection Canine (EDC) and Passenger Screening Canine (PSC) Handler Courses</w:t>
      </w:r>
      <w:r w:rsidR="00024BF8">
        <w:rPr>
          <w:color w:val="1F3864" w:themeColor="accent5" w:themeShade="80"/>
        </w:rPr>
        <w:t xml:space="preserve"> at CTC</w:t>
      </w:r>
      <w:r w:rsidR="00E873C3">
        <w:rPr>
          <w:color w:val="1F3864" w:themeColor="accent5" w:themeShade="80"/>
        </w:rPr>
        <w:t xml:space="preserve"> and their current supervisors</w:t>
      </w:r>
      <w:r w:rsidR="00024BF8">
        <w:rPr>
          <w:color w:val="1F3864" w:themeColor="accent5" w:themeShade="80"/>
        </w:rPr>
        <w:t xml:space="preserve">.  </w:t>
      </w:r>
      <w:r w:rsidRPr="00883DF2">
        <w:rPr>
          <w:color w:val="1F3864" w:themeColor="accent5" w:themeShade="80"/>
        </w:rPr>
        <w:lastRenderedPageBreak/>
        <w:t xml:space="preserve">The response rate does </w:t>
      </w:r>
      <w:bookmarkStart w:name="_GoBack" w:id="0"/>
      <w:r w:rsidR="00E47868">
        <w:rPr>
          <w:color w:val="1F3864" w:themeColor="accent5" w:themeShade="80"/>
        </w:rPr>
        <w:t xml:space="preserve">need </w:t>
      </w:r>
      <w:bookmarkEnd w:id="0"/>
      <w:r w:rsidRPr="00883DF2">
        <w:rPr>
          <w:color w:val="1F3864" w:themeColor="accent5" w:themeShade="80"/>
        </w:rPr>
        <w:t>to constitute a significant statistical sample because over time the survey responses can be generalized to the student body.</w:t>
      </w:r>
    </w:p>
    <w:p w:rsidRPr="00883DF2" w:rsidR="00734169" w:rsidP="00734169" w:rsidRDefault="00734169" w14:paraId="50624569" w14:textId="77777777">
      <w:pPr>
        <w:rPr>
          <w:color w:val="1F3864" w:themeColor="accent5" w:themeShade="80"/>
        </w:rPr>
      </w:pPr>
    </w:p>
    <w:p w:rsidRPr="00883DF2" w:rsidR="00734169" w:rsidP="00C51370" w:rsidRDefault="00734169" w14:paraId="650DBF1C" w14:textId="3B81FA74">
      <w:pPr>
        <w:rPr>
          <w:color w:val="1F3864" w:themeColor="accent5" w:themeShade="80"/>
        </w:rPr>
      </w:pPr>
      <w:r w:rsidRPr="00883DF2">
        <w:rPr>
          <w:color w:val="1F3864" w:themeColor="accent5" w:themeShade="80"/>
        </w:rPr>
        <w:t xml:space="preserve">The surveys will be sent to participants </w:t>
      </w:r>
      <w:r w:rsidRPr="00883DF2" w:rsidR="006C5B56">
        <w:rPr>
          <w:color w:val="1F3864" w:themeColor="accent5" w:themeShade="80"/>
        </w:rPr>
        <w:t>electronically</w:t>
      </w:r>
      <w:r w:rsidRPr="00883DF2">
        <w:rPr>
          <w:color w:val="1F3864" w:themeColor="accent5" w:themeShade="80"/>
        </w:rPr>
        <w:t>.  An e-mail will be sent to each participant with an online link to the survey.  The survey provides directions for completion and submission.  The web-based survey instrument is designed for ease in completing, but still adequate to collect the desired data</w:t>
      </w:r>
      <w:r w:rsidRPr="00883DF2" w:rsidR="006C5B56">
        <w:rPr>
          <w:color w:val="1F3864" w:themeColor="accent5" w:themeShade="80"/>
        </w:rPr>
        <w:t>.</w:t>
      </w:r>
    </w:p>
    <w:p w:rsidRPr="00A32D89" w:rsidR="00734169" w:rsidP="00A403BB" w:rsidRDefault="00734169" w14:paraId="5B697993" w14:textId="77777777"/>
    <w:p w:rsidRPr="00883DF2" w:rsidR="00734169" w:rsidP="00C51370" w:rsidRDefault="00734169" w14:paraId="7869E586" w14:textId="77777777">
      <w:pPr>
        <w:rPr>
          <w:color w:val="1F3864" w:themeColor="accent5" w:themeShade="80"/>
        </w:rPr>
      </w:pPr>
      <w:r w:rsidRPr="00883DF2">
        <w:rPr>
          <w:color w:val="1F3864" w:themeColor="accent5" w:themeShade="80"/>
        </w:rPr>
        <w:t xml:space="preserve">The web-based surveys are comprised primarily of checking boxes with options for some brief narrative responses.  The survey is voluntary and should take respondents no more than 12 minutes to complete. </w:t>
      </w:r>
    </w:p>
    <w:p w:rsidRPr="00A32D89" w:rsidR="00734169" w:rsidP="00A403BB" w:rsidRDefault="00734169" w14:paraId="11973FD1" w14:textId="77777777"/>
    <w:p w:rsidRPr="00A32D89" w:rsidR="004D6E14" w:rsidP="00A403BB" w:rsidRDefault="004D6E14" w14:paraId="7277EB65" w14:textId="77777777"/>
    <w:p w:rsidRPr="00A32D89" w:rsidR="00A403BB" w:rsidP="00A403BB" w:rsidRDefault="00A403BB" w14:paraId="7D8E83EA" w14:textId="77777777">
      <w:pPr>
        <w:rPr>
          <w:b/>
        </w:rPr>
      </w:pPr>
      <w:r w:rsidRPr="00A32D89">
        <w:rPr>
          <w:b/>
        </w:rPr>
        <w:t>Administration of the Instrument</w:t>
      </w:r>
    </w:p>
    <w:p w:rsidRPr="00A32D89" w:rsidR="00A403BB" w:rsidP="00A403BB" w:rsidRDefault="001B0AAA" w14:paraId="5F679C85" w14:textId="77777777">
      <w:pPr>
        <w:pStyle w:val="ListParagraph"/>
        <w:numPr>
          <w:ilvl w:val="0"/>
          <w:numId w:val="17"/>
        </w:numPr>
      </w:pPr>
      <w:r w:rsidRPr="00A32D89">
        <w:t>H</w:t>
      </w:r>
      <w:r w:rsidRPr="00A32D89" w:rsidR="00A403BB">
        <w:t>ow will you collect the information? (Check all that apply)</w:t>
      </w:r>
    </w:p>
    <w:p w:rsidRPr="00A32D89" w:rsidR="001B0AAA" w:rsidP="001B0AAA" w:rsidRDefault="00A403BB" w14:paraId="24EC858A" w14:textId="77777777">
      <w:pPr>
        <w:ind w:left="720"/>
      </w:pPr>
      <w:r w:rsidRPr="00A32D89">
        <w:t xml:space="preserve">[ </w:t>
      </w:r>
      <w:r w:rsidRPr="00A32D89" w:rsidR="001B0AAA">
        <w:t xml:space="preserve"> </w:t>
      </w:r>
      <w:r w:rsidRPr="00A32D89">
        <w:t>] Web-based</w:t>
      </w:r>
      <w:r w:rsidRPr="00A32D89" w:rsidR="001B0AAA">
        <w:t xml:space="preserve"> or other forms of Social Media </w:t>
      </w:r>
    </w:p>
    <w:p w:rsidRPr="00A32D89" w:rsidR="001B0AAA" w:rsidP="001B0AAA" w:rsidRDefault="00A403BB" w14:paraId="20CBD634" w14:textId="77777777">
      <w:pPr>
        <w:ind w:left="720"/>
      </w:pPr>
      <w:r w:rsidRPr="00A32D89">
        <w:t xml:space="preserve">[ </w:t>
      </w:r>
      <w:r w:rsidRPr="00A32D89" w:rsidR="001B0AAA">
        <w:t xml:space="preserve"> </w:t>
      </w:r>
      <w:r w:rsidRPr="00A32D89">
        <w:t>] Telephone</w:t>
      </w:r>
      <w:r w:rsidRPr="00A32D89">
        <w:tab/>
      </w:r>
    </w:p>
    <w:p w:rsidRPr="00A32D89" w:rsidR="001B0AAA" w:rsidP="001B0AAA" w:rsidRDefault="00A403BB" w14:paraId="46E53EEA" w14:textId="77777777">
      <w:pPr>
        <w:ind w:left="720"/>
      </w:pPr>
      <w:r w:rsidRPr="00A32D89">
        <w:t>[</w:t>
      </w:r>
      <w:r w:rsidRPr="00A32D89" w:rsidR="001B0AAA">
        <w:t xml:space="preserve"> </w:t>
      </w:r>
      <w:r w:rsidRPr="00A32D89">
        <w:t xml:space="preserve"> ] In-person</w:t>
      </w:r>
      <w:r w:rsidRPr="00A32D89">
        <w:tab/>
      </w:r>
    </w:p>
    <w:p w:rsidRPr="00A32D89" w:rsidR="001B0AAA" w:rsidP="001B0AAA" w:rsidRDefault="00A403BB" w14:paraId="63AB6F6C" w14:textId="77777777">
      <w:pPr>
        <w:ind w:left="720"/>
      </w:pPr>
      <w:r w:rsidRPr="00A32D89">
        <w:t xml:space="preserve">[ </w:t>
      </w:r>
      <w:r w:rsidRPr="00A32D89" w:rsidR="001B0AAA">
        <w:t xml:space="preserve"> </w:t>
      </w:r>
      <w:r w:rsidRPr="00A32D89">
        <w:t>] Mail</w:t>
      </w:r>
      <w:r w:rsidRPr="00A32D89" w:rsidR="001B0AAA">
        <w:t xml:space="preserve"> </w:t>
      </w:r>
    </w:p>
    <w:p w:rsidRPr="00883DF2" w:rsidR="001B0AAA" w:rsidP="001B0AAA" w:rsidRDefault="00A403BB" w14:paraId="42DE68F6" w14:textId="77777777">
      <w:pPr>
        <w:ind w:left="720"/>
        <w:rPr>
          <w:color w:val="1F3864" w:themeColor="accent5" w:themeShade="80"/>
        </w:rPr>
      </w:pPr>
      <w:r w:rsidRPr="00A32D89">
        <w:t>[</w:t>
      </w:r>
      <w:r w:rsidRPr="00A32D89" w:rsidR="00322012">
        <w:rPr>
          <w:b/>
        </w:rPr>
        <w:t>X</w:t>
      </w:r>
      <w:r w:rsidRPr="00A32D89">
        <w:t>] Other, Explain</w:t>
      </w:r>
      <w:r w:rsidRPr="00A32D89" w:rsidR="00322012">
        <w:t xml:space="preserve">:  </w:t>
      </w:r>
      <w:r w:rsidRPr="00883DF2" w:rsidR="00322012">
        <w:rPr>
          <w:color w:val="1F3864" w:themeColor="accent5" w:themeShade="80"/>
        </w:rPr>
        <w:t>The link to the online survey instrument will be provided in an email with instructions in the email message and the online instruction.</w:t>
      </w:r>
    </w:p>
    <w:p w:rsidRPr="00A32D89" w:rsidR="00322012" w:rsidP="00322012" w:rsidRDefault="00322012" w14:paraId="696D8054" w14:textId="77777777"/>
    <w:p w:rsidRPr="00A32D89" w:rsidR="00F24CFC" w:rsidP="00F24CFC" w:rsidRDefault="00F24CFC" w14:paraId="28E103FD" w14:textId="77777777">
      <w:pPr>
        <w:pStyle w:val="ListParagraph"/>
        <w:numPr>
          <w:ilvl w:val="0"/>
          <w:numId w:val="17"/>
        </w:numPr>
      </w:pPr>
      <w:r w:rsidRPr="00A32D89">
        <w:t>Will interviewers or facilitators be used?  [  ] Yes [</w:t>
      </w:r>
      <w:r w:rsidRPr="00A32D89" w:rsidR="00322012">
        <w:rPr>
          <w:b/>
        </w:rPr>
        <w:t>X</w:t>
      </w:r>
      <w:r w:rsidRPr="00A32D89">
        <w:t>] No</w:t>
      </w:r>
    </w:p>
    <w:p w:rsidRPr="00A32D89" w:rsidR="00F24CFC" w:rsidP="00F24CFC" w:rsidRDefault="00F24CFC" w14:paraId="5B62C2D9" w14:textId="77777777">
      <w:pPr>
        <w:pStyle w:val="ListParagraph"/>
        <w:ind w:left="360"/>
      </w:pPr>
      <w:r w:rsidRPr="00A32D89">
        <w:t xml:space="preserve"> </w:t>
      </w:r>
    </w:p>
    <w:p w:rsidRPr="00A32D89" w:rsidR="005E714A" w:rsidP="00883A48" w:rsidRDefault="005E714A" w14:paraId="76D9D2AC" w14:textId="77425D06">
      <w:pPr>
        <w:rPr>
          <w:b/>
        </w:rPr>
      </w:pPr>
    </w:p>
    <w:sectPr w:rsidRPr="00A32D89" w:rsidR="005E714A" w:rsidSect="003C0A01">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0F2A" w14:textId="77777777" w:rsidR="0062398D" w:rsidRDefault="0062398D">
      <w:r>
        <w:separator/>
      </w:r>
    </w:p>
  </w:endnote>
  <w:endnote w:type="continuationSeparator" w:id="0">
    <w:p w14:paraId="6953E9F9" w14:textId="77777777" w:rsidR="0062398D" w:rsidRDefault="0062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7854" w14:textId="6E75FA89"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7D36D8">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6BB5B" w14:textId="77777777" w:rsidR="0062398D" w:rsidRDefault="0062398D">
      <w:r>
        <w:separator/>
      </w:r>
    </w:p>
  </w:footnote>
  <w:footnote w:type="continuationSeparator" w:id="0">
    <w:p w14:paraId="662AF77C" w14:textId="77777777" w:rsidR="0062398D" w:rsidRDefault="0062398D">
      <w:r>
        <w:continuationSeparator/>
      </w:r>
    </w:p>
  </w:footnote>
  <w:footnote w:id="1">
    <w:p w14:paraId="4C2A00A1" w14:textId="77777777" w:rsidR="00282B22" w:rsidRPr="0034632B" w:rsidRDefault="00282B22" w:rsidP="00282B22">
      <w:pPr>
        <w:pStyle w:val="FootnoteText"/>
        <w:rPr>
          <w:color w:val="002060"/>
        </w:rPr>
      </w:pPr>
      <w:r w:rsidRPr="0034632B">
        <w:rPr>
          <w:rStyle w:val="FootnoteReference"/>
          <w:color w:val="002060"/>
        </w:rPr>
        <w:footnoteRef/>
      </w:r>
      <w:r w:rsidRPr="0034632B">
        <w:rPr>
          <w:color w:val="002060"/>
        </w:rPr>
        <w:t xml:space="preserve"> Dr. Donald Kirkpatrick, past president of the American Society for Training and Development (ASTD), developed a training evaluation process for determining the effectiveness of training and consisting of four levels: reaction, learning, behavior, and results.  </w:t>
      </w:r>
      <w:r w:rsidRPr="0034632B">
        <w:rPr>
          <w:i/>
          <w:color w:val="002060"/>
        </w:rPr>
        <w:t>See</w:t>
      </w:r>
      <w:r w:rsidRPr="0034632B">
        <w:rPr>
          <w:color w:val="002060"/>
        </w:rPr>
        <w:t>, Kirkpatrick, James D. &amp; Wendy Kayser, “Kirkpatrick’s Four Levels of Training Evaluation.”  Alexandria: ATD Press, 2016.  Print.  https://www.kirkpatrickpartners.com.</w:t>
      </w:r>
    </w:p>
    <w:p w14:paraId="0A281370" w14:textId="11479897" w:rsidR="00282B22" w:rsidRDefault="00282B22">
      <w:pPr>
        <w:pStyle w:val="FootnoteText"/>
      </w:pPr>
    </w:p>
  </w:footnote>
  <w:footnote w:id="2">
    <w:p w14:paraId="77068973" w14:textId="65865958" w:rsidR="00BA5DEF" w:rsidRDefault="00BA5DEF">
      <w:pPr>
        <w:pStyle w:val="FootnoteText"/>
      </w:pPr>
      <w:r>
        <w:rPr>
          <w:rStyle w:val="FootnoteReference"/>
        </w:rPr>
        <w:footnoteRef/>
      </w:r>
      <w:r>
        <w:t xml:space="preserve"> The public time burden is the amount of time non-federal government entities spend providing the collected information; therefore, the amount of time graduates </w:t>
      </w:r>
      <w:r w:rsidR="00B46D80">
        <w:t>and their supervisors from federal agencies are subtracted</w:t>
      </w:r>
      <w:r w:rsidR="00ED40A6">
        <w:t xml:space="preserve"> here</w:t>
      </w:r>
      <w:r w:rsidR="00B46D80">
        <w:t xml:space="preserve"> so that they are not included in the public time burden.</w:t>
      </w:r>
    </w:p>
  </w:footnote>
  <w:footnote w:id="3">
    <w:p w14:paraId="34F9324C" w14:textId="2950A373" w:rsidR="00DC332C" w:rsidRDefault="00DC332C">
      <w:pPr>
        <w:pStyle w:val="FootnoteText"/>
      </w:pPr>
      <w:r>
        <w:rPr>
          <w:rStyle w:val="FootnoteReference"/>
        </w:rPr>
        <w:footnoteRef/>
      </w:r>
      <w:r w:rsidR="00276FAB">
        <w:t xml:space="preserve"> T</w:t>
      </w:r>
      <w:r>
        <w:t xml:space="preserve">he unloaded </w:t>
      </w:r>
      <w:r w:rsidR="00276FAB">
        <w:t xml:space="preserve">(wage only) hourly </w:t>
      </w:r>
      <w:r>
        <w:t>wage rate for Police a</w:t>
      </w:r>
      <w:r w:rsidR="00276FAB">
        <w:t xml:space="preserve">nd Sheriff’s Patrol Officers is </w:t>
      </w:r>
      <w:r>
        <w:t>$31.44</w:t>
      </w:r>
      <w:r w:rsidR="00B10CF6">
        <w:t xml:space="preserve"> (this occupation best represents the</w:t>
      </w:r>
      <w:r w:rsidR="00ED40A6">
        <w:t xml:space="preserve"> program graduates</w:t>
      </w:r>
      <w:r w:rsidR="00B10CF6">
        <w:t xml:space="preserve"> respondent population for this collection)</w:t>
      </w:r>
      <w:r>
        <w:t>.</w:t>
      </w:r>
      <w:r w:rsidR="00E559B7">
        <w:t xml:space="preserve"> </w:t>
      </w:r>
      <w:r w:rsidR="00276FAB">
        <w:t>Bureau of Labor Statistics, May 2018 National Industry-Specific Occupational Emplo</w:t>
      </w:r>
      <w:r w:rsidR="00ED40A6">
        <w:t xml:space="preserve">yment and Wage Estimates. </w:t>
      </w:r>
      <w:r w:rsidR="00276FAB">
        <w:t>33</w:t>
      </w:r>
      <w:r w:rsidR="00ED40A6">
        <w:t>-</w:t>
      </w:r>
      <w:r w:rsidR="00276FAB">
        <w:t xml:space="preserve">3051 – Police and Sheriff’s Patrol Officers. </w:t>
      </w:r>
      <w:hyperlink r:id="rId1" w:history="1">
        <w:r w:rsidR="00B10CF6">
          <w:rPr>
            <w:rStyle w:val="Hyperlink"/>
          </w:rPr>
          <w:t>https://www.bls.gov/oes/2018/may/naics3_</w:t>
        </w:r>
        <w:r w:rsidR="00276FAB" w:rsidRPr="00834E9A">
          <w:rPr>
            <w:rStyle w:val="Hyperlink"/>
          </w:rPr>
          <w:t>333051.htm</w:t>
        </w:r>
      </w:hyperlink>
      <w:r w:rsidR="00276FAB">
        <w:t xml:space="preserve">  Last updated March 31, 2019. </w:t>
      </w:r>
      <w:r w:rsidR="00E559B7">
        <w:t>Retriev</w:t>
      </w:r>
      <w:r w:rsidR="0032674D">
        <w:t xml:space="preserve">ed January 22, </w:t>
      </w:r>
      <w:r>
        <w:t>2020</w:t>
      </w:r>
      <w:r w:rsidR="00276FAB">
        <w:t>.</w:t>
      </w:r>
      <w:r>
        <w:t xml:space="preserve"> To </w:t>
      </w:r>
      <w:r w:rsidR="00276FAB">
        <w:t>determine a fully-</w:t>
      </w:r>
      <w:r>
        <w:t xml:space="preserve">loaded (wage plus benefits) rate, TSA </w:t>
      </w:r>
      <w:r w:rsidR="00276FAB">
        <w:t xml:space="preserve">uses state and local government compensation data from the Bureau of Labor Statistics, Employer Costs for Employee Compensation – September 2019, </w:t>
      </w:r>
      <w:r w:rsidR="00B10CF6">
        <w:t xml:space="preserve">Release </w:t>
      </w:r>
      <w:r w:rsidR="0032674D">
        <w:t>date December 18, 2019 (retrieved</w:t>
      </w:r>
      <w:r w:rsidR="00B10CF6">
        <w:t xml:space="preserve"> January 22, 2020) </w:t>
      </w:r>
      <w:hyperlink r:id="rId2" w:history="1">
        <w:r w:rsidR="00B10CF6" w:rsidRPr="00B10CF6">
          <w:rPr>
            <w:rStyle w:val="Hyperlink"/>
          </w:rPr>
          <w:t>https://www.bls.gov/news.release/archives/ecec_12182019.pdf</w:t>
        </w:r>
      </w:hyperlink>
      <w:r w:rsidR="00B10CF6">
        <w:t xml:space="preserve">. </w:t>
      </w:r>
      <w:r w:rsidR="00276FAB">
        <w:t>and obtained a load factor of 1.</w:t>
      </w:r>
      <w:r w:rsidR="00E559B7">
        <w:t>37</w:t>
      </w:r>
      <w:r w:rsidR="00276FAB">
        <w:t>7.</w:t>
      </w:r>
      <w:r w:rsidR="00E559B7">
        <w:t xml:space="preserve"> The fully loaded wage rate = $31.44 × 1.377 = $43.29288.</w:t>
      </w:r>
      <w:r w:rsidR="00276FAB">
        <w:t xml:space="preserve"> </w:t>
      </w:r>
    </w:p>
  </w:footnote>
  <w:footnote w:id="4">
    <w:p w14:paraId="5D6637D9" w14:textId="4B0D8C8C" w:rsidR="00ED40A6" w:rsidRDefault="00ED40A6">
      <w:pPr>
        <w:pStyle w:val="FootnoteText"/>
      </w:pPr>
      <w:r>
        <w:rPr>
          <w:rStyle w:val="FootnoteReference"/>
        </w:rPr>
        <w:footnoteRef/>
      </w:r>
      <w:r>
        <w:t xml:space="preserve"> The unloaded hourly wage rate for First-Line Supervisors of Police and Detectives is$44.76 (this occupation best represents the program graduates’ supervisors</w:t>
      </w:r>
      <w:r w:rsidR="006307C5">
        <w:t>’</w:t>
      </w:r>
      <w:r>
        <w:t xml:space="preserve"> respondent population. Bureau of Labor Statistics, May 2018</w:t>
      </w:r>
      <w:r w:rsidR="0032674D">
        <w:t xml:space="preserve"> National Industry-Specific Occupational Employment and Wage Estimates, 33-1012 – First-Line Supervisors of Police and Detectives. </w:t>
      </w:r>
      <w:hyperlink r:id="rId3" w:history="1">
        <w:r w:rsidR="0032674D" w:rsidRPr="0032674D">
          <w:rPr>
            <w:rStyle w:val="Hyperlink"/>
          </w:rPr>
          <w:t>https://www.bls.gov/oes/2018/may/naics3_331012.htm</w:t>
        </w:r>
      </w:hyperlink>
      <w:r w:rsidR="0032674D">
        <w:t>. Last updated March 31, 2019. Retrieved January 23, 2020. The fully-loaded wage rate = $44.76 × 1.377 = $</w:t>
      </w:r>
    </w:p>
  </w:footnote>
  <w:footnote w:id="5">
    <w:p w14:paraId="387CE6B7" w14:textId="11A6439E" w:rsidR="00CA1E41" w:rsidRDefault="00CA1E41">
      <w:pPr>
        <w:pStyle w:val="FootnoteText"/>
      </w:pPr>
      <w:r>
        <w:rPr>
          <w:rStyle w:val="FootnoteReference"/>
        </w:rPr>
        <w:footnoteRef/>
      </w:r>
      <w:r>
        <w:t xml:space="preserve"> TSA uses a “fully-loaded” wage rate (pay plus benefits calculated on an hourly basis) of $66.79 for I-Band employees).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D785E60"/>
    <w:multiLevelType w:val="hybridMultilevel"/>
    <w:tmpl w:val="1D1AEBE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22DD"/>
    <w:rsid w:val="00023A57"/>
    <w:rsid w:val="00024BF8"/>
    <w:rsid w:val="00047A64"/>
    <w:rsid w:val="00067329"/>
    <w:rsid w:val="00090D77"/>
    <w:rsid w:val="000B2838"/>
    <w:rsid w:val="000C492A"/>
    <w:rsid w:val="000C4AA1"/>
    <w:rsid w:val="000D44CA"/>
    <w:rsid w:val="000E200B"/>
    <w:rsid w:val="000F68BE"/>
    <w:rsid w:val="00134C01"/>
    <w:rsid w:val="001927A4"/>
    <w:rsid w:val="00194AC6"/>
    <w:rsid w:val="001A23B0"/>
    <w:rsid w:val="001A25CC"/>
    <w:rsid w:val="001B0AAA"/>
    <w:rsid w:val="001C39F7"/>
    <w:rsid w:val="002265FD"/>
    <w:rsid w:val="00237B48"/>
    <w:rsid w:val="0024521E"/>
    <w:rsid w:val="00263C3D"/>
    <w:rsid w:val="00274D0B"/>
    <w:rsid w:val="00275561"/>
    <w:rsid w:val="00276FAB"/>
    <w:rsid w:val="00282B22"/>
    <w:rsid w:val="002B052D"/>
    <w:rsid w:val="002B34CD"/>
    <w:rsid w:val="002B3C95"/>
    <w:rsid w:val="002B7859"/>
    <w:rsid w:val="002D0B92"/>
    <w:rsid w:val="0030709F"/>
    <w:rsid w:val="00322012"/>
    <w:rsid w:val="0032674D"/>
    <w:rsid w:val="0034632B"/>
    <w:rsid w:val="003926A9"/>
    <w:rsid w:val="003C0A01"/>
    <w:rsid w:val="003D5BBE"/>
    <w:rsid w:val="003E3C61"/>
    <w:rsid w:val="003F1C5B"/>
    <w:rsid w:val="0041242E"/>
    <w:rsid w:val="00434E33"/>
    <w:rsid w:val="00441434"/>
    <w:rsid w:val="00446B8B"/>
    <w:rsid w:val="0045264C"/>
    <w:rsid w:val="00480EF9"/>
    <w:rsid w:val="004876EC"/>
    <w:rsid w:val="00495615"/>
    <w:rsid w:val="004D6E14"/>
    <w:rsid w:val="004F577F"/>
    <w:rsid w:val="005009B0"/>
    <w:rsid w:val="005A1006"/>
    <w:rsid w:val="005C000E"/>
    <w:rsid w:val="005E548F"/>
    <w:rsid w:val="005E714A"/>
    <w:rsid w:val="005F4503"/>
    <w:rsid w:val="005F693D"/>
    <w:rsid w:val="006140A0"/>
    <w:rsid w:val="00614A9F"/>
    <w:rsid w:val="0062398D"/>
    <w:rsid w:val="006307C5"/>
    <w:rsid w:val="00636621"/>
    <w:rsid w:val="00642B49"/>
    <w:rsid w:val="00677CAC"/>
    <w:rsid w:val="006832D9"/>
    <w:rsid w:val="0069403B"/>
    <w:rsid w:val="006C5B56"/>
    <w:rsid w:val="006C72F9"/>
    <w:rsid w:val="006D7949"/>
    <w:rsid w:val="006F3DDE"/>
    <w:rsid w:val="00704678"/>
    <w:rsid w:val="00734169"/>
    <w:rsid w:val="007425E7"/>
    <w:rsid w:val="007444AB"/>
    <w:rsid w:val="007577B6"/>
    <w:rsid w:val="00761A76"/>
    <w:rsid w:val="007A724C"/>
    <w:rsid w:val="007C089A"/>
    <w:rsid w:val="007D36D8"/>
    <w:rsid w:val="007F7080"/>
    <w:rsid w:val="00802607"/>
    <w:rsid w:val="008101A5"/>
    <w:rsid w:val="00822664"/>
    <w:rsid w:val="008228C3"/>
    <w:rsid w:val="00843796"/>
    <w:rsid w:val="00883A48"/>
    <w:rsid w:val="00883DF2"/>
    <w:rsid w:val="00895229"/>
    <w:rsid w:val="008977BC"/>
    <w:rsid w:val="008B2EB3"/>
    <w:rsid w:val="008F0203"/>
    <w:rsid w:val="008F50D4"/>
    <w:rsid w:val="008F63B5"/>
    <w:rsid w:val="00917B22"/>
    <w:rsid w:val="009239AA"/>
    <w:rsid w:val="00935ADA"/>
    <w:rsid w:val="00946B6C"/>
    <w:rsid w:val="00955A71"/>
    <w:rsid w:val="0096108F"/>
    <w:rsid w:val="0098404E"/>
    <w:rsid w:val="009C13B9"/>
    <w:rsid w:val="009C1DF6"/>
    <w:rsid w:val="009D01A2"/>
    <w:rsid w:val="009F5923"/>
    <w:rsid w:val="00A31E07"/>
    <w:rsid w:val="00A32D89"/>
    <w:rsid w:val="00A403BB"/>
    <w:rsid w:val="00A674DF"/>
    <w:rsid w:val="00A83AA6"/>
    <w:rsid w:val="00A934D6"/>
    <w:rsid w:val="00AC5D8D"/>
    <w:rsid w:val="00AD00D8"/>
    <w:rsid w:val="00AE1809"/>
    <w:rsid w:val="00B10CF6"/>
    <w:rsid w:val="00B251B9"/>
    <w:rsid w:val="00B379D9"/>
    <w:rsid w:val="00B46D80"/>
    <w:rsid w:val="00B46E5B"/>
    <w:rsid w:val="00B80D76"/>
    <w:rsid w:val="00B824F4"/>
    <w:rsid w:val="00BA2105"/>
    <w:rsid w:val="00BA5DEF"/>
    <w:rsid w:val="00BA7E06"/>
    <w:rsid w:val="00BB43B5"/>
    <w:rsid w:val="00BB6219"/>
    <w:rsid w:val="00BD290F"/>
    <w:rsid w:val="00BD78CA"/>
    <w:rsid w:val="00C14CC4"/>
    <w:rsid w:val="00C33C52"/>
    <w:rsid w:val="00C40D8B"/>
    <w:rsid w:val="00C454AA"/>
    <w:rsid w:val="00C51370"/>
    <w:rsid w:val="00C7049A"/>
    <w:rsid w:val="00C8407A"/>
    <w:rsid w:val="00C8488C"/>
    <w:rsid w:val="00C86E91"/>
    <w:rsid w:val="00C96E26"/>
    <w:rsid w:val="00CA02C1"/>
    <w:rsid w:val="00CA1E41"/>
    <w:rsid w:val="00CA2650"/>
    <w:rsid w:val="00CB1078"/>
    <w:rsid w:val="00CC6FAF"/>
    <w:rsid w:val="00CE2A75"/>
    <w:rsid w:val="00CF6542"/>
    <w:rsid w:val="00D00E0F"/>
    <w:rsid w:val="00D24698"/>
    <w:rsid w:val="00D6383F"/>
    <w:rsid w:val="00DB59D0"/>
    <w:rsid w:val="00DC332C"/>
    <w:rsid w:val="00DC33D3"/>
    <w:rsid w:val="00E26329"/>
    <w:rsid w:val="00E40B50"/>
    <w:rsid w:val="00E47868"/>
    <w:rsid w:val="00E50293"/>
    <w:rsid w:val="00E559B7"/>
    <w:rsid w:val="00E65FFC"/>
    <w:rsid w:val="00E744EA"/>
    <w:rsid w:val="00E80951"/>
    <w:rsid w:val="00E86CC6"/>
    <w:rsid w:val="00E873C3"/>
    <w:rsid w:val="00EB3CA6"/>
    <w:rsid w:val="00EB56B3"/>
    <w:rsid w:val="00ED40A6"/>
    <w:rsid w:val="00ED6492"/>
    <w:rsid w:val="00EF2095"/>
    <w:rsid w:val="00F06866"/>
    <w:rsid w:val="00F15956"/>
    <w:rsid w:val="00F24CFC"/>
    <w:rsid w:val="00F3170F"/>
    <w:rsid w:val="00F51AC7"/>
    <w:rsid w:val="00F9382C"/>
    <w:rsid w:val="00F976B0"/>
    <w:rsid w:val="00FA6DE7"/>
    <w:rsid w:val="00FC0A8E"/>
    <w:rsid w:val="00FC38B9"/>
    <w:rsid w:val="00FD6DF6"/>
    <w:rsid w:val="00FD75C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C961E"/>
  <w15:chartTrackingRefBased/>
  <w15:docId w15:val="{67511522-C1E7-46EE-B641-4C7F0001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734169"/>
    <w:rPr>
      <w:sz w:val="24"/>
      <w:szCs w:val="24"/>
    </w:rPr>
  </w:style>
  <w:style w:type="paragraph" w:styleId="FootnoteText">
    <w:name w:val="footnote text"/>
    <w:basedOn w:val="Normal"/>
    <w:link w:val="FootnoteTextChar"/>
    <w:rsid w:val="00CA1E41"/>
    <w:rPr>
      <w:sz w:val="20"/>
      <w:szCs w:val="20"/>
    </w:rPr>
  </w:style>
  <w:style w:type="character" w:customStyle="1" w:styleId="FootnoteTextChar">
    <w:name w:val="Footnote Text Char"/>
    <w:basedOn w:val="DefaultParagraphFont"/>
    <w:link w:val="FootnoteText"/>
    <w:rsid w:val="00CA1E41"/>
  </w:style>
  <w:style w:type="character" w:styleId="FootnoteReference">
    <w:name w:val="footnote reference"/>
    <w:basedOn w:val="DefaultParagraphFont"/>
    <w:rsid w:val="00CA1E41"/>
    <w:rPr>
      <w:vertAlign w:val="superscript"/>
    </w:rPr>
  </w:style>
  <w:style w:type="character" w:styleId="Hyperlink">
    <w:name w:val="Hyperlink"/>
    <w:basedOn w:val="DefaultParagraphFont"/>
    <w:rsid w:val="00DC332C"/>
    <w:rPr>
      <w:color w:val="0563C1" w:themeColor="hyperlink"/>
      <w:u w:val="single"/>
    </w:rPr>
  </w:style>
  <w:style w:type="character" w:styleId="FollowedHyperlink">
    <w:name w:val="FollowedHyperlink"/>
    <w:basedOn w:val="DefaultParagraphFont"/>
    <w:rsid w:val="00276F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46603">
      <w:bodyDiv w:val="1"/>
      <w:marLeft w:val="0"/>
      <w:marRight w:val="0"/>
      <w:marTop w:val="0"/>
      <w:marBottom w:val="0"/>
      <w:divBdr>
        <w:top w:val="none" w:sz="0" w:space="0" w:color="auto"/>
        <w:left w:val="none" w:sz="0" w:space="0" w:color="auto"/>
        <w:bottom w:val="none" w:sz="0" w:space="0" w:color="auto"/>
        <w:right w:val="none" w:sz="0" w:space="0" w:color="auto"/>
      </w:divBdr>
    </w:div>
    <w:div w:id="19554006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18/may/naics3_331012.htm" TargetMode="External"/><Relationship Id="rId2" Type="http://schemas.openxmlformats.org/officeDocument/2006/relationships/hyperlink" Target="https://www.bls.gov/news.release/archives/ecec_12182019.pdf" TargetMode="External"/><Relationship Id="rId1" Type="http://schemas.openxmlformats.org/officeDocument/2006/relationships/hyperlink" Target="https://www.bls.gov/oes/current/oes3330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8" ma:contentTypeDescription="Create a new document." ma:contentTypeScope="" ma:versionID="5842ecadc1c0ae3baa45a5b95dc89abf">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c55e0091c74b5100d19134a1fdefbb6f"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TSADT-783092807-28527</_dlc_DocId>
    <_dlc_DocIdUrl xmlns="dfa24db8-b43c-4576-b9f3-d527095e9577">
      <Url>https://apps2013.ishare.tsa.dhs.gov/sites/gel/OIT/_layouts/15/DocIdRedir.aspx?ID=TSADT-783092807-28527</Url>
      <Description>TSADT-783092807-28527</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56FFE-7250-4379-BE06-7FF227BC4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A210A-5CD6-4E95-AAFD-889017EDF015}">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3.xml><?xml version="1.0" encoding="utf-8"?>
<ds:datastoreItem xmlns:ds="http://schemas.openxmlformats.org/officeDocument/2006/customXml" ds:itemID="{6777CDCE-EF6D-44DF-8C3C-01F0B075EA16}">
  <ds:schemaRefs>
    <ds:schemaRef ds:uri="http://schemas.microsoft.com/office/2006/metadata/longProperties"/>
  </ds:schemaRefs>
</ds:datastoreItem>
</file>

<file path=customXml/itemProps4.xml><?xml version="1.0" encoding="utf-8"?>
<ds:datastoreItem xmlns:ds="http://schemas.openxmlformats.org/officeDocument/2006/customXml" ds:itemID="{9355CDCC-C879-4E6E-ABEC-A7C8EF51A826}">
  <ds:schemaRefs>
    <ds:schemaRef ds:uri="http://schemas.microsoft.com/sharepoint/v3/contenttype/forms"/>
  </ds:schemaRefs>
</ds:datastoreItem>
</file>

<file path=customXml/itemProps5.xml><?xml version="1.0" encoding="utf-8"?>
<ds:datastoreItem xmlns:ds="http://schemas.openxmlformats.org/officeDocument/2006/customXml" ds:itemID="{ACBE4E74-B3F9-47F1-A732-FFF49373F93E}">
  <ds:schemaRefs>
    <ds:schemaRef ds:uri="http://schemas.microsoft.com/sharepoint/events"/>
  </ds:schemaRefs>
</ds:datastoreItem>
</file>

<file path=customXml/itemProps6.xml><?xml version="1.0" encoding="utf-8"?>
<ds:datastoreItem xmlns:ds="http://schemas.openxmlformats.org/officeDocument/2006/customXml" ds:itemID="{85186F7B-E9DB-4B83-B2DB-79C932F4D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5000.22</cp:keywords>
  <cp:lastModifiedBy>Walsh, Christina</cp:lastModifiedBy>
  <cp:revision>2</cp:revision>
  <cp:lastPrinted>2010-10-04T15:59:00Z</cp:lastPrinted>
  <dcterms:created xsi:type="dcterms:W3CDTF">2020-04-23T18:38:00Z</dcterms:created>
  <dcterms:modified xsi:type="dcterms:W3CDTF">2020-04-23T18:38:00Z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-146559778</vt:i4>
  </property>
  <property fmtid="{D5CDD505-2E9C-101B-9397-08002B2CF9AE}" pid="4" name="_EmailSubject">
    <vt:lpwstr>here's the new short-form!</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-933070478</vt:i4>
  </property>
  <property fmtid="{D5CDD505-2E9C-101B-9397-08002B2CF9AE}" pid="8" name="_ReviewingToolsShownOnce">
    <vt:lpwstr/>
  </property>
  <property fmtid="{D5CDD505-2E9C-101B-9397-08002B2CF9AE}" pid="9" name="_dlc_DocId">
    <vt:lpwstr>2MNXFYDWMX7Y-1832746947-32</vt:lpwstr>
  </property>
  <property fmtid="{D5CDD505-2E9C-101B-9397-08002B2CF9AE}" pid="10" name="_dlc_DocIdItemGuid">
    <vt:lpwstr>e43a1a2d-2deb-4355-80c4-2bbfd0d0b20e</vt:lpwstr>
  </property>
  <property fmtid="{D5CDD505-2E9C-101B-9397-08002B2CF9AE}" pid="11" name="_dlc_DocIdUrl">
    <vt:lpwstr>https://office.ishare.tsa.dhs.gov/sites/oit/bmo/pra/_layouts/15/DocIdRedir.aspx?ID=2MNXFYDWMX7Y-1832746947-32, 2MNXFYDWMX7Y-1832746947-32</vt:lpwstr>
  </property>
  <property fmtid="{D5CDD505-2E9C-101B-9397-08002B2CF9AE}" pid="12" name="ContentTypeId">
    <vt:lpwstr>0x01010056F361A932546F4590D5DC141682ABDA</vt:lpwstr>
  </property>
</Properties>
</file>