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786802AC" w14:textId="6331F41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96353">
        <w:rPr>
          <w:sz w:val="28"/>
        </w:rPr>
        <w:t>1652-0058</w:t>
      </w:r>
      <w:r>
        <w:rPr>
          <w:sz w:val="28"/>
        </w:rPr>
        <w:t>)</w:t>
      </w:r>
    </w:p>
    <w:p w:rsidRPr="00DC7973" w:rsidR="00DC7973" w:rsidP="00DC7973" w:rsidRDefault="00B26380" w14:paraId="10018FB9" w14:textId="77777777">
      <w:pPr>
        <w:rPr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1E1B78A3" wp14:anchorId="72EA35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D4F9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C7973" w:rsidR="00DC7973">
        <w:rPr>
          <w:i/>
        </w:rPr>
        <w:t>Transportation Systems Sector</w:t>
      </w:r>
    </w:p>
    <w:p w:rsidRPr="00296353" w:rsidR="00E50293" w:rsidP="00DC7973" w:rsidRDefault="00DC7973" w14:paraId="493B6B7B" w14:textId="26F372B7">
      <w:pPr>
        <w:rPr>
          <w:b/>
          <w:i/>
        </w:rPr>
      </w:pPr>
      <w:r w:rsidRPr="00DC7973">
        <w:rPr>
          <w:i/>
        </w:rPr>
        <w:t>Voluntary Web-Based Survey of NIST Version 1.1 Cybersecurity Framework Use</w:t>
      </w:r>
      <w:r w:rsidRPr="00296353" w:rsidR="00296353">
        <w:rPr>
          <w:i/>
        </w:rPr>
        <w:t>.</w:t>
      </w:r>
    </w:p>
    <w:p w:rsidR="005E714A" w:rsidRDefault="005E714A" w14:paraId="07973636" w14:textId="77777777"/>
    <w:p w:rsidRPr="0064011E" w:rsidR="001B0AAA" w:rsidRDefault="00F15956" w14:paraId="4F077801" w14:textId="00E21527">
      <w:pPr>
        <w:rPr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296353" w:rsidR="00296353">
        <w:rPr>
          <w:i/>
        </w:rPr>
        <w:t xml:space="preserve">To gather input from </w:t>
      </w:r>
      <w:r w:rsidR="00DC7973">
        <w:rPr>
          <w:i/>
        </w:rPr>
        <w:t>Transportation Systems Sector</w:t>
      </w:r>
      <w:r w:rsidR="00F41386">
        <w:rPr>
          <w:i/>
        </w:rPr>
        <w:t xml:space="preserve"> (TSS)</w:t>
      </w:r>
      <w:r w:rsidR="00DC7973">
        <w:rPr>
          <w:i/>
        </w:rPr>
        <w:t xml:space="preserve"> stakeholders on the adoption of the </w:t>
      </w:r>
      <w:r w:rsidR="00E357CF">
        <w:rPr>
          <w:i/>
        </w:rPr>
        <w:t xml:space="preserve">National Institute of Standards and Technology (NIST) </w:t>
      </w:r>
      <w:r w:rsidR="00DC7973">
        <w:rPr>
          <w:i/>
        </w:rPr>
        <w:t>Version 1.1 Cybersecurity Framework</w:t>
      </w:r>
      <w:r w:rsidRPr="00296353" w:rsidR="00296353">
        <w:rPr>
          <w:i/>
        </w:rPr>
        <w:t>.</w:t>
      </w:r>
      <w:r w:rsidR="00E72563">
        <w:rPr>
          <w:i/>
        </w:rPr>
        <w:t xml:space="preserve"> The TSS </w:t>
      </w:r>
      <w:r w:rsidR="00AA7471">
        <w:rPr>
          <w:i/>
        </w:rPr>
        <w:t xml:space="preserve">is </w:t>
      </w:r>
      <w:r w:rsidR="003A094D">
        <w:rPr>
          <w:i/>
        </w:rPr>
        <w:t xml:space="preserve">comprised of </w:t>
      </w:r>
      <w:r w:rsidR="00B74C39">
        <w:rPr>
          <w:i/>
        </w:rPr>
        <w:t xml:space="preserve">an integrated network of </w:t>
      </w:r>
      <w:r w:rsidR="00AA7471">
        <w:rPr>
          <w:i/>
        </w:rPr>
        <w:t xml:space="preserve">transportation owners and operators, both public and private, that are responsible for the safety and security of the movement of people and </w:t>
      </w:r>
      <w:r w:rsidRPr="00AA7471" w:rsidR="00AA7471">
        <w:rPr>
          <w:i/>
        </w:rPr>
        <w:t>commerce</w:t>
      </w:r>
      <w:r w:rsidR="00AA7471">
        <w:rPr>
          <w:i/>
        </w:rPr>
        <w:t>.</w:t>
      </w:r>
      <w:r w:rsidRPr="0064011E" w:rsidR="00AA7471">
        <w:rPr>
          <w:i/>
        </w:rPr>
        <w:t xml:space="preserve"> The specific roles and responsibilities vary based on the nature of the service provided and the associated security risks.</w:t>
      </w:r>
      <w:r w:rsidR="00AA7471">
        <w:rPr>
          <w:i/>
        </w:rPr>
        <w:t xml:space="preserve"> Entities</w:t>
      </w:r>
      <w:r w:rsidR="00AC4FC1">
        <w:rPr>
          <w:i/>
        </w:rPr>
        <w:t xml:space="preserve"> come from various modes of transportation</w:t>
      </w:r>
      <w:r w:rsidR="00AA7471">
        <w:rPr>
          <w:i/>
        </w:rPr>
        <w:t xml:space="preserve"> includ</w:t>
      </w:r>
      <w:r w:rsidR="00AC4FC1">
        <w:rPr>
          <w:i/>
        </w:rPr>
        <w:t>ing</w:t>
      </w:r>
      <w:r w:rsidR="00AA7471">
        <w:rPr>
          <w:i/>
        </w:rPr>
        <w:t xml:space="preserve"> but not limited to airport authorities, airlines, public transportation </w:t>
      </w:r>
      <w:r w:rsidR="00AC4FC1">
        <w:rPr>
          <w:i/>
        </w:rPr>
        <w:t>agencies</w:t>
      </w:r>
      <w:r w:rsidR="00AA7471">
        <w:rPr>
          <w:i/>
        </w:rPr>
        <w:t xml:space="preserve">, over-the-road-bus companies, </w:t>
      </w:r>
      <w:r w:rsidR="00AC4FC1">
        <w:rPr>
          <w:i/>
        </w:rPr>
        <w:t>long haul and short line railroads, and pipeline operators.</w:t>
      </w:r>
    </w:p>
    <w:p w:rsidR="00C8488C" w:rsidP="00434E33" w:rsidRDefault="00C8488C" w14:paraId="4DDBE5D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64471B" w:rsidRDefault="00434E33" w14:paraId="080DF248" w14:textId="38DC8CD6">
      <w:pPr>
        <w:spacing w:after="240" w:line="238" w:lineRule="auto"/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Pr="00296353" w:rsidR="00296353">
        <w:rPr>
          <w:i/>
          <w:color w:val="000000"/>
          <w:szCs w:val="22"/>
        </w:rPr>
        <w:t xml:space="preserve">Current (at the time of the survey) </w:t>
      </w:r>
      <w:r w:rsidR="00DC7973">
        <w:rPr>
          <w:i/>
          <w:color w:val="000000"/>
          <w:szCs w:val="22"/>
        </w:rPr>
        <w:t>TSS stakeholders across all modes of transportation, including aviation, maritime, pipeline, and surface sectors</w:t>
      </w:r>
      <w:r w:rsidRPr="00296353" w:rsidR="00296353">
        <w:rPr>
          <w:i/>
          <w:color w:val="000000"/>
          <w:szCs w:val="22"/>
        </w:rPr>
        <w:t>.</w:t>
      </w:r>
    </w:p>
    <w:p w:rsidRPr="00F06866" w:rsidR="00F06866" w:rsidRDefault="00F06866" w14:paraId="70F7F95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4248D8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956BD60" w14:textId="000A7C1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</w:p>
    <w:p w:rsidR="0096108F" w:rsidP="0096108F" w:rsidRDefault="0096108F" w14:paraId="4FABE869" w14:textId="09D3BB9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C797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0FFEA80" w14:textId="311CA97E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Pr="00F06866" w:rsidR="00DC7973">
        <w:rPr>
          <w:bCs/>
          <w:sz w:val="24"/>
          <w:u w:val="single"/>
        </w:rPr>
        <w:t xml:space="preserve"> </w:t>
      </w:r>
      <w:r w:rsidRPr="00F06866" w:rsidR="00F06866">
        <w:rPr>
          <w:bCs/>
          <w:sz w:val="24"/>
          <w:u w:val="single"/>
        </w:rPr>
        <w:t>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4D3E89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08FF77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E15C361" w14:textId="77777777">
      <w:pPr>
        <w:rPr>
          <w:sz w:val="16"/>
          <w:szCs w:val="16"/>
        </w:rPr>
      </w:pPr>
    </w:p>
    <w:p w:rsidRPr="009C13B9" w:rsidR="008101A5" w:rsidP="008101A5" w:rsidRDefault="008101A5" w14:paraId="23F56C0E" w14:textId="0CE6921C">
      <w:r>
        <w:t>I certify the following to be true:</w:t>
      </w:r>
    </w:p>
    <w:p w:rsidR="008101A5" w:rsidP="008101A5" w:rsidRDefault="008101A5" w14:paraId="193F2CD4" w14:textId="41BC4E90">
      <w:pPr>
        <w:pStyle w:val="ListParagraph"/>
        <w:numPr>
          <w:ilvl w:val="0"/>
          <w:numId w:val="14"/>
        </w:numPr>
      </w:pPr>
      <w:r>
        <w:t>The collection is voluntary.</w:t>
      </w:r>
    </w:p>
    <w:p w:rsidR="008101A5" w:rsidP="008101A5" w:rsidRDefault="008101A5" w14:paraId="27A78F6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6234C904" w14:textId="6A0454FA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:rsidRDefault="008101A5" w14:paraId="1E10888E" w14:textId="19749C18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P="008101A5" w:rsidRDefault="008101A5" w14:paraId="7B536ADA" w14:textId="3404EB8B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</w:p>
    <w:p w:rsidR="008101A5" w:rsidP="008101A5" w:rsidRDefault="008101A5" w14:paraId="4A37210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FFB2937" w14:textId="77777777"/>
    <w:p w:rsidR="009C13B9" w:rsidRDefault="00296353" w14:paraId="2168FFBE" w14:textId="7D789405">
      <w:pPr>
        <w:rPr>
          <w:i/>
        </w:rPr>
      </w:pPr>
      <w:r>
        <w:t xml:space="preserve">Name: </w:t>
      </w:r>
      <w:r>
        <w:tab/>
      </w:r>
      <w:r w:rsidR="008A6B97">
        <w:rPr>
          <w:rFonts w:ascii="Segoe Script" w:hAnsi="Segoe Script"/>
          <w:i/>
        </w:rPr>
        <w:t>Timothy L. Weston</w:t>
      </w:r>
    </w:p>
    <w:p w:rsidR="00296353" w:rsidRDefault="00296353" w14:paraId="62553B6C" w14:textId="04BC819A">
      <w:r>
        <w:tab/>
      </w:r>
      <w:r w:rsidR="008A6B97">
        <w:t>Director, Strategy &amp; Plans (Acting)</w:t>
      </w:r>
    </w:p>
    <w:p w:rsidR="005D6290" w:rsidP="009C13B9" w:rsidRDefault="00296353" w14:paraId="7630E6CD" w14:textId="5DBD3340">
      <w:r>
        <w:tab/>
      </w:r>
      <w:r w:rsidR="008A6B97">
        <w:t>Strategy, Policy Coordination &amp; Innovation</w:t>
      </w:r>
      <w:r w:rsidR="005D6290">
        <w:t>,</w:t>
      </w:r>
    </w:p>
    <w:p w:rsidRPr="005D6290" w:rsidR="005D6290" w:rsidP="005D6290" w:rsidRDefault="005D6290" w14:paraId="0B47DFD1" w14:textId="2757E018">
      <w:r>
        <w:tab/>
      </w:r>
      <w:r w:rsidRPr="005D6290">
        <w:t>Transportation Security Administration (TSA)</w:t>
      </w:r>
    </w:p>
    <w:p w:rsidR="009C6E5B" w:rsidP="009C13B9" w:rsidRDefault="009C6E5B" w14:paraId="6D8F952D" w14:textId="77777777">
      <w:r>
        <w:br w:type="page"/>
      </w:r>
    </w:p>
    <w:p w:rsidR="009C13B9" w:rsidP="009C13B9" w:rsidRDefault="009C13B9" w14:paraId="1B52397F" w14:textId="2B0EB056">
      <w:r>
        <w:lastRenderedPageBreak/>
        <w:t>To assist review, please provide answers to the following question:</w:t>
      </w:r>
    </w:p>
    <w:p w:rsidR="009C13B9" w:rsidP="009C13B9" w:rsidRDefault="009C13B9" w14:paraId="3C74739C" w14:textId="77777777">
      <w:pPr>
        <w:pStyle w:val="ListParagraph"/>
        <w:ind w:left="360"/>
      </w:pPr>
    </w:p>
    <w:p w:rsidRPr="00C86E91" w:rsidR="009C13B9" w:rsidP="00C86E91" w:rsidRDefault="00C86E91" w14:paraId="5A84038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5886CC6" w14:textId="25660C2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96353">
        <w:t>X</w:t>
      </w:r>
      <w:r w:rsidR="009239AA">
        <w:t>]  No</w:t>
      </w:r>
    </w:p>
    <w:p w:rsidR="00C86E91" w:rsidP="00C86E91" w:rsidRDefault="009C13B9" w14:paraId="2DC19EC7" w14:textId="5FAD8DD8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</w:p>
    <w:p w:rsidR="00C86E91" w:rsidP="00C86E91" w:rsidRDefault="00C86E91" w14:paraId="77F510A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0F8BF69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7809DE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C36A1F3" w14:textId="7D0A8151">
      <w:r>
        <w:t>Is an incentive (e.g., money or reimbursement of expenses, token of appreciation) provided to participants?  [  ] Yes [</w:t>
      </w:r>
      <w:r w:rsidR="00296353">
        <w:t>X</w:t>
      </w:r>
      <w:r>
        <w:t>] No</w:t>
      </w:r>
    </w:p>
    <w:p w:rsidR="004D6E14" w:rsidRDefault="004D6E14" w14:paraId="06EFCADC" w14:textId="77777777">
      <w:pPr>
        <w:rPr>
          <w:b/>
        </w:rPr>
      </w:pPr>
    </w:p>
    <w:p w:rsidR="005E714A" w:rsidP="00C86E91" w:rsidRDefault="005E714A" w14:paraId="247DB870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61976EF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3482FC7A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19F464ED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4FD0911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0F5C0E82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59A5463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73EC00E9" w14:textId="77777777">
        <w:trPr>
          <w:trHeight w:val="274"/>
        </w:trPr>
        <w:tc>
          <w:tcPr>
            <w:tcW w:w="5418" w:type="dxa"/>
          </w:tcPr>
          <w:p w:rsidR="006832D9" w:rsidP="00843796" w:rsidRDefault="008A6B97" w14:paraId="201CA804" w14:textId="140DB787">
            <w:r>
              <w:t>Transportation Systems Sector Stakeholders</w:t>
            </w:r>
          </w:p>
        </w:tc>
        <w:tc>
          <w:tcPr>
            <w:tcW w:w="1530" w:type="dxa"/>
          </w:tcPr>
          <w:p w:rsidR="006832D9" w:rsidP="00843796" w:rsidRDefault="008A6B97" w14:paraId="0666772D" w14:textId="05C7F9E0">
            <w:r>
              <w:t>200</w:t>
            </w:r>
          </w:p>
        </w:tc>
        <w:tc>
          <w:tcPr>
            <w:tcW w:w="1710" w:type="dxa"/>
          </w:tcPr>
          <w:p w:rsidR="006832D9" w:rsidP="00843796" w:rsidRDefault="00B4119C" w14:paraId="23F6A508" w14:textId="366C3484">
            <w:r>
              <w:t>10</w:t>
            </w:r>
            <w:r w:rsidR="00296353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B4119C" w14:paraId="4825F9C6" w14:textId="01DD607E">
            <w:r>
              <w:t>33.33</w:t>
            </w:r>
            <w:r w:rsidR="00AF3F25">
              <w:t xml:space="preserve"> hours</w:t>
            </w:r>
          </w:p>
        </w:tc>
      </w:tr>
      <w:tr w:rsidR="00EF2095" w:rsidTr="0001027E" w14:paraId="22A337CA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3FEBDEA2" w14:textId="77777777"/>
        </w:tc>
        <w:tc>
          <w:tcPr>
            <w:tcW w:w="1530" w:type="dxa"/>
          </w:tcPr>
          <w:p w:rsidR="006832D9" w:rsidP="00843796" w:rsidRDefault="006832D9" w14:paraId="56C8CD95" w14:textId="77777777"/>
        </w:tc>
        <w:tc>
          <w:tcPr>
            <w:tcW w:w="1710" w:type="dxa"/>
          </w:tcPr>
          <w:p w:rsidR="006832D9" w:rsidP="00843796" w:rsidRDefault="006832D9" w14:paraId="7083BA12" w14:textId="77777777"/>
        </w:tc>
        <w:tc>
          <w:tcPr>
            <w:tcW w:w="1003" w:type="dxa"/>
          </w:tcPr>
          <w:p w:rsidR="006832D9" w:rsidP="00843796" w:rsidRDefault="006832D9" w14:paraId="088648CB" w14:textId="77777777"/>
        </w:tc>
      </w:tr>
      <w:tr w:rsidR="00EF2095" w:rsidTr="0001027E" w14:paraId="7646EA0B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6AA0020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AF3F25" w14:paraId="177A5827" w14:textId="548939E4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</w:tcPr>
          <w:p w:rsidR="006832D9" w:rsidP="00843796" w:rsidRDefault="003275E9" w14:paraId="4B949DF1" w14:textId="39983288">
            <w:r>
              <w:t>10</w:t>
            </w:r>
            <w:r>
              <w:t xml:space="preserve"> </w:t>
            </w:r>
            <w:r w:rsidR="00AF3F25">
              <w:t>minutes</w:t>
            </w:r>
          </w:p>
        </w:tc>
        <w:tc>
          <w:tcPr>
            <w:tcW w:w="1003" w:type="dxa"/>
          </w:tcPr>
          <w:p w:rsidRPr="0001027E" w:rsidR="006832D9" w:rsidP="00843796" w:rsidRDefault="003275E9" w14:paraId="1F7C1539" w14:textId="44537E62">
            <w:pPr>
              <w:rPr>
                <w:b/>
              </w:rPr>
            </w:pPr>
            <w:r>
              <w:rPr>
                <w:b/>
              </w:rPr>
              <w:t>33.33</w:t>
            </w:r>
            <w:r w:rsidR="00AF3F25">
              <w:rPr>
                <w:b/>
              </w:rPr>
              <w:t xml:space="preserve"> hours</w:t>
            </w:r>
          </w:p>
        </w:tc>
      </w:tr>
    </w:tbl>
    <w:p w:rsidRPr="000C72DA" w:rsidR="0099226F" w:rsidP="0099226F" w:rsidRDefault="0099226F" w14:paraId="366B6539" w14:textId="77777777">
      <w:r>
        <w:rPr>
          <w:b/>
        </w:rPr>
        <w:t xml:space="preserve">PUBLIC COST: </w:t>
      </w:r>
      <w:r w:rsidRPr="000C72DA">
        <w:t>The estimated annual cost to the public</w:t>
      </w:r>
      <w:r>
        <w:t xml:space="preserve"> is </w:t>
      </w:r>
      <w:r w:rsidRPr="00124FB7">
        <w:rPr>
          <w:b/>
        </w:rPr>
        <w:t>$</w:t>
      </w:r>
      <w:r>
        <w:rPr>
          <w:b/>
        </w:rPr>
        <w:t>1,273.21</w:t>
      </w:r>
      <w:r>
        <w:t>.</w:t>
      </w:r>
      <w:r>
        <w:rPr>
          <w:rStyle w:val="FootnoteReference"/>
        </w:rPr>
        <w:footnoteReference w:id="1"/>
      </w:r>
    </w:p>
    <w:p w:rsidR="00F3170F" w:rsidP="00F3170F" w:rsidRDefault="00F3170F" w14:paraId="198DACFF" w14:textId="77777777">
      <w:bookmarkStart w:name="_GoBack" w:id="0"/>
      <w:bookmarkEnd w:id="0"/>
    </w:p>
    <w:p w:rsidR="005E714A" w:rsidRDefault="001C39F7" w14:paraId="6B3275FF" w14:textId="5DE90F28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96353">
        <w:t>is _</w:t>
      </w:r>
      <w:r w:rsidR="00C86E91">
        <w:t>___</w:t>
      </w:r>
      <w:r w:rsidRPr="000514B4" w:rsidR="000514B4">
        <w:rPr>
          <w:b/>
        </w:rPr>
        <w:t>$</w:t>
      </w:r>
      <w:r w:rsidRPr="000514B4" w:rsidR="0029059C">
        <w:rPr>
          <w:b/>
        </w:rPr>
        <w:t>25,046.76</w:t>
      </w:r>
      <w:r w:rsidR="00C86E91">
        <w:t>___</w:t>
      </w:r>
    </w:p>
    <w:p w:rsidR="00296353" w:rsidRDefault="00296353" w14:paraId="5603A526" w14:textId="77777777"/>
    <w:tbl>
      <w:tblPr>
        <w:tblStyle w:val="TableGrid0"/>
        <w:tblW w:w="9482" w:type="dxa"/>
        <w:tblInd w:w="103" w:type="dxa"/>
        <w:tblCellMar>
          <w:top w:w="70" w:type="dxa"/>
          <w:right w:w="45" w:type="dxa"/>
        </w:tblCellMar>
        <w:tblLook w:val="04A0" w:firstRow="1" w:lastRow="0" w:firstColumn="1" w:lastColumn="0" w:noHBand="0" w:noVBand="1"/>
      </w:tblPr>
      <w:tblGrid>
        <w:gridCol w:w="2534"/>
        <w:gridCol w:w="1711"/>
        <w:gridCol w:w="1620"/>
        <w:gridCol w:w="1786"/>
        <w:gridCol w:w="1831"/>
      </w:tblGrid>
      <w:tr w:rsidRPr="000514B4" w:rsidR="00296353" w:rsidTr="00347FA0" w14:paraId="7C918E1A" w14:textId="77777777">
        <w:trPr>
          <w:trHeight w:val="1123"/>
        </w:trPr>
        <w:tc>
          <w:tcPr>
            <w:tcW w:w="2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296353" w:rsidRDefault="00296353" w14:paraId="2624FF54" w14:textId="77777777">
            <w:pPr>
              <w:spacing w:line="259" w:lineRule="auto"/>
              <w:ind w:left="39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TSA Position and Grade 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296353" w:rsidRDefault="00296353" w14:paraId="7464009F" w14:textId="77777777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Average </w:t>
            </w:r>
          </w:p>
          <w:p w:rsidRPr="000514B4" w:rsidR="00296353" w:rsidP="00296353" w:rsidRDefault="00296353" w14:paraId="3B78BC10" w14:textId="77777777">
            <w:pPr>
              <w:spacing w:line="259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Hourly </w:t>
            </w:r>
          </w:p>
          <w:p w:rsidRPr="000514B4" w:rsidR="00296353" w:rsidP="00296353" w:rsidRDefault="00296353" w14:paraId="21D385A9" w14:textId="77777777">
            <w:pPr>
              <w:spacing w:line="259" w:lineRule="auto"/>
              <w:ind w:left="97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Loaded Rate of Pay 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296353" w:rsidRDefault="00296353" w14:paraId="4ABB61B0" w14:textId="77777777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Estimated </w:t>
            </w:r>
          </w:p>
          <w:p w:rsidRPr="000514B4" w:rsidR="00296353" w:rsidP="00296353" w:rsidRDefault="00296353" w14:paraId="119F66BF" w14:textId="77777777">
            <w:pPr>
              <w:spacing w:line="259" w:lineRule="auto"/>
              <w:ind w:left="41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Number of </w:t>
            </w:r>
          </w:p>
          <w:p w:rsidRPr="000514B4" w:rsidR="00296353" w:rsidP="00296353" w:rsidRDefault="00296353" w14:paraId="2B355DA4" w14:textId="77777777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Hours 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296353" w:rsidRDefault="00296353" w14:paraId="39563585" w14:textId="77777777">
            <w:pPr>
              <w:spacing w:line="259" w:lineRule="auto"/>
              <w:ind w:left="42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Estimated </w:t>
            </w:r>
          </w:p>
          <w:p w:rsidRPr="000514B4" w:rsidR="00296353" w:rsidP="00296353" w:rsidRDefault="00296353" w14:paraId="3B4FFA18" w14:textId="77777777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Number of </w:t>
            </w:r>
          </w:p>
          <w:p w:rsidRPr="000514B4" w:rsidR="00296353" w:rsidP="00296353" w:rsidRDefault="00296353" w14:paraId="063A4F34" w14:textId="77777777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Annual </w:t>
            </w:r>
          </w:p>
          <w:p w:rsidRPr="000514B4" w:rsidR="00296353" w:rsidP="00296353" w:rsidRDefault="00296353" w14:paraId="05FD2143" w14:textId="77777777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Reviews 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296353" w:rsidRDefault="00296353" w14:paraId="5AF1B0A0" w14:textId="77777777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Estimated </w:t>
            </w:r>
          </w:p>
          <w:p w:rsidRPr="000514B4" w:rsidR="00296353" w:rsidP="00296353" w:rsidRDefault="00296353" w14:paraId="0511C731" w14:textId="77777777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Annual Cost to the Federal </w:t>
            </w:r>
          </w:p>
          <w:p w:rsidRPr="000514B4" w:rsidR="00296353" w:rsidP="00296353" w:rsidRDefault="00296353" w14:paraId="161346D8" w14:textId="77777777">
            <w:pPr>
              <w:spacing w:line="259" w:lineRule="auto"/>
              <w:ind w:left="43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b/>
                <w:color w:val="000000"/>
                <w:szCs w:val="22"/>
              </w:rPr>
              <w:t xml:space="preserve">Government </w:t>
            </w:r>
          </w:p>
        </w:tc>
      </w:tr>
      <w:tr w:rsidRPr="000514B4" w:rsidR="00296353" w:rsidTr="00347FA0" w14:paraId="46F62BA4" w14:textId="77777777">
        <w:trPr>
          <w:trHeight w:val="665"/>
        </w:trPr>
        <w:tc>
          <w:tcPr>
            <w:tcW w:w="2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296353" w:rsidRDefault="0029059C" w14:paraId="77058024" w14:textId="11E009D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I BAND/GS 13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0514B4" w14:paraId="2911D94B" w14:textId="3C4C262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$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66.79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29059C" w14:paraId="2CC9E199" w14:textId="0CEE009E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300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29059C" w14:paraId="57E06BC5" w14:textId="3EBE4B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0514B4" w14:paraId="57933F74" w14:textId="5CCF52BC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$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20</w:t>
            </w: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037.00</w:t>
            </w:r>
          </w:p>
        </w:tc>
      </w:tr>
      <w:tr w:rsidRPr="000514B4" w:rsidR="00296353" w:rsidTr="00347FA0" w14:paraId="76C03901" w14:textId="77777777">
        <w:trPr>
          <w:trHeight w:val="667"/>
        </w:trPr>
        <w:tc>
          <w:tcPr>
            <w:tcW w:w="2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296353" w:rsidRDefault="0029059C" w14:paraId="6CF51EFF" w14:textId="08602A8C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J Band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0514B4" w14:paraId="12B31679" w14:textId="3E568872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$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78.65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29059C" w14:paraId="7B71E0EB" w14:textId="1838BC18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16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29059C" w14:paraId="5ACE83B7" w14:textId="0F8B832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0514B4" w14:paraId="3F9FF67F" w14:textId="2DA30D9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$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258.40</w:t>
            </w:r>
          </w:p>
        </w:tc>
      </w:tr>
      <w:tr w:rsidRPr="000514B4" w:rsidR="00296353" w:rsidTr="00347FA0" w14:paraId="3D8D70AA" w14:textId="77777777">
        <w:trPr>
          <w:trHeight w:val="665"/>
        </w:trPr>
        <w:tc>
          <w:tcPr>
            <w:tcW w:w="2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296353" w:rsidRDefault="0029059C" w14:paraId="4757D785" w14:textId="2D794A2F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K Band/GS</w:t>
            </w:r>
            <w:r w:rsidRPr="000514B4" w:rsidR="00362E95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15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0514B4" w14:paraId="0FF3E269" w14:textId="00E3EB1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$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92.24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29059C" w14:paraId="1A418880" w14:textId="147B1EE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32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29059C" w14:paraId="5F1E4C5F" w14:textId="5605AF6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0514B4" w14:paraId="2864C95B" w14:textId="1BF2240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$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2</w:t>
            </w: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951.68</w:t>
            </w:r>
          </w:p>
        </w:tc>
      </w:tr>
      <w:tr w:rsidRPr="000514B4" w:rsidR="0029059C" w:rsidTr="00347FA0" w14:paraId="3D04E888" w14:textId="77777777">
        <w:trPr>
          <w:trHeight w:val="665"/>
        </w:trPr>
        <w:tc>
          <w:tcPr>
            <w:tcW w:w="2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059C" w:rsidP="00296353" w:rsidRDefault="0029059C" w14:paraId="607CB636" w14:textId="0635F0A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TSES</w:t>
            </w:r>
          </w:p>
        </w:tc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059C" w:rsidP="000514B4" w:rsidRDefault="000514B4" w14:paraId="2B671CB8" w14:textId="6256C2A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$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99.96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059C" w:rsidP="000514B4" w:rsidRDefault="0029059C" w14:paraId="2DC59649" w14:textId="600A9C4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8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059C" w:rsidP="000514B4" w:rsidRDefault="0029059C" w14:paraId="10234763" w14:textId="6F43B465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059C" w:rsidP="000514B4" w:rsidRDefault="000514B4" w14:paraId="347664C7" w14:textId="6288BA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$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799.68</w:t>
            </w:r>
          </w:p>
        </w:tc>
      </w:tr>
      <w:tr w:rsidRPr="000514B4" w:rsidR="00296353" w:rsidTr="00347FA0" w14:paraId="577F4C4A" w14:textId="77777777">
        <w:trPr>
          <w:trHeight w:val="650"/>
        </w:trPr>
        <w:tc>
          <w:tcPr>
            <w:tcW w:w="2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296353" w:rsidRDefault="00296353" w14:paraId="762803F8" w14:textId="77777777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3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:rsidRPr="000514B4" w:rsidR="00296353" w:rsidP="000514B4" w:rsidRDefault="00296353" w14:paraId="782D359B" w14:textId="52B878B4">
            <w:pPr>
              <w:spacing w:line="259" w:lineRule="auto"/>
              <w:ind w:left="108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 xml:space="preserve">Total Estimated Annual Cost to </w:t>
            </w:r>
            <w:r w:rsidR="000514B4">
              <w:rPr>
                <w:rFonts w:ascii="Times New Roman" w:hAnsi="Times New Roman" w:cs="Times New Roman"/>
                <w:color w:val="000000"/>
                <w:szCs w:val="22"/>
              </w:rPr>
              <w:t>f</w:t>
            </w: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 xml:space="preserve">ederal Government is  </w:t>
            </w:r>
          </w:p>
        </w:tc>
        <w:tc>
          <w:tcPr>
            <w:tcW w:w="1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0514B4" w14:paraId="796E6687" w14:textId="39376BCD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th</w:t>
            </w:r>
            <w:r w:rsidRPr="000514B4" w:rsidR="00296353">
              <w:rPr>
                <w:rFonts w:ascii="Times New Roman" w:hAnsi="Times New Roman" w:cs="Times New Roman"/>
                <w:color w:val="000000"/>
                <w:szCs w:val="22"/>
              </w:rPr>
              <w:t xml:space="preserve">e 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514B4" w:rsidR="00296353" w:rsidP="000514B4" w:rsidRDefault="000514B4" w14:paraId="1B60468D" w14:textId="7CFE2A41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14B4">
              <w:rPr>
                <w:rFonts w:ascii="Times New Roman" w:hAnsi="Times New Roman" w:cs="Times New Roman"/>
                <w:color w:val="000000"/>
                <w:szCs w:val="22"/>
              </w:rPr>
              <w:t>$</w:t>
            </w:r>
            <w:r w:rsidRPr="000514B4" w:rsidR="0029059C">
              <w:rPr>
                <w:rFonts w:ascii="Times New Roman" w:hAnsi="Times New Roman" w:cs="Times New Roman"/>
                <w:color w:val="000000"/>
                <w:szCs w:val="22"/>
              </w:rPr>
              <w:t>25,046.76</w:t>
            </w:r>
          </w:p>
        </w:tc>
      </w:tr>
    </w:tbl>
    <w:p w:rsidR="00616275" w:rsidRDefault="00616275" w14:paraId="3BCA2F17" w14:textId="2C2D8EC1">
      <w:r>
        <w:br w:type="page"/>
      </w:r>
    </w:p>
    <w:p w:rsidR="00296353" w:rsidRDefault="00296353" w14:paraId="6ACA4327" w14:textId="77777777"/>
    <w:p w:rsidR="0069403B" w:rsidP="00F06866" w:rsidRDefault="00ED6492" w14:paraId="48BCD39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F0F0CE6" w14:textId="77777777">
      <w:pPr>
        <w:rPr>
          <w:b/>
        </w:rPr>
      </w:pPr>
    </w:p>
    <w:p w:rsidR="00F06866" w:rsidP="00F06866" w:rsidRDefault="00636621" w14:paraId="4F6E856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E357CF" w:rsidP="0069403B" w:rsidRDefault="0069403B" w14:paraId="12210333" w14:textId="4B0C073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</w:p>
    <w:p w:rsidR="0069403B" w:rsidP="0064471B" w:rsidRDefault="00636621" w14:paraId="5DFFD26C" w14:textId="75FD5133">
      <w:pPr>
        <w:pStyle w:val="ListParagraph"/>
        <w:ind w:left="360"/>
      </w:pPr>
      <w:r>
        <w:tab/>
      </w:r>
      <w:r w:rsidR="0069403B">
        <w:t>[</w:t>
      </w:r>
      <w:r w:rsidR="00296353">
        <w:t>X</w:t>
      </w:r>
      <w:r w:rsidR="0069403B">
        <w:t>] Yes</w:t>
      </w:r>
      <w:r w:rsidR="0069403B">
        <w:tab/>
        <w:t>[ ] No</w:t>
      </w:r>
    </w:p>
    <w:p w:rsidR="00636621" w:rsidP="00636621" w:rsidRDefault="00636621" w14:paraId="3A386090" w14:textId="77777777">
      <w:pPr>
        <w:pStyle w:val="ListParagraph"/>
      </w:pPr>
    </w:p>
    <w:p w:rsidR="00636621" w:rsidP="001B0AAA" w:rsidRDefault="00636621" w14:paraId="1FDD3A4C" w14:textId="221AE094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Pr="00296353" w:rsidR="00A403BB" w:rsidP="00A403BB" w:rsidRDefault="00A403BB" w14:paraId="2EB434A1" w14:textId="77777777">
      <w:pPr>
        <w:rPr>
          <w:i/>
        </w:rPr>
      </w:pPr>
    </w:p>
    <w:p w:rsidR="00E357CF" w:rsidP="0064471B" w:rsidRDefault="00296353" w14:paraId="4B931C4C" w14:textId="1157574F">
      <w:pPr>
        <w:spacing w:after="266" w:line="249" w:lineRule="auto"/>
        <w:ind w:left="-5" w:hanging="10"/>
        <w:rPr>
          <w:b/>
        </w:rPr>
      </w:pPr>
      <w:r w:rsidRPr="00296353">
        <w:rPr>
          <w:i/>
          <w:color w:val="000000"/>
          <w:szCs w:val="22"/>
        </w:rPr>
        <w:t>T</w:t>
      </w:r>
      <w:r w:rsidR="00F41386">
        <w:rPr>
          <w:i/>
          <w:color w:val="000000"/>
          <w:szCs w:val="22"/>
        </w:rPr>
        <w:t>SA will distribute t</w:t>
      </w:r>
      <w:r w:rsidRPr="00296353">
        <w:rPr>
          <w:i/>
          <w:color w:val="000000"/>
          <w:szCs w:val="22"/>
        </w:rPr>
        <w:t xml:space="preserve">he </w:t>
      </w:r>
      <w:r w:rsidR="00F41386">
        <w:rPr>
          <w:i/>
          <w:color w:val="000000"/>
          <w:szCs w:val="22"/>
        </w:rPr>
        <w:t xml:space="preserve">survey </w:t>
      </w:r>
      <w:r w:rsidRPr="00296353">
        <w:rPr>
          <w:i/>
          <w:color w:val="000000"/>
          <w:szCs w:val="22"/>
        </w:rPr>
        <w:t xml:space="preserve">via email to all the </w:t>
      </w:r>
      <w:r w:rsidR="00AF3F25">
        <w:rPr>
          <w:i/>
          <w:color w:val="000000"/>
          <w:szCs w:val="22"/>
        </w:rPr>
        <w:t xml:space="preserve">members of the TSS.  TSA and </w:t>
      </w:r>
      <w:r w:rsidR="00827DE5">
        <w:rPr>
          <w:i/>
          <w:color w:val="000000"/>
          <w:szCs w:val="22"/>
        </w:rPr>
        <w:t>the Department of Transportation (</w:t>
      </w:r>
      <w:r w:rsidR="00AF3F25">
        <w:rPr>
          <w:i/>
          <w:color w:val="000000"/>
          <w:szCs w:val="22"/>
        </w:rPr>
        <w:t>DOT</w:t>
      </w:r>
      <w:r w:rsidR="00827DE5">
        <w:rPr>
          <w:i/>
          <w:color w:val="000000"/>
          <w:szCs w:val="22"/>
        </w:rPr>
        <w:t>)</w:t>
      </w:r>
      <w:r w:rsidR="00AF3F25">
        <w:rPr>
          <w:i/>
          <w:color w:val="000000"/>
          <w:szCs w:val="22"/>
        </w:rPr>
        <w:t xml:space="preserve"> </w:t>
      </w:r>
      <w:r w:rsidR="00F41386">
        <w:rPr>
          <w:i/>
          <w:color w:val="000000"/>
          <w:szCs w:val="22"/>
        </w:rPr>
        <w:t xml:space="preserve">also </w:t>
      </w:r>
      <w:r w:rsidR="00AF3F25">
        <w:rPr>
          <w:i/>
          <w:color w:val="000000"/>
          <w:szCs w:val="22"/>
        </w:rPr>
        <w:t>will distribute the survey to the Aviation Security Advisory Council, the Surface Transportation Security Advisory Council, and the Sector Coordinating Council for the TSS</w:t>
      </w:r>
      <w:r w:rsidRPr="00296353">
        <w:rPr>
          <w:i/>
          <w:color w:val="000000"/>
          <w:szCs w:val="22"/>
        </w:rPr>
        <w:t>.</w:t>
      </w:r>
    </w:p>
    <w:p w:rsidR="00A403BB" w:rsidP="0064471B" w:rsidRDefault="00A403BB" w14:paraId="5E8EF287" w14:textId="44AA1276">
      <w:pPr>
        <w:spacing w:after="266" w:line="249" w:lineRule="auto"/>
        <w:ind w:left="-5" w:hanging="10"/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CFAFBBD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3983B35" w14:textId="0085ED1F">
      <w:pPr>
        <w:ind w:left="720"/>
      </w:pPr>
      <w:r>
        <w:t>[</w:t>
      </w:r>
      <w:r w:rsidR="00296353">
        <w:t>X</w:t>
      </w:r>
      <w:r>
        <w:t>] Web-based</w:t>
      </w:r>
      <w:r w:rsidR="001B0AAA">
        <w:t xml:space="preserve"> or other forms of Social Media</w:t>
      </w:r>
    </w:p>
    <w:p w:rsidR="001B0AAA" w:rsidP="001B0AAA" w:rsidRDefault="00A403BB" w14:paraId="722426E9" w14:textId="163D2B7A">
      <w:pPr>
        <w:ind w:left="720"/>
      </w:pPr>
      <w:r>
        <w:t xml:space="preserve">[ </w:t>
      </w:r>
      <w:r w:rsidR="001B0AAA">
        <w:t xml:space="preserve"> </w:t>
      </w:r>
      <w:r>
        <w:t>] Telephone</w:t>
      </w:r>
    </w:p>
    <w:p w:rsidR="001B0AAA" w:rsidP="001B0AAA" w:rsidRDefault="00A403BB" w14:paraId="6FF59D7F" w14:textId="525ABA44">
      <w:pPr>
        <w:ind w:left="720"/>
      </w:pPr>
      <w:r>
        <w:t>[</w:t>
      </w:r>
      <w:r w:rsidR="001B0AAA">
        <w:t xml:space="preserve"> </w:t>
      </w:r>
      <w:r>
        <w:t xml:space="preserve"> ] In-person</w:t>
      </w:r>
    </w:p>
    <w:p w:rsidR="001B0AAA" w:rsidP="001B0AAA" w:rsidRDefault="00A403BB" w14:paraId="3CA7FDDC" w14:textId="75C39E48">
      <w:pPr>
        <w:ind w:left="720"/>
      </w:pPr>
      <w:r>
        <w:t xml:space="preserve">[ </w:t>
      </w:r>
      <w:r w:rsidR="001B0AAA">
        <w:t xml:space="preserve"> </w:t>
      </w:r>
      <w:r>
        <w:t>] Mail</w:t>
      </w:r>
    </w:p>
    <w:p w:rsidR="001B0AAA" w:rsidP="001B0AAA" w:rsidRDefault="00A403BB" w14:paraId="13C2A9FB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DFFB97B" w14:textId="2232779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96353">
        <w:t>X</w:t>
      </w:r>
      <w:r>
        <w:t>] No</w:t>
      </w:r>
    </w:p>
    <w:p w:rsidR="00F24CFC" w:rsidP="00F24CFC" w:rsidRDefault="00F24CFC" w14:paraId="467B7F78" w14:textId="77777777">
      <w:pPr>
        <w:pStyle w:val="ListParagraph"/>
        <w:ind w:left="360"/>
      </w:pPr>
      <w:r>
        <w:t xml:space="preserve"> </w:t>
      </w:r>
    </w:p>
    <w:p w:rsidR="00296353" w:rsidP="00F24CFC" w:rsidRDefault="00F24CFC" w14:paraId="246FAF34" w14:textId="0845ED6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96353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89EE4" w14:textId="77777777" w:rsidR="00E76FAC" w:rsidRDefault="00E76FAC">
      <w:r>
        <w:separator/>
      </w:r>
    </w:p>
  </w:endnote>
  <w:endnote w:type="continuationSeparator" w:id="0">
    <w:p w14:paraId="0904DAF7" w14:textId="77777777" w:rsidR="00E76FAC" w:rsidRDefault="00E7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FFC31" w14:textId="38725126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75E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4CBA9" w14:textId="77777777" w:rsidR="00E76FAC" w:rsidRDefault="00E76FAC">
      <w:r>
        <w:separator/>
      </w:r>
    </w:p>
  </w:footnote>
  <w:footnote w:type="continuationSeparator" w:id="0">
    <w:p w14:paraId="0C30F329" w14:textId="77777777" w:rsidR="00E76FAC" w:rsidRDefault="00E76FAC">
      <w:r>
        <w:continuationSeparator/>
      </w:r>
    </w:p>
  </w:footnote>
  <w:footnote w:id="1">
    <w:p w14:paraId="5116F95F" w14:textId="77777777" w:rsidR="0099226F" w:rsidRDefault="0099226F" w:rsidP="0099226F">
      <w:pPr>
        <w:pStyle w:val="FootnoteText"/>
      </w:pPr>
      <w:r>
        <w:rPr>
          <w:rStyle w:val="FootnoteReference"/>
        </w:rPr>
        <w:footnoteRef/>
      </w:r>
      <w:r>
        <w:t xml:space="preserve"> TSA uses the employer cost for employee compensation for civilian workers rate of $38.20 per hour as the respondent wage rate.   </w:t>
      </w:r>
      <w:r w:rsidRPr="000C4AA5">
        <w:t>Source: BLS Economic News Release June 2020 Employer Costs for Employee Compensation Table 1.</w:t>
      </w:r>
      <w:r>
        <w:rPr>
          <w:u w:val="single"/>
        </w:rPr>
        <w:t xml:space="preserve"> </w:t>
      </w:r>
      <w:r>
        <w:t>This rate is multiplied by the time burden to determine the annual cost to the public.</w:t>
      </w:r>
      <w:r w:rsidRPr="00DC4723">
        <w:t xml:space="preserve"> </w:t>
      </w:r>
      <w:hyperlink r:id="rId1" w:history="1">
        <w:r>
          <w:rPr>
            <w:rStyle w:val="Hyperlink"/>
          </w:rPr>
          <w:t>https://www.bls.gov/news.release/ecec.t01.htm</w:t>
        </w:r>
      </w:hyperlink>
      <w:r>
        <w:t>. Accessed on October 22,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36DB8"/>
    <w:rsid w:val="00047A64"/>
    <w:rsid w:val="000514B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4EB4"/>
    <w:rsid w:val="00237B48"/>
    <w:rsid w:val="0024521E"/>
    <w:rsid w:val="00263C3D"/>
    <w:rsid w:val="00274D0B"/>
    <w:rsid w:val="0029059C"/>
    <w:rsid w:val="00296353"/>
    <w:rsid w:val="002B052D"/>
    <w:rsid w:val="002B34CD"/>
    <w:rsid w:val="002B3C95"/>
    <w:rsid w:val="002B7859"/>
    <w:rsid w:val="002D0B92"/>
    <w:rsid w:val="003275E9"/>
    <w:rsid w:val="00362E95"/>
    <w:rsid w:val="003A094D"/>
    <w:rsid w:val="003D5BBE"/>
    <w:rsid w:val="003E3C61"/>
    <w:rsid w:val="003F1C5B"/>
    <w:rsid w:val="0041242E"/>
    <w:rsid w:val="00434E33"/>
    <w:rsid w:val="00441434"/>
    <w:rsid w:val="0045264C"/>
    <w:rsid w:val="004876EC"/>
    <w:rsid w:val="004B7CE3"/>
    <w:rsid w:val="004D6E14"/>
    <w:rsid w:val="005009B0"/>
    <w:rsid w:val="005A1006"/>
    <w:rsid w:val="005D6290"/>
    <w:rsid w:val="005E714A"/>
    <w:rsid w:val="005F539F"/>
    <w:rsid w:val="005F693D"/>
    <w:rsid w:val="006140A0"/>
    <w:rsid w:val="00616275"/>
    <w:rsid w:val="00636621"/>
    <w:rsid w:val="0064011E"/>
    <w:rsid w:val="00642B49"/>
    <w:rsid w:val="0064471B"/>
    <w:rsid w:val="006832D9"/>
    <w:rsid w:val="0069403B"/>
    <w:rsid w:val="006D5808"/>
    <w:rsid w:val="006F3DDE"/>
    <w:rsid w:val="00704678"/>
    <w:rsid w:val="007425E7"/>
    <w:rsid w:val="007F7080"/>
    <w:rsid w:val="00802607"/>
    <w:rsid w:val="008101A5"/>
    <w:rsid w:val="00822664"/>
    <w:rsid w:val="008228C3"/>
    <w:rsid w:val="00827DE5"/>
    <w:rsid w:val="00843796"/>
    <w:rsid w:val="00885F9C"/>
    <w:rsid w:val="00895229"/>
    <w:rsid w:val="008A17AF"/>
    <w:rsid w:val="008A6B97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1CB5"/>
    <w:rsid w:val="0098404E"/>
    <w:rsid w:val="0099226F"/>
    <w:rsid w:val="009A7F8B"/>
    <w:rsid w:val="009C13B9"/>
    <w:rsid w:val="009C6E5B"/>
    <w:rsid w:val="009D01A2"/>
    <w:rsid w:val="009F5923"/>
    <w:rsid w:val="00A403BB"/>
    <w:rsid w:val="00A674DF"/>
    <w:rsid w:val="00A83AA6"/>
    <w:rsid w:val="00A934D6"/>
    <w:rsid w:val="00AA7471"/>
    <w:rsid w:val="00AC4FC1"/>
    <w:rsid w:val="00AC5D8D"/>
    <w:rsid w:val="00AD00D8"/>
    <w:rsid w:val="00AE1809"/>
    <w:rsid w:val="00AF3F25"/>
    <w:rsid w:val="00B26380"/>
    <w:rsid w:val="00B4119C"/>
    <w:rsid w:val="00B74C3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00E0F"/>
    <w:rsid w:val="00D24698"/>
    <w:rsid w:val="00D317EB"/>
    <w:rsid w:val="00D577A1"/>
    <w:rsid w:val="00D6383F"/>
    <w:rsid w:val="00DB59D0"/>
    <w:rsid w:val="00DC33D3"/>
    <w:rsid w:val="00DC7973"/>
    <w:rsid w:val="00E26329"/>
    <w:rsid w:val="00E357CF"/>
    <w:rsid w:val="00E40B50"/>
    <w:rsid w:val="00E50293"/>
    <w:rsid w:val="00E65FFC"/>
    <w:rsid w:val="00E72563"/>
    <w:rsid w:val="00E744EA"/>
    <w:rsid w:val="00E76FAC"/>
    <w:rsid w:val="00E80951"/>
    <w:rsid w:val="00E86CC6"/>
    <w:rsid w:val="00EB3CA6"/>
    <w:rsid w:val="00EB56B3"/>
    <w:rsid w:val="00ED6492"/>
    <w:rsid w:val="00EF2095"/>
    <w:rsid w:val="00F06866"/>
    <w:rsid w:val="00F068D0"/>
    <w:rsid w:val="00F15956"/>
    <w:rsid w:val="00F24CFC"/>
    <w:rsid w:val="00F3170F"/>
    <w:rsid w:val="00F41386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66D25"/>
  <w15:chartTrackingRefBased/>
  <w15:docId w15:val="{7301F72C-E2F8-456C-9322-0A6A8B81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table" w:customStyle="1" w:styleId="TableGrid0">
    <w:name w:val="TableGrid"/>
    <w:rsid w:val="0029635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rsid w:val="000514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514B4"/>
  </w:style>
  <w:style w:type="character" w:styleId="FootnoteReference">
    <w:name w:val="footnote reference"/>
    <w:basedOn w:val="DefaultParagraphFont"/>
    <w:rsid w:val="000514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14B4"/>
    <w:rPr>
      <w:color w:val="0000FF"/>
      <w:u w:val="single"/>
    </w:rPr>
  </w:style>
  <w:style w:type="paragraph" w:styleId="Revision">
    <w:name w:val="Revision"/>
    <w:hidden/>
    <w:uiPriority w:val="99"/>
    <w:semiHidden/>
    <w:rsid w:val="009922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ecec.t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TSADT-783092807-39674</_dlc_DocId>
    <_dlc_DocIdUrl xmlns="dfa24db8-b43c-4576-b9f3-d527095e9577">
      <Url>https://apps2013.ishare.tsa.dhs.gov/sites/gel/OIT/_layouts/15/DocIdRedir.aspx?ID=TSADT-783092807-39674</Url>
      <Description>TSADT-783092807-39674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8" ma:contentTypeDescription="Create a new document." ma:contentTypeScope="" ma:versionID="5842ecadc1c0ae3baa45a5b95dc89abf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c55e0091c74b5100d19134a1fdefbb6f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B1A6-D0BF-4971-A570-712DC938B1F6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560D502-68BF-4004-912F-4234E6478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A8281-2F26-48CD-A0CF-013021FA8A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F2C24B-C6BA-4363-9485-56C2D1292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76B50F-51B1-45E0-B257-C7EFE9FE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>5000.22</cp:keywords>
  <cp:lastModifiedBy>Walsh, Christina</cp:lastModifiedBy>
  <cp:revision>2</cp:revision>
  <cp:lastPrinted>2010-10-04T15:59:00Z</cp:lastPrinted>
  <dcterms:created xsi:type="dcterms:W3CDTF">2020-11-12T16:10:00Z</dcterms:created>
  <dcterms:modified xsi:type="dcterms:W3CDTF">2020-11-12T16:10:00Z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0x01010056F361A932546F4590D5DC141682ABDA</vt:lpwstr>
  </property>
  <property fmtid="{D5CDD505-2E9C-101B-9397-08002B2CF9AE}" pid="4" name="_dlc_DocIdItemGuid">
    <vt:lpwstr>a30dd961-5555-4f29-8004-333c9995ca2f</vt:lpwstr>
  </property>
</Properties>
</file>