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D03E51" w:rsidRDefault="00F06866" w14:paraId="23EFCE66" w14:textId="41EAFFFF">
      <w:pPr>
        <w:pStyle w:val="Heading2"/>
        <w:numPr>
          <w:ilvl w:val="0"/>
          <w:numId w:val="19"/>
        </w:numPr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9290C">
        <w:rPr>
          <w:sz w:val="28"/>
        </w:rPr>
        <w:t>1652</w:t>
      </w:r>
      <w:r>
        <w:rPr>
          <w:sz w:val="28"/>
        </w:rPr>
        <w:t>-</w:t>
      </w:r>
      <w:r w:rsidR="0019290C">
        <w:rPr>
          <w:sz w:val="28"/>
        </w:rPr>
        <w:t>0058</w:t>
      </w:r>
      <w:r>
        <w:rPr>
          <w:sz w:val="28"/>
        </w:rPr>
        <w:t>)</w:t>
      </w:r>
    </w:p>
    <w:p w:rsidR="00794B46" w:rsidP="00434E33" w:rsidRDefault="00794B46" w14:paraId="23EFCE67" w14:textId="77777777">
      <w:pPr>
        <w:rPr>
          <w:b/>
        </w:rPr>
      </w:pPr>
    </w:p>
    <w:p w:rsidRPr="009239AA" w:rsidR="00E50293" w:rsidP="00434E33" w:rsidRDefault="004F0863" w14:paraId="23EFCE68" w14:textId="449D12E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3EFCEF1" wp14:anchorId="23EFCE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DEA0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Pr="00DE4446" w:rsidR="00DE4446">
        <w:t xml:space="preserve">Random Screening </w:t>
      </w:r>
      <w:r w:rsidR="009F5BCA">
        <w:t xml:space="preserve">Employee </w:t>
      </w:r>
      <w:r w:rsidRPr="00DE4446" w:rsidR="00DE4446">
        <w:t>Perception Survey</w:t>
      </w:r>
      <w:r w:rsidRPr="00DE4446" w:rsidDel="00DE4446" w:rsidR="00DE4446">
        <w:t xml:space="preserve"> </w:t>
      </w:r>
    </w:p>
    <w:p w:rsidR="005E714A" w:rsidP="00F75832" w:rsidRDefault="005E714A" w14:paraId="23EFCE69" w14:textId="77777777">
      <w:pPr>
        <w:jc w:val="right"/>
      </w:pPr>
    </w:p>
    <w:p w:rsidR="00C8488C" w:rsidP="00293708" w:rsidRDefault="00F15956" w14:paraId="23EFCE6B" w14:textId="6E914BC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BF0F94">
        <w:rPr>
          <w:b/>
        </w:rPr>
        <w:t xml:space="preserve"> </w:t>
      </w:r>
      <w:r w:rsidR="003D5A6B">
        <w:t xml:space="preserve">The purpose of this survey is to </w:t>
      </w:r>
      <w:r w:rsidR="000F5F42">
        <w:t>gauge</w:t>
      </w:r>
      <w:r w:rsidR="003D5A6B">
        <w:t xml:space="preserve"> the perception </w:t>
      </w:r>
      <w:r w:rsidR="009F5BCA">
        <w:t xml:space="preserve">of </w:t>
      </w:r>
      <w:r w:rsidR="0040392B">
        <w:t>aviation worker</w:t>
      </w:r>
      <w:r w:rsidR="009F5BCA">
        <w:t>s</w:t>
      </w:r>
      <w:r w:rsidR="009F5BCA">
        <w:rPr>
          <w:rStyle w:val="FootnoteReference"/>
        </w:rPr>
        <w:footnoteReference w:id="2"/>
      </w:r>
      <w:r w:rsidR="00E52D76">
        <w:t xml:space="preserve"> </w:t>
      </w:r>
      <w:r w:rsidR="003D5A6B">
        <w:t xml:space="preserve">(airport </w:t>
      </w:r>
      <w:r w:rsidR="0040392B">
        <w:t xml:space="preserve">operator </w:t>
      </w:r>
      <w:r w:rsidR="003D5A6B">
        <w:t>employee, airline employee and/or airport tenant</w:t>
      </w:r>
      <w:r w:rsidR="00E52D76">
        <w:t xml:space="preserve"> employee</w:t>
      </w:r>
      <w:r w:rsidR="003D5A6B">
        <w:t xml:space="preserve">) </w:t>
      </w:r>
      <w:r w:rsidR="009F5BCA">
        <w:t>regarding</w:t>
      </w:r>
      <w:r w:rsidR="003D5A6B">
        <w:t xml:space="preserve"> the random/unpredictable aspect of screening </w:t>
      </w:r>
      <w:r w:rsidR="009F5BCA">
        <w:t xml:space="preserve">to which they are subjected </w:t>
      </w:r>
      <w:r w:rsidR="003D5A6B">
        <w:t>at Direct Access Points (SIDA Doors, Pedestrian/Vehicle gates, etc.).</w:t>
      </w:r>
      <w:r w:rsidR="00204032">
        <w:t xml:space="preserve"> </w:t>
      </w:r>
    </w:p>
    <w:p w:rsidR="00293708" w:rsidP="00293708" w:rsidRDefault="00293708" w14:paraId="38EC0553" w14:textId="77777777">
      <w:pPr>
        <w:rPr>
          <w:b/>
        </w:rPr>
      </w:pPr>
    </w:p>
    <w:p w:rsidR="00F15956" w:rsidP="00722663" w:rsidRDefault="00434E33" w14:paraId="23EFCE6D" w14:textId="620E2D3C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Pr="00685E38" w:rsidR="00685E38">
        <w:t xml:space="preserve">All </w:t>
      </w:r>
      <w:r w:rsidR="0040392B">
        <w:t>aviation worker</w:t>
      </w:r>
      <w:r w:rsidR="009F5BCA">
        <w:t>s</w:t>
      </w:r>
      <w:r w:rsidRPr="00685E38" w:rsidR="00685E38">
        <w:t xml:space="preserve"> </w:t>
      </w:r>
      <w:r w:rsidR="00506762">
        <w:t>at</w:t>
      </w:r>
      <w:r w:rsidR="00685E38">
        <w:t xml:space="preserve"> </w:t>
      </w:r>
      <w:r w:rsidR="00231F35">
        <w:t xml:space="preserve">selected </w:t>
      </w:r>
      <w:r w:rsidR="00685E38">
        <w:t>airports</w:t>
      </w:r>
      <w:r w:rsidR="00FD188D">
        <w:t xml:space="preserve"> </w:t>
      </w:r>
      <w:r w:rsidR="00506762">
        <w:t>who</w:t>
      </w:r>
      <w:r w:rsidR="00744F0D">
        <w:t xml:space="preserve"> physically work at those locations</w:t>
      </w:r>
      <w:r w:rsidRPr="00685E38" w:rsidR="00685E38">
        <w:t xml:space="preserve">. The survey will ask </w:t>
      </w:r>
      <w:r w:rsidR="009F5BCA">
        <w:t xml:space="preserve">respondents to provide </w:t>
      </w:r>
      <w:r w:rsidRPr="00685E38" w:rsidR="00685E38">
        <w:t>sector of employment</w:t>
      </w:r>
      <w:r w:rsidR="009F5BCA">
        <w:t xml:space="preserve"> (e.g.,</w:t>
      </w:r>
      <w:r w:rsidRPr="00685E38" w:rsidR="00685E38">
        <w:t xml:space="preserve"> Baggage sorting, Maintenance, Security, Sales, etc.)</w:t>
      </w:r>
      <w:r w:rsidR="009F5BCA">
        <w:t xml:space="preserve"> and not specific employer.</w:t>
      </w:r>
      <w:bookmarkStart w:name="_GoBack" w:id="0"/>
      <w:bookmarkEnd w:id="0"/>
    </w:p>
    <w:p w:rsidRPr="008A432D" w:rsidR="00293708" w:rsidP="00722663" w:rsidRDefault="00293708" w14:paraId="5ED7C3DA" w14:textId="77777777">
      <w:pPr>
        <w:pStyle w:val="Header"/>
        <w:tabs>
          <w:tab w:val="clear" w:pos="4320"/>
          <w:tab w:val="clear" w:pos="8640"/>
        </w:tabs>
        <w:rPr>
          <w:i/>
        </w:rPr>
      </w:pPr>
    </w:p>
    <w:p w:rsidR="00E26329" w:rsidRDefault="00E26329" w14:paraId="23EFCE6E" w14:textId="77777777">
      <w:pPr>
        <w:rPr>
          <w:b/>
        </w:rPr>
      </w:pPr>
    </w:p>
    <w:p w:rsidRPr="00F06866" w:rsidR="00F06866" w:rsidRDefault="00F06866" w14:paraId="23EFCE6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3EFCE7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3EFCE71" w14:textId="0516143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3708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3EFCE72" w14:textId="1C7079A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</w:t>
      </w:r>
      <w:r w:rsidR="009A4473">
        <w:rPr>
          <w:bCs/>
          <w:sz w:val="24"/>
        </w:rPr>
        <w:t xml:space="preserve">such as </w:t>
      </w:r>
      <w:r w:rsidR="009239AA">
        <w:rPr>
          <w:bCs/>
          <w:sz w:val="24"/>
        </w:rPr>
        <w:t>Website or Software</w:t>
      </w:r>
      <w:r w:rsidR="009A4473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9A06C6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Pr="00F06866" w:rsidR="00F06866" w:rsidP="0096108F" w:rsidRDefault="00935ADA" w14:paraId="23EFCE73" w14:textId="5E99245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D45DC5">
        <w:rPr>
          <w:bCs/>
          <w:sz w:val="24"/>
        </w:rPr>
        <w:t xml:space="preserve"> 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D45DC5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D45DC5">
        <w:rPr>
          <w:bCs/>
          <w:sz w:val="24"/>
          <w:u w:val="single"/>
        </w:rPr>
        <w:t xml:space="preserve"> Perception of Screening</w:t>
      </w:r>
    </w:p>
    <w:p w:rsidR="00434E33" w:rsidRDefault="00434E33" w14:paraId="23EFCE7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3EFCE7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3EFCE76" w14:textId="77777777">
      <w:pPr>
        <w:rPr>
          <w:sz w:val="16"/>
          <w:szCs w:val="16"/>
        </w:rPr>
      </w:pPr>
    </w:p>
    <w:p w:rsidRPr="009C13B9" w:rsidR="008101A5" w:rsidP="008101A5" w:rsidRDefault="008101A5" w14:paraId="23EFCE77" w14:textId="77777777">
      <w:r>
        <w:t xml:space="preserve">I certify the following to be true: </w:t>
      </w:r>
    </w:p>
    <w:p w:rsidR="008101A5" w:rsidP="008101A5" w:rsidRDefault="008101A5" w14:paraId="23EFCE7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3EFCE7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3EFCE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3EFCE7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3EFCE7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3EFCE7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3EFCE7E" w14:textId="77777777"/>
    <w:p w:rsidRPr="005D250A" w:rsidR="00FD188D" w:rsidP="009C13B9" w:rsidRDefault="009C13B9" w14:paraId="0B855575" w14:textId="0BEAB5DA">
      <w:pPr>
        <w:rPr>
          <w:rFonts w:ascii="Segoe Script" w:hAnsi="Segoe Script"/>
          <w:i/>
          <w:u w:val="single"/>
        </w:rPr>
      </w:pPr>
      <w:r>
        <w:t>Name:</w:t>
      </w:r>
      <w:r w:rsidDel="00BA1A81" w:rsidR="00BA1A81">
        <w:t xml:space="preserve"> </w:t>
      </w:r>
      <w:r w:rsidRPr="005D250A" w:rsidR="00D45DC5">
        <w:rPr>
          <w:rFonts w:ascii="Segoe Script" w:hAnsi="Segoe Script"/>
          <w:i/>
          <w:u w:val="single"/>
        </w:rPr>
        <w:t>Jonathan Torlage</w:t>
      </w:r>
    </w:p>
    <w:p w:rsidR="00FD188D" w:rsidP="005D250A" w:rsidRDefault="00FD188D" w14:paraId="5D596B9B" w14:textId="4E2C6722">
      <w:pPr>
        <w:ind w:firstLine="720"/>
        <w:jc w:val="both"/>
      </w:pPr>
      <w:r>
        <w:t>Program Analyst</w:t>
      </w:r>
    </w:p>
    <w:p w:rsidR="00FD188D" w:rsidP="005D250A" w:rsidRDefault="00FD188D" w14:paraId="4A81FC24" w14:textId="77777777">
      <w:pPr>
        <w:ind w:firstLine="720"/>
        <w:jc w:val="both"/>
      </w:pPr>
      <w:r>
        <w:t>Security Operations</w:t>
      </w:r>
    </w:p>
    <w:p w:rsidR="00FD188D" w:rsidP="005D250A" w:rsidRDefault="00FD188D" w14:paraId="77B2BAF4" w14:textId="77777777">
      <w:pPr>
        <w:ind w:firstLine="720"/>
        <w:jc w:val="both"/>
      </w:pPr>
      <w:r>
        <w:t>Domestic Aviation Operations</w:t>
      </w:r>
    </w:p>
    <w:p w:rsidR="00BA1A81" w:rsidP="005D250A" w:rsidRDefault="00FD188D" w14:paraId="34FE0C77" w14:textId="77777777">
      <w:pPr>
        <w:ind w:firstLine="720"/>
        <w:jc w:val="both"/>
      </w:pPr>
      <w:r>
        <w:lastRenderedPageBreak/>
        <w:t>Aviation Coordination (AvCoor)</w:t>
      </w:r>
    </w:p>
    <w:p w:rsidR="009C13B9" w:rsidP="005D250A" w:rsidRDefault="00BA1A81" w14:paraId="23EFCE7F" w14:textId="33DCB8B2">
      <w:pPr>
        <w:ind w:firstLine="720"/>
        <w:jc w:val="both"/>
      </w:pPr>
      <w:r>
        <w:t>Transportation Security Administration</w:t>
      </w:r>
    </w:p>
    <w:p w:rsidR="009C13B9" w:rsidP="009C13B9" w:rsidRDefault="009C13B9" w14:paraId="23EFCE80" w14:textId="77777777">
      <w:pPr>
        <w:pStyle w:val="ListParagraph"/>
        <w:ind w:left="360"/>
      </w:pPr>
    </w:p>
    <w:p w:rsidR="009C13B9" w:rsidP="009C13B9" w:rsidRDefault="009C13B9" w14:paraId="23EFCE81" w14:textId="77777777">
      <w:r>
        <w:t>To assist review, please provide answers to the following question:</w:t>
      </w:r>
    </w:p>
    <w:p w:rsidR="009C13B9" w:rsidP="009C13B9" w:rsidRDefault="009C13B9" w14:paraId="23EFCE82" w14:textId="77777777">
      <w:pPr>
        <w:pStyle w:val="ListParagraph"/>
        <w:ind w:left="360"/>
      </w:pPr>
    </w:p>
    <w:p w:rsidRPr="00C86E91" w:rsidR="009C13B9" w:rsidP="00C86E91" w:rsidRDefault="00C86E91" w14:paraId="23EFCE8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3EFCE84" w14:textId="5EF622F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D0196">
        <w:t xml:space="preserve"> </w:t>
      </w:r>
      <w:r w:rsidR="009239AA">
        <w:t>] Yes  [</w:t>
      </w:r>
      <w:r w:rsidR="00D45DC5">
        <w:t>X</w:t>
      </w:r>
      <w:r w:rsidR="009239AA">
        <w:t xml:space="preserve">]  No </w:t>
      </w:r>
    </w:p>
    <w:p w:rsidR="00C86E91" w:rsidP="00C86E91" w:rsidRDefault="009C13B9" w14:paraId="23EFCE85" w14:textId="7209192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D45DC5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23EFCE86" w14:textId="70C470A5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293708">
        <w:t xml:space="preserve">  </w:t>
      </w:r>
      <w:r>
        <w:t>] No</w:t>
      </w:r>
    </w:p>
    <w:p w:rsidR="00794B46" w:rsidP="00C86E91" w:rsidRDefault="00794B46" w14:paraId="23EFCE88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23EFCE8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3EFCE8A" w14:textId="5252DE9B">
      <w:r>
        <w:t>Is an incentive (</w:t>
      </w:r>
      <w:r w:rsidR="009A4473">
        <w:t xml:space="preserve">such as </w:t>
      </w:r>
      <w:r>
        <w:t>money or reimbursement of expenses, token of appreciation) provided to participants?  [  ] Yes [</w:t>
      </w:r>
      <w:r w:rsidR="00D45DC5">
        <w:t>X</w:t>
      </w:r>
      <w:r>
        <w:t xml:space="preserve">] No  </w:t>
      </w:r>
    </w:p>
    <w:p w:rsidR="004D6E14" w:rsidRDefault="004D6E14" w14:paraId="23EFCE8B" w14:textId="77777777">
      <w:pPr>
        <w:rPr>
          <w:b/>
        </w:rPr>
      </w:pPr>
    </w:p>
    <w:p w:rsidR="00C86E91" w:rsidRDefault="00C86E91" w14:paraId="23EFCE8C" w14:textId="77777777">
      <w:pPr>
        <w:rPr>
          <w:b/>
        </w:rPr>
      </w:pPr>
    </w:p>
    <w:p w:rsidR="005E714A" w:rsidP="00C86E91" w:rsidRDefault="005E714A" w14:paraId="23EFCE8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3EFCE8E" w14:textId="77777777">
      <w:pPr>
        <w:keepNext/>
        <w:keepLines/>
        <w:rPr>
          <w:b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634"/>
        <w:gridCol w:w="2250"/>
        <w:gridCol w:w="2207"/>
        <w:gridCol w:w="1259"/>
      </w:tblGrid>
      <w:tr w:rsidR="00EF2095" w:rsidTr="00DB1DF0" w14:paraId="23EFCE93" w14:textId="77777777">
        <w:trPr>
          <w:trHeight w:val="321"/>
        </w:trPr>
        <w:tc>
          <w:tcPr>
            <w:tcW w:w="1943" w:type="pct"/>
          </w:tcPr>
          <w:p w:rsidRPr="00F6240A" w:rsidR="006832D9" w:rsidP="00C8488C" w:rsidRDefault="00E40B50" w14:paraId="23EFCE8F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203" w:type="pct"/>
          </w:tcPr>
          <w:p w:rsidRPr="00F6240A" w:rsidR="006832D9" w:rsidP="00843796" w:rsidRDefault="006832D9" w14:paraId="23EFCE90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180" w:type="pct"/>
          </w:tcPr>
          <w:p w:rsidRPr="00F6240A" w:rsidR="006832D9" w:rsidP="00843796" w:rsidRDefault="006832D9" w14:paraId="23EFCE91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673" w:type="pct"/>
          </w:tcPr>
          <w:p w:rsidRPr="00F6240A" w:rsidR="006832D9" w:rsidP="00843796" w:rsidRDefault="006832D9" w14:paraId="23EFCE92" w14:textId="0420BD1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864BEF">
              <w:rPr>
                <w:b/>
              </w:rPr>
              <w:t xml:space="preserve"> (in Hours)</w:t>
            </w:r>
          </w:p>
        </w:tc>
      </w:tr>
      <w:tr w:rsidR="00EF2095" w:rsidTr="00DB1DF0" w14:paraId="23EFCE98" w14:textId="77777777">
        <w:trPr>
          <w:trHeight w:val="321"/>
        </w:trPr>
        <w:tc>
          <w:tcPr>
            <w:tcW w:w="1943" w:type="pct"/>
          </w:tcPr>
          <w:p w:rsidR="006832D9" w:rsidP="00FD188D" w:rsidRDefault="006832D9" w14:paraId="23EFCE94" w14:textId="3B3996B6"/>
        </w:tc>
        <w:tc>
          <w:tcPr>
            <w:tcW w:w="1203" w:type="pct"/>
          </w:tcPr>
          <w:p w:rsidR="006832D9" w:rsidP="005D250A" w:rsidRDefault="006832D9" w14:paraId="23EFCE95" w14:textId="0C1A5FC1">
            <w:pPr>
              <w:jc w:val="center"/>
            </w:pPr>
          </w:p>
        </w:tc>
        <w:tc>
          <w:tcPr>
            <w:tcW w:w="1180" w:type="pct"/>
          </w:tcPr>
          <w:p w:rsidR="006832D9" w:rsidP="005D250A" w:rsidRDefault="006832D9" w14:paraId="23EFCE96" w14:textId="23A57584">
            <w:pPr>
              <w:jc w:val="center"/>
            </w:pPr>
          </w:p>
        </w:tc>
        <w:tc>
          <w:tcPr>
            <w:tcW w:w="673" w:type="pct"/>
          </w:tcPr>
          <w:p w:rsidR="006832D9" w:rsidP="005D250A" w:rsidRDefault="006832D9" w14:paraId="23EFCE97" w14:textId="6F4DF3DB">
            <w:pPr>
              <w:jc w:val="center"/>
            </w:pPr>
          </w:p>
        </w:tc>
      </w:tr>
      <w:tr w:rsidR="00D45DC5" w:rsidTr="00DB1DF0" w14:paraId="234E6311" w14:textId="77777777">
        <w:trPr>
          <w:trHeight w:val="321"/>
        </w:trPr>
        <w:tc>
          <w:tcPr>
            <w:tcW w:w="1943" w:type="pct"/>
          </w:tcPr>
          <w:p w:rsidR="00D45DC5" w:rsidP="008A032E" w:rsidRDefault="00D45DC5" w14:paraId="2E65731B" w14:textId="762DB069">
            <w:r>
              <w:t>A</w:t>
            </w:r>
            <w:r w:rsidR="00506762">
              <w:t>viation</w:t>
            </w:r>
            <w:r>
              <w:t xml:space="preserve"> </w:t>
            </w:r>
            <w:r w:rsidR="008A032E">
              <w:t xml:space="preserve">employees </w:t>
            </w:r>
          </w:p>
        </w:tc>
        <w:tc>
          <w:tcPr>
            <w:tcW w:w="1203" w:type="pct"/>
          </w:tcPr>
          <w:p w:rsidR="00D45DC5" w:rsidP="005D250A" w:rsidRDefault="00D45DC5" w14:paraId="04FD9220" w14:textId="1B358E82">
            <w:pPr>
              <w:jc w:val="center"/>
            </w:pPr>
            <w:r>
              <w:t>500</w:t>
            </w:r>
          </w:p>
        </w:tc>
        <w:tc>
          <w:tcPr>
            <w:tcW w:w="1180" w:type="pct"/>
          </w:tcPr>
          <w:p w:rsidR="00D45DC5" w:rsidP="005D250A" w:rsidRDefault="00D45DC5" w14:paraId="0EDB9BC3" w14:textId="7A7D378D">
            <w:pPr>
              <w:jc w:val="center"/>
            </w:pPr>
            <w:r>
              <w:t>10</w:t>
            </w:r>
            <w:r w:rsidR="00864BEF">
              <w:t xml:space="preserve"> minutes</w:t>
            </w:r>
          </w:p>
        </w:tc>
        <w:tc>
          <w:tcPr>
            <w:tcW w:w="673" w:type="pct"/>
          </w:tcPr>
          <w:p w:rsidR="00D45DC5" w:rsidP="005D250A" w:rsidRDefault="00864BEF" w14:paraId="19F33BEB" w14:textId="29DDCB23">
            <w:pPr>
              <w:jc w:val="center"/>
            </w:pPr>
            <w:r>
              <w:t>83.33</w:t>
            </w:r>
          </w:p>
        </w:tc>
      </w:tr>
      <w:tr w:rsidR="00DB1DF0" w:rsidTr="00DB1DF0" w14:paraId="23EFCE9D" w14:textId="77777777">
        <w:trPr>
          <w:trHeight w:val="321"/>
        </w:trPr>
        <w:tc>
          <w:tcPr>
            <w:tcW w:w="1943" w:type="pct"/>
          </w:tcPr>
          <w:p w:rsidR="00DB1DF0" w:rsidP="00843796" w:rsidRDefault="00DB1DF0" w14:paraId="23EFCE99" w14:textId="77777777">
            <w:r>
              <w:rPr>
                <w:b/>
              </w:rPr>
              <w:t>Totals</w:t>
            </w:r>
          </w:p>
        </w:tc>
        <w:tc>
          <w:tcPr>
            <w:tcW w:w="1203" w:type="pct"/>
          </w:tcPr>
          <w:p w:rsidR="00DB1DF0" w:rsidP="005D250A" w:rsidRDefault="00BC214A" w14:paraId="23EFCE9A" w14:textId="2B01BB2B">
            <w:pPr>
              <w:jc w:val="center"/>
            </w:pPr>
            <w:r>
              <w:t>500</w:t>
            </w:r>
          </w:p>
        </w:tc>
        <w:tc>
          <w:tcPr>
            <w:tcW w:w="1180" w:type="pct"/>
          </w:tcPr>
          <w:p w:rsidR="00DB1DF0" w:rsidP="005D250A" w:rsidRDefault="00D45DC5" w14:paraId="23EFCE9B" w14:textId="032C5A1A">
            <w:pPr>
              <w:jc w:val="center"/>
            </w:pPr>
            <w:r>
              <w:t>10</w:t>
            </w:r>
            <w:r w:rsidR="00864BEF">
              <w:t xml:space="preserve"> minutes</w:t>
            </w:r>
          </w:p>
        </w:tc>
        <w:tc>
          <w:tcPr>
            <w:tcW w:w="673" w:type="pct"/>
          </w:tcPr>
          <w:p w:rsidR="00DB1DF0" w:rsidP="005D250A" w:rsidRDefault="00BC214A" w14:paraId="23EFCE9C" w14:textId="282DD2E4">
            <w:pPr>
              <w:jc w:val="center"/>
            </w:pPr>
            <w:r>
              <w:t>83.33</w:t>
            </w:r>
          </w:p>
        </w:tc>
      </w:tr>
    </w:tbl>
    <w:p w:rsidRPr="000C72DA" w:rsidR="00BA1A81" w:rsidP="00BA1A81" w:rsidRDefault="00BA1A81" w14:paraId="42C34A11" w14:textId="36D02A23">
      <w:r>
        <w:rPr>
          <w:b/>
        </w:rPr>
        <w:t xml:space="preserve">PUBLIC COST: </w:t>
      </w:r>
      <w:r w:rsidRPr="000C72DA">
        <w:t>The estimated annual cost to the public</w:t>
      </w:r>
      <w:r>
        <w:t xml:space="preserve"> is </w:t>
      </w:r>
      <w:r w:rsidRPr="00124FB7">
        <w:rPr>
          <w:b/>
        </w:rPr>
        <w:t>$</w:t>
      </w:r>
      <w:r w:rsidR="00BC214A">
        <w:rPr>
          <w:b/>
        </w:rPr>
        <w:t>3,033.45</w:t>
      </w:r>
      <w:r>
        <w:rPr>
          <w:b/>
        </w:rPr>
        <w:t>.</w:t>
      </w:r>
      <w:r w:rsidR="00BA6714">
        <w:rPr>
          <w:rStyle w:val="FootnoteReference"/>
          <w:b/>
        </w:rPr>
        <w:footnoteReference w:id="3"/>
      </w:r>
    </w:p>
    <w:p w:rsidR="00F3170F" w:rsidP="00F3170F" w:rsidRDefault="00F3170F" w14:paraId="23EFCE9E" w14:textId="77777777"/>
    <w:p w:rsidR="00441434" w:rsidP="00F3170F" w:rsidRDefault="00441434" w14:paraId="23EFCE9F" w14:textId="77777777"/>
    <w:p w:rsidR="005E714A" w:rsidRDefault="001C39F7" w14:paraId="23EFCEA0" w14:textId="1DFB1729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3E726E">
        <w:t xml:space="preserve">: </w:t>
      </w:r>
      <w:r w:rsidRPr="003E726E" w:rsidR="003E726E">
        <w:rPr>
          <w:b/>
        </w:rPr>
        <w:t>$</w:t>
      </w:r>
      <w:r w:rsidR="00BC214A">
        <w:rPr>
          <w:b/>
        </w:rPr>
        <w:t>2,609.06</w:t>
      </w:r>
    </w:p>
    <w:p w:rsidR="003E726E" w:rsidRDefault="003E726E" w14:paraId="23EFCEA1" w14:textId="77777777">
      <w:pPr>
        <w:rPr>
          <w:b/>
        </w:rPr>
      </w:pPr>
    </w:p>
    <w:tbl>
      <w:tblPr>
        <w:tblW w:w="8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39"/>
        <w:gridCol w:w="1780"/>
        <w:gridCol w:w="1686"/>
        <w:gridCol w:w="1982"/>
      </w:tblGrid>
      <w:tr w:rsidRPr="003E726E" w:rsidR="003D74E3" w:rsidTr="00D03E51" w14:paraId="23EFCEA6" w14:textId="77777777">
        <w:trPr>
          <w:trHeight w:val="1025"/>
        </w:trPr>
        <w:tc>
          <w:tcPr>
            <w:tcW w:w="2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DB1DF0" w:rsidR="003D74E3" w:rsidP="00121F52" w:rsidRDefault="003D74E3" w14:paraId="23EFCEA2" w14:textId="77777777">
            <w:pPr>
              <w:jc w:val="center"/>
              <w:rPr>
                <w:b/>
              </w:rPr>
            </w:pPr>
            <w:r w:rsidRPr="00DB1DF0">
              <w:rPr>
                <w:b/>
              </w:rPr>
              <w:t>TSA Position and Grade</w:t>
            </w:r>
          </w:p>
        </w:tc>
        <w:tc>
          <w:tcPr>
            <w:tcW w:w="1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DB1DF0" w:rsidR="003D74E3" w:rsidP="00121F52" w:rsidRDefault="003D74E3" w14:paraId="23EFCEA3" w14:textId="77777777">
            <w:pPr>
              <w:jc w:val="center"/>
              <w:rPr>
                <w:b/>
              </w:rPr>
            </w:pPr>
            <w:r w:rsidRPr="00DB1DF0">
              <w:rPr>
                <w:b/>
              </w:rPr>
              <w:t>Average Hourly Loaded Rate of Pay</w:t>
            </w: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DB1DF0" w:rsidR="003D74E3" w:rsidP="00121F52" w:rsidRDefault="003D74E3" w14:paraId="13461C35" w14:textId="401763ED">
            <w:pPr>
              <w:jc w:val="center"/>
              <w:rPr>
                <w:b/>
              </w:rPr>
            </w:pPr>
            <w:r>
              <w:rPr>
                <w:b/>
              </w:rPr>
              <w:t>Estimated Number of Hours</w:t>
            </w:r>
          </w:p>
        </w:tc>
        <w:tc>
          <w:tcPr>
            <w:tcW w:w="1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DB1DF0" w:rsidR="003D74E3" w:rsidP="00121F52" w:rsidRDefault="003D74E3" w14:paraId="23EFCEA5" w14:textId="77777777">
            <w:pPr>
              <w:jc w:val="center"/>
              <w:rPr>
                <w:b/>
              </w:rPr>
            </w:pPr>
            <w:r w:rsidRPr="00DB1DF0">
              <w:rPr>
                <w:b/>
              </w:rPr>
              <w:t>Estimated Annual Cost to the Federal Government</w:t>
            </w:r>
          </w:p>
        </w:tc>
      </w:tr>
      <w:tr w:rsidRPr="003E726E" w:rsidR="003D74E3" w:rsidTr="00D03E51" w14:paraId="23EFCEAB" w14:textId="77777777">
        <w:trPr>
          <w:trHeight w:val="688"/>
        </w:trPr>
        <w:tc>
          <w:tcPr>
            <w:tcW w:w="2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B1DF0" w:rsidR="003D74E3" w:rsidP="00A9259F" w:rsidRDefault="003D74E3" w14:paraId="23EFCEA7" w14:textId="1437497C"/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B1DF0" w:rsidR="003D74E3" w:rsidRDefault="003D74E3" w14:paraId="23EFCEA8" w14:textId="4DCA4F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B1DF0" w:rsidR="003D74E3" w:rsidP="0096766A" w:rsidRDefault="003D74E3" w14:paraId="4B64DFD8" w14:textId="4249D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B1DF0" w:rsidR="003D74E3" w:rsidRDefault="003D74E3" w14:paraId="23EFCEAA" w14:textId="68BACAC2">
            <w:pPr>
              <w:jc w:val="center"/>
              <w:rPr>
                <w:sz w:val="22"/>
                <w:szCs w:val="22"/>
              </w:rPr>
            </w:pPr>
          </w:p>
        </w:tc>
      </w:tr>
      <w:tr w:rsidRPr="003E726E" w:rsidR="003D74E3" w:rsidTr="00D03E51" w14:paraId="23EFCEB0" w14:textId="77777777">
        <w:trPr>
          <w:trHeight w:val="688"/>
        </w:trPr>
        <w:tc>
          <w:tcPr>
            <w:tcW w:w="2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B1DF0" w:rsidR="003D74E3" w:rsidP="00D03E51" w:rsidRDefault="003D74E3" w14:paraId="23EFCEAC" w14:textId="45219E77">
            <w:pPr>
              <w:jc w:val="center"/>
            </w:pPr>
            <w:r>
              <w:t>J-Band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B1DF0" w:rsidR="003D74E3" w:rsidP="00683AC8" w:rsidRDefault="003D74E3" w14:paraId="23EFCEAD" w14:textId="2E9D4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$78.65</w:t>
            </w: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B1DF0" w:rsidR="003D74E3" w:rsidP="0096766A" w:rsidRDefault="003D74E3" w14:paraId="3FCB336B" w14:textId="2B38F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6231B" w:rsidR="003D74E3" w:rsidP="00D03E51" w:rsidRDefault="003D74E3" w14:paraId="23EFCEAF" w14:textId="4B45A9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6231B">
              <w:rPr>
                <w:b/>
                <w:sz w:val="22"/>
                <w:szCs w:val="22"/>
              </w:rPr>
              <w:t>$</w:t>
            </w:r>
            <w:r>
              <w:rPr>
                <w:b/>
                <w:sz w:val="22"/>
                <w:szCs w:val="22"/>
              </w:rPr>
              <w:t>471.88</w:t>
            </w:r>
          </w:p>
        </w:tc>
      </w:tr>
      <w:tr w:rsidRPr="003E726E" w:rsidR="003D74E3" w:rsidTr="00D03E51" w14:paraId="363D588B" w14:textId="77777777">
        <w:trPr>
          <w:trHeight w:val="688"/>
        </w:trPr>
        <w:tc>
          <w:tcPr>
            <w:tcW w:w="2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3D74E3" w:rsidP="00D03E51" w:rsidRDefault="003D74E3" w14:paraId="50CEC947" w14:textId="60768FE6">
            <w:pPr>
              <w:jc w:val="center"/>
            </w:pPr>
            <w:r>
              <w:t>I-Band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B1DF0" w:rsidR="003D74E3" w:rsidP="00683AC8" w:rsidRDefault="003D74E3" w14:paraId="280C912B" w14:textId="250FCA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$66.79</w:t>
            </w: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B1DF0" w:rsidR="003D74E3" w:rsidP="00D028CC" w:rsidRDefault="003D74E3" w14:paraId="0529F970" w14:textId="696DEE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32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6231B" w:rsidR="003D74E3" w:rsidP="00D03E51" w:rsidRDefault="003D74E3" w14:paraId="27D5201A" w14:textId="1442FCB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26231B">
              <w:rPr>
                <w:b/>
                <w:sz w:val="22"/>
                <w:szCs w:val="22"/>
              </w:rPr>
              <w:t>$</w:t>
            </w:r>
            <w:r>
              <w:rPr>
                <w:b/>
                <w:sz w:val="22"/>
                <w:szCs w:val="22"/>
              </w:rPr>
              <w:t>2,137.18</w:t>
            </w:r>
          </w:p>
        </w:tc>
      </w:tr>
      <w:tr w:rsidRPr="003E726E" w:rsidR="003D74E3" w:rsidTr="00D03E51" w14:paraId="23EFCEB3" w14:textId="77777777">
        <w:trPr>
          <w:trHeight w:val="672"/>
        </w:trPr>
        <w:tc>
          <w:tcPr>
            <w:tcW w:w="2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 w:rsidRPr="00D03E51" w:rsidR="003D74E3" w:rsidP="00D03E51" w:rsidRDefault="003D74E3" w14:paraId="671C3483" w14:textId="7B3667E9">
            <w:pPr>
              <w:jc w:val="center"/>
              <w:rPr>
                <w:b/>
              </w:rPr>
            </w:pPr>
            <w:r w:rsidRPr="00D03E51">
              <w:rPr>
                <w:b/>
              </w:rPr>
              <w:t>Total Estimated Annual Cost to the Federal Government</w:t>
            </w:r>
          </w:p>
        </w:tc>
        <w:tc>
          <w:tcPr>
            <w:tcW w:w="54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DB1DF0" w:rsidR="003D74E3" w:rsidP="00D03E51" w:rsidRDefault="003D74E3" w14:paraId="23EFCEB1" w14:textId="5866A240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$2,609.06</w:t>
            </w:r>
          </w:p>
        </w:tc>
      </w:tr>
    </w:tbl>
    <w:p w:rsidR="008A1C98" w:rsidRDefault="008A1C98" w14:paraId="23EFCEB4" w14:textId="77777777">
      <w:pPr>
        <w:rPr>
          <w:b/>
          <w:bCs/>
          <w:u w:val="single"/>
        </w:rPr>
      </w:pPr>
    </w:p>
    <w:p w:rsidR="008A1C98" w:rsidRDefault="008A1C98" w14:paraId="23EFCEB5" w14:textId="77777777">
      <w:pPr>
        <w:rPr>
          <w:b/>
          <w:bCs/>
          <w:u w:val="single"/>
        </w:rPr>
      </w:pPr>
    </w:p>
    <w:p w:rsidR="0069403B" w:rsidP="00F06866" w:rsidRDefault="00ED6492" w14:paraId="23EFCEB6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3EFCEB7" w14:textId="77777777">
      <w:pPr>
        <w:rPr>
          <w:b/>
        </w:rPr>
      </w:pPr>
    </w:p>
    <w:p w:rsidR="00F06866" w:rsidP="00F06866" w:rsidRDefault="00636621" w14:paraId="23EFCEB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3EFCEB9" w14:textId="3113870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D95E41">
        <w:t>X</w:t>
      </w:r>
      <w:r>
        <w:t>] No</w:t>
      </w:r>
    </w:p>
    <w:p w:rsidR="00636621" w:rsidP="00636621" w:rsidRDefault="00636621" w14:paraId="23EFCEBA" w14:textId="77777777">
      <w:pPr>
        <w:pStyle w:val="ListParagraph"/>
      </w:pPr>
    </w:p>
    <w:p w:rsidR="00636621" w:rsidP="001B0AAA" w:rsidRDefault="00636621" w14:paraId="23EFCEB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2D58CC" w:rsidP="002D58CC" w:rsidRDefault="002D58CC" w14:paraId="23EFCEBC" w14:textId="77777777"/>
    <w:p w:rsidRPr="008A432D" w:rsidR="003D5A6B" w:rsidP="004010C9" w:rsidRDefault="003D5A6B" w14:paraId="455FC0E4" w14:textId="3E647E31">
      <w:pPr>
        <w:rPr>
          <w:i/>
        </w:rPr>
      </w:pPr>
      <w:r>
        <w:rPr>
          <w:i/>
        </w:rPr>
        <w:t>The TSA Federal Security Director (FSD) or</w:t>
      </w:r>
      <w:r w:rsidR="0040392B">
        <w:rPr>
          <w:i/>
        </w:rPr>
        <w:t xml:space="preserve"> his or her </w:t>
      </w:r>
      <w:r>
        <w:rPr>
          <w:i/>
        </w:rPr>
        <w:t>designe</w:t>
      </w:r>
      <w:r w:rsidR="0040392B">
        <w:rPr>
          <w:i/>
        </w:rPr>
        <w:t>e</w:t>
      </w:r>
      <w:r>
        <w:rPr>
          <w:i/>
        </w:rPr>
        <w:t xml:space="preserve"> at selected airports will distribute the survey </w:t>
      </w:r>
      <w:r w:rsidR="00204032">
        <w:rPr>
          <w:i/>
        </w:rPr>
        <w:t xml:space="preserve">link </w:t>
      </w:r>
      <w:r>
        <w:rPr>
          <w:i/>
        </w:rPr>
        <w:t xml:space="preserve">to all senior leadership officials who </w:t>
      </w:r>
      <w:r w:rsidRPr="00D03E51">
        <w:t xml:space="preserve">employ </w:t>
      </w:r>
      <w:r w:rsidRPr="000F5F42" w:rsidR="000F5F42">
        <w:rPr>
          <w:i/>
        </w:rPr>
        <w:t xml:space="preserve">individuals </w:t>
      </w:r>
      <w:r w:rsidRPr="00D03E51" w:rsidR="0040392B">
        <w:rPr>
          <w:i/>
        </w:rPr>
        <w:t>with unescorted access authority to an airport’s Secured Area and/or Sterile Area</w:t>
      </w:r>
      <w:r w:rsidRPr="000F5F42" w:rsidR="0040392B">
        <w:t xml:space="preserve"> </w:t>
      </w:r>
      <w:r>
        <w:rPr>
          <w:i/>
        </w:rPr>
        <w:t xml:space="preserve">that physically work at the airport. This may include, but </w:t>
      </w:r>
      <w:r w:rsidR="00247EC6">
        <w:rPr>
          <w:i/>
        </w:rPr>
        <w:t xml:space="preserve">is </w:t>
      </w:r>
      <w:r>
        <w:rPr>
          <w:i/>
        </w:rPr>
        <w:t xml:space="preserve">not limited </w:t>
      </w:r>
      <w:r w:rsidR="00D03E51">
        <w:rPr>
          <w:i/>
        </w:rPr>
        <w:t>to</w:t>
      </w:r>
      <w:r>
        <w:rPr>
          <w:i/>
        </w:rPr>
        <w:t xml:space="preserve"> airport </w:t>
      </w:r>
      <w:r w:rsidR="000F5F42">
        <w:rPr>
          <w:i/>
        </w:rPr>
        <w:t xml:space="preserve">operator </w:t>
      </w:r>
      <w:r>
        <w:rPr>
          <w:i/>
        </w:rPr>
        <w:t>employees, airline employees and airport tenant</w:t>
      </w:r>
      <w:r w:rsidR="00E52D76">
        <w:rPr>
          <w:i/>
        </w:rPr>
        <w:t xml:space="preserve"> employees</w:t>
      </w:r>
      <w:r>
        <w:rPr>
          <w:i/>
        </w:rPr>
        <w:t xml:space="preserve"> (</w:t>
      </w:r>
      <w:r w:rsidR="000F5F42">
        <w:rPr>
          <w:i/>
        </w:rPr>
        <w:t>e</w:t>
      </w:r>
      <w:r>
        <w:rPr>
          <w:i/>
        </w:rPr>
        <w:t>.g.</w:t>
      </w:r>
      <w:r w:rsidR="000F5F42">
        <w:rPr>
          <w:i/>
        </w:rPr>
        <w:t>,</w:t>
      </w:r>
      <w:r>
        <w:rPr>
          <w:i/>
        </w:rPr>
        <w:t xml:space="preserve"> retail, concessions, baggage handling, administration, maintenance, security, etc.). The senior leadership officials will </w:t>
      </w:r>
      <w:r w:rsidR="00204032">
        <w:rPr>
          <w:i/>
        </w:rPr>
        <w:t xml:space="preserve">be asked to </w:t>
      </w:r>
      <w:r>
        <w:rPr>
          <w:i/>
        </w:rPr>
        <w:t xml:space="preserve">make the link available </w:t>
      </w:r>
      <w:r w:rsidR="00204032">
        <w:rPr>
          <w:i/>
        </w:rPr>
        <w:t xml:space="preserve">to </w:t>
      </w:r>
      <w:r w:rsidR="00E52D76">
        <w:rPr>
          <w:i/>
        </w:rPr>
        <w:t xml:space="preserve">all of </w:t>
      </w:r>
      <w:r w:rsidR="00204032">
        <w:rPr>
          <w:i/>
        </w:rPr>
        <w:t xml:space="preserve">their </w:t>
      </w:r>
      <w:r w:rsidR="000F5F42">
        <w:rPr>
          <w:i/>
        </w:rPr>
        <w:t xml:space="preserve">aviation worker </w:t>
      </w:r>
      <w:r w:rsidR="00204032">
        <w:rPr>
          <w:i/>
        </w:rPr>
        <w:t>employees</w:t>
      </w:r>
      <w:r>
        <w:rPr>
          <w:i/>
        </w:rPr>
        <w:t xml:space="preserve">. The survey is anonymous and voluntary. </w:t>
      </w:r>
    </w:p>
    <w:p w:rsidR="004D6E14" w:rsidP="00A403BB" w:rsidRDefault="004D6E14" w14:paraId="23EFCEC0" w14:textId="77777777">
      <w:pPr>
        <w:rPr>
          <w:b/>
        </w:rPr>
      </w:pPr>
    </w:p>
    <w:p w:rsidR="00A403BB" w:rsidP="00A403BB" w:rsidRDefault="00A403BB" w14:paraId="23EFCEC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3EFCEC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2D58CC" w14:paraId="23EFCEC3" w14:textId="1450EB49">
      <w:pPr>
        <w:ind w:left="720"/>
      </w:pPr>
      <w:r>
        <w:t>[</w:t>
      </w:r>
      <w:r w:rsidR="00D95E41">
        <w:t>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23EFCEC4" w14:textId="77777777">
      <w:pPr>
        <w:ind w:left="720"/>
      </w:pPr>
      <w:r>
        <w:t xml:space="preserve">[ </w:t>
      </w:r>
      <w:r w:rsidR="001B0AAA">
        <w:t xml:space="preserve"> </w:t>
      </w:r>
      <w:r w:rsidR="002D58CC">
        <w:t xml:space="preserve"> </w:t>
      </w:r>
      <w:r>
        <w:t>] Telephone</w:t>
      </w:r>
      <w:r>
        <w:tab/>
      </w:r>
    </w:p>
    <w:p w:rsidR="001B0AAA" w:rsidP="001B0AAA" w:rsidRDefault="00A403BB" w14:paraId="23EFCEC5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23EFCEC6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3EFCEC7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2D58CC" w:rsidP="004010C9" w:rsidRDefault="002D58CC" w14:paraId="23EFCECA" w14:textId="77777777"/>
    <w:p w:rsidR="00F24CFC" w:rsidP="00F24CFC" w:rsidRDefault="00F24CFC" w14:paraId="23EFCECB" w14:textId="02737865">
      <w:pPr>
        <w:pStyle w:val="ListParagraph"/>
        <w:numPr>
          <w:ilvl w:val="0"/>
          <w:numId w:val="17"/>
        </w:numPr>
      </w:pPr>
      <w:r>
        <w:t>Will interviewers or fa</w:t>
      </w:r>
      <w:r w:rsidR="002D58CC">
        <w:t>cilitators be used?  [  ] Yes [</w:t>
      </w:r>
      <w:r w:rsidR="00113C8E">
        <w:t>X</w:t>
      </w:r>
      <w:r>
        <w:t>] No</w:t>
      </w:r>
    </w:p>
    <w:p w:rsidR="00F24CFC" w:rsidP="00F24CFC" w:rsidRDefault="00F24CFC" w14:paraId="23EFCECC" w14:textId="77777777">
      <w:pPr>
        <w:pStyle w:val="ListParagraph"/>
        <w:ind w:left="360"/>
      </w:pPr>
      <w:r>
        <w:t xml:space="preserve"> </w:t>
      </w:r>
    </w:p>
    <w:p w:rsidR="005E714A" w:rsidP="006068CD" w:rsidRDefault="00F24CFC" w14:paraId="23EFCEEF" w14:textId="3169C385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07FF2" w14:textId="77777777" w:rsidR="00EC5706" w:rsidRDefault="00EC5706">
      <w:r>
        <w:separator/>
      </w:r>
    </w:p>
  </w:endnote>
  <w:endnote w:type="continuationSeparator" w:id="0">
    <w:p w14:paraId="43F3C5CE" w14:textId="77777777" w:rsidR="00EC5706" w:rsidRDefault="00EC5706">
      <w:r>
        <w:continuationSeparator/>
      </w:r>
    </w:p>
  </w:endnote>
  <w:endnote w:type="continuationNotice" w:id="1">
    <w:p w14:paraId="4329DACC" w14:textId="77777777" w:rsidR="00EC5706" w:rsidRDefault="00EC57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FCEF9" w14:textId="12EA54DE" w:rsidR="004E6E38" w:rsidRDefault="004E6E3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77548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75421" w14:textId="77777777" w:rsidR="00EC5706" w:rsidRDefault="00EC5706">
      <w:r>
        <w:separator/>
      </w:r>
    </w:p>
  </w:footnote>
  <w:footnote w:type="continuationSeparator" w:id="0">
    <w:p w14:paraId="3EB5A810" w14:textId="77777777" w:rsidR="00EC5706" w:rsidRDefault="00EC5706">
      <w:r>
        <w:continuationSeparator/>
      </w:r>
    </w:p>
  </w:footnote>
  <w:footnote w:type="continuationNotice" w:id="1">
    <w:p w14:paraId="6508DF75" w14:textId="77777777" w:rsidR="00EC5706" w:rsidRDefault="00EC5706"/>
  </w:footnote>
  <w:footnote w:id="2">
    <w:p w14:paraId="66DC19AF" w14:textId="3A417AEC" w:rsidR="009F5BCA" w:rsidRDefault="009F5B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F5BCA">
        <w:t>An “aviation worker” is an individual with unescorted access authority to an airport’s Secured Area and/or Sterile Area and who is not a passenger.</w:t>
      </w:r>
    </w:p>
  </w:footnote>
  <w:footnote w:id="3">
    <w:p w14:paraId="72B4EDAD" w14:textId="043001DA" w:rsidR="00BA6714" w:rsidRDefault="00BA6714">
      <w:pPr>
        <w:pStyle w:val="FootnoteText"/>
      </w:pPr>
      <w:r>
        <w:rPr>
          <w:rStyle w:val="FootnoteReference"/>
        </w:rPr>
        <w:footnoteRef/>
      </w:r>
      <w:r>
        <w:t xml:space="preserve"> TSA uses a fully-loaded (pay plus benefits) wage rate of $36.40 for aviation workers.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19D5DE6"/>
    <w:multiLevelType w:val="hybridMultilevel"/>
    <w:tmpl w:val="11FA2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21AC"/>
    <w:rsid w:val="00005BBC"/>
    <w:rsid w:val="00023A57"/>
    <w:rsid w:val="000270A0"/>
    <w:rsid w:val="0003596F"/>
    <w:rsid w:val="00047A64"/>
    <w:rsid w:val="00067329"/>
    <w:rsid w:val="0007655B"/>
    <w:rsid w:val="0008673E"/>
    <w:rsid w:val="000B2838"/>
    <w:rsid w:val="000C160D"/>
    <w:rsid w:val="000D44CA"/>
    <w:rsid w:val="000D769E"/>
    <w:rsid w:val="000E200B"/>
    <w:rsid w:val="000F5F42"/>
    <w:rsid w:val="000F68BE"/>
    <w:rsid w:val="0010254D"/>
    <w:rsid w:val="00113C8E"/>
    <w:rsid w:val="00121F52"/>
    <w:rsid w:val="001502C7"/>
    <w:rsid w:val="00152429"/>
    <w:rsid w:val="00161025"/>
    <w:rsid w:val="00167CB3"/>
    <w:rsid w:val="001927A4"/>
    <w:rsid w:val="0019290C"/>
    <w:rsid w:val="00194AC6"/>
    <w:rsid w:val="001A23B0"/>
    <w:rsid w:val="001A25CC"/>
    <w:rsid w:val="001B0AAA"/>
    <w:rsid w:val="001C39F7"/>
    <w:rsid w:val="001F085F"/>
    <w:rsid w:val="00204032"/>
    <w:rsid w:val="00216A06"/>
    <w:rsid w:val="00231F35"/>
    <w:rsid w:val="00237B48"/>
    <w:rsid w:val="0024521E"/>
    <w:rsid w:val="00247EC6"/>
    <w:rsid w:val="0025637E"/>
    <w:rsid w:val="0026231B"/>
    <w:rsid w:val="00263C3D"/>
    <w:rsid w:val="00266988"/>
    <w:rsid w:val="00274236"/>
    <w:rsid w:val="00274D0B"/>
    <w:rsid w:val="00285B78"/>
    <w:rsid w:val="002875A8"/>
    <w:rsid w:val="00293708"/>
    <w:rsid w:val="002A2358"/>
    <w:rsid w:val="002B3C95"/>
    <w:rsid w:val="002D0B92"/>
    <w:rsid w:val="002D58CC"/>
    <w:rsid w:val="003679C6"/>
    <w:rsid w:val="00367DB8"/>
    <w:rsid w:val="0038341C"/>
    <w:rsid w:val="003D5A6B"/>
    <w:rsid w:val="003D5BBE"/>
    <w:rsid w:val="003D74E3"/>
    <w:rsid w:val="003E3C61"/>
    <w:rsid w:val="003E726E"/>
    <w:rsid w:val="003F1C5B"/>
    <w:rsid w:val="003F32D1"/>
    <w:rsid w:val="004010C9"/>
    <w:rsid w:val="0040392B"/>
    <w:rsid w:val="00434E33"/>
    <w:rsid w:val="00441434"/>
    <w:rsid w:val="0045264C"/>
    <w:rsid w:val="00471FE1"/>
    <w:rsid w:val="004876EC"/>
    <w:rsid w:val="004A1C4B"/>
    <w:rsid w:val="004B1462"/>
    <w:rsid w:val="004B371E"/>
    <w:rsid w:val="004D6E14"/>
    <w:rsid w:val="004E6E38"/>
    <w:rsid w:val="004F0863"/>
    <w:rsid w:val="005009B0"/>
    <w:rsid w:val="00506762"/>
    <w:rsid w:val="00553A99"/>
    <w:rsid w:val="005716B6"/>
    <w:rsid w:val="005745B4"/>
    <w:rsid w:val="00576243"/>
    <w:rsid w:val="00576E3A"/>
    <w:rsid w:val="005A1006"/>
    <w:rsid w:val="005C6653"/>
    <w:rsid w:val="005D1702"/>
    <w:rsid w:val="005D250A"/>
    <w:rsid w:val="005D5BE2"/>
    <w:rsid w:val="005E714A"/>
    <w:rsid w:val="00601EA8"/>
    <w:rsid w:val="00602E36"/>
    <w:rsid w:val="006068CD"/>
    <w:rsid w:val="006140A0"/>
    <w:rsid w:val="00615D0B"/>
    <w:rsid w:val="00636621"/>
    <w:rsid w:val="00642B49"/>
    <w:rsid w:val="00656CCB"/>
    <w:rsid w:val="006832D9"/>
    <w:rsid w:val="00683AC8"/>
    <w:rsid w:val="00685E38"/>
    <w:rsid w:val="0069403B"/>
    <w:rsid w:val="006F3491"/>
    <w:rsid w:val="006F3DDE"/>
    <w:rsid w:val="00704678"/>
    <w:rsid w:val="00705288"/>
    <w:rsid w:val="00707EF2"/>
    <w:rsid w:val="007206D5"/>
    <w:rsid w:val="00722663"/>
    <w:rsid w:val="007425E7"/>
    <w:rsid w:val="00744F0D"/>
    <w:rsid w:val="00764984"/>
    <w:rsid w:val="00794B46"/>
    <w:rsid w:val="007B1363"/>
    <w:rsid w:val="007E0263"/>
    <w:rsid w:val="007F6DC5"/>
    <w:rsid w:val="00802607"/>
    <w:rsid w:val="008101A5"/>
    <w:rsid w:val="0081536C"/>
    <w:rsid w:val="00822664"/>
    <w:rsid w:val="00842540"/>
    <w:rsid w:val="00843796"/>
    <w:rsid w:val="00855FEA"/>
    <w:rsid w:val="008621AD"/>
    <w:rsid w:val="00862AAF"/>
    <w:rsid w:val="00864BEF"/>
    <w:rsid w:val="00887858"/>
    <w:rsid w:val="00895229"/>
    <w:rsid w:val="008A032E"/>
    <w:rsid w:val="008A1C98"/>
    <w:rsid w:val="008A432D"/>
    <w:rsid w:val="008E0960"/>
    <w:rsid w:val="008F0203"/>
    <w:rsid w:val="008F50D4"/>
    <w:rsid w:val="009239AA"/>
    <w:rsid w:val="009359E8"/>
    <w:rsid w:val="00935ADA"/>
    <w:rsid w:val="00946B6C"/>
    <w:rsid w:val="00955A71"/>
    <w:rsid w:val="0096108F"/>
    <w:rsid w:val="0096766A"/>
    <w:rsid w:val="009844EE"/>
    <w:rsid w:val="00996CC8"/>
    <w:rsid w:val="009A06C6"/>
    <w:rsid w:val="009A4473"/>
    <w:rsid w:val="009A46D3"/>
    <w:rsid w:val="009B0A2A"/>
    <w:rsid w:val="009C13B9"/>
    <w:rsid w:val="009D01A2"/>
    <w:rsid w:val="009F5923"/>
    <w:rsid w:val="009F5BCA"/>
    <w:rsid w:val="00A02AC3"/>
    <w:rsid w:val="00A07F79"/>
    <w:rsid w:val="00A1355F"/>
    <w:rsid w:val="00A13D12"/>
    <w:rsid w:val="00A403BB"/>
    <w:rsid w:val="00A674DF"/>
    <w:rsid w:val="00A7590A"/>
    <w:rsid w:val="00A83AA6"/>
    <w:rsid w:val="00A84CED"/>
    <w:rsid w:val="00A9259F"/>
    <w:rsid w:val="00A966B0"/>
    <w:rsid w:val="00AB4283"/>
    <w:rsid w:val="00AE1809"/>
    <w:rsid w:val="00B252F6"/>
    <w:rsid w:val="00B42A3F"/>
    <w:rsid w:val="00B80D76"/>
    <w:rsid w:val="00B81CDC"/>
    <w:rsid w:val="00B86568"/>
    <w:rsid w:val="00BA1A81"/>
    <w:rsid w:val="00BA2105"/>
    <w:rsid w:val="00BA6714"/>
    <w:rsid w:val="00BA7E06"/>
    <w:rsid w:val="00BB43B5"/>
    <w:rsid w:val="00BB5350"/>
    <w:rsid w:val="00BB6219"/>
    <w:rsid w:val="00BC214A"/>
    <w:rsid w:val="00BC6776"/>
    <w:rsid w:val="00BD290F"/>
    <w:rsid w:val="00BF0F94"/>
    <w:rsid w:val="00C025E3"/>
    <w:rsid w:val="00C14CC4"/>
    <w:rsid w:val="00C26248"/>
    <w:rsid w:val="00C27F64"/>
    <w:rsid w:val="00C33C52"/>
    <w:rsid w:val="00C40D8B"/>
    <w:rsid w:val="00C444BC"/>
    <w:rsid w:val="00C467C4"/>
    <w:rsid w:val="00C47304"/>
    <w:rsid w:val="00C77548"/>
    <w:rsid w:val="00C810A7"/>
    <w:rsid w:val="00C8407A"/>
    <w:rsid w:val="00C8488C"/>
    <w:rsid w:val="00C86E91"/>
    <w:rsid w:val="00CA2650"/>
    <w:rsid w:val="00CB1078"/>
    <w:rsid w:val="00CC606C"/>
    <w:rsid w:val="00CC6FAF"/>
    <w:rsid w:val="00CD0196"/>
    <w:rsid w:val="00D028CC"/>
    <w:rsid w:val="00D03938"/>
    <w:rsid w:val="00D03E51"/>
    <w:rsid w:val="00D11E55"/>
    <w:rsid w:val="00D24698"/>
    <w:rsid w:val="00D45DC5"/>
    <w:rsid w:val="00D50DFE"/>
    <w:rsid w:val="00D61819"/>
    <w:rsid w:val="00D6383F"/>
    <w:rsid w:val="00D95E41"/>
    <w:rsid w:val="00DB1DF0"/>
    <w:rsid w:val="00DB59D0"/>
    <w:rsid w:val="00DC0976"/>
    <w:rsid w:val="00DC33D3"/>
    <w:rsid w:val="00DE4446"/>
    <w:rsid w:val="00DF341F"/>
    <w:rsid w:val="00E06E0F"/>
    <w:rsid w:val="00E25D87"/>
    <w:rsid w:val="00E26329"/>
    <w:rsid w:val="00E3508D"/>
    <w:rsid w:val="00E40B50"/>
    <w:rsid w:val="00E50293"/>
    <w:rsid w:val="00E52D76"/>
    <w:rsid w:val="00E65FFC"/>
    <w:rsid w:val="00E74E8D"/>
    <w:rsid w:val="00E80951"/>
    <w:rsid w:val="00E86CC6"/>
    <w:rsid w:val="00EA45A7"/>
    <w:rsid w:val="00EB2D63"/>
    <w:rsid w:val="00EB56B3"/>
    <w:rsid w:val="00EC5706"/>
    <w:rsid w:val="00ED6492"/>
    <w:rsid w:val="00EF2095"/>
    <w:rsid w:val="00F06866"/>
    <w:rsid w:val="00F15956"/>
    <w:rsid w:val="00F24CFC"/>
    <w:rsid w:val="00F3170F"/>
    <w:rsid w:val="00F326E5"/>
    <w:rsid w:val="00F65A9C"/>
    <w:rsid w:val="00F722A2"/>
    <w:rsid w:val="00F75832"/>
    <w:rsid w:val="00F8706A"/>
    <w:rsid w:val="00F976B0"/>
    <w:rsid w:val="00FA6DE7"/>
    <w:rsid w:val="00FB17E1"/>
    <w:rsid w:val="00FC0A8E"/>
    <w:rsid w:val="00FD188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3EFCE66"/>
  <w15:docId w15:val="{984F5C3F-870A-4F32-8484-912A2BA4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31F35"/>
    <w:rPr>
      <w:sz w:val="24"/>
      <w:szCs w:val="24"/>
    </w:rPr>
  </w:style>
  <w:style w:type="paragraph" w:styleId="FootnoteText">
    <w:name w:val="footnote text"/>
    <w:basedOn w:val="Normal"/>
    <w:link w:val="FootnoteTextChar"/>
    <w:rsid w:val="00BA1A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1A81"/>
  </w:style>
  <w:style w:type="character" w:styleId="FootnoteReference">
    <w:name w:val="footnote reference"/>
    <w:basedOn w:val="DefaultParagraphFont"/>
    <w:rsid w:val="00BA1A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A1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8" ma:contentTypeDescription="Create a new document." ma:contentTypeScope="" ma:versionID="5842ecadc1c0ae3baa45a5b95dc89abf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c55e0091c74b5100d19134a1fdefbb6f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dfa24db8-b43c-4576-b9f3-d527095e9577">TSADT-783092807-40840</_dlc_DocId>
    <_dlc_DocIdUrl xmlns="dfa24db8-b43c-4576-b9f3-d527095e9577">
      <Url>https://apps2013.ishare.tsa.dhs.gov/sites/gel/OIT/_layouts/15/DocIdRedir.aspx?ID=TSADT-783092807-40840</Url>
      <Description>TSADT-783092807-40840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25 - Other</WorkFolder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47CC-8728-40D6-AD30-2920F4344031}"/>
</file>

<file path=customXml/itemProps2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D7B28-DE04-4038-9B8C-148EE1B84CAD}"/>
</file>

<file path=customXml/itemProps4.xml><?xml version="1.0" encoding="utf-8"?>
<ds:datastoreItem xmlns:ds="http://schemas.openxmlformats.org/officeDocument/2006/customXml" ds:itemID="{3DE29B40-0BDB-4CAE-98D2-51BEE6FB2AB9}">
  <ds:schemaRefs>
    <ds:schemaRef ds:uri="http://purl.org/dc/elements/1.1/"/>
    <ds:schemaRef ds:uri="http://schemas.microsoft.com/office/2006/metadata/properties"/>
    <ds:schemaRef ds:uri="351d9c43-df41-4f76-8579-34e6da0a12c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cc26ded-df53-40e4-b0ec-50f0378640d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35BA375-1F6E-40D5-B3C5-E87659CD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GENERIC CLEARANCE</vt:lpstr>
    </vt:vector>
  </TitlesOfParts>
  <Company>ssa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GENERIC CLEARANCE</dc:title>
  <dc:creator>558022</dc:creator>
  <cp:keywords>5000.23;5000.22</cp:keywords>
  <cp:lastModifiedBy>Walsh, Christina</cp:lastModifiedBy>
  <cp:revision>2</cp:revision>
  <cp:lastPrinted>2013-05-29T13:20:00Z</cp:lastPrinted>
  <dcterms:created xsi:type="dcterms:W3CDTF">2020-11-30T17:14:00Z</dcterms:created>
  <dcterms:modified xsi:type="dcterms:W3CDTF">2020-11-30T17:14:00Z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0x01010056F361A932546F4590D5DC141682ABDA</vt:lpwstr>
  </property>
  <property fmtid="{D5CDD505-2E9C-101B-9397-08002B2CF9AE}" pid="4" name="Owner">
    <vt:lpwstr/>
  </property>
  <property fmtid="{D5CDD505-2E9C-101B-9397-08002B2CF9AE}" pid="5" name="Status">
    <vt:lpwstr>Draft</vt:lpwstr>
  </property>
  <property fmtid="{D5CDD505-2E9C-101B-9397-08002B2CF9AE}" pid="6" name="_dlc_DocIdItemGuid">
    <vt:lpwstr>a5adad52-07c6-4254-992e-dda7a913d3ca</vt:lpwstr>
  </property>
</Properties>
</file>