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1326" w14:textId="577525A9" w:rsidR="00695052" w:rsidRPr="00D0606B" w:rsidRDefault="00B70188" w:rsidP="00512461">
      <w:pPr>
        <w:spacing w:after="0" w:line="240" w:lineRule="auto"/>
        <w:jc w:val="center"/>
        <w:rPr>
          <w:rFonts w:ascii="Times New Roman" w:hAnsi="Times New Roman" w:cs="Times New Roman"/>
          <w:sz w:val="26"/>
          <w:szCs w:val="26"/>
        </w:rPr>
      </w:pPr>
      <w:bookmarkStart w:id="0" w:name="_GoBack"/>
      <w:bookmarkEnd w:id="0"/>
      <w:r w:rsidRPr="00D0606B">
        <w:rPr>
          <w:rFonts w:ascii="Times New Roman" w:hAnsi="Times New Roman" w:cs="Times New Roman"/>
          <w:sz w:val="26"/>
          <w:szCs w:val="26"/>
        </w:rPr>
        <w:t>Supporting Statement</w:t>
      </w:r>
      <w:r w:rsidR="00166DF1">
        <w:rPr>
          <w:rFonts w:ascii="Times New Roman" w:hAnsi="Times New Roman" w:cs="Times New Roman"/>
          <w:sz w:val="26"/>
          <w:szCs w:val="26"/>
        </w:rPr>
        <w:t xml:space="preserve"> for</w:t>
      </w:r>
    </w:p>
    <w:p w14:paraId="39216994" w14:textId="65344FA4" w:rsidR="00AC7CFF" w:rsidRPr="00D0606B" w:rsidRDefault="00B70188" w:rsidP="00512461">
      <w:pPr>
        <w:spacing w:after="0" w:line="240" w:lineRule="auto"/>
        <w:jc w:val="center"/>
        <w:rPr>
          <w:rFonts w:ascii="Times New Roman" w:hAnsi="Times New Roman" w:cs="Times New Roman"/>
          <w:sz w:val="26"/>
          <w:szCs w:val="26"/>
        </w:rPr>
      </w:pPr>
      <w:r w:rsidRPr="00D0606B">
        <w:rPr>
          <w:rFonts w:ascii="Times New Roman" w:hAnsi="Times New Roman" w:cs="Times New Roman"/>
          <w:b/>
          <w:sz w:val="26"/>
          <w:szCs w:val="26"/>
        </w:rPr>
        <w:t xml:space="preserve">FERC-725Z </w:t>
      </w:r>
      <w:r w:rsidR="00FD7387" w:rsidRPr="00D0606B">
        <w:rPr>
          <w:rFonts w:ascii="Times New Roman" w:hAnsi="Times New Roman" w:cs="Times New Roman"/>
          <w:b/>
          <w:sz w:val="26"/>
          <w:szCs w:val="26"/>
        </w:rPr>
        <w:t>(</w:t>
      </w:r>
      <w:r w:rsidRPr="00D0606B">
        <w:rPr>
          <w:rFonts w:ascii="Times New Roman" w:hAnsi="Times New Roman" w:cs="Times New Roman"/>
          <w:b/>
          <w:sz w:val="26"/>
          <w:szCs w:val="26"/>
        </w:rPr>
        <w:t>Mandatory Reliability Standards:  IRO Reliability Standards</w:t>
      </w:r>
      <w:r w:rsidR="00FD7387" w:rsidRPr="00D0606B">
        <w:rPr>
          <w:rFonts w:ascii="Times New Roman" w:hAnsi="Times New Roman" w:cs="Times New Roman"/>
          <w:b/>
          <w:sz w:val="26"/>
          <w:szCs w:val="26"/>
        </w:rPr>
        <w:t>)</w:t>
      </w:r>
      <w:r w:rsidR="00D07BE4">
        <w:rPr>
          <w:rFonts w:ascii="Times New Roman" w:hAnsi="Times New Roman" w:cs="Times New Roman"/>
          <w:b/>
          <w:sz w:val="26"/>
          <w:szCs w:val="26"/>
        </w:rPr>
        <w:t xml:space="preserve">, </w:t>
      </w:r>
      <w:r w:rsidR="00440794" w:rsidRPr="00D0606B">
        <w:rPr>
          <w:rFonts w:ascii="Times New Roman" w:hAnsi="Times New Roman" w:cs="Times New Roman"/>
          <w:b/>
          <w:sz w:val="26"/>
          <w:szCs w:val="26"/>
        </w:rPr>
        <w:t xml:space="preserve">as </w:t>
      </w:r>
      <w:r w:rsidR="00166DF1">
        <w:rPr>
          <w:rFonts w:ascii="Times New Roman" w:hAnsi="Times New Roman" w:cs="Times New Roman"/>
          <w:b/>
          <w:sz w:val="26"/>
          <w:szCs w:val="26"/>
        </w:rPr>
        <w:t>modified</w:t>
      </w:r>
      <w:r w:rsidR="00166DF1" w:rsidRPr="00D0606B">
        <w:rPr>
          <w:rFonts w:ascii="Times New Roman" w:hAnsi="Times New Roman" w:cs="Times New Roman"/>
          <w:b/>
          <w:sz w:val="26"/>
          <w:szCs w:val="26"/>
        </w:rPr>
        <w:t xml:space="preserve"> </w:t>
      </w:r>
      <w:r w:rsidR="00440794" w:rsidRPr="00D0606B">
        <w:rPr>
          <w:rFonts w:ascii="Times New Roman" w:hAnsi="Times New Roman" w:cs="Times New Roman"/>
          <w:b/>
          <w:sz w:val="26"/>
          <w:szCs w:val="26"/>
        </w:rPr>
        <w:t>by Order</w:t>
      </w:r>
      <w:r w:rsidR="00AC7CFF" w:rsidRPr="00D0606B">
        <w:rPr>
          <w:rFonts w:ascii="Times New Roman" w:hAnsi="Times New Roman" w:cs="Times New Roman"/>
          <w:b/>
          <w:sz w:val="26"/>
          <w:szCs w:val="26"/>
        </w:rPr>
        <w:t xml:space="preserve"> </w:t>
      </w:r>
      <w:r w:rsidR="009A6AB0">
        <w:rPr>
          <w:rFonts w:ascii="Times New Roman" w:hAnsi="Times New Roman" w:cs="Times New Roman"/>
          <w:b/>
          <w:sz w:val="26"/>
          <w:szCs w:val="26"/>
        </w:rPr>
        <w:t xml:space="preserve">in Docket No. </w:t>
      </w:r>
      <w:r w:rsidR="00166DF1">
        <w:rPr>
          <w:rFonts w:ascii="Times New Roman" w:hAnsi="Times New Roman" w:cs="Times New Roman"/>
          <w:b/>
          <w:sz w:val="26"/>
          <w:szCs w:val="26"/>
        </w:rPr>
        <w:t>RD19-6</w:t>
      </w:r>
      <w:r w:rsidR="00B41CBA">
        <w:rPr>
          <w:rFonts w:ascii="Times New Roman" w:hAnsi="Times New Roman" w:cs="Times New Roman"/>
          <w:b/>
          <w:sz w:val="26"/>
          <w:szCs w:val="26"/>
        </w:rPr>
        <w:t>-000</w:t>
      </w:r>
    </w:p>
    <w:p w14:paraId="51DC2543" w14:textId="77777777" w:rsidR="00480B05" w:rsidRPr="00D0606B" w:rsidRDefault="00480B05" w:rsidP="00512461">
      <w:pPr>
        <w:spacing w:after="0" w:line="240" w:lineRule="auto"/>
        <w:jc w:val="center"/>
        <w:rPr>
          <w:rFonts w:ascii="Times New Roman" w:hAnsi="Times New Roman" w:cs="Times New Roman"/>
          <w:sz w:val="26"/>
          <w:szCs w:val="26"/>
        </w:rPr>
      </w:pPr>
    </w:p>
    <w:p w14:paraId="72D996CB" w14:textId="5720B7D7" w:rsidR="00512461" w:rsidRPr="009A1707" w:rsidRDefault="0063273B" w:rsidP="00131F7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Federal Energy Regulatory Commission (Commission or FERC) request</w:t>
      </w:r>
      <w:r w:rsidR="00DC4FEB">
        <w:rPr>
          <w:rFonts w:ascii="Times New Roman" w:hAnsi="Times New Roman" w:cs="Times New Roman"/>
          <w:sz w:val="26"/>
          <w:szCs w:val="26"/>
        </w:rPr>
        <w:t>s</w:t>
      </w:r>
      <w:r w:rsidRPr="00D0606B">
        <w:rPr>
          <w:rFonts w:ascii="Times New Roman" w:hAnsi="Times New Roman" w:cs="Times New Roman"/>
          <w:sz w:val="26"/>
          <w:szCs w:val="26"/>
        </w:rPr>
        <w:t xml:space="preserve"> the Office of Management and Budget (OMB) review and approve the </w:t>
      </w:r>
      <w:r w:rsidR="00F7106B">
        <w:rPr>
          <w:rFonts w:ascii="Times New Roman" w:hAnsi="Times New Roman" w:cs="Times New Roman"/>
          <w:sz w:val="26"/>
          <w:szCs w:val="26"/>
        </w:rPr>
        <w:t xml:space="preserve">revisions made </w:t>
      </w:r>
      <w:r w:rsidR="00BA760A">
        <w:rPr>
          <w:rFonts w:ascii="Times New Roman" w:hAnsi="Times New Roman" w:cs="Times New Roman"/>
          <w:sz w:val="26"/>
          <w:szCs w:val="26"/>
        </w:rPr>
        <w:t xml:space="preserve">to FERC-725Z </w:t>
      </w:r>
      <w:r w:rsidR="00F7106B">
        <w:rPr>
          <w:rFonts w:ascii="Times New Roman" w:hAnsi="Times New Roman" w:cs="Times New Roman"/>
          <w:sz w:val="26"/>
          <w:szCs w:val="26"/>
        </w:rPr>
        <w:t>in Docket No. RD1</w:t>
      </w:r>
      <w:r w:rsidR="00CF6BFC">
        <w:rPr>
          <w:rFonts w:ascii="Times New Roman" w:hAnsi="Times New Roman" w:cs="Times New Roman"/>
          <w:sz w:val="26"/>
          <w:szCs w:val="26"/>
        </w:rPr>
        <w:t>9-6</w:t>
      </w:r>
      <w:r w:rsidR="00646FDF">
        <w:rPr>
          <w:rFonts w:ascii="Times New Roman" w:hAnsi="Times New Roman" w:cs="Times New Roman"/>
          <w:sz w:val="26"/>
          <w:szCs w:val="26"/>
        </w:rPr>
        <w:t>-000</w:t>
      </w:r>
      <w:r w:rsidR="00F7106B">
        <w:rPr>
          <w:rFonts w:ascii="Times New Roman" w:hAnsi="Times New Roman" w:cs="Times New Roman"/>
          <w:sz w:val="26"/>
          <w:szCs w:val="26"/>
        </w:rPr>
        <w:t xml:space="preserve">.  </w:t>
      </w:r>
    </w:p>
    <w:p w14:paraId="2DC2A7D1" w14:textId="77777777" w:rsidR="003E5EEF" w:rsidRDefault="003E5EEF" w:rsidP="00131F7E">
      <w:pPr>
        <w:spacing w:after="0" w:line="240" w:lineRule="auto"/>
        <w:rPr>
          <w:rFonts w:ascii="Times New Roman" w:hAnsi="Times New Roman" w:cs="Times New Roman"/>
          <w:sz w:val="26"/>
          <w:szCs w:val="26"/>
        </w:rPr>
      </w:pPr>
    </w:p>
    <w:p w14:paraId="058E54A9" w14:textId="7AA701D1" w:rsidR="0063273B" w:rsidRDefault="00B41CBA" w:rsidP="003C129D">
      <w:pPr>
        <w:spacing w:after="0" w:line="240" w:lineRule="auto"/>
        <w:ind w:left="720"/>
        <w:rPr>
          <w:rFonts w:ascii="Times New Roman" w:hAnsi="Times New Roman" w:cs="Times New Roman"/>
          <w:sz w:val="26"/>
          <w:szCs w:val="26"/>
        </w:rPr>
      </w:pPr>
      <w:r>
        <w:rPr>
          <w:rFonts w:ascii="Times New Roman" w:hAnsi="Times New Roman" w:cs="Times New Roman"/>
          <w:sz w:val="26"/>
          <w:szCs w:val="26"/>
        </w:rPr>
        <w:t xml:space="preserve">NOTE: </w:t>
      </w:r>
      <w:r w:rsidR="00F7106B">
        <w:rPr>
          <w:rFonts w:ascii="Times New Roman" w:hAnsi="Times New Roman" w:cs="Times New Roman"/>
          <w:sz w:val="26"/>
          <w:szCs w:val="26"/>
        </w:rPr>
        <w:t xml:space="preserve">Rather than requesting a full three years </w:t>
      </w:r>
      <w:r w:rsidR="00512461">
        <w:rPr>
          <w:rFonts w:ascii="Times New Roman" w:hAnsi="Times New Roman" w:cs="Times New Roman"/>
          <w:sz w:val="26"/>
          <w:szCs w:val="26"/>
        </w:rPr>
        <w:t xml:space="preserve">of OMB approval </w:t>
      </w:r>
      <w:r w:rsidR="00F7106B">
        <w:rPr>
          <w:rFonts w:ascii="Times New Roman" w:hAnsi="Times New Roman" w:cs="Times New Roman"/>
          <w:sz w:val="26"/>
          <w:szCs w:val="26"/>
        </w:rPr>
        <w:t xml:space="preserve">for the revisions to </w:t>
      </w:r>
      <w:r w:rsidR="00F162F1">
        <w:rPr>
          <w:rFonts w:ascii="Times New Roman" w:hAnsi="Times New Roman" w:cs="Times New Roman"/>
          <w:sz w:val="26"/>
          <w:szCs w:val="26"/>
        </w:rPr>
        <w:t>FERC-725Z</w:t>
      </w:r>
      <w:r w:rsidR="00F7106B">
        <w:rPr>
          <w:rFonts w:ascii="Times New Roman" w:hAnsi="Times New Roman" w:cs="Times New Roman"/>
          <w:sz w:val="26"/>
          <w:szCs w:val="26"/>
        </w:rPr>
        <w:t xml:space="preserve">, we request that OMB approve the revisions </w:t>
      </w:r>
      <w:r w:rsidR="000324A0">
        <w:rPr>
          <w:rFonts w:ascii="Times New Roman" w:hAnsi="Times New Roman" w:cs="Times New Roman"/>
          <w:sz w:val="26"/>
          <w:szCs w:val="26"/>
        </w:rPr>
        <w:t xml:space="preserve">made </w:t>
      </w:r>
      <w:r w:rsidR="00C60101">
        <w:rPr>
          <w:rFonts w:ascii="Times New Roman" w:hAnsi="Times New Roman" w:cs="Times New Roman"/>
          <w:sz w:val="26"/>
          <w:szCs w:val="26"/>
        </w:rPr>
        <w:t xml:space="preserve">in Docket </w:t>
      </w:r>
      <w:r w:rsidR="00653D29">
        <w:rPr>
          <w:rFonts w:ascii="Times New Roman" w:hAnsi="Times New Roman" w:cs="Times New Roman"/>
          <w:sz w:val="26"/>
          <w:szCs w:val="26"/>
        </w:rPr>
        <w:t xml:space="preserve">No. </w:t>
      </w:r>
      <w:r w:rsidR="00166DF1">
        <w:rPr>
          <w:rFonts w:ascii="Times New Roman" w:hAnsi="Times New Roman" w:cs="Times New Roman"/>
          <w:sz w:val="26"/>
          <w:szCs w:val="26"/>
        </w:rPr>
        <w:t>RD19-6</w:t>
      </w:r>
      <w:r w:rsidR="00653D29">
        <w:rPr>
          <w:rFonts w:ascii="Times New Roman" w:hAnsi="Times New Roman" w:cs="Times New Roman"/>
          <w:sz w:val="26"/>
          <w:szCs w:val="26"/>
        </w:rPr>
        <w:t>-000</w:t>
      </w:r>
      <w:r w:rsidR="00166DF1">
        <w:rPr>
          <w:rStyle w:val="FootnoteReference"/>
          <w:rFonts w:ascii="Times New Roman" w:hAnsi="Times New Roman" w:cs="Times New Roman"/>
          <w:sz w:val="26"/>
          <w:szCs w:val="26"/>
        </w:rPr>
        <w:footnoteReference w:id="2"/>
      </w:r>
      <w:r w:rsidR="00C60101">
        <w:rPr>
          <w:rFonts w:ascii="Times New Roman" w:hAnsi="Times New Roman" w:cs="Times New Roman"/>
          <w:sz w:val="26"/>
          <w:szCs w:val="26"/>
        </w:rPr>
        <w:t xml:space="preserve"> </w:t>
      </w:r>
      <w:r w:rsidR="00F7106B">
        <w:rPr>
          <w:rFonts w:ascii="Times New Roman" w:hAnsi="Times New Roman" w:cs="Times New Roman"/>
          <w:sz w:val="26"/>
          <w:szCs w:val="26"/>
        </w:rPr>
        <w:t>for the remainder of the current clearance</w:t>
      </w:r>
      <w:r w:rsidR="00C60101">
        <w:rPr>
          <w:rFonts w:ascii="Times New Roman" w:hAnsi="Times New Roman" w:cs="Times New Roman"/>
          <w:sz w:val="26"/>
          <w:szCs w:val="26"/>
        </w:rPr>
        <w:t xml:space="preserve"> period</w:t>
      </w:r>
      <w:r w:rsidR="000324A0">
        <w:rPr>
          <w:rFonts w:ascii="Times New Roman" w:hAnsi="Times New Roman" w:cs="Times New Roman"/>
          <w:sz w:val="26"/>
          <w:szCs w:val="26"/>
        </w:rPr>
        <w:t xml:space="preserve">, </w:t>
      </w:r>
      <w:r w:rsidR="00166DF1">
        <w:rPr>
          <w:rFonts w:ascii="Times New Roman" w:hAnsi="Times New Roman" w:cs="Times New Roman"/>
          <w:sz w:val="26"/>
          <w:szCs w:val="26"/>
        </w:rPr>
        <w:t>to</w:t>
      </w:r>
      <w:r w:rsidR="00C60101">
        <w:rPr>
          <w:rFonts w:ascii="Times New Roman" w:hAnsi="Times New Roman" w:cs="Times New Roman"/>
          <w:sz w:val="26"/>
          <w:szCs w:val="26"/>
        </w:rPr>
        <w:t xml:space="preserve"> synchronize </w:t>
      </w:r>
      <w:r w:rsidR="00C60101" w:rsidRPr="00131F7E">
        <w:rPr>
          <w:rFonts w:ascii="Times New Roman" w:hAnsi="Times New Roman" w:cs="Times New Roman"/>
          <w:sz w:val="26"/>
          <w:szCs w:val="26"/>
        </w:rPr>
        <w:t xml:space="preserve">the timing of the expiration date for all requirements in </w:t>
      </w:r>
      <w:r w:rsidR="00512461" w:rsidRPr="00131F7E">
        <w:rPr>
          <w:rFonts w:ascii="Times New Roman" w:hAnsi="Times New Roman" w:cs="Times New Roman"/>
          <w:sz w:val="26"/>
          <w:szCs w:val="26"/>
        </w:rPr>
        <w:t>FERC-725Z</w:t>
      </w:r>
      <w:r w:rsidR="00482045" w:rsidRPr="00131F7E">
        <w:rPr>
          <w:rFonts w:ascii="Times New Roman" w:hAnsi="Times New Roman" w:cs="Times New Roman"/>
          <w:sz w:val="26"/>
          <w:szCs w:val="26"/>
        </w:rPr>
        <w:t>, which</w:t>
      </w:r>
      <w:r w:rsidR="00F7106B" w:rsidRPr="00131F7E">
        <w:rPr>
          <w:rFonts w:ascii="Times New Roman" w:hAnsi="Times New Roman" w:cs="Times New Roman"/>
          <w:sz w:val="26"/>
          <w:szCs w:val="26"/>
        </w:rPr>
        <w:t xml:space="preserve"> expire</w:t>
      </w:r>
      <w:r w:rsidR="00A75432" w:rsidRPr="00131F7E">
        <w:rPr>
          <w:rFonts w:ascii="Times New Roman" w:hAnsi="Times New Roman" w:cs="Times New Roman"/>
          <w:sz w:val="26"/>
          <w:szCs w:val="26"/>
        </w:rPr>
        <w:t xml:space="preserve">s </w:t>
      </w:r>
      <w:r w:rsidR="00EA2D54" w:rsidRPr="00131F7E">
        <w:rPr>
          <w:rFonts w:ascii="Times New Roman" w:hAnsi="Times New Roman" w:cs="Times New Roman"/>
          <w:sz w:val="26"/>
          <w:szCs w:val="26"/>
        </w:rPr>
        <w:t>10</w:t>
      </w:r>
      <w:r w:rsidR="00A75432" w:rsidRPr="00131F7E">
        <w:rPr>
          <w:rFonts w:ascii="Times New Roman" w:hAnsi="Times New Roman" w:cs="Times New Roman"/>
          <w:sz w:val="26"/>
          <w:szCs w:val="26"/>
        </w:rPr>
        <w:t>/31/2020.</w:t>
      </w:r>
      <w:r w:rsidR="00A75432">
        <w:rPr>
          <w:rFonts w:ascii="Times New Roman" w:hAnsi="Times New Roman" w:cs="Times New Roman"/>
          <w:sz w:val="26"/>
          <w:szCs w:val="26"/>
        </w:rPr>
        <w:t xml:space="preserve"> </w:t>
      </w:r>
      <w:r w:rsidR="00F7106B">
        <w:rPr>
          <w:rFonts w:ascii="Times New Roman" w:hAnsi="Times New Roman" w:cs="Times New Roman"/>
          <w:sz w:val="26"/>
          <w:szCs w:val="26"/>
        </w:rPr>
        <w:t xml:space="preserve"> </w:t>
      </w:r>
    </w:p>
    <w:p w14:paraId="2278A1B8" w14:textId="77777777" w:rsidR="00B238F7" w:rsidRDefault="00B238F7" w:rsidP="00131F7E">
      <w:pPr>
        <w:spacing w:after="0" w:line="240" w:lineRule="auto"/>
        <w:rPr>
          <w:rFonts w:ascii="Times New Roman" w:hAnsi="Times New Roman" w:cs="Times New Roman"/>
          <w:sz w:val="26"/>
          <w:szCs w:val="26"/>
        </w:rPr>
      </w:pPr>
    </w:p>
    <w:p w14:paraId="08E0DDC6" w14:textId="77777777" w:rsidR="00B238F7" w:rsidRDefault="00B238F7" w:rsidP="00131F7E">
      <w:pPr>
        <w:spacing w:after="0" w:line="240" w:lineRule="auto"/>
        <w:rPr>
          <w:rFonts w:ascii="Times New Roman" w:hAnsi="Times New Roman" w:cs="Times New Roman"/>
          <w:sz w:val="26"/>
          <w:szCs w:val="26"/>
        </w:rPr>
      </w:pPr>
      <w:r>
        <w:rPr>
          <w:rFonts w:ascii="Times New Roman" w:hAnsi="Times New Roman" w:cs="Times New Roman"/>
          <w:b/>
          <w:sz w:val="26"/>
          <w:szCs w:val="26"/>
          <w:u w:val="single"/>
        </w:rPr>
        <w:t>Background</w:t>
      </w:r>
    </w:p>
    <w:p w14:paraId="35A8A4CF" w14:textId="77777777" w:rsidR="00B238F7" w:rsidRPr="00B238F7" w:rsidRDefault="00B238F7" w:rsidP="00131F7E">
      <w:pPr>
        <w:spacing w:after="0" w:line="240" w:lineRule="auto"/>
        <w:rPr>
          <w:rFonts w:ascii="Times New Roman" w:hAnsi="Times New Roman" w:cs="Times New Roman"/>
          <w:sz w:val="26"/>
          <w:szCs w:val="26"/>
        </w:rPr>
      </w:pPr>
    </w:p>
    <w:p w14:paraId="17D0BED9" w14:textId="141B6B6C" w:rsidR="00446D30" w:rsidRDefault="00B238F7" w:rsidP="00131F7E">
      <w:pPr>
        <w:spacing w:after="0" w:line="240" w:lineRule="auto"/>
        <w:rPr>
          <w:rFonts w:ascii="Times New Roman" w:hAnsi="Times New Roman" w:cs="Times New Roman"/>
          <w:sz w:val="26"/>
          <w:szCs w:val="26"/>
        </w:rPr>
      </w:pPr>
      <w:r w:rsidRPr="00B238F7">
        <w:rPr>
          <w:rFonts w:ascii="Times New Roman" w:hAnsi="Times New Roman" w:cs="Times New Roman"/>
          <w:sz w:val="26"/>
          <w:szCs w:val="26"/>
        </w:rPr>
        <w:t>On August 8, 2005, The Electricity Modernization Act of 2005, which is Title XII of the Energy Policy Act of 2005 (EPAct 2005), was enacted into law.</w:t>
      </w:r>
      <w:r w:rsidRPr="00B238F7">
        <w:rPr>
          <w:rFonts w:ascii="Times New Roman" w:hAnsi="Times New Roman" w:cs="Times New Roman"/>
          <w:sz w:val="26"/>
          <w:szCs w:val="26"/>
          <w:vertAlign w:val="superscript"/>
        </w:rPr>
        <w:footnoteReference w:id="3"/>
      </w:r>
      <w:r w:rsidRPr="00B238F7">
        <w:rPr>
          <w:rFonts w:ascii="Times New Roman" w:hAnsi="Times New Roman" w:cs="Times New Roman"/>
          <w:sz w:val="26"/>
          <w:szCs w:val="26"/>
        </w:rPr>
        <w:t xml:space="preserve">  Under section 215 of the Federal Power Act (FPA), the Commission requires a Commission-certified</w:t>
      </w:r>
      <w:r w:rsidR="00A3391C">
        <w:rPr>
          <w:rFonts w:ascii="Times New Roman" w:hAnsi="Times New Roman" w:cs="Times New Roman"/>
          <w:sz w:val="26"/>
          <w:szCs w:val="26"/>
        </w:rPr>
        <w:t xml:space="preserve"> Electric Reliability Organization</w:t>
      </w:r>
      <w:r w:rsidRPr="00B238F7">
        <w:rPr>
          <w:rFonts w:ascii="Times New Roman" w:hAnsi="Times New Roman" w:cs="Times New Roman"/>
          <w:sz w:val="26"/>
          <w:szCs w:val="26"/>
        </w:rPr>
        <w:t xml:space="preserve"> </w:t>
      </w:r>
      <w:r w:rsidR="00E558FD">
        <w:rPr>
          <w:rFonts w:ascii="Times New Roman" w:hAnsi="Times New Roman" w:cs="Times New Roman"/>
          <w:sz w:val="26"/>
          <w:szCs w:val="26"/>
        </w:rPr>
        <w:t>(</w:t>
      </w:r>
      <w:r w:rsidRPr="00B238F7">
        <w:rPr>
          <w:rFonts w:ascii="Times New Roman" w:hAnsi="Times New Roman" w:cs="Times New Roman"/>
          <w:sz w:val="26"/>
          <w:szCs w:val="26"/>
        </w:rPr>
        <w:t>ERO</w:t>
      </w:r>
      <w:r w:rsidR="00E558FD">
        <w:rPr>
          <w:rFonts w:ascii="Times New Roman" w:hAnsi="Times New Roman" w:cs="Times New Roman"/>
          <w:sz w:val="26"/>
          <w:szCs w:val="26"/>
        </w:rPr>
        <w:t>)</w:t>
      </w:r>
      <w:r w:rsidRPr="00B238F7">
        <w:rPr>
          <w:rFonts w:ascii="Times New Roman" w:hAnsi="Times New Roman" w:cs="Times New Roman"/>
          <w:sz w:val="26"/>
          <w:szCs w:val="26"/>
        </w:rPr>
        <w:t xml:space="preserve"> to develop mandatory and enforceable Reliability Standards</w:t>
      </w:r>
      <w:r w:rsidRPr="00B238F7">
        <w:rPr>
          <w:rFonts w:ascii="Times New Roman" w:hAnsi="Times New Roman" w:cs="Times New Roman"/>
          <w:sz w:val="26"/>
          <w:szCs w:val="26"/>
          <w:vertAlign w:val="superscript"/>
        </w:rPr>
        <w:footnoteReference w:id="4"/>
      </w:r>
      <w:r w:rsidRPr="00B238F7">
        <w:rPr>
          <w:rFonts w:ascii="Times New Roman" w:hAnsi="Times New Roman" w:cs="Times New Roman"/>
          <w:sz w:val="26"/>
          <w:szCs w:val="26"/>
        </w:rPr>
        <w:t xml:space="preserve">, which are subject to Commission review and approval.  In 2006, the Commission established a process to select and certify an ERO and, subsequently, certified </w:t>
      </w:r>
      <w:r w:rsidR="0019022B" w:rsidRPr="0019022B">
        <w:rPr>
          <w:rFonts w:ascii="Times New Roman" w:hAnsi="Times New Roman" w:cs="Times New Roman"/>
          <w:sz w:val="26"/>
          <w:szCs w:val="26"/>
        </w:rPr>
        <w:t xml:space="preserve">the </w:t>
      </w:r>
      <w:r w:rsidR="0019022B" w:rsidRPr="0019022B">
        <w:rPr>
          <w:rFonts w:ascii="Times New Roman" w:eastAsia="Calibri" w:hAnsi="Times New Roman" w:cs="Times New Roman"/>
          <w:sz w:val="26"/>
          <w:szCs w:val="26"/>
        </w:rPr>
        <w:t>North American Electric Reliability Corporation</w:t>
      </w:r>
      <w:r w:rsidR="0019022B" w:rsidRPr="00B238F7">
        <w:rPr>
          <w:rFonts w:ascii="Times New Roman" w:hAnsi="Times New Roman" w:cs="Times New Roman"/>
          <w:sz w:val="26"/>
          <w:szCs w:val="26"/>
        </w:rPr>
        <w:t xml:space="preserve"> </w:t>
      </w:r>
      <w:r w:rsidR="0019022B">
        <w:rPr>
          <w:rFonts w:ascii="Times New Roman" w:hAnsi="Times New Roman" w:cs="Times New Roman"/>
          <w:sz w:val="26"/>
          <w:szCs w:val="26"/>
        </w:rPr>
        <w:t>(</w:t>
      </w:r>
      <w:r w:rsidRPr="00B238F7">
        <w:rPr>
          <w:rFonts w:ascii="Times New Roman" w:hAnsi="Times New Roman" w:cs="Times New Roman"/>
          <w:sz w:val="26"/>
          <w:szCs w:val="26"/>
        </w:rPr>
        <w:t>NERC</w:t>
      </w:r>
      <w:r w:rsidR="0019022B">
        <w:rPr>
          <w:rFonts w:ascii="Times New Roman" w:hAnsi="Times New Roman" w:cs="Times New Roman"/>
          <w:sz w:val="26"/>
          <w:szCs w:val="26"/>
        </w:rPr>
        <w:t>)</w:t>
      </w:r>
      <w:r w:rsidRPr="00B238F7">
        <w:rPr>
          <w:rFonts w:ascii="Times New Roman" w:hAnsi="Times New Roman" w:cs="Times New Roman"/>
          <w:sz w:val="26"/>
          <w:szCs w:val="26"/>
        </w:rPr>
        <w:t xml:space="preserve"> as the ERO.</w:t>
      </w:r>
      <w:r w:rsidRPr="00B238F7">
        <w:rPr>
          <w:rFonts w:ascii="Times New Roman" w:hAnsi="Times New Roman" w:cs="Times New Roman"/>
          <w:sz w:val="26"/>
          <w:szCs w:val="26"/>
          <w:vertAlign w:val="superscript"/>
        </w:rPr>
        <w:footnoteReference w:id="5"/>
      </w:r>
      <w:r w:rsidRPr="00B238F7">
        <w:rPr>
          <w:rFonts w:ascii="Times New Roman" w:hAnsi="Times New Roman" w:cs="Times New Roman"/>
          <w:sz w:val="26"/>
          <w:szCs w:val="26"/>
          <w:vertAlign w:val="superscript"/>
        </w:rPr>
        <w:t xml:space="preserve"> </w:t>
      </w:r>
      <w:r w:rsidRPr="00B238F7">
        <w:rPr>
          <w:rFonts w:ascii="Times New Roman" w:hAnsi="Times New Roman" w:cs="Times New Roman"/>
          <w:sz w:val="26"/>
          <w:szCs w:val="26"/>
        </w:rPr>
        <w:t xml:space="preserve"> </w:t>
      </w:r>
    </w:p>
    <w:p w14:paraId="442ED548" w14:textId="77777777" w:rsidR="00446D30" w:rsidRDefault="00446D30" w:rsidP="00131F7E">
      <w:pPr>
        <w:spacing w:after="0" w:line="240" w:lineRule="auto"/>
        <w:rPr>
          <w:rFonts w:ascii="Times New Roman" w:hAnsi="Times New Roman" w:cs="Times New Roman"/>
          <w:sz w:val="26"/>
          <w:szCs w:val="26"/>
        </w:rPr>
      </w:pPr>
    </w:p>
    <w:p w14:paraId="5F04DF43" w14:textId="001010F4" w:rsidR="00041C06" w:rsidRDefault="00446D30" w:rsidP="00131F7E">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The ERO develops proposed Reliability Standards</w:t>
      </w:r>
      <w:r>
        <w:rPr>
          <w:rStyle w:val="FootnoteReference"/>
          <w:rFonts w:ascii="Times New Roman" w:hAnsi="Times New Roman" w:cs="Times New Roman"/>
          <w:sz w:val="26"/>
          <w:szCs w:val="26"/>
        </w:rPr>
        <w:footnoteReference w:id="6"/>
      </w:r>
      <w:r>
        <w:rPr>
          <w:rFonts w:ascii="Times New Roman" w:hAnsi="Times New Roman" w:cs="Times New Roman"/>
          <w:sz w:val="26"/>
          <w:szCs w:val="26"/>
        </w:rPr>
        <w:t xml:space="preserve"> and</w:t>
      </w:r>
      <w:r w:rsidR="0069063E">
        <w:rPr>
          <w:rFonts w:ascii="Times New Roman" w:hAnsi="Times New Roman" w:cs="Times New Roman"/>
          <w:sz w:val="26"/>
          <w:szCs w:val="26"/>
        </w:rPr>
        <w:t>,</w:t>
      </w:r>
      <w:r>
        <w:rPr>
          <w:rFonts w:ascii="Times New Roman" w:hAnsi="Times New Roman" w:cs="Times New Roman"/>
          <w:sz w:val="26"/>
          <w:szCs w:val="26"/>
        </w:rPr>
        <w:t xml:space="preserve"> </w:t>
      </w:r>
      <w:r w:rsidR="0069063E">
        <w:rPr>
          <w:rFonts w:ascii="Times New Roman" w:hAnsi="Times New Roman" w:cs="Times New Roman"/>
          <w:sz w:val="26"/>
          <w:szCs w:val="26"/>
        </w:rPr>
        <w:t xml:space="preserve">if approved by NERC, </w:t>
      </w:r>
      <w:r>
        <w:rPr>
          <w:rFonts w:ascii="Times New Roman" w:hAnsi="Times New Roman" w:cs="Times New Roman"/>
          <w:sz w:val="26"/>
          <w:szCs w:val="26"/>
        </w:rPr>
        <w:t xml:space="preserve">submits them to </w:t>
      </w:r>
      <w:r w:rsidR="0069063E">
        <w:rPr>
          <w:rFonts w:ascii="Times New Roman" w:hAnsi="Times New Roman" w:cs="Times New Roman"/>
          <w:sz w:val="26"/>
          <w:szCs w:val="26"/>
        </w:rPr>
        <w:t>the Commission</w:t>
      </w:r>
      <w:r>
        <w:rPr>
          <w:rFonts w:ascii="Times New Roman" w:hAnsi="Times New Roman" w:cs="Times New Roman"/>
          <w:sz w:val="26"/>
          <w:szCs w:val="26"/>
        </w:rPr>
        <w:t xml:space="preserve"> for review and approval.  If and when the</w:t>
      </w:r>
      <w:r w:rsidR="00976E64">
        <w:rPr>
          <w:rFonts w:ascii="Times New Roman" w:hAnsi="Times New Roman" w:cs="Times New Roman"/>
          <w:sz w:val="26"/>
          <w:szCs w:val="26"/>
        </w:rPr>
        <w:t xml:space="preserve"> standards </w:t>
      </w:r>
      <w:r>
        <w:rPr>
          <w:rFonts w:ascii="Times New Roman" w:hAnsi="Times New Roman" w:cs="Times New Roman"/>
          <w:sz w:val="26"/>
          <w:szCs w:val="26"/>
        </w:rPr>
        <w:t xml:space="preserve">are approved by </w:t>
      </w:r>
      <w:r w:rsidR="0069063E">
        <w:rPr>
          <w:rFonts w:ascii="Times New Roman" w:hAnsi="Times New Roman" w:cs="Times New Roman"/>
          <w:sz w:val="26"/>
          <w:szCs w:val="26"/>
        </w:rPr>
        <w:t>the Commission</w:t>
      </w:r>
      <w:r w:rsidRPr="00446D30">
        <w:rPr>
          <w:rFonts w:ascii="Times New Roman" w:hAnsi="Times New Roman" w:cs="Times New Roman"/>
          <w:sz w:val="26"/>
          <w:szCs w:val="26"/>
        </w:rPr>
        <w:t xml:space="preserve">, the Reliability Standards </w:t>
      </w:r>
      <w:r w:rsidR="00976E64">
        <w:rPr>
          <w:rFonts w:ascii="Times New Roman" w:hAnsi="Times New Roman" w:cs="Times New Roman"/>
          <w:sz w:val="26"/>
          <w:szCs w:val="26"/>
        </w:rPr>
        <w:t xml:space="preserve">become mandatory and </w:t>
      </w:r>
      <w:r w:rsidRPr="00446D30">
        <w:rPr>
          <w:rFonts w:ascii="Times New Roman" w:hAnsi="Times New Roman" w:cs="Times New Roman"/>
          <w:sz w:val="26"/>
          <w:szCs w:val="26"/>
        </w:rPr>
        <w:t xml:space="preserve">must be enforced by the ERO, subject to Commission oversight.  The Commission implements section 215 in 18 CFR 40.  </w:t>
      </w:r>
    </w:p>
    <w:p w14:paraId="6641FF05" w14:textId="77777777" w:rsidR="00041C06" w:rsidRDefault="00041C06" w:rsidP="00131F7E">
      <w:pPr>
        <w:spacing w:after="0" w:line="240" w:lineRule="auto"/>
        <w:rPr>
          <w:rFonts w:ascii="Times New Roman" w:hAnsi="Times New Roman" w:cs="Times New Roman"/>
          <w:sz w:val="26"/>
          <w:szCs w:val="26"/>
        </w:rPr>
      </w:pPr>
    </w:p>
    <w:p w14:paraId="21C775AA" w14:textId="2A4B86DD" w:rsidR="00B238F7" w:rsidRDefault="00B238F7" w:rsidP="001D1A89">
      <w:pPr>
        <w:spacing w:after="0" w:line="240" w:lineRule="auto"/>
        <w:rPr>
          <w:rFonts w:ascii="Times New Roman" w:hAnsi="Times New Roman" w:cs="Times New Roman"/>
          <w:sz w:val="26"/>
          <w:szCs w:val="26"/>
        </w:rPr>
      </w:pPr>
      <w:r w:rsidRPr="00B238F7">
        <w:rPr>
          <w:rFonts w:ascii="Times New Roman" w:hAnsi="Times New Roman" w:cs="Times New Roman"/>
          <w:sz w:val="26"/>
          <w:szCs w:val="26"/>
        </w:rPr>
        <w:t>In Order No. 693, the Commission approved 83 of 107 proposed Reliability Standards submitted by NERC</w:t>
      </w:r>
      <w:r w:rsidR="00D832F1">
        <w:rPr>
          <w:rFonts w:ascii="Times New Roman" w:hAnsi="Times New Roman" w:cs="Times New Roman"/>
          <w:sz w:val="26"/>
          <w:szCs w:val="26"/>
        </w:rPr>
        <w:t xml:space="preserve">; the information collection provisions of those </w:t>
      </w:r>
      <w:r w:rsidR="00B9793A">
        <w:rPr>
          <w:rFonts w:ascii="Times New Roman" w:hAnsi="Times New Roman" w:cs="Times New Roman"/>
          <w:sz w:val="26"/>
          <w:szCs w:val="26"/>
        </w:rPr>
        <w:t xml:space="preserve">original </w:t>
      </w:r>
      <w:r w:rsidR="00D832F1">
        <w:rPr>
          <w:rFonts w:ascii="Times New Roman" w:hAnsi="Times New Roman" w:cs="Times New Roman"/>
          <w:sz w:val="26"/>
          <w:szCs w:val="26"/>
        </w:rPr>
        <w:t>83 standards were</w:t>
      </w:r>
      <w:r w:rsidR="00CD6998">
        <w:rPr>
          <w:rFonts w:ascii="Times New Roman" w:hAnsi="Times New Roman" w:cs="Times New Roman"/>
          <w:sz w:val="26"/>
          <w:szCs w:val="26"/>
        </w:rPr>
        <w:t xml:space="preserve"> </w:t>
      </w:r>
      <w:r w:rsidR="00B9793A">
        <w:rPr>
          <w:rFonts w:ascii="Times New Roman" w:hAnsi="Times New Roman" w:cs="Times New Roman"/>
          <w:sz w:val="26"/>
          <w:szCs w:val="26"/>
        </w:rPr>
        <w:t>initial</w:t>
      </w:r>
      <w:r w:rsidR="00CD6998">
        <w:rPr>
          <w:rFonts w:ascii="Times New Roman" w:hAnsi="Times New Roman" w:cs="Times New Roman"/>
          <w:sz w:val="26"/>
          <w:szCs w:val="26"/>
        </w:rPr>
        <w:t>ly included under FERC-725A.</w:t>
      </w:r>
      <w:r w:rsidR="00B9793A">
        <w:rPr>
          <w:rFonts w:ascii="Times New Roman" w:hAnsi="Times New Roman" w:cs="Times New Roman"/>
          <w:sz w:val="26"/>
          <w:szCs w:val="26"/>
        </w:rPr>
        <w:t xml:space="preserve">  Since that time, various Reliability Standards have been re</w:t>
      </w:r>
      <w:r w:rsidR="00041C06">
        <w:rPr>
          <w:rFonts w:ascii="Times New Roman" w:hAnsi="Times New Roman" w:cs="Times New Roman"/>
          <w:sz w:val="26"/>
          <w:szCs w:val="26"/>
        </w:rPr>
        <w:t>tired, revised, or added</w:t>
      </w:r>
      <w:r w:rsidR="00446D30">
        <w:rPr>
          <w:rFonts w:ascii="Times New Roman" w:hAnsi="Times New Roman" w:cs="Times New Roman"/>
          <w:sz w:val="26"/>
          <w:szCs w:val="26"/>
        </w:rPr>
        <w:t xml:space="preserve"> (to FERC-725A or other Reliability information collection numbers)</w:t>
      </w:r>
      <w:r w:rsidR="00041C06">
        <w:rPr>
          <w:rFonts w:ascii="Times New Roman" w:hAnsi="Times New Roman" w:cs="Times New Roman"/>
          <w:sz w:val="26"/>
          <w:szCs w:val="26"/>
        </w:rPr>
        <w:t>, including standards in FERC-725Z.</w:t>
      </w:r>
      <w:r w:rsidR="001A45E9">
        <w:rPr>
          <w:rStyle w:val="FootnoteReference"/>
          <w:rFonts w:ascii="Times New Roman" w:hAnsi="Times New Roman" w:cs="Times New Roman"/>
          <w:sz w:val="26"/>
          <w:szCs w:val="26"/>
        </w:rPr>
        <w:footnoteReference w:id="7"/>
      </w:r>
    </w:p>
    <w:p w14:paraId="7BF9B3C6" w14:textId="77777777" w:rsidR="00B238F7" w:rsidRPr="00B238F7" w:rsidRDefault="00B238F7" w:rsidP="00B238F7">
      <w:pPr>
        <w:spacing w:after="0"/>
        <w:rPr>
          <w:rFonts w:ascii="Times New Roman" w:hAnsi="Times New Roman" w:cs="Times New Roman"/>
          <w:sz w:val="26"/>
          <w:szCs w:val="26"/>
        </w:rPr>
      </w:pPr>
    </w:p>
    <w:p w14:paraId="3572BBE6" w14:textId="4BF1C0F9" w:rsidR="00D1190C" w:rsidRPr="00D0606B" w:rsidRDefault="00C84C4D" w:rsidP="007D4839">
      <w:pPr>
        <w:spacing w:after="0"/>
        <w:rPr>
          <w:rFonts w:ascii="Times New Roman" w:hAnsi="Times New Roman" w:cs="Times New Roman"/>
          <w:b/>
          <w:sz w:val="26"/>
          <w:szCs w:val="26"/>
        </w:rPr>
      </w:pPr>
      <w:r w:rsidRPr="00D0606B">
        <w:rPr>
          <w:rFonts w:ascii="Times New Roman" w:hAnsi="Times New Roman" w:cs="Times New Roman"/>
          <w:b/>
          <w:sz w:val="26"/>
          <w:szCs w:val="26"/>
        </w:rPr>
        <w:t xml:space="preserve">A.  </w:t>
      </w:r>
      <w:r w:rsidRPr="00D0606B">
        <w:rPr>
          <w:rFonts w:ascii="Times New Roman" w:hAnsi="Times New Roman" w:cs="Times New Roman"/>
          <w:b/>
          <w:sz w:val="26"/>
          <w:szCs w:val="26"/>
          <w:u w:val="single"/>
        </w:rPr>
        <w:t>Justification</w:t>
      </w:r>
    </w:p>
    <w:p w14:paraId="0D9F41E5" w14:textId="77777777" w:rsidR="00480B05" w:rsidRPr="00D0606B" w:rsidRDefault="00480B05" w:rsidP="007D4839">
      <w:pPr>
        <w:spacing w:after="0"/>
        <w:rPr>
          <w:rFonts w:ascii="Times New Roman" w:hAnsi="Times New Roman" w:cs="Times New Roman"/>
          <w:sz w:val="26"/>
          <w:szCs w:val="26"/>
        </w:rPr>
      </w:pPr>
    </w:p>
    <w:p w14:paraId="31AFB1C7" w14:textId="77777777" w:rsidR="00480B05" w:rsidRPr="00D0606B" w:rsidRDefault="00480B05" w:rsidP="00480B05">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CIRCUMSTANCES THAT MAKE THE COLLECTION OF INFORMATION NECESSARY</w:t>
      </w:r>
    </w:p>
    <w:p w14:paraId="70262049" w14:textId="77777777" w:rsidR="00B9793A" w:rsidRDefault="00B9793A" w:rsidP="00B9793A">
      <w:pPr>
        <w:spacing w:after="0"/>
        <w:rPr>
          <w:rFonts w:ascii="Times New Roman" w:hAnsi="Times New Roman" w:cs="Times New Roman"/>
          <w:sz w:val="26"/>
          <w:szCs w:val="26"/>
        </w:rPr>
      </w:pPr>
    </w:p>
    <w:p w14:paraId="7F85DB03" w14:textId="545FBA73" w:rsidR="00E959B4" w:rsidRPr="00E959B4" w:rsidRDefault="00E959B4" w:rsidP="001D1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Calibri" w:hAnsi="Times New Roman" w:cs="Times New Roman"/>
          <w:sz w:val="26"/>
          <w:szCs w:val="26"/>
        </w:rPr>
      </w:pPr>
      <w:r w:rsidRPr="00E959B4">
        <w:rPr>
          <w:rFonts w:ascii="Times New Roman" w:eastAsia="Calibri" w:hAnsi="Times New Roman" w:cs="Times New Roman"/>
          <w:color w:val="000000"/>
          <w:sz w:val="26"/>
          <w:szCs w:val="26"/>
        </w:rPr>
        <w:t xml:space="preserve">In a joint petition dated May 30, 2019, </w:t>
      </w:r>
      <w:r w:rsidRPr="00E959B4">
        <w:rPr>
          <w:rFonts w:ascii="Times New Roman" w:eastAsia="Calibri" w:hAnsi="Times New Roman" w:cs="Times New Roman"/>
          <w:sz w:val="26"/>
          <w:szCs w:val="26"/>
        </w:rPr>
        <w:t>the North American Electric Reliability Corporation (“NERC”) and Western Electricity Coordinating Council (“WECC”) requested Commission approval for proposed Reliability Standard IRO-002-6 (Reliability Coordination, Monitoring and Analysis).  NERC and WECC stated that the “proposed Reliability Standard IRO-002-6 reflects the addition of a regional Variance containing additional requirements applicable to Reliability Coordinators providing service to entities in the Western Interconnection” and “none of the continent-wide requirements have been changed from currently effective Reliability Standard IRO-002-5.”</w:t>
      </w:r>
      <w:r w:rsidRPr="00E959B4">
        <w:rPr>
          <w:rFonts w:ascii="Times New Roman" w:eastAsia="Calibri" w:hAnsi="Times New Roman" w:cs="Times New Roman"/>
          <w:b/>
          <w:sz w:val="26"/>
          <w:szCs w:val="26"/>
          <w:vertAlign w:val="superscript"/>
        </w:rPr>
        <w:footnoteReference w:id="8"/>
      </w:r>
      <w:r w:rsidRPr="00E959B4">
        <w:rPr>
          <w:rFonts w:ascii="Times New Roman" w:eastAsia="Calibri" w:hAnsi="Times New Roman" w:cs="Times New Roman"/>
          <w:sz w:val="26"/>
          <w:szCs w:val="26"/>
        </w:rPr>
        <w:t xml:space="preserve">  </w:t>
      </w:r>
    </w:p>
    <w:p w14:paraId="499EA213" w14:textId="77777777" w:rsidR="00B9793A" w:rsidRPr="00B9793A" w:rsidRDefault="00B9793A" w:rsidP="00B9793A">
      <w:pPr>
        <w:spacing w:after="0"/>
        <w:rPr>
          <w:rFonts w:ascii="Times New Roman" w:hAnsi="Times New Roman" w:cs="Times New Roman"/>
          <w:sz w:val="26"/>
          <w:szCs w:val="26"/>
        </w:rPr>
      </w:pPr>
    </w:p>
    <w:p w14:paraId="2BA90143" w14:textId="77777777" w:rsidR="00480B05" w:rsidRPr="00D0606B" w:rsidRDefault="0091117A" w:rsidP="0091117A">
      <w:pPr>
        <w:pStyle w:val="ListParagraph"/>
        <w:numPr>
          <w:ilvl w:val="0"/>
          <w:numId w:val="1"/>
        </w:numPr>
        <w:spacing w:after="0"/>
        <w:rPr>
          <w:rFonts w:ascii="Times New Roman" w:hAnsi="Times New Roman" w:cs="Times New Roman"/>
          <w:b/>
          <w:sz w:val="26"/>
          <w:szCs w:val="26"/>
        </w:rPr>
      </w:pPr>
      <w:r w:rsidRPr="00D0606B">
        <w:rPr>
          <w:rFonts w:ascii="Times New Roman" w:hAnsi="Times New Roman" w:cs="Times New Roman"/>
          <w:b/>
          <w:sz w:val="26"/>
          <w:szCs w:val="26"/>
        </w:rPr>
        <w:t>HOW, BY WHOM, AND FOR WHAT PURPOSE THE INFORMATION IS TO BE USED AND THE CONSEQUENCES OF NOT COLLECTING THE INFORMATION</w:t>
      </w:r>
    </w:p>
    <w:p w14:paraId="0DA2417B" w14:textId="77777777" w:rsidR="00F3604E" w:rsidRPr="00D0606B" w:rsidRDefault="00F3604E" w:rsidP="0091117A">
      <w:pPr>
        <w:spacing w:after="0" w:line="240" w:lineRule="auto"/>
        <w:rPr>
          <w:rFonts w:ascii="Times New Roman" w:hAnsi="Times New Roman" w:cs="Times New Roman"/>
          <w:sz w:val="26"/>
          <w:szCs w:val="26"/>
        </w:rPr>
      </w:pPr>
    </w:p>
    <w:p w14:paraId="24B6D2DE" w14:textId="1484E9C6" w:rsidR="0091117A" w:rsidRPr="00D0606B" w:rsidDel="00A12F2C" w:rsidRDefault="0091117A" w:rsidP="0091117A">
      <w:pPr>
        <w:spacing w:after="0" w:line="240" w:lineRule="auto"/>
        <w:rPr>
          <w:rFonts w:ascii="Times New Roman" w:hAnsi="Times New Roman" w:cs="Times New Roman"/>
          <w:sz w:val="26"/>
          <w:szCs w:val="26"/>
        </w:rPr>
      </w:pPr>
      <w:r w:rsidRPr="00D0606B" w:rsidDel="00A12F2C">
        <w:rPr>
          <w:rFonts w:ascii="Times New Roman" w:hAnsi="Times New Roman" w:cs="Times New Roman"/>
          <w:sz w:val="26"/>
          <w:szCs w:val="26"/>
        </w:rPr>
        <w:t xml:space="preserve">In general, information collection and record retention requirements related to Reliability Standards are not submitted to, or retained for audit by, </w:t>
      </w:r>
      <w:r w:rsidR="00993963">
        <w:rPr>
          <w:rFonts w:ascii="Times New Roman" w:hAnsi="Times New Roman" w:cs="Times New Roman"/>
          <w:sz w:val="26"/>
          <w:szCs w:val="26"/>
        </w:rPr>
        <w:t>the Commission</w:t>
      </w:r>
      <w:r w:rsidRPr="00D0606B" w:rsidDel="00A12F2C">
        <w:rPr>
          <w:rFonts w:ascii="Times New Roman" w:hAnsi="Times New Roman" w:cs="Times New Roman"/>
          <w:sz w:val="26"/>
          <w:szCs w:val="26"/>
        </w:rPr>
        <w:t xml:space="preserve">.  Rather they are submitted to, or retained for audit by, NERC </w:t>
      </w:r>
      <w:r w:rsidR="00993963">
        <w:rPr>
          <w:rFonts w:ascii="Times New Roman" w:hAnsi="Times New Roman" w:cs="Times New Roman"/>
          <w:sz w:val="26"/>
          <w:szCs w:val="26"/>
        </w:rPr>
        <w:t xml:space="preserve">(the Commission-approved ERO) </w:t>
      </w:r>
      <w:r w:rsidRPr="00D0606B" w:rsidDel="00A12F2C">
        <w:rPr>
          <w:rFonts w:ascii="Times New Roman" w:hAnsi="Times New Roman" w:cs="Times New Roman"/>
          <w:sz w:val="26"/>
          <w:szCs w:val="26"/>
        </w:rPr>
        <w:t>or the Compliance Enforcement Authority, as specified in each individual Reliability Standard.</w:t>
      </w:r>
    </w:p>
    <w:p w14:paraId="14C4578E" w14:textId="4AF9D501" w:rsidR="0091117A" w:rsidRDefault="0091117A" w:rsidP="0091117A">
      <w:pPr>
        <w:spacing w:after="0"/>
        <w:rPr>
          <w:rFonts w:ascii="Times New Roman" w:hAnsi="Times New Roman" w:cs="Times New Roman"/>
          <w:b/>
          <w:sz w:val="26"/>
          <w:szCs w:val="26"/>
        </w:rPr>
      </w:pPr>
    </w:p>
    <w:p w14:paraId="6D6D6565" w14:textId="7E29DEAD" w:rsidR="00847A90" w:rsidRDefault="002A6A4A" w:rsidP="0091117A">
      <w:pPr>
        <w:spacing w:after="0"/>
        <w:rPr>
          <w:rFonts w:ascii="Times New Roman" w:hAnsi="Times New Roman" w:cs="Times New Roman"/>
          <w:sz w:val="26"/>
          <w:szCs w:val="26"/>
        </w:rPr>
      </w:pPr>
      <w:r>
        <w:rPr>
          <w:rFonts w:ascii="Times New Roman" w:hAnsi="Times New Roman" w:cs="Times New Roman"/>
          <w:sz w:val="26"/>
          <w:szCs w:val="26"/>
        </w:rPr>
        <w:t>I</w:t>
      </w:r>
      <w:r w:rsidR="00847A90" w:rsidRPr="007F19B6">
        <w:rPr>
          <w:rFonts w:ascii="Times New Roman" w:hAnsi="Times New Roman" w:cs="Times New Roman"/>
          <w:sz w:val="26"/>
          <w:szCs w:val="26"/>
        </w:rPr>
        <w:t>n its Petition</w:t>
      </w:r>
      <w:r w:rsidR="00847A90">
        <w:rPr>
          <w:rFonts w:ascii="Times New Roman" w:hAnsi="Times New Roman" w:cs="Times New Roman"/>
          <w:sz w:val="26"/>
          <w:szCs w:val="26"/>
        </w:rPr>
        <w:t xml:space="preserve"> dated May 30, 2019</w:t>
      </w:r>
      <w:r w:rsidR="00847A90">
        <w:rPr>
          <w:rStyle w:val="FootnoteReference"/>
          <w:rFonts w:ascii="Times New Roman" w:hAnsi="Times New Roman" w:cs="Times New Roman"/>
          <w:sz w:val="26"/>
          <w:szCs w:val="26"/>
        </w:rPr>
        <w:footnoteReference w:id="9"/>
      </w:r>
      <w:r w:rsidR="00847A90">
        <w:rPr>
          <w:rFonts w:ascii="Times New Roman" w:hAnsi="Times New Roman" w:cs="Times New Roman"/>
          <w:sz w:val="26"/>
          <w:szCs w:val="26"/>
        </w:rPr>
        <w:t xml:space="preserve"> (footnote</w:t>
      </w:r>
      <w:r w:rsidR="001367D2">
        <w:rPr>
          <w:rFonts w:ascii="Times New Roman" w:hAnsi="Times New Roman" w:cs="Times New Roman"/>
          <w:sz w:val="26"/>
          <w:szCs w:val="26"/>
        </w:rPr>
        <w:t>s</w:t>
      </w:r>
      <w:r w:rsidR="00847A90">
        <w:rPr>
          <w:rFonts w:ascii="Times New Roman" w:hAnsi="Times New Roman" w:cs="Times New Roman"/>
          <w:sz w:val="26"/>
          <w:szCs w:val="26"/>
        </w:rPr>
        <w:t xml:space="preserve"> omitted),</w:t>
      </w:r>
      <w:r>
        <w:rPr>
          <w:rFonts w:ascii="Times New Roman" w:hAnsi="Times New Roman" w:cs="Times New Roman"/>
          <w:sz w:val="26"/>
          <w:szCs w:val="26"/>
        </w:rPr>
        <w:t xml:space="preserve"> NERC includes the following information.</w:t>
      </w:r>
    </w:p>
    <w:p w14:paraId="3E573E4B" w14:textId="77777777" w:rsidR="00847A90" w:rsidRPr="007F19B6" w:rsidRDefault="00847A90" w:rsidP="0091117A">
      <w:pPr>
        <w:spacing w:after="0"/>
        <w:rPr>
          <w:rFonts w:ascii="Times New Roman" w:hAnsi="Times New Roman" w:cs="Times New Roman"/>
          <w:sz w:val="26"/>
          <w:szCs w:val="26"/>
        </w:rPr>
      </w:pPr>
    </w:p>
    <w:p w14:paraId="133CED15" w14:textId="0FB17739" w:rsidR="0021415A" w:rsidRDefault="002A6A4A" w:rsidP="00847A90">
      <w:pPr>
        <w:spacing w:after="0"/>
        <w:ind w:left="720"/>
        <w:rPr>
          <w:rFonts w:ascii="Times New Roman" w:hAnsi="Times New Roman" w:cs="Times New Roman"/>
          <w:sz w:val="26"/>
          <w:szCs w:val="26"/>
        </w:rPr>
      </w:pPr>
      <w:r>
        <w:rPr>
          <w:rFonts w:ascii="Times New Roman" w:hAnsi="Times New Roman" w:cs="Times New Roman"/>
          <w:sz w:val="26"/>
          <w:szCs w:val="26"/>
        </w:rPr>
        <w:t>“</w:t>
      </w:r>
      <w:r w:rsidR="00847A90" w:rsidRPr="007F19B6">
        <w:rPr>
          <w:rFonts w:ascii="Times New Roman" w:hAnsi="Times New Roman" w:cs="Times New Roman"/>
          <w:sz w:val="26"/>
          <w:szCs w:val="26"/>
        </w:rPr>
        <w:t>Proposed Reliability Standard IRO-002-6 reflects the addition of a regional Variance containing additional requirements applicable to Reliability Coordinators providing service to entities in the Western Interconnection. None of the continent-wide requirements have been changed from currently effective Reliability Standard IRO-002-5.</w:t>
      </w:r>
    </w:p>
    <w:p w14:paraId="60666B56" w14:textId="77777777" w:rsidR="00380F9E" w:rsidRDefault="00380F9E" w:rsidP="00847A90">
      <w:pPr>
        <w:spacing w:after="0"/>
        <w:ind w:left="720"/>
        <w:rPr>
          <w:rFonts w:ascii="Times New Roman" w:hAnsi="Times New Roman" w:cs="Times New Roman"/>
          <w:sz w:val="26"/>
          <w:szCs w:val="26"/>
        </w:rPr>
      </w:pPr>
    </w:p>
    <w:p w14:paraId="57A96E68" w14:textId="3396A529" w:rsidR="0021415A" w:rsidRDefault="0021415A" w:rsidP="0021415A">
      <w:pPr>
        <w:spacing w:after="0"/>
        <w:ind w:left="720"/>
        <w:rPr>
          <w:rFonts w:ascii="Times New Roman" w:hAnsi="Times New Roman" w:cs="Times New Roman"/>
          <w:sz w:val="26"/>
          <w:szCs w:val="26"/>
        </w:rPr>
      </w:pPr>
      <w:r w:rsidRPr="0021415A">
        <w:rPr>
          <w:rFonts w:ascii="Times New Roman" w:hAnsi="Times New Roman" w:cs="Times New Roman"/>
          <w:sz w:val="26"/>
          <w:szCs w:val="26"/>
        </w:rPr>
        <w:t>At present, only one Reliability Coordinator, Peak Reliability, provides services in the Western Interconnection (excepting Alberta). In July 2018, Peak Reliability announced that it would cease operations at the end of December 2019. Over the course of 2018 and 2019, several entities have indicated that they will seek certification to perform the Reliability Coordinator function in their respective footprints in the Western Interconnection.</w:t>
      </w:r>
    </w:p>
    <w:p w14:paraId="354ADE47" w14:textId="77777777" w:rsidR="009D4C32" w:rsidRPr="0021415A" w:rsidRDefault="009D4C32" w:rsidP="0021415A">
      <w:pPr>
        <w:spacing w:after="0"/>
        <w:ind w:left="720"/>
        <w:rPr>
          <w:rFonts w:ascii="Times New Roman" w:hAnsi="Times New Roman" w:cs="Times New Roman"/>
          <w:sz w:val="26"/>
          <w:szCs w:val="26"/>
        </w:rPr>
      </w:pPr>
    </w:p>
    <w:p w14:paraId="0735AC7B" w14:textId="5760DBE5" w:rsidR="009D4C32" w:rsidRDefault="0021415A" w:rsidP="009D4C32">
      <w:pPr>
        <w:spacing w:after="0"/>
        <w:ind w:left="720"/>
        <w:rPr>
          <w:rFonts w:ascii="Times New Roman" w:hAnsi="Times New Roman" w:cs="Times New Roman"/>
          <w:sz w:val="26"/>
          <w:szCs w:val="26"/>
        </w:rPr>
      </w:pPr>
      <w:r w:rsidRPr="0021415A">
        <w:rPr>
          <w:rFonts w:ascii="Times New Roman" w:hAnsi="Times New Roman" w:cs="Times New Roman"/>
          <w:sz w:val="26"/>
          <w:szCs w:val="26"/>
        </w:rPr>
        <w:t>As the Western Interconnection prepares to transition to an environment in which more than one Reliability Coordinator will be providing services, focused coordination of these Reliability Coordinators will be of critical importance. To promote coordination among these Reliability Coordinators and help ensure reliability in the Western Interconnection, WECC</w:t>
      </w:r>
      <w:r w:rsidR="002A6A4A">
        <w:rPr>
          <w:rFonts w:ascii="Times New Roman" w:hAnsi="Times New Roman" w:cs="Times New Roman"/>
          <w:sz w:val="26"/>
          <w:szCs w:val="26"/>
        </w:rPr>
        <w:t xml:space="preserve"> </w:t>
      </w:r>
      <w:r w:rsidR="009D4C32" w:rsidRPr="009D4C32">
        <w:rPr>
          <w:rFonts w:ascii="Times New Roman" w:hAnsi="Times New Roman" w:cs="Times New Roman"/>
          <w:sz w:val="26"/>
          <w:szCs w:val="26"/>
        </w:rPr>
        <w:t>developed the proposed regional Variance reflected in proposed Reliability Standard IRO-002-6. The WECC Variance consists of two new requirements in the IRO-002 Reliability Standard. These requirements provide that each Reliability Coordinator providing services in the Western Interconnection shall: (1) coordinate with other Reliability Coordinators to develop a common Western Interconnection-wide method to determine the modeling and monitoring of elements necessary for providing situational awareness; and (2) use the common method.</w:t>
      </w:r>
    </w:p>
    <w:p w14:paraId="2BD632F6" w14:textId="77777777" w:rsidR="009D4C32" w:rsidRPr="009D4C32" w:rsidRDefault="009D4C32" w:rsidP="009D4C32">
      <w:pPr>
        <w:spacing w:after="0"/>
        <w:ind w:left="720"/>
        <w:rPr>
          <w:rFonts w:ascii="Times New Roman" w:hAnsi="Times New Roman" w:cs="Times New Roman"/>
          <w:sz w:val="26"/>
          <w:szCs w:val="26"/>
        </w:rPr>
      </w:pPr>
    </w:p>
    <w:p w14:paraId="7625FB55" w14:textId="5559EDD2" w:rsidR="0021415A" w:rsidRPr="007F19B6" w:rsidRDefault="009D4C32" w:rsidP="007F19B6">
      <w:pPr>
        <w:spacing w:after="0"/>
        <w:ind w:left="720"/>
        <w:rPr>
          <w:rFonts w:ascii="Times New Roman" w:hAnsi="Times New Roman" w:cs="Times New Roman"/>
          <w:sz w:val="26"/>
          <w:szCs w:val="26"/>
        </w:rPr>
      </w:pPr>
      <w:r w:rsidRPr="009D4C32">
        <w:rPr>
          <w:rFonts w:ascii="Times New Roman" w:hAnsi="Times New Roman" w:cs="Times New Roman"/>
          <w:sz w:val="26"/>
          <w:szCs w:val="26"/>
        </w:rPr>
        <w:t>The regional Variance reflected in proposed Reliability Standard IRO-002-6 would help ensure coordination and consistency between multiple Reliability Coordinators operating within the Western Interconnection in 2020 and beyond. The regional Variance adds requirements beyond those required by the continent-wide Reliability Standard and is necessary for reliability in the Western Interconnection.</w:t>
      </w:r>
      <w:r w:rsidR="002A6A4A">
        <w:rPr>
          <w:rFonts w:ascii="Times New Roman" w:hAnsi="Times New Roman" w:cs="Times New Roman"/>
          <w:sz w:val="26"/>
          <w:szCs w:val="26"/>
        </w:rPr>
        <w:t>”</w:t>
      </w:r>
    </w:p>
    <w:p w14:paraId="77000A10" w14:textId="77777777" w:rsidR="00993963" w:rsidRPr="000859F1" w:rsidRDefault="00993963" w:rsidP="00993963">
      <w:pPr>
        <w:spacing w:after="0"/>
        <w:rPr>
          <w:rFonts w:ascii="Times New Roman" w:hAnsi="Times New Roman" w:cs="Times New Roman"/>
          <w:sz w:val="26"/>
          <w:szCs w:val="26"/>
        </w:rPr>
      </w:pPr>
    </w:p>
    <w:p w14:paraId="414D2037" w14:textId="77777777" w:rsidR="0091117A" w:rsidRPr="00D0606B" w:rsidRDefault="0091117A" w:rsidP="0091117A">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ANY CONSIDERATION OF THE USE OF IMPROVED INFORMATION TECHNOLOGY TO REDUCE THE BURDEN AND TECHNICAL OR LEGAL OBSTACLES TO REDUCING BURDEN</w:t>
      </w:r>
    </w:p>
    <w:p w14:paraId="46D9C65B" w14:textId="393A4712" w:rsidR="0091117A" w:rsidRPr="00D0606B" w:rsidRDefault="0091117A" w:rsidP="0091117A">
      <w:pPr>
        <w:spacing w:after="0" w:line="240" w:lineRule="auto"/>
        <w:rPr>
          <w:rFonts w:ascii="Times New Roman" w:hAnsi="Times New Roman" w:cs="Times New Roman"/>
          <w:b/>
          <w:sz w:val="26"/>
          <w:szCs w:val="26"/>
        </w:rPr>
      </w:pPr>
    </w:p>
    <w:p w14:paraId="2B9B6BE0" w14:textId="3C36472A" w:rsidR="00E52A6D" w:rsidRPr="00D0606B" w:rsidRDefault="0091117A" w:rsidP="0091117A">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use of current or improved technology and the medium are not covered in Reliability Standards</w:t>
      </w:r>
      <w:r w:rsidR="00D0606B" w:rsidRPr="00D0606B">
        <w:rPr>
          <w:rFonts w:ascii="Times New Roman" w:hAnsi="Times New Roman" w:cs="Times New Roman"/>
          <w:sz w:val="26"/>
          <w:szCs w:val="26"/>
        </w:rPr>
        <w:t>.</w:t>
      </w:r>
      <w:r w:rsidRPr="00D0606B">
        <w:rPr>
          <w:rFonts w:ascii="Times New Roman" w:hAnsi="Times New Roman" w:cs="Times New Roman"/>
          <w:sz w:val="26"/>
          <w:szCs w:val="26"/>
        </w:rPr>
        <w:t xml:space="preserve"> </w:t>
      </w:r>
    </w:p>
    <w:p w14:paraId="0486298D" w14:textId="77777777" w:rsidR="008A35C5" w:rsidRPr="00D0606B" w:rsidRDefault="008A35C5" w:rsidP="0091117A">
      <w:pPr>
        <w:spacing w:after="0" w:line="240" w:lineRule="auto"/>
        <w:rPr>
          <w:rFonts w:ascii="Times New Roman" w:hAnsi="Times New Roman" w:cs="Times New Roman"/>
          <w:sz w:val="26"/>
          <w:szCs w:val="26"/>
        </w:rPr>
      </w:pPr>
    </w:p>
    <w:p w14:paraId="29F4AA0A" w14:textId="7AB06ECA" w:rsidR="008A35C5" w:rsidRPr="00D0606B" w:rsidRDefault="008A35C5" w:rsidP="0091117A">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We think that nearly all of the respondents are likely to make and keep related records in an electronic format.  Each of the </w:t>
      </w:r>
      <w:r w:rsidR="000F3293">
        <w:rPr>
          <w:rFonts w:ascii="Times New Roman" w:hAnsi="Times New Roman" w:cs="Times New Roman"/>
          <w:sz w:val="26"/>
          <w:szCs w:val="26"/>
        </w:rPr>
        <w:t>six</w:t>
      </w:r>
      <w:r w:rsidR="000F3293" w:rsidRPr="00D0606B">
        <w:rPr>
          <w:rFonts w:ascii="Times New Roman" w:hAnsi="Times New Roman" w:cs="Times New Roman"/>
          <w:sz w:val="26"/>
          <w:szCs w:val="26"/>
        </w:rPr>
        <w:t xml:space="preserve"> </w:t>
      </w:r>
      <w:r w:rsidRPr="00D0606B">
        <w:rPr>
          <w:rFonts w:ascii="Times New Roman" w:hAnsi="Times New Roman" w:cs="Times New Roman"/>
          <w:sz w:val="26"/>
          <w:szCs w:val="26"/>
        </w:rPr>
        <w:t>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w:t>
      </w:r>
    </w:p>
    <w:p w14:paraId="2A2C14BB" w14:textId="77777777" w:rsidR="00E52A6D" w:rsidRPr="00D0606B" w:rsidRDefault="00E52A6D" w:rsidP="0091117A">
      <w:pPr>
        <w:spacing w:after="0" w:line="240" w:lineRule="auto"/>
        <w:rPr>
          <w:rFonts w:ascii="Times New Roman" w:hAnsi="Times New Roman" w:cs="Times New Roman"/>
          <w:sz w:val="26"/>
          <w:szCs w:val="26"/>
        </w:rPr>
      </w:pPr>
    </w:p>
    <w:p w14:paraId="78240E44" w14:textId="77777777" w:rsidR="00E52A6D" w:rsidRPr="00D0606B" w:rsidRDefault="00E52A6D" w:rsidP="0091117A">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In general, the Commission supports the use of information technology to reduce burden.</w:t>
      </w:r>
    </w:p>
    <w:p w14:paraId="1A4439B8" w14:textId="77777777" w:rsidR="008A35C5" w:rsidRPr="00D0606B" w:rsidRDefault="008A35C5" w:rsidP="0091117A">
      <w:pPr>
        <w:spacing w:after="0" w:line="240" w:lineRule="auto"/>
        <w:rPr>
          <w:rFonts w:ascii="Times New Roman" w:hAnsi="Times New Roman" w:cs="Times New Roman"/>
          <w:sz w:val="26"/>
          <w:szCs w:val="26"/>
        </w:rPr>
      </w:pPr>
    </w:p>
    <w:p w14:paraId="46671ACA" w14:textId="77777777" w:rsidR="0091117A" w:rsidRPr="00D0606B" w:rsidRDefault="0091117A" w:rsidP="0091117A">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7C7B9424" w14:textId="77777777" w:rsidR="0091117A" w:rsidRPr="00D0606B" w:rsidRDefault="0091117A" w:rsidP="0091117A">
      <w:pPr>
        <w:spacing w:after="0" w:line="240" w:lineRule="auto"/>
        <w:rPr>
          <w:rFonts w:ascii="Times New Roman" w:hAnsi="Times New Roman" w:cs="Times New Roman"/>
          <w:sz w:val="26"/>
          <w:szCs w:val="26"/>
        </w:rPr>
      </w:pPr>
    </w:p>
    <w:p w14:paraId="2BEF2456" w14:textId="2383884C" w:rsidR="008A35C5" w:rsidRPr="00D0606B" w:rsidRDefault="008A35C5" w:rsidP="008A35C5">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Filing requirements are periodically reviewed as OMB review dates arise or as the Commission may deem necessary in carrying out its regulatory responsibilities</w:t>
      </w:r>
      <w:r w:rsidRPr="00D0606B">
        <w:rPr>
          <w:rFonts w:ascii="Times New Roman" w:eastAsia="Calibri" w:hAnsi="Times New Roman" w:cs="Times New Roman"/>
          <w:sz w:val="26"/>
          <w:szCs w:val="26"/>
        </w:rPr>
        <w:t xml:space="preserve"> </w:t>
      </w:r>
      <w:r w:rsidRPr="00D0606B">
        <w:rPr>
          <w:rFonts w:ascii="Times New Roman" w:hAnsi="Times New Roman" w:cs="Times New Roman"/>
          <w:sz w:val="26"/>
          <w:szCs w:val="26"/>
        </w:rPr>
        <w:t xml:space="preserve">under the FPA </w:t>
      </w:r>
      <w:r w:rsidR="00313836" w:rsidRPr="00D0606B">
        <w:rPr>
          <w:rFonts w:ascii="Times New Roman" w:hAnsi="Times New Roman" w:cs="Times New Roman"/>
          <w:sz w:val="26"/>
          <w:szCs w:val="26"/>
        </w:rPr>
        <w:t>to</w:t>
      </w:r>
      <w:r w:rsidRPr="00D0606B">
        <w:rPr>
          <w:rFonts w:ascii="Times New Roman" w:hAnsi="Times New Roman" w:cs="Times New Roman"/>
          <w:sz w:val="26"/>
          <w:szCs w:val="26"/>
        </w:rPr>
        <w:t xml:space="preserve"> eliminate duplication and ensure that filing burden is minimized. There are no similar sources for information available that can be used or modified for these reporting purposes. </w:t>
      </w:r>
    </w:p>
    <w:p w14:paraId="1051C971" w14:textId="77777777" w:rsidR="008A35C5" w:rsidRPr="00D0606B" w:rsidRDefault="008A35C5" w:rsidP="0091117A">
      <w:pPr>
        <w:spacing w:after="0" w:line="240" w:lineRule="auto"/>
        <w:rPr>
          <w:rFonts w:ascii="Times New Roman" w:hAnsi="Times New Roman" w:cs="Times New Roman"/>
          <w:sz w:val="26"/>
          <w:szCs w:val="26"/>
        </w:rPr>
      </w:pPr>
    </w:p>
    <w:p w14:paraId="2CA9B17E" w14:textId="77777777" w:rsidR="00D05969" w:rsidRPr="00D0606B" w:rsidRDefault="00D05969" w:rsidP="00D05969">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METHODS USED TO MINIMIZE THE BURDEN IN COLLECTION OF INFORMATION INVOLVING SMALL ENTITIES</w:t>
      </w:r>
    </w:p>
    <w:p w14:paraId="050B0685" w14:textId="77777777" w:rsidR="0091117A" w:rsidRDefault="0091117A" w:rsidP="0091117A">
      <w:pPr>
        <w:spacing w:after="0" w:line="240" w:lineRule="auto"/>
        <w:rPr>
          <w:rFonts w:ascii="Times New Roman" w:hAnsi="Times New Roman" w:cs="Times New Roman"/>
          <w:sz w:val="26"/>
          <w:szCs w:val="26"/>
        </w:rPr>
      </w:pPr>
    </w:p>
    <w:p w14:paraId="3726C17D" w14:textId="249DA7F0" w:rsidR="00F00E11" w:rsidRDefault="00F00E11" w:rsidP="0091117A">
      <w:pPr>
        <w:spacing w:after="0" w:line="240" w:lineRule="auto"/>
        <w:rPr>
          <w:rFonts w:ascii="Times New Roman" w:hAnsi="Times New Roman" w:cs="Times New Roman"/>
          <w:sz w:val="26"/>
          <w:szCs w:val="26"/>
        </w:rPr>
      </w:pPr>
      <w:r w:rsidRPr="00F00E11">
        <w:rPr>
          <w:rFonts w:ascii="Times New Roman" w:hAnsi="Times New Roman" w:cs="Times New Roman"/>
          <w:sz w:val="26"/>
          <w:szCs w:val="26"/>
        </w:rPr>
        <w:t xml:space="preserve">In general, small entities may reduce their burden by taking part in a joint registration organization or a coordinated functional registration.  These options allow a small entity to share the compliance burden with other entities and, thus, to minimize their own compliance burden. </w:t>
      </w:r>
      <w:r w:rsidR="00C55D90">
        <w:rPr>
          <w:rFonts w:ascii="Times New Roman" w:hAnsi="Times New Roman" w:cs="Times New Roman"/>
          <w:sz w:val="26"/>
          <w:szCs w:val="26"/>
        </w:rPr>
        <w:t xml:space="preserve"> </w:t>
      </w:r>
      <w:r w:rsidRPr="00F00E11">
        <w:rPr>
          <w:rFonts w:ascii="Times New Roman" w:hAnsi="Times New Roman" w:cs="Times New Roman"/>
          <w:sz w:val="26"/>
          <w:szCs w:val="26"/>
        </w:rPr>
        <w:t>Detailed information regarding these options is available in NERC’s Rule of Procedure at Sections 507 and 508.</w:t>
      </w:r>
      <w:r>
        <w:rPr>
          <w:rStyle w:val="FootnoteReference"/>
          <w:rFonts w:ascii="Times New Roman" w:hAnsi="Times New Roman" w:cs="Times New Roman"/>
          <w:sz w:val="26"/>
          <w:szCs w:val="26"/>
        </w:rPr>
        <w:footnoteReference w:id="10"/>
      </w:r>
    </w:p>
    <w:p w14:paraId="4F40791B" w14:textId="7772CF41" w:rsidR="00313836" w:rsidRDefault="00313836" w:rsidP="0091117A">
      <w:pPr>
        <w:spacing w:after="0" w:line="240" w:lineRule="auto"/>
        <w:rPr>
          <w:rFonts w:ascii="Times New Roman" w:hAnsi="Times New Roman" w:cs="Times New Roman"/>
          <w:sz w:val="26"/>
          <w:szCs w:val="26"/>
        </w:rPr>
      </w:pPr>
    </w:p>
    <w:p w14:paraId="5765A7EA" w14:textId="77777777" w:rsidR="00BE40C6" w:rsidRDefault="00313836" w:rsidP="00A97DB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w:t>
      </w:r>
      <w:r w:rsidRPr="00313836">
        <w:rPr>
          <w:rFonts w:ascii="Times New Roman" w:hAnsi="Times New Roman" w:cs="Times New Roman"/>
          <w:sz w:val="26"/>
          <w:szCs w:val="26"/>
        </w:rPr>
        <w:t xml:space="preserve">WECC regional Variance in proposed Reliability Standard IRO-002-6 </w:t>
      </w:r>
      <w:r>
        <w:rPr>
          <w:rFonts w:ascii="Times New Roman" w:hAnsi="Times New Roman" w:cs="Times New Roman"/>
          <w:sz w:val="26"/>
          <w:szCs w:val="26"/>
        </w:rPr>
        <w:t>affects</w:t>
      </w:r>
      <w:r w:rsidRPr="00313836">
        <w:rPr>
          <w:rFonts w:ascii="Times New Roman" w:hAnsi="Times New Roman" w:cs="Times New Roman"/>
          <w:sz w:val="26"/>
          <w:szCs w:val="26"/>
        </w:rPr>
        <w:t xml:space="preserve"> Reliability Coordinator</w:t>
      </w:r>
      <w:r>
        <w:rPr>
          <w:rFonts w:ascii="Times New Roman" w:hAnsi="Times New Roman" w:cs="Times New Roman"/>
          <w:sz w:val="26"/>
          <w:szCs w:val="26"/>
        </w:rPr>
        <w:t>s, who likely will not be small entities.</w:t>
      </w:r>
    </w:p>
    <w:p w14:paraId="272D48FE" w14:textId="71E792B2" w:rsidR="00275A35" w:rsidRDefault="00275A35" w:rsidP="00A97DBB">
      <w:pPr>
        <w:spacing w:after="0" w:line="240" w:lineRule="auto"/>
        <w:rPr>
          <w:rFonts w:ascii="Times New Roman" w:hAnsi="Times New Roman" w:cs="Times New Roman"/>
          <w:sz w:val="26"/>
          <w:szCs w:val="26"/>
        </w:rPr>
      </w:pPr>
    </w:p>
    <w:p w14:paraId="69496B83" w14:textId="067FCE7B" w:rsidR="00D05969" w:rsidRPr="00D0606B" w:rsidRDefault="00D05969" w:rsidP="005E3384">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CONSEQUENCE TO FEDERAL PROGRAM IF COLLECTION WERE CONDUCTED LESS FREQUENTLY</w:t>
      </w:r>
    </w:p>
    <w:p w14:paraId="3EAB94FB" w14:textId="77777777" w:rsidR="005E3384" w:rsidRDefault="005E3384" w:rsidP="000859F1">
      <w:pPr>
        <w:tabs>
          <w:tab w:val="num" w:pos="720"/>
        </w:tabs>
        <w:autoSpaceDE w:val="0"/>
        <w:autoSpaceDN w:val="0"/>
        <w:adjustRightInd w:val="0"/>
        <w:spacing w:after="0" w:line="240" w:lineRule="auto"/>
        <w:contextualSpacing/>
        <w:rPr>
          <w:rFonts w:ascii="Times New Roman" w:eastAsia="Times New Roman" w:hAnsi="Times New Roman" w:cs="Times New Roman"/>
          <w:b/>
          <w:sz w:val="26"/>
          <w:szCs w:val="26"/>
        </w:rPr>
      </w:pPr>
    </w:p>
    <w:p w14:paraId="30C3C57A" w14:textId="1DA6295C" w:rsidR="00FA7855" w:rsidRDefault="004C7AB2" w:rsidP="004C7AB2">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NERC stated </w:t>
      </w:r>
      <w:r w:rsidR="007778EE">
        <w:rPr>
          <w:rFonts w:ascii="Times New Roman" w:eastAsia="Times New Roman" w:hAnsi="Times New Roman" w:cs="Times New Roman"/>
          <w:sz w:val="26"/>
          <w:szCs w:val="26"/>
        </w:rPr>
        <w:t xml:space="preserve">in its Petition </w:t>
      </w:r>
      <w:r>
        <w:rPr>
          <w:rFonts w:ascii="Times New Roman" w:eastAsia="Times New Roman" w:hAnsi="Times New Roman" w:cs="Times New Roman"/>
          <w:sz w:val="26"/>
          <w:szCs w:val="26"/>
        </w:rPr>
        <w:t>that “[a]</w:t>
      </w:r>
      <w:r w:rsidRPr="004C7AB2">
        <w:rPr>
          <w:rFonts w:ascii="Times New Roman" w:eastAsia="Times New Roman" w:hAnsi="Times New Roman" w:cs="Times New Roman"/>
          <w:sz w:val="26"/>
          <w:szCs w:val="26"/>
        </w:rPr>
        <w:t>s the Western Interconnection prepares to transition to an environment in which more than one Reliability Coordinator will be providing services, focused coordination of these Reliability Coordinators will be of critical importance. To promote coordination among these Reliability Coordinators and help ensure reliability in the Western Interconnection, WECC</w:t>
      </w:r>
      <w:r>
        <w:rPr>
          <w:rFonts w:ascii="Times New Roman" w:eastAsia="Times New Roman" w:hAnsi="Times New Roman" w:cs="Times New Roman"/>
          <w:sz w:val="26"/>
          <w:szCs w:val="26"/>
        </w:rPr>
        <w:t xml:space="preserve"> </w:t>
      </w:r>
      <w:r w:rsidRPr="004C7AB2">
        <w:rPr>
          <w:rFonts w:ascii="Times New Roman" w:eastAsia="Times New Roman" w:hAnsi="Times New Roman" w:cs="Times New Roman"/>
          <w:sz w:val="26"/>
          <w:szCs w:val="26"/>
        </w:rPr>
        <w:t>developed the proposed regional Variance reflected in proposed Reliability Standard IRO-002-6.</w:t>
      </w:r>
      <w:r>
        <w:rPr>
          <w:rFonts w:ascii="Times New Roman" w:eastAsia="Times New Roman" w:hAnsi="Times New Roman" w:cs="Times New Roman"/>
          <w:sz w:val="26"/>
          <w:szCs w:val="26"/>
        </w:rPr>
        <w:t xml:space="preserve">”  </w:t>
      </w:r>
    </w:p>
    <w:p w14:paraId="1B173E60" w14:textId="77777777" w:rsidR="004C7AB2" w:rsidRDefault="004C7AB2" w:rsidP="004C7AB2">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p>
    <w:p w14:paraId="40AE64B2" w14:textId="4CA42306" w:rsidR="007D6F51" w:rsidRDefault="00FA7855" w:rsidP="000859F1">
      <w:pPr>
        <w:tabs>
          <w:tab w:val="num" w:pos="720"/>
        </w:tabs>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Failure to implement the changes </w:t>
      </w:r>
      <w:r w:rsidR="007D6F51" w:rsidRPr="00D0606B">
        <w:rPr>
          <w:rFonts w:ascii="Times New Roman" w:eastAsia="Times New Roman" w:hAnsi="Times New Roman" w:cs="Times New Roman"/>
          <w:sz w:val="26"/>
          <w:szCs w:val="26"/>
        </w:rPr>
        <w:t xml:space="preserve">could directly affect the ability to effectively monitor and control </w:t>
      </w:r>
      <w:r w:rsidR="003F4EAD">
        <w:rPr>
          <w:rFonts w:ascii="Times New Roman" w:eastAsia="Times New Roman" w:hAnsi="Times New Roman" w:cs="Times New Roman"/>
          <w:sz w:val="26"/>
          <w:szCs w:val="26"/>
        </w:rPr>
        <w:t xml:space="preserve">and ensure reliability of </w:t>
      </w:r>
      <w:r w:rsidR="007D6F51" w:rsidRPr="00D0606B">
        <w:rPr>
          <w:rFonts w:ascii="Times New Roman" w:eastAsia="Times New Roman" w:hAnsi="Times New Roman" w:cs="Times New Roman"/>
          <w:sz w:val="26"/>
          <w:szCs w:val="26"/>
        </w:rPr>
        <w:t xml:space="preserve">the </w:t>
      </w:r>
      <w:r w:rsidR="00BF2C1A">
        <w:rPr>
          <w:rFonts w:ascii="Times New Roman" w:eastAsia="Times New Roman" w:hAnsi="Times New Roman" w:cs="Times New Roman"/>
          <w:sz w:val="26"/>
          <w:szCs w:val="26"/>
        </w:rPr>
        <w:t xml:space="preserve">Western interconnection in the </w:t>
      </w:r>
      <w:r w:rsidR="007D6F51" w:rsidRPr="00D0606B">
        <w:rPr>
          <w:rFonts w:ascii="Times New Roman" w:eastAsia="Times New Roman" w:hAnsi="Times New Roman" w:cs="Times New Roman"/>
          <w:sz w:val="26"/>
          <w:szCs w:val="26"/>
        </w:rPr>
        <w:t>bulk electric system</w:t>
      </w:r>
      <w:r w:rsidR="00DB396E" w:rsidRPr="00D0606B">
        <w:rPr>
          <w:rFonts w:ascii="Times New Roman" w:eastAsia="Times New Roman" w:hAnsi="Times New Roman" w:cs="Times New Roman"/>
          <w:sz w:val="26"/>
          <w:szCs w:val="26"/>
        </w:rPr>
        <w:t>.</w:t>
      </w:r>
      <w:r w:rsidR="007D6F51" w:rsidRPr="00D0606B">
        <w:rPr>
          <w:rFonts w:ascii="Times New Roman" w:eastAsia="Times New Roman" w:hAnsi="Times New Roman" w:cs="Times New Roman"/>
          <w:sz w:val="26"/>
          <w:szCs w:val="26"/>
        </w:rPr>
        <w:t xml:space="preserve"> </w:t>
      </w:r>
    </w:p>
    <w:p w14:paraId="5DCC4D26" w14:textId="77777777" w:rsidR="005E3384" w:rsidRPr="00D0606B" w:rsidRDefault="005E3384" w:rsidP="000859F1">
      <w:pPr>
        <w:tabs>
          <w:tab w:val="num" w:pos="720"/>
        </w:tabs>
        <w:autoSpaceDE w:val="0"/>
        <w:autoSpaceDN w:val="0"/>
        <w:adjustRightInd w:val="0"/>
        <w:spacing w:after="0" w:line="240" w:lineRule="auto"/>
        <w:contextualSpacing/>
        <w:rPr>
          <w:rFonts w:ascii="Times New Roman" w:eastAsia="Times New Roman" w:hAnsi="Times New Roman" w:cs="Times New Roman"/>
          <w:bCs/>
          <w:sz w:val="26"/>
          <w:szCs w:val="26"/>
        </w:rPr>
      </w:pPr>
    </w:p>
    <w:p w14:paraId="7D59CDE9" w14:textId="77777777" w:rsidR="004F0011" w:rsidRDefault="004F0011" w:rsidP="004F0011">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EXPLAIN ANY SPECIAL CIRCUMSTANCES RELATING TO THE INFORMATION COLLECTION</w:t>
      </w:r>
    </w:p>
    <w:p w14:paraId="0728B450" w14:textId="77777777" w:rsidR="00FA7855" w:rsidRDefault="00FA7855" w:rsidP="00FA7855">
      <w:pPr>
        <w:pStyle w:val="ListParagraph"/>
        <w:spacing w:after="0" w:line="240" w:lineRule="auto"/>
        <w:ind w:left="360"/>
        <w:rPr>
          <w:rFonts w:ascii="Times New Roman" w:hAnsi="Times New Roman" w:cs="Times New Roman"/>
          <w:b/>
          <w:sz w:val="26"/>
          <w:szCs w:val="26"/>
        </w:rPr>
      </w:pPr>
    </w:p>
    <w:p w14:paraId="3F716394" w14:textId="385CB481" w:rsidR="00C1747B" w:rsidRDefault="001C4DBD" w:rsidP="00C1747B">
      <w:pPr>
        <w:spacing w:after="0"/>
        <w:rPr>
          <w:rFonts w:ascii="Times New Roman" w:hAnsi="Times New Roman" w:cs="Times New Roman"/>
          <w:sz w:val="26"/>
          <w:szCs w:val="26"/>
        </w:rPr>
      </w:pPr>
      <w:r w:rsidRPr="00FA7855">
        <w:rPr>
          <w:rFonts w:ascii="Times New Roman" w:hAnsi="Times New Roman" w:cs="Times New Roman"/>
          <w:sz w:val="26"/>
          <w:szCs w:val="26"/>
        </w:rPr>
        <w:t>There are no special circumstances</w:t>
      </w:r>
      <w:r w:rsidR="00BF2C1A">
        <w:rPr>
          <w:rFonts w:ascii="Times New Roman" w:hAnsi="Times New Roman" w:cs="Times New Roman"/>
          <w:sz w:val="26"/>
          <w:szCs w:val="26"/>
        </w:rPr>
        <w:t>.</w:t>
      </w:r>
      <w:r w:rsidRPr="00FA7855">
        <w:rPr>
          <w:rFonts w:ascii="Times New Roman" w:hAnsi="Times New Roman" w:cs="Times New Roman"/>
          <w:sz w:val="26"/>
          <w:szCs w:val="26"/>
        </w:rPr>
        <w:t xml:space="preserve"> </w:t>
      </w:r>
    </w:p>
    <w:p w14:paraId="57859DF1" w14:textId="77777777" w:rsidR="0033778C" w:rsidRDefault="0033778C" w:rsidP="00C1747B">
      <w:pPr>
        <w:spacing w:after="0"/>
        <w:rPr>
          <w:rFonts w:ascii="Times New Roman" w:hAnsi="Times New Roman" w:cs="Times New Roman"/>
          <w:b/>
          <w:sz w:val="26"/>
          <w:szCs w:val="26"/>
        </w:rPr>
      </w:pPr>
    </w:p>
    <w:p w14:paraId="071CD395" w14:textId="77777777" w:rsidR="007D6F51" w:rsidRPr="008D3803" w:rsidRDefault="0027289A" w:rsidP="0033778C">
      <w:pPr>
        <w:pStyle w:val="ListParagraph"/>
        <w:numPr>
          <w:ilvl w:val="0"/>
          <w:numId w:val="1"/>
        </w:numPr>
        <w:spacing w:after="0" w:line="240" w:lineRule="auto"/>
        <w:rPr>
          <w:rFonts w:ascii="Times New Roman" w:hAnsi="Times New Roman" w:cs="Times New Roman"/>
          <w:sz w:val="26"/>
          <w:szCs w:val="26"/>
        </w:rPr>
      </w:pPr>
      <w:r w:rsidRPr="00D0606B">
        <w:rPr>
          <w:rFonts w:ascii="Times New Roman" w:eastAsia="Calibri" w:hAnsi="Times New Roman" w:cs="Times New Roman"/>
          <w:b/>
          <w:sz w:val="26"/>
          <w:szCs w:val="26"/>
        </w:rPr>
        <w:t>DESCRIBE EFFORTS TO CONSULT OUTSIDE THE AGENCY: SUMMARIZE PUBLIC COMMENTS AND THE AGENCY’S RESPONSE</w:t>
      </w:r>
    </w:p>
    <w:p w14:paraId="4D2CFD7E" w14:textId="77777777" w:rsidR="002E66B1" w:rsidRPr="008D3803" w:rsidRDefault="002E66B1" w:rsidP="008D3803">
      <w:pPr>
        <w:pStyle w:val="ListParagraph"/>
        <w:spacing w:after="0" w:line="240" w:lineRule="auto"/>
        <w:ind w:left="360"/>
        <w:rPr>
          <w:rFonts w:ascii="Times New Roman" w:hAnsi="Times New Roman" w:cs="Times New Roman"/>
          <w:sz w:val="26"/>
          <w:szCs w:val="26"/>
        </w:rPr>
      </w:pPr>
    </w:p>
    <w:p w14:paraId="029096FD" w14:textId="31A4CD44" w:rsidR="002E66B1" w:rsidRPr="008D3803" w:rsidRDefault="002E66B1" w:rsidP="008D3803">
      <w:pPr>
        <w:spacing w:after="0" w:line="240" w:lineRule="auto"/>
        <w:rPr>
          <w:rFonts w:ascii="Times New Roman" w:hAnsi="Times New Roman" w:cs="Times New Roman"/>
          <w:sz w:val="26"/>
          <w:szCs w:val="26"/>
        </w:rPr>
      </w:pPr>
      <w:r>
        <w:rPr>
          <w:rFonts w:ascii="Times New Roman" w:hAnsi="Times New Roman" w:cs="Times New Roman"/>
          <w:sz w:val="26"/>
          <w:szCs w:val="26"/>
        </w:rPr>
        <w:t>The ERO process</w:t>
      </w:r>
      <w:r>
        <w:rPr>
          <w:rStyle w:val="FootnoteReference"/>
          <w:rFonts w:ascii="Times New Roman" w:hAnsi="Times New Roman" w:cs="Times New Roman"/>
          <w:sz w:val="26"/>
          <w:szCs w:val="26"/>
        </w:rPr>
        <w:footnoteReference w:id="11"/>
      </w:r>
      <w:r w:rsidRPr="002E66B1">
        <w:rPr>
          <w:rFonts w:ascii="Times New Roman" w:hAnsi="Times New Roman" w:cs="Times New Roman"/>
          <w:sz w:val="26"/>
          <w:szCs w:val="26"/>
        </w:rPr>
        <w:t xml:space="preserve"> to develop and establish Reliability Standards is a collaborative process between the ERO, Regional Entities and other industry stakeholders developing, discussing, and reviewing drafts, commenting and voting on the drafts, posting responses to the comments, conducting a final ballot, and submitting the standard and implementation plan to the Board of Trustees (BOT) for adoption and approval.  [This process provides several opportunities for review and comment by stakeholders and interested parties</w:t>
      </w:r>
      <w:r w:rsidR="00D103DD">
        <w:rPr>
          <w:rFonts w:ascii="Times New Roman" w:hAnsi="Times New Roman" w:cs="Times New Roman"/>
          <w:sz w:val="26"/>
          <w:szCs w:val="26"/>
        </w:rPr>
        <w:t>, prior to submittal to the Commission of the proposed standard</w:t>
      </w:r>
      <w:r w:rsidRPr="002E66B1">
        <w:rPr>
          <w:rFonts w:ascii="Times New Roman" w:hAnsi="Times New Roman" w:cs="Times New Roman"/>
          <w:sz w:val="26"/>
          <w:szCs w:val="26"/>
        </w:rPr>
        <w:t>.</w:t>
      </w:r>
      <w:r w:rsidR="00D103DD">
        <w:rPr>
          <w:rFonts w:ascii="Times New Roman" w:hAnsi="Times New Roman" w:cs="Times New Roman"/>
          <w:sz w:val="26"/>
          <w:szCs w:val="26"/>
        </w:rPr>
        <w:t xml:space="preserve">  In </w:t>
      </w:r>
      <w:r w:rsidR="00BE40C6">
        <w:rPr>
          <w:rFonts w:ascii="Times New Roman" w:hAnsi="Times New Roman" w:cs="Times New Roman"/>
          <w:sz w:val="26"/>
          <w:szCs w:val="26"/>
        </w:rPr>
        <w:t xml:space="preserve">the joint </w:t>
      </w:r>
      <w:r w:rsidR="00D103DD">
        <w:rPr>
          <w:rFonts w:ascii="Times New Roman" w:hAnsi="Times New Roman" w:cs="Times New Roman"/>
          <w:sz w:val="26"/>
          <w:szCs w:val="26"/>
        </w:rPr>
        <w:t>Petition, Exhibit E “</w:t>
      </w:r>
      <w:r w:rsidR="00D103DD" w:rsidRPr="00D103DD">
        <w:rPr>
          <w:rFonts w:ascii="Times New Roman" w:hAnsi="Times New Roman" w:cs="Times New Roman"/>
          <w:sz w:val="26"/>
          <w:szCs w:val="26"/>
        </w:rPr>
        <w:t>Summary of Development History and Complete Record of Development</w:t>
      </w:r>
      <w:r w:rsidR="00D103DD">
        <w:rPr>
          <w:rFonts w:ascii="Times New Roman" w:hAnsi="Times New Roman" w:cs="Times New Roman"/>
          <w:sz w:val="26"/>
          <w:szCs w:val="26"/>
        </w:rPr>
        <w:t>” summarizes that process for this Reliability Standard.</w:t>
      </w:r>
      <w:r w:rsidRPr="002E66B1">
        <w:rPr>
          <w:rFonts w:ascii="Times New Roman" w:hAnsi="Times New Roman" w:cs="Times New Roman"/>
          <w:sz w:val="26"/>
          <w:szCs w:val="26"/>
        </w:rPr>
        <w:t xml:space="preserve">]  Then the final proposed standard (if approved by the BOT) is submitted by the ERO to the </w:t>
      </w:r>
      <w:r w:rsidR="00BF2C1A">
        <w:rPr>
          <w:rFonts w:ascii="Times New Roman" w:hAnsi="Times New Roman" w:cs="Times New Roman"/>
          <w:sz w:val="26"/>
          <w:szCs w:val="26"/>
        </w:rPr>
        <w:t>Commission</w:t>
      </w:r>
      <w:r w:rsidR="00BF2C1A" w:rsidRPr="002E66B1">
        <w:rPr>
          <w:rFonts w:ascii="Times New Roman" w:hAnsi="Times New Roman" w:cs="Times New Roman"/>
          <w:sz w:val="26"/>
          <w:szCs w:val="26"/>
        </w:rPr>
        <w:t xml:space="preserve"> </w:t>
      </w:r>
      <w:r w:rsidRPr="002E66B1">
        <w:rPr>
          <w:rFonts w:ascii="Times New Roman" w:hAnsi="Times New Roman" w:cs="Times New Roman"/>
          <w:sz w:val="26"/>
          <w:szCs w:val="26"/>
        </w:rPr>
        <w:t xml:space="preserve">for review and approval.  Upon approval by </w:t>
      </w:r>
      <w:r w:rsidR="00BF2C1A">
        <w:rPr>
          <w:rFonts w:ascii="Times New Roman" w:hAnsi="Times New Roman" w:cs="Times New Roman"/>
          <w:sz w:val="26"/>
          <w:szCs w:val="26"/>
        </w:rPr>
        <w:t>Commission</w:t>
      </w:r>
      <w:r w:rsidRPr="002E66B1">
        <w:rPr>
          <w:rFonts w:ascii="Times New Roman" w:hAnsi="Times New Roman" w:cs="Times New Roman"/>
          <w:sz w:val="26"/>
          <w:szCs w:val="26"/>
        </w:rPr>
        <w:t>, the standards are mandatory and enforceable</w:t>
      </w:r>
      <w:r w:rsidR="00BE40C6">
        <w:rPr>
          <w:rFonts w:ascii="Times New Roman" w:hAnsi="Times New Roman" w:cs="Times New Roman"/>
          <w:sz w:val="26"/>
          <w:szCs w:val="26"/>
        </w:rPr>
        <w:t xml:space="preserve"> according to their respective approved implementation plans</w:t>
      </w:r>
      <w:r w:rsidRPr="002E66B1">
        <w:rPr>
          <w:rFonts w:ascii="Times New Roman" w:hAnsi="Times New Roman" w:cs="Times New Roman"/>
          <w:sz w:val="26"/>
          <w:szCs w:val="26"/>
        </w:rPr>
        <w:t xml:space="preserve">.  </w:t>
      </w:r>
    </w:p>
    <w:p w14:paraId="77ED9EDE" w14:textId="77777777" w:rsidR="004B2BA6" w:rsidRDefault="004B2BA6" w:rsidP="00BF2C1A">
      <w:pPr>
        <w:spacing w:after="0" w:line="240" w:lineRule="auto"/>
        <w:rPr>
          <w:rFonts w:ascii="Times New Roman" w:eastAsia="Times New Roman" w:hAnsi="Times New Roman" w:cs="Times New Roman"/>
          <w:strike/>
          <w:sz w:val="26"/>
          <w:szCs w:val="26"/>
        </w:rPr>
      </w:pPr>
    </w:p>
    <w:p w14:paraId="14FC4E3F" w14:textId="472E7402" w:rsidR="00D103DD" w:rsidRPr="00B6301C" w:rsidRDefault="00BF2C1A" w:rsidP="00D103D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Commission provided the following </w:t>
      </w:r>
      <w:r w:rsidRPr="00F153CC">
        <w:rPr>
          <w:rFonts w:ascii="Times New Roman" w:hAnsi="Times New Roman" w:cs="Times New Roman"/>
          <w:sz w:val="26"/>
          <w:szCs w:val="26"/>
        </w:rPr>
        <w:t>opportunit</w:t>
      </w:r>
      <w:r>
        <w:rPr>
          <w:rFonts w:ascii="Times New Roman" w:hAnsi="Times New Roman" w:cs="Times New Roman"/>
          <w:sz w:val="26"/>
          <w:szCs w:val="26"/>
        </w:rPr>
        <w:t>ies</w:t>
      </w:r>
      <w:r w:rsidRPr="00F153CC">
        <w:rPr>
          <w:rFonts w:ascii="Times New Roman" w:hAnsi="Times New Roman" w:cs="Times New Roman"/>
          <w:sz w:val="26"/>
          <w:szCs w:val="26"/>
        </w:rPr>
        <w:t xml:space="preserve"> </w:t>
      </w:r>
      <w:r>
        <w:rPr>
          <w:rFonts w:ascii="Times New Roman" w:hAnsi="Times New Roman" w:cs="Times New Roman"/>
          <w:sz w:val="26"/>
          <w:szCs w:val="26"/>
        </w:rPr>
        <w:t xml:space="preserve">for </w:t>
      </w:r>
      <w:r w:rsidRPr="00B6301C">
        <w:rPr>
          <w:rFonts w:ascii="Times New Roman" w:hAnsi="Times New Roman" w:cs="Times New Roman"/>
          <w:sz w:val="26"/>
          <w:szCs w:val="26"/>
        </w:rPr>
        <w:t xml:space="preserve">public utilities, natural gas and oil pipeline companies, state commissions, federal agencies, and other interested parties to submit comments or suggestions concerning the proposal.  </w:t>
      </w:r>
    </w:p>
    <w:p w14:paraId="62EB3F1C" w14:textId="4C88148E" w:rsidR="00F139A1" w:rsidRPr="00B6301C" w:rsidRDefault="00D103DD" w:rsidP="00D103DD">
      <w:pPr>
        <w:pStyle w:val="ListParagraph"/>
        <w:numPr>
          <w:ilvl w:val="0"/>
          <w:numId w:val="10"/>
        </w:numPr>
        <w:spacing w:after="0" w:line="240" w:lineRule="auto"/>
        <w:rPr>
          <w:rFonts w:ascii="Times New Roman" w:hAnsi="Times New Roman" w:cs="Times New Roman"/>
          <w:sz w:val="26"/>
          <w:szCs w:val="26"/>
        </w:rPr>
      </w:pPr>
      <w:r w:rsidRPr="00B6301C">
        <w:rPr>
          <w:rFonts w:ascii="Times New Roman" w:hAnsi="Times New Roman" w:cs="Times New Roman"/>
          <w:sz w:val="26"/>
          <w:szCs w:val="26"/>
        </w:rPr>
        <w:t xml:space="preserve">FERC issued a </w:t>
      </w:r>
      <w:r w:rsidR="00514422" w:rsidRPr="00B6301C">
        <w:rPr>
          <w:rFonts w:ascii="Times New Roman" w:hAnsi="Times New Roman" w:cs="Times New Roman"/>
          <w:sz w:val="26"/>
          <w:szCs w:val="26"/>
        </w:rPr>
        <w:t xml:space="preserve">Notice of NERC’s Petition on </w:t>
      </w:r>
      <w:r w:rsidR="00BF2C1A" w:rsidRPr="00B6301C">
        <w:rPr>
          <w:rFonts w:ascii="Times New Roman" w:hAnsi="Times New Roman" w:cs="Times New Roman"/>
          <w:sz w:val="26"/>
          <w:szCs w:val="26"/>
        </w:rPr>
        <w:t>5/31/2019</w:t>
      </w:r>
      <w:r w:rsidR="00514422" w:rsidRPr="00B6301C">
        <w:rPr>
          <w:rFonts w:ascii="Times New Roman" w:hAnsi="Times New Roman" w:cs="Times New Roman"/>
          <w:sz w:val="26"/>
          <w:szCs w:val="26"/>
        </w:rPr>
        <w:t>;</w:t>
      </w:r>
      <w:r w:rsidR="00BF2C1A" w:rsidRPr="00B6301C">
        <w:rPr>
          <w:rStyle w:val="FootnoteReference"/>
          <w:rFonts w:ascii="Times New Roman" w:hAnsi="Times New Roman" w:cs="Times New Roman"/>
          <w:sz w:val="26"/>
          <w:szCs w:val="26"/>
        </w:rPr>
        <w:footnoteReference w:id="12"/>
      </w:r>
      <w:r w:rsidR="00514422" w:rsidRPr="00B6301C">
        <w:rPr>
          <w:rFonts w:ascii="Times New Roman" w:hAnsi="Times New Roman" w:cs="Times New Roman"/>
          <w:sz w:val="26"/>
          <w:szCs w:val="26"/>
        </w:rPr>
        <w:t xml:space="preserve"> no comments were received.  </w:t>
      </w:r>
    </w:p>
    <w:p w14:paraId="57E604E2" w14:textId="2A842272" w:rsidR="006C7EA9" w:rsidRPr="00B6301C" w:rsidRDefault="00514422" w:rsidP="004E0AAC">
      <w:pPr>
        <w:pStyle w:val="ListParagraph"/>
        <w:numPr>
          <w:ilvl w:val="0"/>
          <w:numId w:val="10"/>
        </w:numPr>
        <w:spacing w:after="0" w:line="240" w:lineRule="auto"/>
        <w:rPr>
          <w:rFonts w:ascii="Times New Roman" w:eastAsia="Times New Roman" w:hAnsi="Times New Roman" w:cs="Times New Roman"/>
          <w:sz w:val="26"/>
          <w:szCs w:val="26"/>
        </w:rPr>
      </w:pPr>
      <w:r w:rsidRPr="00B6301C">
        <w:rPr>
          <w:rFonts w:ascii="Times New Roman" w:hAnsi="Times New Roman" w:cs="Times New Roman"/>
          <w:sz w:val="26"/>
          <w:szCs w:val="26"/>
        </w:rPr>
        <w:t xml:space="preserve">The 60-day PRA Notice was issued in Docket No. </w:t>
      </w:r>
      <w:r w:rsidR="00166DF1" w:rsidRPr="00B6301C">
        <w:rPr>
          <w:rFonts w:ascii="Times New Roman" w:hAnsi="Times New Roman" w:cs="Times New Roman"/>
          <w:sz w:val="26"/>
          <w:szCs w:val="26"/>
        </w:rPr>
        <w:t>RD19-6</w:t>
      </w:r>
      <w:r w:rsidRPr="00B6301C">
        <w:rPr>
          <w:rFonts w:ascii="Times New Roman" w:hAnsi="Times New Roman" w:cs="Times New Roman"/>
          <w:sz w:val="26"/>
          <w:szCs w:val="26"/>
        </w:rPr>
        <w:t xml:space="preserve"> on </w:t>
      </w:r>
      <w:r w:rsidR="00BF2C1A" w:rsidRPr="00B6301C">
        <w:rPr>
          <w:rFonts w:ascii="Times New Roman" w:hAnsi="Times New Roman" w:cs="Times New Roman"/>
          <w:sz w:val="26"/>
          <w:szCs w:val="26"/>
        </w:rPr>
        <w:t>6/21/2019</w:t>
      </w:r>
      <w:r w:rsidR="0033778C" w:rsidRPr="00B6301C">
        <w:rPr>
          <w:rStyle w:val="FootnoteReference"/>
          <w:rFonts w:ascii="Times New Roman" w:hAnsi="Times New Roman" w:cs="Times New Roman"/>
          <w:sz w:val="26"/>
          <w:szCs w:val="26"/>
        </w:rPr>
        <w:footnoteReference w:id="13"/>
      </w:r>
      <w:r w:rsidRPr="00B6301C">
        <w:rPr>
          <w:rFonts w:ascii="Times New Roman" w:hAnsi="Times New Roman" w:cs="Times New Roman"/>
          <w:sz w:val="26"/>
          <w:szCs w:val="26"/>
        </w:rPr>
        <w:t xml:space="preserve"> and published on </w:t>
      </w:r>
      <w:r w:rsidR="00BF2C1A" w:rsidRPr="00B6301C">
        <w:rPr>
          <w:rFonts w:ascii="Times New Roman" w:hAnsi="Times New Roman" w:cs="Times New Roman"/>
          <w:sz w:val="26"/>
          <w:szCs w:val="26"/>
        </w:rPr>
        <w:t>6/27/2019 (84 FR 30708)</w:t>
      </w:r>
      <w:r w:rsidRPr="00B6301C">
        <w:rPr>
          <w:rFonts w:ascii="Times New Roman" w:hAnsi="Times New Roman" w:cs="Times New Roman"/>
          <w:sz w:val="26"/>
          <w:szCs w:val="26"/>
        </w:rPr>
        <w:t>.</w:t>
      </w:r>
      <w:r w:rsidR="006C7EA9" w:rsidRPr="00B6301C">
        <w:rPr>
          <w:rFonts w:ascii="Times New Roman" w:hAnsi="Times New Roman" w:cs="Times New Roman"/>
          <w:sz w:val="26"/>
          <w:szCs w:val="26"/>
        </w:rPr>
        <w:t xml:space="preserve">  The Commission received no public comments</w:t>
      </w:r>
      <w:r w:rsidR="00331AD5" w:rsidRPr="00B6301C">
        <w:rPr>
          <w:rFonts w:ascii="Times New Roman" w:hAnsi="Times New Roman" w:cs="Times New Roman"/>
          <w:sz w:val="26"/>
          <w:szCs w:val="26"/>
        </w:rPr>
        <w:t xml:space="preserve"> from the 60-day Notice</w:t>
      </w:r>
      <w:r w:rsidR="006C7EA9" w:rsidRPr="00B6301C">
        <w:rPr>
          <w:rFonts w:ascii="Times New Roman" w:hAnsi="Times New Roman" w:cs="Times New Roman"/>
          <w:sz w:val="26"/>
          <w:szCs w:val="26"/>
        </w:rPr>
        <w:t>.</w:t>
      </w:r>
    </w:p>
    <w:p w14:paraId="71F49D23" w14:textId="14FE7BA8" w:rsidR="00AD069C" w:rsidRPr="00B6301C" w:rsidRDefault="007D56B1" w:rsidP="00FA7855">
      <w:pPr>
        <w:pStyle w:val="ListParagraph"/>
        <w:numPr>
          <w:ilvl w:val="0"/>
          <w:numId w:val="10"/>
        </w:numPr>
        <w:spacing w:after="0" w:line="240" w:lineRule="auto"/>
        <w:rPr>
          <w:rFonts w:ascii="Times New Roman" w:eastAsia="Times New Roman" w:hAnsi="Times New Roman" w:cs="Times New Roman"/>
          <w:sz w:val="26"/>
          <w:szCs w:val="26"/>
        </w:rPr>
      </w:pPr>
      <w:r w:rsidRPr="00B6301C">
        <w:rPr>
          <w:rFonts w:ascii="Times New Roman" w:eastAsia="Times New Roman" w:hAnsi="Times New Roman" w:cs="Times New Roman"/>
          <w:sz w:val="26"/>
          <w:szCs w:val="26"/>
        </w:rPr>
        <w:t xml:space="preserve">The 30-day PRA Notice </w:t>
      </w:r>
      <w:r w:rsidR="006C7EA9" w:rsidRPr="00B6301C">
        <w:rPr>
          <w:rFonts w:ascii="Times New Roman" w:eastAsia="Times New Roman" w:hAnsi="Times New Roman" w:cs="Times New Roman"/>
          <w:sz w:val="26"/>
          <w:szCs w:val="26"/>
        </w:rPr>
        <w:t xml:space="preserve">in Docket </w:t>
      </w:r>
      <w:r w:rsidR="00BF2C1A" w:rsidRPr="00B6301C">
        <w:rPr>
          <w:rFonts w:ascii="Times New Roman" w:eastAsia="Times New Roman" w:hAnsi="Times New Roman" w:cs="Times New Roman"/>
          <w:sz w:val="26"/>
          <w:szCs w:val="26"/>
        </w:rPr>
        <w:t xml:space="preserve">No. </w:t>
      </w:r>
      <w:r w:rsidR="00166DF1" w:rsidRPr="00B6301C">
        <w:rPr>
          <w:rFonts w:ascii="Times New Roman" w:eastAsia="Times New Roman" w:hAnsi="Times New Roman" w:cs="Times New Roman"/>
          <w:sz w:val="26"/>
          <w:szCs w:val="26"/>
        </w:rPr>
        <w:t>RD19-6</w:t>
      </w:r>
      <w:r w:rsidR="006C7EA9" w:rsidRPr="00B6301C">
        <w:rPr>
          <w:rFonts w:ascii="Times New Roman" w:eastAsia="Times New Roman" w:hAnsi="Times New Roman" w:cs="Times New Roman"/>
          <w:sz w:val="26"/>
          <w:szCs w:val="26"/>
        </w:rPr>
        <w:t xml:space="preserve"> </w:t>
      </w:r>
      <w:r w:rsidRPr="00B6301C">
        <w:rPr>
          <w:rFonts w:ascii="Times New Roman" w:eastAsia="Times New Roman" w:hAnsi="Times New Roman" w:cs="Times New Roman"/>
          <w:sz w:val="26"/>
          <w:szCs w:val="26"/>
        </w:rPr>
        <w:t>will also be published in the Federal Register.</w:t>
      </w:r>
    </w:p>
    <w:p w14:paraId="4FF55961" w14:textId="77777777" w:rsidR="007D56B1" w:rsidRPr="00AA5EAF" w:rsidRDefault="007D56B1" w:rsidP="00C20ADC">
      <w:pPr>
        <w:spacing w:after="0" w:line="240" w:lineRule="auto"/>
        <w:rPr>
          <w:rFonts w:ascii="Times New Roman" w:eastAsia="Times New Roman" w:hAnsi="Times New Roman" w:cs="Times New Roman"/>
          <w:sz w:val="26"/>
          <w:szCs w:val="26"/>
        </w:rPr>
      </w:pPr>
    </w:p>
    <w:p w14:paraId="503D3688" w14:textId="77777777"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EXPLAIN ANY PAYMENT OR GIFTS TO RESPONDENTS</w:t>
      </w:r>
    </w:p>
    <w:p w14:paraId="5761F21F" w14:textId="77777777" w:rsidR="00AD069C" w:rsidRPr="00D0606B" w:rsidRDefault="00AD069C" w:rsidP="00AD069C">
      <w:pPr>
        <w:spacing w:after="0" w:line="240" w:lineRule="auto"/>
        <w:rPr>
          <w:rFonts w:ascii="Times New Roman" w:hAnsi="Times New Roman" w:cs="Times New Roman"/>
          <w:sz w:val="26"/>
          <w:szCs w:val="26"/>
        </w:rPr>
      </w:pPr>
    </w:p>
    <w:p w14:paraId="63926C9F" w14:textId="3A2F3B69" w:rsidR="00AD069C" w:rsidRPr="00D0606B" w:rsidRDefault="00AD069C" w:rsidP="00AD069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Commission does not make payments or provide gifts</w:t>
      </w:r>
      <w:r w:rsidR="00CD1555">
        <w:rPr>
          <w:rFonts w:ascii="Times New Roman" w:hAnsi="Times New Roman" w:cs="Times New Roman"/>
          <w:sz w:val="26"/>
          <w:szCs w:val="26"/>
        </w:rPr>
        <w:t xml:space="preserve"> to respondents</w:t>
      </w:r>
      <w:r w:rsidR="00DB396E" w:rsidRPr="00D0606B">
        <w:rPr>
          <w:rFonts w:ascii="Times New Roman" w:hAnsi="Times New Roman" w:cs="Times New Roman"/>
          <w:sz w:val="26"/>
          <w:szCs w:val="26"/>
        </w:rPr>
        <w:t>.</w:t>
      </w:r>
    </w:p>
    <w:p w14:paraId="035DF60B" w14:textId="77777777" w:rsidR="007D4839" w:rsidRPr="00D0606B" w:rsidRDefault="007D4839" w:rsidP="00AD069C">
      <w:pPr>
        <w:spacing w:after="0" w:line="240" w:lineRule="auto"/>
        <w:rPr>
          <w:rFonts w:ascii="Times New Roman" w:hAnsi="Times New Roman" w:cs="Times New Roman"/>
          <w:sz w:val="26"/>
          <w:szCs w:val="26"/>
        </w:rPr>
      </w:pPr>
    </w:p>
    <w:p w14:paraId="46B4B526" w14:textId="77777777"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DESCRIBE ANY ASSURANCE OF CONFIDENTIALITY PROVIDED TO RESPONDENTS</w:t>
      </w:r>
    </w:p>
    <w:p w14:paraId="1D9652A4" w14:textId="77777777" w:rsidR="00CC26F4" w:rsidRDefault="00CC26F4" w:rsidP="00DB396E">
      <w:pPr>
        <w:spacing w:after="0" w:line="240" w:lineRule="auto"/>
        <w:rPr>
          <w:rFonts w:ascii="Times New Roman" w:hAnsi="Times New Roman" w:cs="Times New Roman"/>
          <w:sz w:val="26"/>
          <w:szCs w:val="26"/>
        </w:rPr>
      </w:pPr>
    </w:p>
    <w:p w14:paraId="2AED1D45" w14:textId="04BD32FF" w:rsidR="00DB396E" w:rsidRPr="00D0606B" w:rsidRDefault="00DB396E" w:rsidP="00DB396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Responding entities do not submit the information to FERC.  Rather, they submit the information to NERC, the regions, or maintain it internally.  Since there are no </w:t>
      </w:r>
      <w:r w:rsidR="009D3F62" w:rsidRPr="00D0606B">
        <w:rPr>
          <w:rFonts w:ascii="Times New Roman" w:hAnsi="Times New Roman" w:cs="Times New Roman"/>
          <w:sz w:val="26"/>
          <w:szCs w:val="26"/>
        </w:rPr>
        <w:t>submi</w:t>
      </w:r>
      <w:r w:rsidR="009D3F62">
        <w:rPr>
          <w:rFonts w:ascii="Times New Roman" w:hAnsi="Times New Roman" w:cs="Times New Roman"/>
          <w:sz w:val="26"/>
          <w:szCs w:val="26"/>
        </w:rPr>
        <w:t>ttals</w:t>
      </w:r>
      <w:r w:rsidR="009D3F62" w:rsidRPr="00D0606B">
        <w:rPr>
          <w:rFonts w:ascii="Times New Roman" w:hAnsi="Times New Roman" w:cs="Times New Roman"/>
          <w:sz w:val="26"/>
          <w:szCs w:val="26"/>
        </w:rPr>
        <w:t xml:space="preserve"> </w:t>
      </w:r>
      <w:r w:rsidRPr="00D0606B">
        <w:rPr>
          <w:rFonts w:ascii="Times New Roman" w:hAnsi="Times New Roman" w:cs="Times New Roman"/>
          <w:sz w:val="26"/>
          <w:szCs w:val="26"/>
        </w:rPr>
        <w:t xml:space="preserve">made to FERC, FERC provides no specific provisions </w:t>
      </w:r>
      <w:r w:rsidR="00CD1555" w:rsidRPr="00D0606B">
        <w:rPr>
          <w:rFonts w:ascii="Times New Roman" w:hAnsi="Times New Roman" w:cs="Times New Roman"/>
          <w:sz w:val="26"/>
          <w:szCs w:val="26"/>
        </w:rPr>
        <w:t>to</w:t>
      </w:r>
      <w:r w:rsidRPr="00D0606B">
        <w:rPr>
          <w:rFonts w:ascii="Times New Roman" w:hAnsi="Times New Roman" w:cs="Times New Roman"/>
          <w:sz w:val="26"/>
          <w:szCs w:val="26"/>
        </w:rPr>
        <w:t xml:space="preserve"> protect confidentiality.  </w:t>
      </w:r>
    </w:p>
    <w:p w14:paraId="6588A2AD" w14:textId="77777777" w:rsidR="00DB396E" w:rsidRPr="00D0606B" w:rsidRDefault="00DB396E" w:rsidP="00DB396E">
      <w:pPr>
        <w:spacing w:after="0" w:line="240" w:lineRule="auto"/>
        <w:rPr>
          <w:rFonts w:ascii="Times New Roman" w:hAnsi="Times New Roman" w:cs="Times New Roman"/>
          <w:sz w:val="26"/>
          <w:szCs w:val="26"/>
        </w:rPr>
      </w:pPr>
    </w:p>
    <w:p w14:paraId="45D5B30B" w14:textId="695A14A2" w:rsidR="00AD069C" w:rsidRPr="00D0606B" w:rsidRDefault="00DB396E" w:rsidP="00AD069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According to the NERC Rule</w:t>
      </w:r>
      <w:r w:rsidR="004B5777">
        <w:rPr>
          <w:rFonts w:ascii="Times New Roman" w:hAnsi="Times New Roman" w:cs="Times New Roman"/>
          <w:sz w:val="26"/>
          <w:szCs w:val="26"/>
        </w:rPr>
        <w:t>s</w:t>
      </w:r>
      <w:r w:rsidRPr="00D0606B">
        <w:rPr>
          <w:rFonts w:ascii="Times New Roman" w:hAnsi="Times New Roman" w:cs="Times New Roman"/>
          <w:sz w:val="26"/>
          <w:szCs w:val="26"/>
        </w:rPr>
        <w:t xml:space="preserve"> of Procedure section 1502, “…a Receiving Entity shall keep in confidence and not copy, disclose, or distribute any Confidential Information or any part thereof without the permission of the Submitting Entity, except as otherwise legally required.”  This serves to protect confidential information submitted to or retained for NERC or Regional Entities.</w:t>
      </w:r>
    </w:p>
    <w:p w14:paraId="324291ED" w14:textId="77777777" w:rsidR="00F839D0" w:rsidRPr="00D0606B" w:rsidRDefault="00F839D0" w:rsidP="00AD069C">
      <w:pPr>
        <w:spacing w:after="0" w:line="240" w:lineRule="auto"/>
        <w:rPr>
          <w:rFonts w:ascii="Times New Roman" w:hAnsi="Times New Roman" w:cs="Times New Roman"/>
          <w:sz w:val="26"/>
          <w:szCs w:val="26"/>
        </w:rPr>
      </w:pPr>
    </w:p>
    <w:p w14:paraId="3EE4FE46" w14:textId="1B458960"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PROVIDE ADDITIONAL JUSTIFICATION FOR ANY QUESTIONS OF A SENSITIVE NATURE</w:t>
      </w:r>
      <w:r w:rsidR="00084B0E">
        <w:rPr>
          <w:rFonts w:ascii="Times New Roman" w:hAnsi="Times New Roman" w:cs="Times New Roman"/>
          <w:b/>
          <w:sz w:val="26"/>
          <w:szCs w:val="26"/>
        </w:rPr>
        <w:t>, SUCH AS SEXUAL BEHAVIOR AND ATTITUDES, RELIGIOUS BELIEFS, AND OTHER MATTERS THAT ARE COMMONLY CONSIDERED PRIVATE</w:t>
      </w:r>
      <w:r w:rsidR="00F33450">
        <w:rPr>
          <w:rFonts w:ascii="Times New Roman" w:hAnsi="Times New Roman" w:cs="Times New Roman"/>
          <w:b/>
          <w:sz w:val="26"/>
          <w:szCs w:val="26"/>
        </w:rPr>
        <w:t xml:space="preserve"> </w:t>
      </w:r>
    </w:p>
    <w:p w14:paraId="71FBA0B6" w14:textId="77777777" w:rsidR="00AD069C" w:rsidRPr="00D0606B" w:rsidRDefault="00AD069C" w:rsidP="00AD069C">
      <w:pPr>
        <w:spacing w:after="0" w:line="240" w:lineRule="auto"/>
        <w:rPr>
          <w:rFonts w:ascii="Times New Roman" w:hAnsi="Times New Roman" w:cs="Times New Roman"/>
          <w:sz w:val="26"/>
          <w:szCs w:val="26"/>
        </w:rPr>
      </w:pPr>
    </w:p>
    <w:p w14:paraId="5D516BCA" w14:textId="24F7A5E1" w:rsidR="00AD069C" w:rsidRPr="00D0606B" w:rsidRDefault="00DB396E" w:rsidP="00AD069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There are no questions of a sensitive nature </w:t>
      </w:r>
      <w:r w:rsidR="00CD1555">
        <w:rPr>
          <w:rFonts w:ascii="Times New Roman" w:hAnsi="Times New Roman" w:cs="Times New Roman"/>
          <w:sz w:val="26"/>
          <w:szCs w:val="26"/>
        </w:rPr>
        <w:t xml:space="preserve">that </w:t>
      </w:r>
      <w:r w:rsidRPr="00D0606B">
        <w:rPr>
          <w:rFonts w:ascii="Times New Roman" w:hAnsi="Times New Roman" w:cs="Times New Roman"/>
          <w:sz w:val="26"/>
          <w:szCs w:val="26"/>
        </w:rPr>
        <w:t>are considered private</w:t>
      </w:r>
      <w:r w:rsidR="007D56B1">
        <w:rPr>
          <w:rFonts w:ascii="Times New Roman" w:hAnsi="Times New Roman" w:cs="Times New Roman"/>
          <w:sz w:val="26"/>
          <w:szCs w:val="26"/>
        </w:rPr>
        <w:t>.</w:t>
      </w:r>
    </w:p>
    <w:p w14:paraId="17A10006" w14:textId="77777777" w:rsidR="00F839D0" w:rsidRPr="00D0606B" w:rsidRDefault="00F839D0" w:rsidP="00AD069C">
      <w:pPr>
        <w:spacing w:after="0" w:line="240" w:lineRule="auto"/>
        <w:rPr>
          <w:rFonts w:ascii="Times New Roman" w:hAnsi="Times New Roman" w:cs="Times New Roman"/>
          <w:sz w:val="26"/>
          <w:szCs w:val="26"/>
        </w:rPr>
      </w:pPr>
    </w:p>
    <w:p w14:paraId="168A9F47" w14:textId="77777777" w:rsidR="00AD069C" w:rsidRPr="00D0606B" w:rsidRDefault="00AD069C" w:rsidP="00AD069C">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ESTIMATED BURDEN OF COLLECTION OF INFORMATION</w:t>
      </w:r>
    </w:p>
    <w:p w14:paraId="5F0D2A01" w14:textId="77777777" w:rsidR="00AD069C" w:rsidRPr="00D0606B" w:rsidRDefault="00AD069C" w:rsidP="00AD069C">
      <w:pPr>
        <w:spacing w:after="0" w:line="240" w:lineRule="auto"/>
        <w:rPr>
          <w:rFonts w:ascii="Times New Roman" w:hAnsi="Times New Roman" w:cs="Times New Roman"/>
          <w:sz w:val="26"/>
          <w:szCs w:val="26"/>
        </w:rPr>
      </w:pPr>
    </w:p>
    <w:p w14:paraId="51BA4FC9" w14:textId="05B8CE85" w:rsidR="00823500" w:rsidRDefault="00B3164D" w:rsidP="00C766A9">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AD069C" w:rsidRPr="00D0606B">
        <w:rPr>
          <w:rFonts w:ascii="Times New Roman" w:eastAsia="Times New Roman" w:hAnsi="Times New Roman" w:cs="Times New Roman"/>
          <w:sz w:val="26"/>
          <w:szCs w:val="26"/>
        </w:rPr>
        <w:t>estimated burden and cost</w:t>
      </w:r>
      <w:r w:rsidR="00017EC6">
        <w:rPr>
          <w:rStyle w:val="FootnoteReference"/>
          <w:rFonts w:ascii="Times New Roman" w:eastAsia="Times New Roman" w:hAnsi="Times New Roman" w:cs="Times New Roman"/>
          <w:sz w:val="26"/>
          <w:szCs w:val="26"/>
        </w:rPr>
        <w:footnoteReference w:id="14"/>
      </w:r>
      <w:r w:rsidR="00AD069C" w:rsidRPr="00D0606B">
        <w:rPr>
          <w:rFonts w:ascii="Times New Roman" w:eastAsia="Times New Roman" w:hAnsi="Times New Roman" w:cs="Times New Roman"/>
          <w:sz w:val="26"/>
          <w:szCs w:val="26"/>
        </w:rPr>
        <w:t xml:space="preserve"> related to the </w:t>
      </w:r>
      <w:r w:rsidR="00B41CBA">
        <w:rPr>
          <w:rFonts w:ascii="Times New Roman" w:eastAsia="Times New Roman" w:hAnsi="Times New Roman" w:cs="Times New Roman"/>
          <w:sz w:val="26"/>
          <w:szCs w:val="26"/>
        </w:rPr>
        <w:t>modifications</w:t>
      </w:r>
      <w:r w:rsidR="00AD069C" w:rsidRPr="00D0606B">
        <w:rPr>
          <w:rFonts w:ascii="Times New Roman" w:eastAsia="Times New Roman" w:hAnsi="Times New Roman" w:cs="Times New Roman"/>
          <w:sz w:val="26"/>
          <w:szCs w:val="26"/>
        </w:rPr>
        <w:t xml:space="preserve"> in </w:t>
      </w:r>
      <w:r w:rsidR="00017EC6">
        <w:rPr>
          <w:rFonts w:ascii="Times New Roman" w:eastAsia="Times New Roman" w:hAnsi="Times New Roman" w:cs="Times New Roman"/>
          <w:sz w:val="26"/>
          <w:szCs w:val="26"/>
        </w:rPr>
        <w:t xml:space="preserve">FERC-725Z due to </w:t>
      </w:r>
      <w:r w:rsidR="00AD069C" w:rsidRPr="00D0606B">
        <w:rPr>
          <w:rFonts w:ascii="Times New Roman" w:eastAsia="Times New Roman" w:hAnsi="Times New Roman" w:cs="Times New Roman"/>
          <w:sz w:val="26"/>
          <w:szCs w:val="26"/>
        </w:rPr>
        <w:t xml:space="preserve">Docket </w:t>
      </w:r>
      <w:r w:rsidR="00AD069C" w:rsidRPr="005E4E66">
        <w:rPr>
          <w:rFonts w:ascii="Times New Roman" w:eastAsia="Times New Roman" w:hAnsi="Times New Roman" w:cs="Times New Roman"/>
          <w:sz w:val="26"/>
          <w:szCs w:val="26"/>
        </w:rPr>
        <w:t xml:space="preserve">No. </w:t>
      </w:r>
      <w:r w:rsidR="00166DF1">
        <w:rPr>
          <w:rFonts w:ascii="Times New Roman" w:eastAsia="Times New Roman" w:hAnsi="Times New Roman" w:cs="Times New Roman"/>
          <w:sz w:val="26"/>
          <w:szCs w:val="26"/>
        </w:rPr>
        <w:t>RD19-6</w:t>
      </w:r>
      <w:r w:rsidR="00AD069C" w:rsidRPr="00D0606B">
        <w:rPr>
          <w:rFonts w:ascii="Times New Roman" w:eastAsia="Times New Roman" w:hAnsi="Times New Roman" w:cs="Times New Roman"/>
          <w:sz w:val="26"/>
          <w:szCs w:val="26"/>
        </w:rPr>
        <w:t xml:space="preserve"> </w:t>
      </w:r>
      <w:r w:rsidR="00017EC6">
        <w:rPr>
          <w:rFonts w:ascii="Times New Roman" w:eastAsia="Times New Roman" w:hAnsi="Times New Roman" w:cs="Times New Roman"/>
          <w:sz w:val="26"/>
          <w:szCs w:val="26"/>
        </w:rPr>
        <w:t>follow.</w:t>
      </w:r>
    </w:p>
    <w:p w14:paraId="423BCEF8" w14:textId="0B7FD212" w:rsidR="0033778C" w:rsidRDefault="0033778C" w:rsidP="00C766A9">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1732"/>
        <w:gridCol w:w="1459"/>
        <w:gridCol w:w="1459"/>
        <w:gridCol w:w="1457"/>
        <w:gridCol w:w="1559"/>
      </w:tblGrid>
      <w:tr w:rsidR="0033778C" w:rsidRPr="00B41CBA" w14:paraId="59FD47DF" w14:textId="77777777" w:rsidTr="00B41CBA">
        <w:trPr>
          <w:cantSplit/>
          <w:jc w:val="right"/>
        </w:trPr>
        <w:tc>
          <w:tcPr>
            <w:tcW w:w="5000" w:type="pct"/>
            <w:gridSpan w:val="6"/>
            <w:shd w:val="clear" w:color="auto" w:fill="D9D9D9"/>
            <w:vAlign w:val="bottom"/>
          </w:tcPr>
          <w:p w14:paraId="17C0C975" w14:textId="36C12B36"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 xml:space="preserve">FERC-725Z </w:t>
            </w:r>
            <w:r w:rsidR="00B41CBA">
              <w:rPr>
                <w:rFonts w:ascii="Times New Roman" w:eastAsia="Calibri" w:hAnsi="Times New Roman" w:cs="Times New Roman"/>
                <w:b/>
                <w:sz w:val="20"/>
                <w:szCs w:val="20"/>
              </w:rPr>
              <w:t>Modifications</w:t>
            </w:r>
            <w:r w:rsidRPr="00B41CBA">
              <w:rPr>
                <w:rFonts w:ascii="Times New Roman" w:eastAsia="Calibri" w:hAnsi="Times New Roman" w:cs="Times New Roman"/>
                <w:b/>
                <w:sz w:val="20"/>
                <w:szCs w:val="20"/>
              </w:rPr>
              <w:t xml:space="preserve"> Due to Docket No. RD19-6-000</w:t>
            </w:r>
          </w:p>
        </w:tc>
      </w:tr>
      <w:tr w:rsidR="0033778C" w:rsidRPr="00B41CBA" w14:paraId="041601D9" w14:textId="77777777" w:rsidTr="00B41CBA">
        <w:trPr>
          <w:cantSplit/>
          <w:jc w:val="right"/>
        </w:trPr>
        <w:tc>
          <w:tcPr>
            <w:tcW w:w="997" w:type="pct"/>
            <w:tcBorders>
              <w:bottom w:val="single" w:sz="4" w:space="0" w:color="auto"/>
            </w:tcBorders>
            <w:shd w:val="clear" w:color="auto" w:fill="D9D9D9"/>
            <w:vAlign w:val="bottom"/>
          </w:tcPr>
          <w:p w14:paraId="64BB22F5"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 xml:space="preserve">Information Collection Requirements </w:t>
            </w:r>
          </w:p>
        </w:tc>
        <w:tc>
          <w:tcPr>
            <w:tcW w:w="904" w:type="pct"/>
            <w:tcBorders>
              <w:bottom w:val="single" w:sz="4" w:space="0" w:color="auto"/>
            </w:tcBorders>
            <w:shd w:val="clear" w:color="auto" w:fill="D9D9D9"/>
            <w:vAlign w:val="bottom"/>
          </w:tcPr>
          <w:p w14:paraId="7A38EEE3"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No. of Respondents &amp; Type of Entity</w:t>
            </w:r>
            <w:r w:rsidRPr="00B41CBA">
              <w:rPr>
                <w:rFonts w:ascii="Times New Roman" w:eastAsia="Calibri" w:hAnsi="Times New Roman" w:cs="Times New Roman"/>
                <w:b/>
                <w:sz w:val="20"/>
                <w:szCs w:val="20"/>
                <w:vertAlign w:val="superscript"/>
              </w:rPr>
              <w:footnoteReference w:id="15"/>
            </w:r>
          </w:p>
          <w:p w14:paraId="75316B27"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(1)</w:t>
            </w:r>
          </w:p>
        </w:tc>
        <w:tc>
          <w:tcPr>
            <w:tcW w:w="762" w:type="pct"/>
            <w:tcBorders>
              <w:bottom w:val="single" w:sz="4" w:space="0" w:color="auto"/>
            </w:tcBorders>
            <w:shd w:val="clear" w:color="auto" w:fill="D9D9D9"/>
            <w:vAlign w:val="bottom"/>
          </w:tcPr>
          <w:p w14:paraId="03E8BE91"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Annual No. of Responses per Respondent</w:t>
            </w:r>
          </w:p>
          <w:p w14:paraId="12E37CD9"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(2)</w:t>
            </w:r>
          </w:p>
        </w:tc>
        <w:tc>
          <w:tcPr>
            <w:tcW w:w="762" w:type="pct"/>
            <w:tcBorders>
              <w:bottom w:val="single" w:sz="4" w:space="0" w:color="auto"/>
            </w:tcBorders>
            <w:shd w:val="clear" w:color="auto" w:fill="D9D9D9"/>
            <w:vAlign w:val="bottom"/>
          </w:tcPr>
          <w:p w14:paraId="3C393ED7"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Total No. of Responses (1)*(2)=(3)</w:t>
            </w:r>
          </w:p>
        </w:tc>
        <w:tc>
          <w:tcPr>
            <w:tcW w:w="761" w:type="pct"/>
            <w:tcBorders>
              <w:bottom w:val="single" w:sz="4" w:space="0" w:color="auto"/>
            </w:tcBorders>
            <w:shd w:val="clear" w:color="auto" w:fill="D9D9D9"/>
            <w:vAlign w:val="bottom"/>
          </w:tcPr>
          <w:p w14:paraId="7B2C85CF"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Average Burden Hours &amp; Cost Per Response ($)</w:t>
            </w:r>
          </w:p>
          <w:p w14:paraId="76164FE1"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(4)</w:t>
            </w:r>
          </w:p>
        </w:tc>
        <w:tc>
          <w:tcPr>
            <w:tcW w:w="812" w:type="pct"/>
            <w:tcBorders>
              <w:bottom w:val="single" w:sz="4" w:space="0" w:color="auto"/>
            </w:tcBorders>
            <w:shd w:val="clear" w:color="auto" w:fill="D9D9D9"/>
            <w:vAlign w:val="bottom"/>
          </w:tcPr>
          <w:p w14:paraId="51036A57"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Total Annual Burden Hours &amp; Total Annual Cost ($)</w:t>
            </w:r>
          </w:p>
          <w:p w14:paraId="0B137256" w14:textId="77777777" w:rsidR="0033778C" w:rsidRPr="00B41CBA" w:rsidRDefault="0033778C" w:rsidP="0033778C">
            <w:pPr>
              <w:spacing w:after="0" w:line="240" w:lineRule="auto"/>
              <w:jc w:val="center"/>
              <w:rPr>
                <w:rFonts w:ascii="Times New Roman" w:eastAsia="Calibri" w:hAnsi="Times New Roman" w:cs="Times New Roman"/>
                <w:b/>
                <w:sz w:val="20"/>
                <w:szCs w:val="20"/>
              </w:rPr>
            </w:pPr>
            <w:r w:rsidRPr="00B41CBA">
              <w:rPr>
                <w:rFonts w:ascii="Times New Roman" w:eastAsia="Calibri" w:hAnsi="Times New Roman" w:cs="Times New Roman"/>
                <w:b/>
                <w:sz w:val="20"/>
                <w:szCs w:val="20"/>
              </w:rPr>
              <w:t>(3)*(4)=(5)</w:t>
            </w:r>
          </w:p>
        </w:tc>
      </w:tr>
      <w:tr w:rsidR="0033778C" w:rsidRPr="00B41CBA" w14:paraId="33E22659" w14:textId="77777777" w:rsidTr="00B41CBA">
        <w:trPr>
          <w:cantSplit/>
          <w:trHeight w:val="485"/>
          <w:jc w:val="right"/>
        </w:trPr>
        <w:tc>
          <w:tcPr>
            <w:tcW w:w="997" w:type="pct"/>
          </w:tcPr>
          <w:p w14:paraId="5B518293" w14:textId="77777777" w:rsidR="0033778C" w:rsidRPr="00B41CBA" w:rsidRDefault="0033778C" w:rsidP="0033778C">
            <w:pPr>
              <w:spacing w:after="0" w:line="240" w:lineRule="auto"/>
              <w:rPr>
                <w:rFonts w:ascii="Times New Roman" w:eastAsia="Calibri" w:hAnsi="Times New Roman" w:cs="Times New Roman"/>
                <w:sz w:val="20"/>
                <w:szCs w:val="20"/>
              </w:rPr>
            </w:pPr>
            <w:r w:rsidRPr="00B41CBA">
              <w:rPr>
                <w:rFonts w:ascii="Times New Roman" w:eastAsia="Calibri" w:hAnsi="Times New Roman" w:cs="Times New Roman"/>
                <w:sz w:val="20"/>
                <w:szCs w:val="20"/>
              </w:rPr>
              <w:t>Reporting and Recordkeeping Requirements (continuing in IRO-002-6 [formerly in IRO-002-5])</w:t>
            </w:r>
            <w:r w:rsidRPr="00B41CBA">
              <w:rPr>
                <w:rFonts w:ascii="Times New Roman" w:eastAsia="Calibri" w:hAnsi="Times New Roman" w:cs="Times New Roman"/>
                <w:b/>
                <w:sz w:val="20"/>
                <w:szCs w:val="20"/>
                <w:vertAlign w:val="superscript"/>
              </w:rPr>
              <w:footnoteReference w:id="16"/>
            </w:r>
          </w:p>
        </w:tc>
        <w:tc>
          <w:tcPr>
            <w:tcW w:w="904" w:type="pct"/>
            <w:vAlign w:val="bottom"/>
          </w:tcPr>
          <w:p w14:paraId="610B29B3"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2" w:type="pct"/>
            <w:vAlign w:val="bottom"/>
          </w:tcPr>
          <w:p w14:paraId="044BB23D"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2" w:type="pct"/>
            <w:vAlign w:val="bottom"/>
          </w:tcPr>
          <w:p w14:paraId="67018B73"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1" w:type="pct"/>
            <w:vAlign w:val="bottom"/>
          </w:tcPr>
          <w:p w14:paraId="414FAAF2"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no change</w:t>
            </w:r>
          </w:p>
        </w:tc>
        <w:tc>
          <w:tcPr>
            <w:tcW w:w="812" w:type="pct"/>
            <w:vAlign w:val="bottom"/>
          </w:tcPr>
          <w:p w14:paraId="285DDC88"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no change</w:t>
            </w:r>
          </w:p>
        </w:tc>
      </w:tr>
      <w:tr w:rsidR="0033778C" w:rsidRPr="00B41CBA" w14:paraId="6112E9A6" w14:textId="77777777" w:rsidTr="00B41CBA">
        <w:trPr>
          <w:cantSplit/>
          <w:trHeight w:val="485"/>
          <w:jc w:val="right"/>
        </w:trPr>
        <w:tc>
          <w:tcPr>
            <w:tcW w:w="5000" w:type="pct"/>
            <w:gridSpan w:val="6"/>
            <w:vAlign w:val="bottom"/>
          </w:tcPr>
          <w:p w14:paraId="05E5EF1D" w14:textId="77777777" w:rsidR="0033778C" w:rsidRPr="00B41CBA" w:rsidRDefault="0033778C" w:rsidP="0033778C">
            <w:pPr>
              <w:spacing w:after="0" w:line="240" w:lineRule="auto"/>
              <w:rPr>
                <w:rFonts w:ascii="Times New Roman" w:eastAsia="Calibri" w:hAnsi="Times New Roman" w:cs="Times New Roman"/>
                <w:sz w:val="20"/>
                <w:szCs w:val="20"/>
              </w:rPr>
            </w:pPr>
            <w:r w:rsidRPr="00B41CBA">
              <w:rPr>
                <w:rFonts w:ascii="Times New Roman" w:eastAsia="Calibri" w:hAnsi="Times New Roman" w:cs="Times New Roman"/>
                <w:b/>
                <w:sz w:val="20"/>
                <w:szCs w:val="20"/>
              </w:rPr>
              <w:t>Increases, due to the Regional Variance of IRO-002-6</w:t>
            </w:r>
            <w:r w:rsidRPr="00B41CBA">
              <w:rPr>
                <w:rFonts w:ascii="Times New Roman" w:eastAsia="Calibri" w:hAnsi="Times New Roman" w:cs="Times New Roman"/>
                <w:b/>
                <w:sz w:val="20"/>
                <w:szCs w:val="20"/>
                <w:vertAlign w:val="superscript"/>
              </w:rPr>
              <w:footnoteReference w:id="17"/>
            </w:r>
          </w:p>
        </w:tc>
      </w:tr>
      <w:tr w:rsidR="0033778C" w:rsidRPr="00B41CBA" w14:paraId="428050BC" w14:textId="77777777" w:rsidTr="00B41CBA">
        <w:trPr>
          <w:cantSplit/>
          <w:trHeight w:val="485"/>
          <w:jc w:val="right"/>
        </w:trPr>
        <w:tc>
          <w:tcPr>
            <w:tcW w:w="997" w:type="pct"/>
          </w:tcPr>
          <w:p w14:paraId="2D9A7566" w14:textId="77777777" w:rsidR="0033778C" w:rsidRPr="00B41CBA" w:rsidRDefault="0033778C" w:rsidP="0033778C">
            <w:pPr>
              <w:spacing w:after="0" w:line="240" w:lineRule="auto"/>
              <w:rPr>
                <w:rFonts w:ascii="Times New Roman" w:eastAsia="Calibri" w:hAnsi="Times New Roman" w:cs="Times New Roman"/>
                <w:b/>
                <w:sz w:val="20"/>
                <w:szCs w:val="20"/>
              </w:rPr>
            </w:pPr>
            <w:r w:rsidRPr="00B41CBA">
              <w:rPr>
                <w:rFonts w:ascii="Times New Roman" w:eastAsia="Calibri" w:hAnsi="Times New Roman" w:cs="Times New Roman"/>
                <w:sz w:val="20"/>
                <w:szCs w:val="20"/>
              </w:rPr>
              <w:t>Reporting (R2 &amp; R3), in Yr. 1</w:t>
            </w:r>
          </w:p>
        </w:tc>
        <w:tc>
          <w:tcPr>
            <w:tcW w:w="904" w:type="pct"/>
            <w:tcBorders>
              <w:bottom w:val="single" w:sz="4" w:space="0" w:color="auto"/>
            </w:tcBorders>
            <w:shd w:val="clear" w:color="auto" w:fill="auto"/>
            <w:vAlign w:val="bottom"/>
          </w:tcPr>
          <w:p w14:paraId="199699B5"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2 (RC)</w:t>
            </w:r>
          </w:p>
        </w:tc>
        <w:tc>
          <w:tcPr>
            <w:tcW w:w="762" w:type="pct"/>
            <w:tcBorders>
              <w:bottom w:val="single" w:sz="4" w:space="0" w:color="auto"/>
            </w:tcBorders>
            <w:shd w:val="clear" w:color="auto" w:fill="auto"/>
            <w:vAlign w:val="bottom"/>
          </w:tcPr>
          <w:p w14:paraId="41936B74"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3</w:t>
            </w:r>
          </w:p>
        </w:tc>
        <w:tc>
          <w:tcPr>
            <w:tcW w:w="762" w:type="pct"/>
            <w:tcBorders>
              <w:bottom w:val="single" w:sz="4" w:space="0" w:color="auto"/>
            </w:tcBorders>
            <w:shd w:val="clear" w:color="auto" w:fill="auto"/>
            <w:vAlign w:val="bottom"/>
          </w:tcPr>
          <w:p w14:paraId="4F8E0B8B"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6</w:t>
            </w:r>
          </w:p>
        </w:tc>
        <w:tc>
          <w:tcPr>
            <w:tcW w:w="761" w:type="pct"/>
            <w:tcBorders>
              <w:bottom w:val="single" w:sz="4" w:space="0" w:color="auto"/>
            </w:tcBorders>
            <w:shd w:val="clear" w:color="auto" w:fill="auto"/>
            <w:vAlign w:val="bottom"/>
          </w:tcPr>
          <w:p w14:paraId="175DBB80"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52 hrs.; $3,544.84</w:t>
            </w:r>
          </w:p>
        </w:tc>
        <w:tc>
          <w:tcPr>
            <w:tcW w:w="812" w:type="pct"/>
            <w:tcBorders>
              <w:bottom w:val="single" w:sz="4" w:space="0" w:color="auto"/>
            </w:tcBorders>
            <w:vAlign w:val="bottom"/>
          </w:tcPr>
          <w:p w14:paraId="01EED57A"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312 hrs.; $21,269.04</w:t>
            </w:r>
          </w:p>
        </w:tc>
      </w:tr>
      <w:tr w:rsidR="0033778C" w:rsidRPr="00B41CBA" w14:paraId="1AE139E0" w14:textId="77777777" w:rsidTr="00B41CBA">
        <w:trPr>
          <w:cantSplit/>
          <w:trHeight w:val="485"/>
          <w:jc w:val="right"/>
        </w:trPr>
        <w:tc>
          <w:tcPr>
            <w:tcW w:w="997" w:type="pct"/>
          </w:tcPr>
          <w:p w14:paraId="4FA6049B" w14:textId="77777777" w:rsidR="0033778C" w:rsidRPr="00B41CBA" w:rsidRDefault="0033778C" w:rsidP="0033778C">
            <w:pPr>
              <w:spacing w:after="0" w:line="240" w:lineRule="auto"/>
              <w:rPr>
                <w:rFonts w:ascii="Times New Roman" w:eastAsia="Calibri" w:hAnsi="Times New Roman" w:cs="Times New Roman"/>
                <w:b/>
                <w:sz w:val="20"/>
                <w:szCs w:val="20"/>
              </w:rPr>
            </w:pPr>
            <w:r w:rsidRPr="00B41CBA">
              <w:rPr>
                <w:rFonts w:ascii="Times New Roman" w:eastAsia="Calibri" w:hAnsi="Times New Roman" w:cs="Times New Roman"/>
                <w:sz w:val="20"/>
                <w:szCs w:val="20"/>
              </w:rPr>
              <w:t>Reporting (R2 &amp; R3), in Yr. 2 &amp; ongoing</w:t>
            </w:r>
          </w:p>
        </w:tc>
        <w:tc>
          <w:tcPr>
            <w:tcW w:w="904" w:type="pct"/>
            <w:tcBorders>
              <w:bottom w:val="single" w:sz="4" w:space="0" w:color="auto"/>
            </w:tcBorders>
            <w:shd w:val="clear" w:color="auto" w:fill="auto"/>
            <w:vAlign w:val="bottom"/>
          </w:tcPr>
          <w:p w14:paraId="2F0B83A7"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2 (RC)</w:t>
            </w:r>
          </w:p>
        </w:tc>
        <w:tc>
          <w:tcPr>
            <w:tcW w:w="762" w:type="pct"/>
            <w:tcBorders>
              <w:bottom w:val="single" w:sz="4" w:space="0" w:color="auto"/>
            </w:tcBorders>
            <w:shd w:val="clear" w:color="auto" w:fill="auto"/>
            <w:vAlign w:val="bottom"/>
          </w:tcPr>
          <w:p w14:paraId="67C6733C"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1</w:t>
            </w:r>
          </w:p>
        </w:tc>
        <w:tc>
          <w:tcPr>
            <w:tcW w:w="762" w:type="pct"/>
            <w:tcBorders>
              <w:bottom w:val="single" w:sz="4" w:space="0" w:color="auto"/>
            </w:tcBorders>
            <w:shd w:val="clear" w:color="auto" w:fill="auto"/>
            <w:vAlign w:val="bottom"/>
          </w:tcPr>
          <w:p w14:paraId="433FAF45"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2</w:t>
            </w:r>
          </w:p>
        </w:tc>
        <w:tc>
          <w:tcPr>
            <w:tcW w:w="761" w:type="pct"/>
            <w:tcBorders>
              <w:bottom w:val="single" w:sz="4" w:space="0" w:color="auto"/>
            </w:tcBorders>
            <w:shd w:val="clear" w:color="auto" w:fill="auto"/>
            <w:vAlign w:val="bottom"/>
          </w:tcPr>
          <w:p w14:paraId="7D33C82C"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480 hrs.; $32,721.60</w:t>
            </w:r>
          </w:p>
        </w:tc>
        <w:tc>
          <w:tcPr>
            <w:tcW w:w="812" w:type="pct"/>
            <w:tcBorders>
              <w:bottom w:val="single" w:sz="4" w:space="0" w:color="auto"/>
            </w:tcBorders>
            <w:vAlign w:val="bottom"/>
          </w:tcPr>
          <w:p w14:paraId="46934595"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960 hrs.; $65,443.20</w:t>
            </w:r>
          </w:p>
        </w:tc>
      </w:tr>
      <w:tr w:rsidR="0033778C" w:rsidRPr="00B41CBA" w14:paraId="42F55ADF" w14:textId="77777777" w:rsidTr="00B41CBA">
        <w:trPr>
          <w:cantSplit/>
          <w:trHeight w:val="485"/>
          <w:jc w:val="right"/>
        </w:trPr>
        <w:tc>
          <w:tcPr>
            <w:tcW w:w="997" w:type="pct"/>
            <w:tcBorders>
              <w:bottom w:val="single" w:sz="4" w:space="0" w:color="auto"/>
            </w:tcBorders>
          </w:tcPr>
          <w:p w14:paraId="4D760A8F" w14:textId="77777777" w:rsidR="0033778C" w:rsidRPr="00B41CBA" w:rsidRDefault="0033778C" w:rsidP="0033778C">
            <w:pPr>
              <w:spacing w:after="0" w:line="240" w:lineRule="auto"/>
              <w:rPr>
                <w:rFonts w:ascii="Times New Roman" w:eastAsia="Calibri" w:hAnsi="Times New Roman" w:cs="Times New Roman"/>
                <w:b/>
                <w:sz w:val="20"/>
                <w:szCs w:val="20"/>
              </w:rPr>
            </w:pPr>
            <w:r w:rsidRPr="00B41CBA">
              <w:rPr>
                <w:rFonts w:ascii="Times New Roman" w:eastAsia="Calibri" w:hAnsi="Times New Roman" w:cs="Times New Roman"/>
                <w:b/>
                <w:sz w:val="20"/>
                <w:szCs w:val="20"/>
              </w:rPr>
              <w:t>Total Increase to FERC-725Z in Year 1</w:t>
            </w:r>
          </w:p>
        </w:tc>
        <w:tc>
          <w:tcPr>
            <w:tcW w:w="904" w:type="pct"/>
            <w:tcBorders>
              <w:bottom w:val="single" w:sz="4" w:space="0" w:color="auto"/>
            </w:tcBorders>
            <w:shd w:val="clear" w:color="auto" w:fill="D9D9D9" w:themeFill="background1" w:themeFillShade="D9"/>
            <w:vAlign w:val="bottom"/>
          </w:tcPr>
          <w:p w14:paraId="447FF507"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2" w:type="pct"/>
            <w:tcBorders>
              <w:bottom w:val="single" w:sz="4" w:space="0" w:color="auto"/>
            </w:tcBorders>
            <w:shd w:val="clear" w:color="auto" w:fill="D9D9D9" w:themeFill="background1" w:themeFillShade="D9"/>
            <w:vAlign w:val="bottom"/>
          </w:tcPr>
          <w:p w14:paraId="7BE7E8A7"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2" w:type="pct"/>
            <w:tcBorders>
              <w:bottom w:val="single" w:sz="4" w:space="0" w:color="auto"/>
            </w:tcBorders>
            <w:shd w:val="clear" w:color="auto" w:fill="D9D9D9" w:themeFill="background1" w:themeFillShade="D9"/>
            <w:vAlign w:val="bottom"/>
          </w:tcPr>
          <w:p w14:paraId="0AD54A14"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1" w:type="pct"/>
            <w:tcBorders>
              <w:bottom w:val="single" w:sz="4" w:space="0" w:color="auto"/>
            </w:tcBorders>
            <w:shd w:val="clear" w:color="auto" w:fill="D9D9D9" w:themeFill="background1" w:themeFillShade="D9"/>
            <w:vAlign w:val="bottom"/>
          </w:tcPr>
          <w:p w14:paraId="33879B09"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812" w:type="pct"/>
            <w:tcBorders>
              <w:bottom w:val="single" w:sz="4" w:space="0" w:color="auto"/>
            </w:tcBorders>
            <w:vAlign w:val="bottom"/>
          </w:tcPr>
          <w:p w14:paraId="745383D4"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312 hrs.; $21,269.04</w:t>
            </w:r>
          </w:p>
        </w:tc>
      </w:tr>
      <w:tr w:rsidR="0033778C" w:rsidRPr="00B41CBA" w14:paraId="57837D68" w14:textId="77777777" w:rsidTr="00B41CBA">
        <w:trPr>
          <w:cantSplit/>
          <w:trHeight w:val="485"/>
          <w:jc w:val="right"/>
        </w:trPr>
        <w:tc>
          <w:tcPr>
            <w:tcW w:w="997" w:type="pct"/>
            <w:tcBorders>
              <w:bottom w:val="single" w:sz="4" w:space="0" w:color="auto"/>
            </w:tcBorders>
            <w:vAlign w:val="bottom"/>
          </w:tcPr>
          <w:p w14:paraId="59ABE46B" w14:textId="77777777" w:rsidR="0033778C" w:rsidRPr="00B41CBA" w:rsidRDefault="0033778C" w:rsidP="0033778C">
            <w:pPr>
              <w:spacing w:after="0" w:line="240" w:lineRule="auto"/>
              <w:rPr>
                <w:rFonts w:ascii="Times New Roman" w:eastAsia="Calibri" w:hAnsi="Times New Roman" w:cs="Times New Roman"/>
                <w:b/>
                <w:sz w:val="20"/>
                <w:szCs w:val="20"/>
              </w:rPr>
            </w:pPr>
            <w:r w:rsidRPr="00B41CBA">
              <w:rPr>
                <w:rFonts w:ascii="Times New Roman" w:eastAsia="Calibri" w:hAnsi="Times New Roman" w:cs="Times New Roman"/>
                <w:b/>
                <w:sz w:val="20"/>
                <w:szCs w:val="20"/>
              </w:rPr>
              <w:t>Total Increase to FERC-725Z in Year 2 and ongoing</w:t>
            </w:r>
          </w:p>
        </w:tc>
        <w:tc>
          <w:tcPr>
            <w:tcW w:w="904" w:type="pct"/>
            <w:tcBorders>
              <w:bottom w:val="single" w:sz="4" w:space="0" w:color="auto"/>
            </w:tcBorders>
            <w:shd w:val="clear" w:color="auto" w:fill="D9D9D9" w:themeFill="background1" w:themeFillShade="D9"/>
            <w:vAlign w:val="bottom"/>
          </w:tcPr>
          <w:p w14:paraId="3266BAAF"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2" w:type="pct"/>
            <w:tcBorders>
              <w:bottom w:val="single" w:sz="4" w:space="0" w:color="auto"/>
            </w:tcBorders>
            <w:shd w:val="clear" w:color="auto" w:fill="D9D9D9" w:themeFill="background1" w:themeFillShade="D9"/>
            <w:vAlign w:val="bottom"/>
          </w:tcPr>
          <w:p w14:paraId="2A148EF0"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2" w:type="pct"/>
            <w:tcBorders>
              <w:bottom w:val="single" w:sz="4" w:space="0" w:color="auto"/>
            </w:tcBorders>
            <w:shd w:val="clear" w:color="auto" w:fill="D9D9D9" w:themeFill="background1" w:themeFillShade="D9"/>
            <w:vAlign w:val="bottom"/>
          </w:tcPr>
          <w:p w14:paraId="71BC4BFA"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761" w:type="pct"/>
            <w:tcBorders>
              <w:bottom w:val="single" w:sz="4" w:space="0" w:color="auto"/>
            </w:tcBorders>
            <w:shd w:val="clear" w:color="auto" w:fill="D9D9D9" w:themeFill="background1" w:themeFillShade="D9"/>
            <w:vAlign w:val="bottom"/>
          </w:tcPr>
          <w:p w14:paraId="5FBB97E6" w14:textId="77777777" w:rsidR="0033778C" w:rsidRPr="00B41CBA" w:rsidRDefault="0033778C" w:rsidP="0033778C">
            <w:pPr>
              <w:spacing w:after="0" w:line="240" w:lineRule="auto"/>
              <w:jc w:val="right"/>
              <w:rPr>
                <w:rFonts w:ascii="Times New Roman" w:eastAsia="Calibri" w:hAnsi="Times New Roman" w:cs="Times New Roman"/>
                <w:sz w:val="20"/>
                <w:szCs w:val="20"/>
              </w:rPr>
            </w:pPr>
          </w:p>
        </w:tc>
        <w:tc>
          <w:tcPr>
            <w:tcW w:w="812" w:type="pct"/>
            <w:tcBorders>
              <w:bottom w:val="single" w:sz="4" w:space="0" w:color="auto"/>
            </w:tcBorders>
            <w:vAlign w:val="bottom"/>
          </w:tcPr>
          <w:p w14:paraId="3ABF49EB" w14:textId="77777777" w:rsidR="0033778C" w:rsidRPr="00B41CBA" w:rsidRDefault="0033778C" w:rsidP="0033778C">
            <w:pPr>
              <w:spacing w:after="0" w:line="240" w:lineRule="auto"/>
              <w:jc w:val="right"/>
              <w:rPr>
                <w:rFonts w:ascii="Times New Roman" w:eastAsia="Calibri" w:hAnsi="Times New Roman" w:cs="Times New Roman"/>
                <w:sz w:val="20"/>
                <w:szCs w:val="20"/>
              </w:rPr>
            </w:pPr>
            <w:r w:rsidRPr="00B41CBA">
              <w:rPr>
                <w:rFonts w:ascii="Times New Roman" w:eastAsia="Calibri" w:hAnsi="Times New Roman" w:cs="Times New Roman"/>
                <w:sz w:val="20"/>
                <w:szCs w:val="20"/>
              </w:rPr>
              <w:t>960 hrs.; $65,443.20</w:t>
            </w:r>
          </w:p>
        </w:tc>
      </w:tr>
    </w:tbl>
    <w:p w14:paraId="2F9AE529" w14:textId="1D800982" w:rsidR="000C1DD7" w:rsidRDefault="000C1DD7" w:rsidP="00C766A9">
      <w:pPr>
        <w:widowControl w:val="0"/>
        <w:autoSpaceDE w:val="0"/>
        <w:autoSpaceDN w:val="0"/>
        <w:adjustRightInd w:val="0"/>
        <w:spacing w:after="0" w:line="240" w:lineRule="auto"/>
        <w:rPr>
          <w:rFonts w:ascii="Times New Roman" w:hAnsi="Times New Roman" w:cs="Times New Roman"/>
          <w:sz w:val="26"/>
          <w:szCs w:val="26"/>
        </w:rPr>
      </w:pPr>
    </w:p>
    <w:p w14:paraId="53F99113" w14:textId="4831419C" w:rsidR="000C1DD7" w:rsidRDefault="000C1DD7" w:rsidP="00C766A9">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We will average the estimates over 3 years, providing the following estimated annual increases</w:t>
      </w:r>
      <w:r w:rsidR="00EA20A9">
        <w:rPr>
          <w:rFonts w:ascii="Times New Roman" w:hAnsi="Times New Roman" w:cs="Times New Roman"/>
          <w:sz w:val="26"/>
          <w:szCs w:val="26"/>
        </w:rPr>
        <w:t>, based on the table above</w:t>
      </w:r>
      <w:r>
        <w:rPr>
          <w:rFonts w:ascii="Times New Roman" w:hAnsi="Times New Roman" w:cs="Times New Roman"/>
          <w:sz w:val="26"/>
          <w:szCs w:val="26"/>
        </w:rPr>
        <w:t>.</w:t>
      </w:r>
    </w:p>
    <w:p w14:paraId="7D75A9D5" w14:textId="164E2169" w:rsidR="000C1DD7" w:rsidRDefault="000C1DD7" w:rsidP="000C1DD7">
      <w:pPr>
        <w:pStyle w:val="ListParagraph"/>
        <w:widowControl w:val="0"/>
        <w:numPr>
          <w:ilvl w:val="0"/>
          <w:numId w:val="12"/>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Responses: +3.33, based on 6 responses in Yr. 1 + 2 responses each in Yrs. 2 and 3, or [(6</w:t>
      </w:r>
      <w:r w:rsidR="00544BB1">
        <w:rPr>
          <w:rFonts w:ascii="Times New Roman" w:hAnsi="Times New Roman" w:cs="Times New Roman"/>
          <w:sz w:val="26"/>
          <w:szCs w:val="26"/>
        </w:rPr>
        <w:t xml:space="preserve"> </w:t>
      </w:r>
      <w:r>
        <w:rPr>
          <w:rFonts w:ascii="Times New Roman" w:hAnsi="Times New Roman" w:cs="Times New Roman"/>
          <w:sz w:val="26"/>
          <w:szCs w:val="26"/>
        </w:rPr>
        <w:t>+</w:t>
      </w:r>
      <w:r w:rsidR="00544BB1">
        <w:rPr>
          <w:rFonts w:ascii="Times New Roman" w:hAnsi="Times New Roman" w:cs="Times New Roman"/>
          <w:sz w:val="26"/>
          <w:szCs w:val="26"/>
        </w:rPr>
        <w:t xml:space="preserve"> </w:t>
      </w:r>
      <w:r>
        <w:rPr>
          <w:rFonts w:ascii="Times New Roman" w:hAnsi="Times New Roman" w:cs="Times New Roman"/>
          <w:sz w:val="26"/>
          <w:szCs w:val="26"/>
        </w:rPr>
        <w:t>2</w:t>
      </w:r>
      <w:r w:rsidR="00544BB1">
        <w:rPr>
          <w:rFonts w:ascii="Times New Roman" w:hAnsi="Times New Roman" w:cs="Times New Roman"/>
          <w:sz w:val="26"/>
          <w:szCs w:val="26"/>
        </w:rPr>
        <w:t xml:space="preserve"> </w:t>
      </w:r>
      <w:r>
        <w:rPr>
          <w:rFonts w:ascii="Times New Roman" w:hAnsi="Times New Roman" w:cs="Times New Roman"/>
          <w:sz w:val="26"/>
          <w:szCs w:val="26"/>
        </w:rPr>
        <w:t>+</w:t>
      </w:r>
      <w:r w:rsidR="00544BB1">
        <w:rPr>
          <w:rFonts w:ascii="Times New Roman" w:hAnsi="Times New Roman" w:cs="Times New Roman"/>
          <w:sz w:val="26"/>
          <w:szCs w:val="26"/>
        </w:rPr>
        <w:t xml:space="preserve"> </w:t>
      </w:r>
      <w:r>
        <w:rPr>
          <w:rFonts w:ascii="Times New Roman" w:hAnsi="Times New Roman" w:cs="Times New Roman"/>
          <w:sz w:val="26"/>
          <w:szCs w:val="26"/>
        </w:rPr>
        <w:t>2)</w:t>
      </w:r>
      <w:r w:rsidR="00544BB1">
        <w:rPr>
          <w:rFonts w:ascii="Times New Roman" w:hAnsi="Times New Roman" w:cs="Times New Roman"/>
          <w:sz w:val="26"/>
          <w:szCs w:val="26"/>
        </w:rPr>
        <w:t xml:space="preserve"> ÷ </w:t>
      </w:r>
      <w:r>
        <w:rPr>
          <w:rFonts w:ascii="Times New Roman" w:hAnsi="Times New Roman" w:cs="Times New Roman"/>
          <w:sz w:val="26"/>
          <w:szCs w:val="26"/>
        </w:rPr>
        <w:t>3]</w:t>
      </w:r>
    </w:p>
    <w:p w14:paraId="49817DE9" w14:textId="56C63587" w:rsidR="000C1DD7" w:rsidRPr="00EA20A9" w:rsidRDefault="000C1DD7" w:rsidP="00EA20A9">
      <w:pPr>
        <w:pStyle w:val="ListParagraph"/>
        <w:widowControl w:val="0"/>
        <w:numPr>
          <w:ilvl w:val="0"/>
          <w:numId w:val="12"/>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Burden Hrs.: </w:t>
      </w:r>
      <w:r w:rsidR="00EA20A9">
        <w:rPr>
          <w:rFonts w:ascii="Times New Roman" w:hAnsi="Times New Roman" w:cs="Times New Roman"/>
          <w:sz w:val="26"/>
          <w:szCs w:val="26"/>
        </w:rPr>
        <w:t>+</w:t>
      </w:r>
      <w:r w:rsidR="00D355C7">
        <w:rPr>
          <w:rFonts w:ascii="Times New Roman" w:hAnsi="Times New Roman" w:cs="Times New Roman"/>
          <w:sz w:val="26"/>
          <w:szCs w:val="26"/>
        </w:rPr>
        <w:t>744</w:t>
      </w:r>
      <w:r w:rsidR="00EA20A9">
        <w:rPr>
          <w:rFonts w:ascii="Times New Roman" w:hAnsi="Times New Roman" w:cs="Times New Roman"/>
          <w:sz w:val="26"/>
          <w:szCs w:val="26"/>
        </w:rPr>
        <w:t xml:space="preserve"> hrs., based on +</w:t>
      </w:r>
      <w:r w:rsidR="00D355C7">
        <w:rPr>
          <w:rFonts w:ascii="Times New Roman" w:hAnsi="Times New Roman" w:cs="Times New Roman"/>
          <w:sz w:val="26"/>
          <w:szCs w:val="26"/>
        </w:rPr>
        <w:t xml:space="preserve">312 </w:t>
      </w:r>
      <w:r w:rsidR="00EA20A9">
        <w:rPr>
          <w:rFonts w:ascii="Times New Roman" w:hAnsi="Times New Roman" w:cs="Times New Roman"/>
          <w:sz w:val="26"/>
          <w:szCs w:val="26"/>
        </w:rPr>
        <w:t xml:space="preserve">hrs. in Yr. 1 + </w:t>
      </w:r>
      <w:r w:rsidR="00D355C7">
        <w:rPr>
          <w:rFonts w:ascii="Times New Roman" w:hAnsi="Times New Roman" w:cs="Times New Roman"/>
          <w:sz w:val="26"/>
          <w:szCs w:val="26"/>
        </w:rPr>
        <w:t xml:space="preserve">960 </w:t>
      </w:r>
      <w:r w:rsidR="00EA20A9">
        <w:rPr>
          <w:rFonts w:ascii="Times New Roman" w:hAnsi="Times New Roman" w:cs="Times New Roman"/>
          <w:sz w:val="26"/>
          <w:szCs w:val="26"/>
        </w:rPr>
        <w:t>hrs. each in Years 2 and 3, or [(</w:t>
      </w:r>
      <w:r w:rsidR="00D355C7">
        <w:rPr>
          <w:rFonts w:ascii="Times New Roman" w:hAnsi="Times New Roman" w:cs="Times New Roman"/>
          <w:sz w:val="26"/>
          <w:szCs w:val="26"/>
        </w:rPr>
        <w:t>312</w:t>
      </w:r>
      <w:r w:rsidR="00544BB1">
        <w:rPr>
          <w:rFonts w:ascii="Times New Roman" w:hAnsi="Times New Roman" w:cs="Times New Roman"/>
          <w:sz w:val="26"/>
          <w:szCs w:val="26"/>
        </w:rPr>
        <w:t xml:space="preserve"> </w:t>
      </w:r>
      <w:r w:rsidR="00EA20A9">
        <w:rPr>
          <w:rFonts w:ascii="Times New Roman" w:hAnsi="Times New Roman" w:cs="Times New Roman"/>
          <w:sz w:val="26"/>
          <w:szCs w:val="26"/>
        </w:rPr>
        <w:t>+</w:t>
      </w:r>
      <w:r w:rsidR="00544BB1">
        <w:rPr>
          <w:rFonts w:ascii="Times New Roman" w:hAnsi="Times New Roman" w:cs="Times New Roman"/>
          <w:sz w:val="26"/>
          <w:szCs w:val="26"/>
        </w:rPr>
        <w:t xml:space="preserve"> </w:t>
      </w:r>
      <w:r w:rsidR="00D355C7">
        <w:rPr>
          <w:rFonts w:ascii="Times New Roman" w:hAnsi="Times New Roman" w:cs="Times New Roman"/>
          <w:sz w:val="26"/>
          <w:szCs w:val="26"/>
        </w:rPr>
        <w:t>960</w:t>
      </w:r>
      <w:r w:rsidR="00544BB1">
        <w:rPr>
          <w:rFonts w:ascii="Times New Roman" w:hAnsi="Times New Roman" w:cs="Times New Roman"/>
          <w:sz w:val="26"/>
          <w:szCs w:val="26"/>
        </w:rPr>
        <w:t xml:space="preserve"> </w:t>
      </w:r>
      <w:r w:rsidR="00EA20A9">
        <w:rPr>
          <w:rFonts w:ascii="Times New Roman" w:hAnsi="Times New Roman" w:cs="Times New Roman"/>
          <w:sz w:val="26"/>
          <w:szCs w:val="26"/>
        </w:rPr>
        <w:t>+</w:t>
      </w:r>
      <w:r w:rsidR="00544BB1">
        <w:rPr>
          <w:rFonts w:ascii="Times New Roman" w:hAnsi="Times New Roman" w:cs="Times New Roman"/>
          <w:sz w:val="26"/>
          <w:szCs w:val="26"/>
        </w:rPr>
        <w:t xml:space="preserve"> </w:t>
      </w:r>
      <w:r w:rsidR="00D355C7">
        <w:rPr>
          <w:rFonts w:ascii="Times New Roman" w:hAnsi="Times New Roman" w:cs="Times New Roman"/>
          <w:sz w:val="26"/>
          <w:szCs w:val="26"/>
        </w:rPr>
        <w:t>960</w:t>
      </w:r>
      <w:r w:rsidR="00EA20A9">
        <w:rPr>
          <w:rFonts w:ascii="Times New Roman" w:hAnsi="Times New Roman" w:cs="Times New Roman"/>
          <w:sz w:val="26"/>
          <w:szCs w:val="26"/>
        </w:rPr>
        <w:t>)</w:t>
      </w:r>
      <w:r w:rsidR="00544BB1">
        <w:rPr>
          <w:rFonts w:ascii="Times New Roman" w:hAnsi="Times New Roman" w:cs="Times New Roman"/>
          <w:sz w:val="26"/>
          <w:szCs w:val="26"/>
        </w:rPr>
        <w:t xml:space="preserve"> ÷ </w:t>
      </w:r>
      <w:r w:rsidR="00EA20A9">
        <w:rPr>
          <w:rFonts w:ascii="Times New Roman" w:hAnsi="Times New Roman" w:cs="Times New Roman"/>
          <w:sz w:val="26"/>
          <w:szCs w:val="26"/>
        </w:rPr>
        <w:t>3]</w:t>
      </w:r>
    </w:p>
    <w:p w14:paraId="599D2F07" w14:textId="77777777" w:rsidR="000C1DD7" w:rsidRDefault="000C1DD7" w:rsidP="00C766A9">
      <w:pPr>
        <w:widowControl w:val="0"/>
        <w:autoSpaceDE w:val="0"/>
        <w:autoSpaceDN w:val="0"/>
        <w:adjustRightInd w:val="0"/>
        <w:spacing w:after="0" w:line="240" w:lineRule="auto"/>
        <w:rPr>
          <w:rFonts w:ascii="Times New Roman" w:hAnsi="Times New Roman" w:cs="Times New Roman"/>
          <w:sz w:val="26"/>
          <w:szCs w:val="26"/>
        </w:rPr>
      </w:pPr>
    </w:p>
    <w:p w14:paraId="04711A5F" w14:textId="4F01B033" w:rsidR="003717AE" w:rsidRPr="00D0606B" w:rsidRDefault="003717AE" w:rsidP="003717AE">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ESTIMATE OF THE TOTAL ANNUAL COST BURDEN TO RESPONDENTS</w:t>
      </w:r>
    </w:p>
    <w:p w14:paraId="020D6896" w14:textId="77777777" w:rsidR="007D4839" w:rsidRPr="00D0606B" w:rsidRDefault="007D4839" w:rsidP="007D4839">
      <w:pPr>
        <w:pStyle w:val="ListParagraph"/>
        <w:spacing w:after="0" w:line="240" w:lineRule="auto"/>
        <w:ind w:left="360"/>
        <w:rPr>
          <w:rFonts w:ascii="Times New Roman" w:hAnsi="Times New Roman" w:cs="Times New Roman"/>
          <w:b/>
          <w:sz w:val="26"/>
          <w:szCs w:val="26"/>
        </w:rPr>
      </w:pPr>
    </w:p>
    <w:p w14:paraId="5771ED33" w14:textId="34BB742C" w:rsidR="00DB396E" w:rsidRPr="00D0606B" w:rsidRDefault="00B33B69" w:rsidP="00DB396E">
      <w:pPr>
        <w:spacing w:after="0" w:line="240" w:lineRule="auto"/>
        <w:rPr>
          <w:rFonts w:ascii="Times New Roman" w:hAnsi="Times New Roman" w:cs="Times New Roman"/>
          <w:sz w:val="26"/>
          <w:szCs w:val="26"/>
        </w:rPr>
      </w:pPr>
      <w:r>
        <w:rPr>
          <w:rFonts w:ascii="Times New Roman" w:hAnsi="Times New Roman" w:cs="Times New Roman"/>
          <w:sz w:val="26"/>
          <w:szCs w:val="26"/>
        </w:rPr>
        <w:t>The</w:t>
      </w:r>
      <w:r w:rsidR="00DB396E" w:rsidRPr="00D0606B">
        <w:rPr>
          <w:rFonts w:ascii="Times New Roman" w:hAnsi="Times New Roman" w:cs="Times New Roman"/>
          <w:sz w:val="26"/>
          <w:szCs w:val="26"/>
        </w:rPr>
        <w:t xml:space="preserve"> costs </w:t>
      </w:r>
      <w:r w:rsidR="00A60B4B">
        <w:rPr>
          <w:rFonts w:ascii="Times New Roman" w:hAnsi="Times New Roman" w:cs="Times New Roman"/>
          <w:sz w:val="26"/>
          <w:szCs w:val="26"/>
        </w:rPr>
        <w:t xml:space="preserve">related to the changes </w:t>
      </w:r>
      <w:r w:rsidR="00CB0EE3">
        <w:rPr>
          <w:rFonts w:ascii="Times New Roman" w:hAnsi="Times New Roman" w:cs="Times New Roman"/>
          <w:sz w:val="26"/>
          <w:szCs w:val="26"/>
        </w:rPr>
        <w:t xml:space="preserve">due to </w:t>
      </w:r>
      <w:r w:rsidR="00A60B4B">
        <w:rPr>
          <w:rFonts w:ascii="Times New Roman" w:hAnsi="Times New Roman" w:cs="Times New Roman"/>
          <w:sz w:val="26"/>
          <w:szCs w:val="26"/>
        </w:rPr>
        <w:t xml:space="preserve">Docket No. </w:t>
      </w:r>
      <w:r w:rsidR="00166DF1">
        <w:rPr>
          <w:rFonts w:ascii="Times New Roman" w:hAnsi="Times New Roman" w:cs="Times New Roman"/>
          <w:sz w:val="26"/>
          <w:szCs w:val="26"/>
        </w:rPr>
        <w:t>RD19-6</w:t>
      </w:r>
      <w:r w:rsidR="00DB396E" w:rsidRPr="00D0606B">
        <w:rPr>
          <w:rFonts w:ascii="Times New Roman" w:hAnsi="Times New Roman" w:cs="Times New Roman"/>
          <w:sz w:val="26"/>
          <w:szCs w:val="26"/>
        </w:rPr>
        <w:t xml:space="preserve"> </w:t>
      </w:r>
      <w:r>
        <w:rPr>
          <w:rFonts w:ascii="Times New Roman" w:hAnsi="Times New Roman" w:cs="Times New Roman"/>
          <w:sz w:val="26"/>
          <w:szCs w:val="26"/>
        </w:rPr>
        <w:t xml:space="preserve">are </w:t>
      </w:r>
      <w:r w:rsidR="00DB396E" w:rsidRPr="00D0606B">
        <w:rPr>
          <w:rFonts w:ascii="Times New Roman" w:hAnsi="Times New Roman" w:cs="Times New Roman"/>
          <w:sz w:val="26"/>
          <w:szCs w:val="26"/>
        </w:rPr>
        <w:t>associated with burden hours (labor) and described in #12 and #15.</w:t>
      </w:r>
    </w:p>
    <w:p w14:paraId="708A9A04" w14:textId="77777777" w:rsidR="007D4839" w:rsidRPr="00D0606B" w:rsidRDefault="007D4839" w:rsidP="00DB396E">
      <w:pPr>
        <w:spacing w:after="0" w:line="240" w:lineRule="auto"/>
        <w:rPr>
          <w:rFonts w:ascii="Times New Roman" w:hAnsi="Times New Roman" w:cs="Times New Roman"/>
          <w:sz w:val="26"/>
          <w:szCs w:val="26"/>
        </w:rPr>
      </w:pPr>
    </w:p>
    <w:p w14:paraId="1043746E" w14:textId="77777777" w:rsidR="003717AE" w:rsidRPr="00D0606B" w:rsidRDefault="003717AE" w:rsidP="003717AE">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sz w:val="26"/>
          <w:szCs w:val="26"/>
        </w:rPr>
        <w:t xml:space="preserve"> </w:t>
      </w:r>
      <w:r w:rsidRPr="00D0606B">
        <w:rPr>
          <w:rFonts w:ascii="Times New Roman" w:hAnsi="Times New Roman" w:cs="Times New Roman"/>
          <w:b/>
          <w:sz w:val="26"/>
          <w:szCs w:val="26"/>
        </w:rPr>
        <w:t>ESTIMATED ANNUALIZED COST TO FEDERAL GOVERNMENT</w:t>
      </w:r>
    </w:p>
    <w:p w14:paraId="06D665DF" w14:textId="77777777" w:rsidR="003717AE" w:rsidRPr="00D0606B" w:rsidRDefault="003717AE" w:rsidP="003717AE">
      <w:pPr>
        <w:spacing w:after="0" w:line="240" w:lineRule="auto"/>
        <w:rPr>
          <w:rFonts w:ascii="Times New Roman" w:hAnsi="Times New Roman" w:cs="Times New Roman"/>
          <w:sz w:val="26"/>
          <w:szCs w:val="26"/>
        </w:rPr>
      </w:pPr>
    </w:p>
    <w:p w14:paraId="47835E1B" w14:textId="422F4D70" w:rsidR="00E558FD" w:rsidRPr="003D155C" w:rsidRDefault="003D155C" w:rsidP="004109FB">
      <w:pPr>
        <w:spacing w:after="0"/>
        <w:rPr>
          <w:rFonts w:ascii="Times New Roman" w:hAnsi="Times New Roman" w:cs="Times New Roman"/>
          <w:sz w:val="26"/>
          <w:szCs w:val="26"/>
        </w:rPr>
      </w:pPr>
      <w:r w:rsidRPr="004109FB">
        <w:rPr>
          <w:rFonts w:ascii="Times New Roman" w:hAnsi="Times New Roman"/>
          <w:sz w:val="26"/>
          <w:szCs w:val="26"/>
        </w:rPr>
        <w:t>The Regional Entities and NERC do most of the data processing, monitoring</w:t>
      </w:r>
      <w:r>
        <w:rPr>
          <w:rFonts w:ascii="Times New Roman" w:hAnsi="Times New Roman"/>
          <w:sz w:val="26"/>
          <w:szCs w:val="26"/>
        </w:rPr>
        <w:t xml:space="preserve">, auditing, </w:t>
      </w:r>
      <w:r w:rsidRPr="004109FB">
        <w:rPr>
          <w:rFonts w:ascii="Times New Roman" w:hAnsi="Times New Roman"/>
          <w:sz w:val="26"/>
          <w:szCs w:val="26"/>
        </w:rPr>
        <w:t xml:space="preserve">and compliance work for Reliability Standards.  </w:t>
      </w:r>
      <w:r w:rsidR="00E558FD" w:rsidRPr="003D155C">
        <w:rPr>
          <w:rFonts w:ascii="Times New Roman" w:hAnsi="Times New Roman" w:cs="Times New Roman"/>
          <w:sz w:val="26"/>
          <w:szCs w:val="26"/>
        </w:rPr>
        <w:t>Any involvement by the Commission is covered under the FERC-725 (OMB Control No. 1902-0255</w:t>
      </w:r>
      <w:r w:rsidRPr="003D155C">
        <w:rPr>
          <w:rFonts w:ascii="Times New Roman" w:hAnsi="Times New Roman" w:cs="Times New Roman"/>
          <w:sz w:val="26"/>
          <w:szCs w:val="26"/>
        </w:rPr>
        <w:t>)</w:t>
      </w:r>
      <w:r w:rsidRPr="004109FB">
        <w:rPr>
          <w:rFonts w:ascii="Times New Roman" w:hAnsi="Times New Roman"/>
          <w:sz w:val="26"/>
          <w:szCs w:val="26"/>
        </w:rPr>
        <w:t xml:space="preserve"> and is not part of this request or package</w:t>
      </w:r>
      <w:r w:rsidR="00E558FD" w:rsidRPr="003D155C">
        <w:rPr>
          <w:rFonts w:ascii="Times New Roman" w:hAnsi="Times New Roman" w:cs="Times New Roman"/>
          <w:sz w:val="26"/>
          <w:szCs w:val="26"/>
        </w:rPr>
        <w:t xml:space="preserve">.  The data </w:t>
      </w:r>
      <w:r w:rsidR="0034254D">
        <w:rPr>
          <w:rFonts w:ascii="Times New Roman" w:hAnsi="Times New Roman" w:cs="Times New Roman"/>
          <w:sz w:val="26"/>
          <w:szCs w:val="26"/>
        </w:rPr>
        <w:t xml:space="preserve">for FERC-725Z </w:t>
      </w:r>
      <w:r w:rsidR="00E558FD" w:rsidRPr="003D155C">
        <w:rPr>
          <w:rFonts w:ascii="Times New Roman" w:hAnsi="Times New Roman" w:cs="Times New Roman"/>
          <w:sz w:val="26"/>
          <w:szCs w:val="26"/>
        </w:rPr>
        <w:t xml:space="preserve">are not submitted to FERC.  </w:t>
      </w:r>
    </w:p>
    <w:p w14:paraId="22A92CE9" w14:textId="77777777" w:rsidR="009E603B" w:rsidRPr="00E558FD" w:rsidRDefault="009E603B" w:rsidP="00E558FD">
      <w:pPr>
        <w:spacing w:after="0" w:line="240" w:lineRule="auto"/>
        <w:rPr>
          <w:rFonts w:ascii="Times New Roman" w:hAnsi="Times New Roman" w:cs="Times New Roman"/>
          <w:sz w:val="26"/>
          <w:szCs w:val="26"/>
        </w:rPr>
      </w:pPr>
    </w:p>
    <w:p w14:paraId="1E103BB7" w14:textId="30048631" w:rsidR="003D155C" w:rsidRDefault="003717AE" w:rsidP="003717A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 Commission does incur the costs associated with obtaining OMB clearance for </w:t>
      </w:r>
      <w:r w:rsidR="009B6E77">
        <w:rPr>
          <w:rFonts w:ascii="Times New Roman" w:hAnsi="Times New Roman" w:cs="Times New Roman"/>
          <w:sz w:val="26"/>
          <w:szCs w:val="26"/>
        </w:rPr>
        <w:t xml:space="preserve">the collection under the Paperwork Reduction Act </w:t>
      </w:r>
      <w:r w:rsidR="003D155C">
        <w:rPr>
          <w:rFonts w:ascii="Times New Roman" w:hAnsi="Times New Roman" w:cs="Times New Roman"/>
          <w:sz w:val="26"/>
          <w:szCs w:val="26"/>
        </w:rPr>
        <w:t xml:space="preserve">of 1995 </w:t>
      </w:r>
      <w:r w:rsidR="009B6E77">
        <w:rPr>
          <w:rFonts w:ascii="Times New Roman" w:hAnsi="Times New Roman" w:cs="Times New Roman"/>
          <w:sz w:val="26"/>
          <w:szCs w:val="26"/>
        </w:rPr>
        <w:t xml:space="preserve">(PRA).  </w:t>
      </w:r>
      <w:r w:rsidR="003D155C" w:rsidRPr="003D155C">
        <w:rPr>
          <w:rFonts w:ascii="Times New Roman" w:hAnsi="Times New Roman" w:cs="Times New Roman"/>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r w:rsidR="003D155C">
        <w:rPr>
          <w:rFonts w:ascii="Times New Roman" w:hAnsi="Times New Roman" w:cs="Times New Roman"/>
          <w:sz w:val="26"/>
          <w:szCs w:val="26"/>
        </w:rPr>
        <w:t xml:space="preserve">  </w:t>
      </w:r>
    </w:p>
    <w:p w14:paraId="77F108E5" w14:textId="77777777" w:rsidR="004109FB" w:rsidRPr="00D0606B" w:rsidRDefault="004109FB" w:rsidP="003717AE">
      <w:pPr>
        <w:spacing w:after="0" w:line="240" w:lineRule="auto"/>
        <w:rPr>
          <w:rFonts w:ascii="Times New Roman" w:hAnsi="Times New Roman" w:cs="Times New Roman"/>
          <w:sz w:val="26"/>
          <w:szCs w:val="26"/>
        </w:rPr>
      </w:pPr>
    </w:p>
    <w:tbl>
      <w:tblPr>
        <w:tblW w:w="93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1406E8" w:rsidRPr="00D0606B" w14:paraId="5654C0AD" w14:textId="77777777" w:rsidTr="00F571DE">
        <w:trPr>
          <w:jc w:val="right"/>
        </w:trPr>
        <w:tc>
          <w:tcPr>
            <w:tcW w:w="3182" w:type="dxa"/>
            <w:tcBorders>
              <w:top w:val="single" w:sz="4" w:space="0" w:color="auto"/>
              <w:left w:val="single" w:sz="4" w:space="0" w:color="auto"/>
              <w:bottom w:val="single" w:sz="4" w:space="0" w:color="auto"/>
              <w:right w:val="single" w:sz="4" w:space="0" w:color="auto"/>
            </w:tcBorders>
            <w:shd w:val="clear" w:color="auto" w:fill="CCCCCC"/>
            <w:vAlign w:val="bottom"/>
          </w:tcPr>
          <w:p w14:paraId="756F71E8" w14:textId="55A22203" w:rsidR="001406E8" w:rsidRPr="00F571DE" w:rsidRDefault="00F571DE" w:rsidP="00F571D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For </w:t>
            </w:r>
            <w:r w:rsidRPr="00F571DE">
              <w:rPr>
                <w:rFonts w:ascii="Times New Roman" w:hAnsi="Times New Roman" w:cs="Times New Roman"/>
                <w:b/>
                <w:sz w:val="26"/>
                <w:szCs w:val="26"/>
              </w:rPr>
              <w:t>FERC-725Z, as modified by Docket No. RD19-6</w:t>
            </w:r>
            <w:r w:rsidR="00B41CBA">
              <w:rPr>
                <w:rFonts w:ascii="Times New Roman" w:hAnsi="Times New Roman" w:cs="Times New Roman"/>
                <w:b/>
                <w:sz w:val="26"/>
                <w:szCs w:val="26"/>
              </w:rPr>
              <w:t>-000</w:t>
            </w:r>
          </w:p>
        </w:tc>
        <w:tc>
          <w:tcPr>
            <w:tcW w:w="3201"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4F71BEAD" w14:textId="77777777" w:rsidR="001406E8" w:rsidRPr="00D0606B" w:rsidRDefault="001406E8" w:rsidP="00F571DE">
            <w:pPr>
              <w:spacing w:after="0" w:line="240" w:lineRule="auto"/>
              <w:jc w:val="center"/>
              <w:rPr>
                <w:rFonts w:ascii="Times New Roman" w:hAnsi="Times New Roman" w:cs="Times New Roman"/>
                <w:b/>
                <w:sz w:val="26"/>
                <w:szCs w:val="26"/>
              </w:rPr>
            </w:pPr>
            <w:r w:rsidRPr="00D0606B">
              <w:rPr>
                <w:rFonts w:ascii="Times New Roman" w:hAnsi="Times New Roman" w:cs="Times New Roman"/>
                <w:b/>
                <w:sz w:val="26"/>
                <w:szCs w:val="26"/>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59ACD42E" w14:textId="77777777" w:rsidR="001406E8" w:rsidRPr="00D0606B" w:rsidRDefault="001406E8" w:rsidP="00F571DE">
            <w:pPr>
              <w:spacing w:after="0" w:line="240" w:lineRule="auto"/>
              <w:jc w:val="center"/>
              <w:rPr>
                <w:rFonts w:ascii="Times New Roman" w:hAnsi="Times New Roman" w:cs="Times New Roman"/>
                <w:b/>
                <w:sz w:val="26"/>
                <w:szCs w:val="26"/>
              </w:rPr>
            </w:pPr>
            <w:r w:rsidRPr="00D0606B">
              <w:rPr>
                <w:rFonts w:ascii="Times New Roman" w:hAnsi="Times New Roman" w:cs="Times New Roman"/>
                <w:b/>
                <w:sz w:val="26"/>
                <w:szCs w:val="26"/>
              </w:rPr>
              <w:t>Estimated Annual Federal Cost</w:t>
            </w:r>
          </w:p>
        </w:tc>
      </w:tr>
      <w:tr w:rsidR="001406E8" w:rsidRPr="00D0606B" w14:paraId="6038D696" w14:textId="77777777" w:rsidTr="00A736E5">
        <w:trPr>
          <w:jc w:val="right"/>
        </w:trPr>
        <w:tc>
          <w:tcPr>
            <w:tcW w:w="3182" w:type="dxa"/>
            <w:tcBorders>
              <w:top w:val="single" w:sz="4" w:space="0" w:color="auto"/>
              <w:left w:val="single" w:sz="4" w:space="0" w:color="auto"/>
              <w:bottom w:val="single" w:sz="4" w:space="0" w:color="auto"/>
              <w:right w:val="single" w:sz="4" w:space="0" w:color="auto"/>
            </w:tcBorders>
            <w:hideMark/>
          </w:tcPr>
          <w:p w14:paraId="0C709022" w14:textId="77777777" w:rsidR="001406E8" w:rsidRPr="00D0606B" w:rsidRDefault="001406E8" w:rsidP="001406E8">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14:paraId="55560F50" w14:textId="77777777" w:rsidR="001406E8" w:rsidRPr="00D0606B" w:rsidRDefault="001406E8" w:rsidP="00A736E5">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0.0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61965B48" w14:textId="77777777" w:rsidR="001406E8" w:rsidRPr="00D0606B" w:rsidRDefault="001406E8" w:rsidP="008D3803">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$0</w:t>
            </w:r>
          </w:p>
        </w:tc>
      </w:tr>
      <w:tr w:rsidR="001406E8" w:rsidRPr="00D0606B" w14:paraId="1272A628" w14:textId="77777777" w:rsidTr="00A736E5">
        <w:trPr>
          <w:jc w:val="right"/>
        </w:trPr>
        <w:tc>
          <w:tcPr>
            <w:tcW w:w="3182" w:type="dxa"/>
            <w:tcBorders>
              <w:top w:val="single" w:sz="4" w:space="0" w:color="auto"/>
              <w:left w:val="single" w:sz="4" w:space="0" w:color="auto"/>
              <w:bottom w:val="single" w:sz="4" w:space="0" w:color="auto"/>
              <w:right w:val="single" w:sz="4" w:space="0" w:color="auto"/>
            </w:tcBorders>
            <w:hideMark/>
          </w:tcPr>
          <w:p w14:paraId="7F8D14E0" w14:textId="1D5D3C21" w:rsidR="001406E8" w:rsidRPr="00D0606B" w:rsidRDefault="001406E8" w:rsidP="003D155C">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PRA Administrative Cost</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266D427" w14:textId="77777777" w:rsidR="001406E8" w:rsidRPr="00D0606B" w:rsidRDefault="001406E8" w:rsidP="001406E8">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DE5C2E6" w14:textId="3D1D40DA" w:rsidR="001406E8" w:rsidRPr="00D0606B" w:rsidRDefault="001406E8" w:rsidP="00216041">
            <w:pPr>
              <w:spacing w:after="0" w:line="240" w:lineRule="auto"/>
              <w:jc w:val="right"/>
              <w:rPr>
                <w:rFonts w:ascii="Times New Roman" w:hAnsi="Times New Roman" w:cs="Times New Roman"/>
                <w:sz w:val="26"/>
                <w:szCs w:val="26"/>
              </w:rPr>
            </w:pPr>
            <w:r w:rsidRPr="00D0606B">
              <w:rPr>
                <w:rFonts w:ascii="Times New Roman" w:hAnsi="Times New Roman" w:cs="Times New Roman"/>
                <w:sz w:val="26"/>
                <w:szCs w:val="26"/>
              </w:rPr>
              <w:t>$</w:t>
            </w:r>
            <w:r w:rsidR="00F571DE" w:rsidRPr="00F571DE">
              <w:rPr>
                <w:rFonts w:ascii="Times New Roman" w:hAnsi="Times New Roman" w:cs="Times New Roman"/>
                <w:sz w:val="26"/>
                <w:szCs w:val="26"/>
              </w:rPr>
              <w:t>4,</w:t>
            </w:r>
            <w:r w:rsidR="00B41CBA">
              <w:rPr>
                <w:rFonts w:ascii="Times New Roman" w:hAnsi="Times New Roman" w:cs="Times New Roman"/>
                <w:sz w:val="26"/>
                <w:szCs w:val="26"/>
              </w:rPr>
              <w:t>832</w:t>
            </w:r>
          </w:p>
        </w:tc>
      </w:tr>
      <w:tr w:rsidR="001406E8" w:rsidRPr="00D0606B" w14:paraId="18BFE0C4" w14:textId="77777777" w:rsidTr="00A736E5">
        <w:trPr>
          <w:jc w:val="right"/>
        </w:trPr>
        <w:tc>
          <w:tcPr>
            <w:tcW w:w="3182" w:type="dxa"/>
            <w:tcBorders>
              <w:top w:val="single" w:sz="4" w:space="0" w:color="auto"/>
              <w:left w:val="single" w:sz="4" w:space="0" w:color="auto"/>
              <w:bottom w:val="single" w:sz="4" w:space="0" w:color="auto"/>
              <w:right w:val="single" w:sz="4" w:space="0" w:color="auto"/>
            </w:tcBorders>
            <w:hideMark/>
          </w:tcPr>
          <w:p w14:paraId="535D13A3" w14:textId="77777777" w:rsidR="001406E8" w:rsidRPr="00D0606B" w:rsidRDefault="001406E8" w:rsidP="001406E8">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73C84" w14:textId="77777777" w:rsidR="001406E8" w:rsidRPr="00D0606B" w:rsidRDefault="001406E8" w:rsidP="001406E8">
            <w:pPr>
              <w:spacing w:after="0" w:line="240" w:lineRule="auto"/>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A6967CC" w14:textId="048E9D27" w:rsidR="001406E8" w:rsidRPr="00D0606B" w:rsidRDefault="00216041" w:rsidP="008D3803">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00F571DE">
              <w:rPr>
                <w:rFonts w:ascii="Times New Roman" w:hAnsi="Times New Roman" w:cs="Times New Roman"/>
                <w:sz w:val="26"/>
                <w:szCs w:val="26"/>
              </w:rPr>
              <w:t>4,</w:t>
            </w:r>
            <w:r w:rsidR="00B41CBA">
              <w:rPr>
                <w:rFonts w:ascii="Times New Roman" w:hAnsi="Times New Roman" w:cs="Times New Roman"/>
                <w:sz w:val="26"/>
                <w:szCs w:val="26"/>
              </w:rPr>
              <w:t>832</w:t>
            </w:r>
          </w:p>
        </w:tc>
      </w:tr>
    </w:tbl>
    <w:p w14:paraId="141E8903" w14:textId="77777777" w:rsidR="001406E8" w:rsidRPr="00D0606B" w:rsidRDefault="001406E8" w:rsidP="003717AE">
      <w:pPr>
        <w:spacing w:after="0" w:line="240" w:lineRule="auto"/>
        <w:rPr>
          <w:rFonts w:ascii="Times New Roman" w:hAnsi="Times New Roman" w:cs="Times New Roman"/>
          <w:sz w:val="26"/>
          <w:szCs w:val="26"/>
        </w:rPr>
      </w:pPr>
    </w:p>
    <w:p w14:paraId="703050E8" w14:textId="0CE4CC9A" w:rsidR="003717AE" w:rsidRDefault="003717AE" w:rsidP="003717AE">
      <w:pPr>
        <w:pStyle w:val="ListParagraph"/>
        <w:numPr>
          <w:ilvl w:val="0"/>
          <w:numId w:val="1"/>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REASONS FOR CHANGES IN BURDEN INCLUDING THE NEED FOR ANY INCREASE</w:t>
      </w:r>
    </w:p>
    <w:p w14:paraId="4089ED63" w14:textId="0B34B7AE" w:rsidR="00F571DE" w:rsidRDefault="00F571DE" w:rsidP="00F571DE">
      <w:pPr>
        <w:pStyle w:val="ListParagraph"/>
        <w:spacing w:after="0" w:line="240" w:lineRule="auto"/>
        <w:ind w:left="360"/>
        <w:rPr>
          <w:rFonts w:ascii="Times New Roman" w:hAnsi="Times New Roman" w:cs="Times New Roman"/>
          <w:b/>
          <w:sz w:val="26"/>
          <w:szCs w:val="26"/>
        </w:rPr>
      </w:pPr>
    </w:p>
    <w:p w14:paraId="007751F3" w14:textId="3349518D" w:rsidR="00F571DE" w:rsidRDefault="00F571DE" w:rsidP="00F571DE">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As discussed in the FERC Order issued 7/11/19,</w:t>
      </w:r>
    </w:p>
    <w:p w14:paraId="1ECA6824" w14:textId="77777777" w:rsidR="00F571DE" w:rsidRDefault="00F571DE" w:rsidP="000C1DD7">
      <w:pPr>
        <w:pStyle w:val="ListParagraph"/>
        <w:spacing w:after="0" w:line="240" w:lineRule="auto"/>
        <w:ind w:left="0"/>
        <w:rPr>
          <w:rFonts w:ascii="Times New Roman" w:hAnsi="Times New Roman" w:cs="Times New Roman"/>
          <w:sz w:val="26"/>
          <w:szCs w:val="26"/>
        </w:rPr>
      </w:pPr>
    </w:p>
    <w:p w14:paraId="1415822E" w14:textId="76037E7A" w:rsidR="00F571DE" w:rsidRDefault="00F571DE" w:rsidP="00F571DE">
      <w:pPr>
        <w:pStyle w:val="ListParagraph"/>
        <w:spacing w:after="0" w:line="240" w:lineRule="auto"/>
        <w:ind w:left="360"/>
        <w:rPr>
          <w:rFonts w:ascii="Times New Roman" w:hAnsi="Times New Roman" w:cs="Times New Roman"/>
          <w:sz w:val="26"/>
          <w:szCs w:val="26"/>
        </w:rPr>
      </w:pPr>
      <w:r>
        <w:rPr>
          <w:rFonts w:ascii="Times New Roman" w:hAnsi="Times New Roman" w:cs="Times New Roman"/>
          <w:sz w:val="26"/>
          <w:szCs w:val="26"/>
        </w:rPr>
        <w:t>“</w:t>
      </w:r>
      <w:r w:rsidRPr="00F571DE">
        <w:rPr>
          <w:rFonts w:ascii="Times New Roman" w:hAnsi="Times New Roman" w:cs="Times New Roman"/>
          <w:sz w:val="26"/>
          <w:szCs w:val="26"/>
        </w:rPr>
        <w:t>On May 30, 2019 the North American Electric Reliability Corporation (NERC) and Western Electricity Coordinating Council (WECC) filed a joint petition seeking approval of proposed Reliability Standard IRO-002-6 (Reliability Coordination – Monitoring and Analysis), the associated violation risk factors and violation severity levels, and implementation plan.  NERC and WECC state that proposed Reliability Standard IRO-002-6 reflects the addition of a regional variance containing additional requirements applicable to reliability coordinators providing service to entities in the Western Interconnection.  None of the continent-wide requirements have been changed compared with currently-effective Reliability Standard IRO-002-5.</w:t>
      </w:r>
      <w:r>
        <w:rPr>
          <w:rFonts w:ascii="Times New Roman" w:hAnsi="Times New Roman" w:cs="Times New Roman"/>
          <w:sz w:val="26"/>
          <w:szCs w:val="26"/>
        </w:rPr>
        <w:t>”</w:t>
      </w:r>
    </w:p>
    <w:p w14:paraId="3A844178" w14:textId="77777777" w:rsidR="000C1DD7" w:rsidRDefault="000C1DD7" w:rsidP="000C1DD7">
      <w:pPr>
        <w:pStyle w:val="ListParagraph"/>
        <w:spacing w:after="0" w:line="240" w:lineRule="auto"/>
        <w:ind w:left="0"/>
        <w:rPr>
          <w:rFonts w:ascii="Times New Roman" w:hAnsi="Times New Roman" w:cs="Times New Roman"/>
          <w:sz w:val="26"/>
          <w:szCs w:val="26"/>
        </w:rPr>
      </w:pPr>
    </w:p>
    <w:p w14:paraId="7F1805AD" w14:textId="74C333CC" w:rsidR="000C1DD7" w:rsidRPr="000C1DD7" w:rsidRDefault="000C1DD7" w:rsidP="000C1DD7">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The changes are necessary to ensure that the expected multiple </w:t>
      </w:r>
      <w:r w:rsidR="00833E05">
        <w:rPr>
          <w:rFonts w:ascii="Times New Roman" w:hAnsi="Times New Roman" w:cs="Times New Roman"/>
          <w:sz w:val="26"/>
          <w:szCs w:val="26"/>
        </w:rPr>
        <w:t xml:space="preserve">reliability coordinators </w:t>
      </w:r>
      <w:r>
        <w:rPr>
          <w:rFonts w:ascii="Times New Roman" w:hAnsi="Times New Roman" w:cs="Times New Roman"/>
          <w:sz w:val="26"/>
          <w:szCs w:val="26"/>
        </w:rPr>
        <w:t>(replacing the current one) coordinate to</w:t>
      </w:r>
      <w:r w:rsidR="00E162FB">
        <w:rPr>
          <w:rFonts w:ascii="Times New Roman" w:hAnsi="Times New Roman" w:cs="Times New Roman"/>
          <w:sz w:val="26"/>
          <w:szCs w:val="26"/>
        </w:rPr>
        <w:t xml:space="preserve"> </w:t>
      </w:r>
      <w:r w:rsidR="00E162FB" w:rsidRPr="00E162FB">
        <w:rPr>
          <w:rFonts w:ascii="Times New Roman" w:hAnsi="Times New Roman" w:cs="Times New Roman"/>
          <w:sz w:val="26"/>
          <w:szCs w:val="26"/>
        </w:rPr>
        <w:t xml:space="preserve">develop a common Interconnection-wide methodology to determine the modeling and monitoring of </w:t>
      </w:r>
      <w:r w:rsidR="00E162FB">
        <w:rPr>
          <w:rFonts w:ascii="Times New Roman" w:hAnsi="Times New Roman" w:cs="Times New Roman"/>
          <w:sz w:val="26"/>
          <w:szCs w:val="26"/>
        </w:rPr>
        <w:t>power system e</w:t>
      </w:r>
      <w:r w:rsidR="00E162FB" w:rsidRPr="00E162FB">
        <w:rPr>
          <w:rFonts w:ascii="Times New Roman" w:hAnsi="Times New Roman" w:cs="Times New Roman"/>
          <w:sz w:val="26"/>
          <w:szCs w:val="26"/>
        </w:rPr>
        <w:t xml:space="preserve">lements that are internal and external to </w:t>
      </w:r>
      <w:r w:rsidR="00E162FB">
        <w:rPr>
          <w:rFonts w:ascii="Times New Roman" w:hAnsi="Times New Roman" w:cs="Times New Roman"/>
          <w:sz w:val="26"/>
          <w:szCs w:val="26"/>
        </w:rPr>
        <w:t>their</w:t>
      </w:r>
      <w:r w:rsidR="00E162FB" w:rsidRPr="00E162FB">
        <w:rPr>
          <w:rFonts w:ascii="Times New Roman" w:hAnsi="Times New Roman" w:cs="Times New Roman"/>
          <w:sz w:val="26"/>
          <w:szCs w:val="26"/>
        </w:rPr>
        <w:t xml:space="preserve"> </w:t>
      </w:r>
      <w:r w:rsidR="00E162FB">
        <w:rPr>
          <w:rFonts w:ascii="Times New Roman" w:hAnsi="Times New Roman" w:cs="Times New Roman"/>
          <w:sz w:val="26"/>
          <w:szCs w:val="26"/>
        </w:rPr>
        <w:t>r</w:t>
      </w:r>
      <w:r w:rsidR="00E162FB" w:rsidRPr="00E162FB">
        <w:rPr>
          <w:rFonts w:ascii="Times New Roman" w:hAnsi="Times New Roman" w:cs="Times New Roman"/>
          <w:sz w:val="26"/>
          <w:szCs w:val="26"/>
        </w:rPr>
        <w:t xml:space="preserve">eliability </w:t>
      </w:r>
      <w:r w:rsidR="00E162FB">
        <w:rPr>
          <w:rFonts w:ascii="Times New Roman" w:hAnsi="Times New Roman" w:cs="Times New Roman"/>
          <w:sz w:val="26"/>
          <w:szCs w:val="26"/>
        </w:rPr>
        <w:t>c</w:t>
      </w:r>
      <w:r w:rsidR="00E162FB" w:rsidRPr="00E162FB">
        <w:rPr>
          <w:rFonts w:ascii="Times New Roman" w:hAnsi="Times New Roman" w:cs="Times New Roman"/>
          <w:sz w:val="26"/>
          <w:szCs w:val="26"/>
        </w:rPr>
        <w:t xml:space="preserve">oordinator </w:t>
      </w:r>
      <w:r w:rsidR="00E162FB">
        <w:rPr>
          <w:rFonts w:ascii="Times New Roman" w:hAnsi="Times New Roman" w:cs="Times New Roman"/>
          <w:sz w:val="26"/>
          <w:szCs w:val="26"/>
        </w:rPr>
        <w:t>a</w:t>
      </w:r>
      <w:r w:rsidR="00E162FB" w:rsidRPr="00E162FB">
        <w:rPr>
          <w:rFonts w:ascii="Times New Roman" w:hAnsi="Times New Roman" w:cs="Times New Roman"/>
          <w:sz w:val="26"/>
          <w:szCs w:val="26"/>
        </w:rPr>
        <w:t>rea</w:t>
      </w:r>
      <w:r w:rsidR="00E162FB">
        <w:rPr>
          <w:rFonts w:ascii="Times New Roman" w:hAnsi="Times New Roman" w:cs="Times New Roman"/>
          <w:sz w:val="26"/>
          <w:szCs w:val="26"/>
        </w:rPr>
        <w:t>s</w:t>
      </w:r>
      <w:r w:rsidR="00E162FB" w:rsidRPr="00E162FB">
        <w:rPr>
          <w:rFonts w:ascii="Times New Roman" w:hAnsi="Times New Roman" w:cs="Times New Roman"/>
          <w:sz w:val="26"/>
          <w:szCs w:val="26"/>
        </w:rPr>
        <w:t xml:space="preserve">, necessary for providing operational awareness of the impacts on </w:t>
      </w:r>
      <w:r w:rsidR="00E162FB">
        <w:rPr>
          <w:rFonts w:ascii="Times New Roman" w:hAnsi="Times New Roman" w:cs="Times New Roman"/>
          <w:sz w:val="26"/>
          <w:szCs w:val="26"/>
        </w:rPr>
        <w:t>b</w:t>
      </w:r>
      <w:r w:rsidR="00E162FB" w:rsidRPr="00E162FB">
        <w:rPr>
          <w:rFonts w:ascii="Times New Roman" w:hAnsi="Times New Roman" w:cs="Times New Roman"/>
          <w:sz w:val="26"/>
          <w:szCs w:val="26"/>
        </w:rPr>
        <w:t xml:space="preserve">ulk </w:t>
      </w:r>
      <w:r w:rsidR="00E162FB">
        <w:rPr>
          <w:rFonts w:ascii="Times New Roman" w:hAnsi="Times New Roman" w:cs="Times New Roman"/>
          <w:sz w:val="26"/>
          <w:szCs w:val="26"/>
        </w:rPr>
        <w:t>e</w:t>
      </w:r>
      <w:r w:rsidR="00E162FB" w:rsidRPr="00E162FB">
        <w:rPr>
          <w:rFonts w:ascii="Times New Roman" w:hAnsi="Times New Roman" w:cs="Times New Roman"/>
          <w:sz w:val="26"/>
          <w:szCs w:val="26"/>
        </w:rPr>
        <w:t xml:space="preserve">lectric </w:t>
      </w:r>
      <w:r w:rsidR="00E162FB">
        <w:rPr>
          <w:rFonts w:ascii="Times New Roman" w:hAnsi="Times New Roman" w:cs="Times New Roman"/>
          <w:sz w:val="26"/>
          <w:szCs w:val="26"/>
        </w:rPr>
        <w:t>s</w:t>
      </w:r>
      <w:r w:rsidR="00E162FB" w:rsidRPr="00E162FB">
        <w:rPr>
          <w:rFonts w:ascii="Times New Roman" w:hAnsi="Times New Roman" w:cs="Times New Roman"/>
          <w:sz w:val="26"/>
          <w:szCs w:val="26"/>
        </w:rPr>
        <w:t xml:space="preserve">ystem </w:t>
      </w:r>
      <w:r w:rsidR="00E162FB">
        <w:rPr>
          <w:rFonts w:ascii="Times New Roman" w:hAnsi="Times New Roman" w:cs="Times New Roman"/>
          <w:sz w:val="26"/>
          <w:szCs w:val="26"/>
        </w:rPr>
        <w:t>f</w:t>
      </w:r>
      <w:r w:rsidR="00E162FB" w:rsidRPr="00E162FB">
        <w:rPr>
          <w:rFonts w:ascii="Times New Roman" w:hAnsi="Times New Roman" w:cs="Times New Roman"/>
          <w:sz w:val="26"/>
          <w:szCs w:val="26"/>
        </w:rPr>
        <w:t xml:space="preserve">acilities within </w:t>
      </w:r>
      <w:r w:rsidR="00E162FB">
        <w:rPr>
          <w:rFonts w:ascii="Times New Roman" w:hAnsi="Times New Roman" w:cs="Times New Roman"/>
          <w:sz w:val="26"/>
          <w:szCs w:val="26"/>
        </w:rPr>
        <w:t>their respective</w:t>
      </w:r>
      <w:r w:rsidR="00E162FB" w:rsidRPr="00E162FB">
        <w:rPr>
          <w:rFonts w:ascii="Times New Roman" w:hAnsi="Times New Roman" w:cs="Times New Roman"/>
          <w:sz w:val="26"/>
          <w:szCs w:val="26"/>
        </w:rPr>
        <w:t xml:space="preserve"> </w:t>
      </w:r>
      <w:r w:rsidR="00E162FB">
        <w:rPr>
          <w:rFonts w:ascii="Times New Roman" w:hAnsi="Times New Roman" w:cs="Times New Roman"/>
          <w:sz w:val="26"/>
          <w:szCs w:val="26"/>
        </w:rPr>
        <w:t>r</w:t>
      </w:r>
      <w:r w:rsidR="00E162FB" w:rsidRPr="00E162FB">
        <w:rPr>
          <w:rFonts w:ascii="Times New Roman" w:hAnsi="Times New Roman" w:cs="Times New Roman"/>
          <w:sz w:val="26"/>
          <w:szCs w:val="26"/>
        </w:rPr>
        <w:t xml:space="preserve">eliability </w:t>
      </w:r>
      <w:r w:rsidR="00E162FB">
        <w:rPr>
          <w:rFonts w:ascii="Times New Roman" w:hAnsi="Times New Roman" w:cs="Times New Roman"/>
          <w:sz w:val="26"/>
          <w:szCs w:val="26"/>
        </w:rPr>
        <w:t>c</w:t>
      </w:r>
      <w:r w:rsidR="00E162FB" w:rsidRPr="00E162FB">
        <w:rPr>
          <w:rFonts w:ascii="Times New Roman" w:hAnsi="Times New Roman" w:cs="Times New Roman"/>
          <w:sz w:val="26"/>
          <w:szCs w:val="26"/>
        </w:rPr>
        <w:t xml:space="preserve">oordinator </w:t>
      </w:r>
      <w:r w:rsidR="00E162FB">
        <w:rPr>
          <w:rFonts w:ascii="Times New Roman" w:hAnsi="Times New Roman" w:cs="Times New Roman"/>
          <w:sz w:val="26"/>
          <w:szCs w:val="26"/>
        </w:rPr>
        <w:t>a</w:t>
      </w:r>
      <w:r w:rsidR="00E162FB" w:rsidRPr="00E162FB">
        <w:rPr>
          <w:rFonts w:ascii="Times New Roman" w:hAnsi="Times New Roman" w:cs="Times New Roman"/>
          <w:sz w:val="26"/>
          <w:szCs w:val="26"/>
        </w:rPr>
        <w:t>rea</w:t>
      </w:r>
      <w:r w:rsidR="00E162FB">
        <w:rPr>
          <w:rFonts w:ascii="Times New Roman" w:hAnsi="Times New Roman" w:cs="Times New Roman"/>
          <w:sz w:val="26"/>
          <w:szCs w:val="26"/>
        </w:rPr>
        <w:t>s.</w:t>
      </w:r>
      <w:r>
        <w:rPr>
          <w:rFonts w:ascii="Times New Roman" w:hAnsi="Times New Roman" w:cs="Times New Roman"/>
          <w:sz w:val="26"/>
          <w:szCs w:val="26"/>
        </w:rPr>
        <w:t xml:space="preserve"> </w:t>
      </w:r>
      <w:r w:rsidR="00E162FB">
        <w:rPr>
          <w:rFonts w:ascii="Times New Roman" w:hAnsi="Times New Roman" w:cs="Times New Roman"/>
          <w:sz w:val="26"/>
          <w:szCs w:val="26"/>
        </w:rPr>
        <w:t xml:space="preserve">The purpose of </w:t>
      </w:r>
      <w:r w:rsidR="00E162FB" w:rsidRPr="00E162FB">
        <w:rPr>
          <w:rFonts w:ascii="Times New Roman" w:hAnsi="Times New Roman" w:cs="Times New Roman"/>
          <w:sz w:val="26"/>
          <w:szCs w:val="26"/>
        </w:rPr>
        <w:t>develop</w:t>
      </w:r>
      <w:r w:rsidR="00E162FB">
        <w:rPr>
          <w:rFonts w:ascii="Times New Roman" w:hAnsi="Times New Roman" w:cs="Times New Roman"/>
          <w:sz w:val="26"/>
          <w:szCs w:val="26"/>
        </w:rPr>
        <w:t>ing</w:t>
      </w:r>
      <w:r w:rsidR="00E162FB" w:rsidRPr="00E162FB">
        <w:rPr>
          <w:rFonts w:ascii="Times New Roman" w:hAnsi="Times New Roman" w:cs="Times New Roman"/>
          <w:sz w:val="26"/>
          <w:szCs w:val="26"/>
        </w:rPr>
        <w:t xml:space="preserve"> a</w:t>
      </w:r>
      <w:r w:rsidR="00E162FB">
        <w:rPr>
          <w:rFonts w:ascii="Times New Roman" w:hAnsi="Times New Roman" w:cs="Times New Roman"/>
          <w:sz w:val="26"/>
          <w:szCs w:val="26"/>
        </w:rPr>
        <w:t>n Interconnection-wide</w:t>
      </w:r>
      <w:r w:rsidR="00E162FB" w:rsidRPr="00E162FB">
        <w:rPr>
          <w:rFonts w:ascii="Times New Roman" w:hAnsi="Times New Roman" w:cs="Times New Roman"/>
          <w:sz w:val="26"/>
          <w:szCs w:val="26"/>
        </w:rPr>
        <w:t xml:space="preserve"> methodology that creates models for performing </w:t>
      </w:r>
      <w:r w:rsidR="00E162FB">
        <w:rPr>
          <w:rFonts w:ascii="Times New Roman" w:hAnsi="Times New Roman" w:cs="Times New Roman"/>
          <w:sz w:val="26"/>
          <w:szCs w:val="26"/>
        </w:rPr>
        <w:t>o</w:t>
      </w:r>
      <w:r w:rsidR="00E162FB" w:rsidRPr="00E162FB">
        <w:rPr>
          <w:rFonts w:ascii="Times New Roman" w:hAnsi="Times New Roman" w:cs="Times New Roman"/>
          <w:sz w:val="26"/>
          <w:szCs w:val="26"/>
        </w:rPr>
        <w:t xml:space="preserve">perational </w:t>
      </w:r>
      <w:r w:rsidR="00E162FB">
        <w:rPr>
          <w:rFonts w:ascii="Times New Roman" w:hAnsi="Times New Roman" w:cs="Times New Roman"/>
          <w:sz w:val="26"/>
          <w:szCs w:val="26"/>
        </w:rPr>
        <w:t>pl</w:t>
      </w:r>
      <w:r w:rsidR="00E162FB" w:rsidRPr="00E162FB">
        <w:rPr>
          <w:rFonts w:ascii="Times New Roman" w:hAnsi="Times New Roman" w:cs="Times New Roman"/>
          <w:sz w:val="26"/>
          <w:szCs w:val="26"/>
        </w:rPr>
        <w:t xml:space="preserve">anning </w:t>
      </w:r>
      <w:r w:rsidR="00E162FB">
        <w:rPr>
          <w:rFonts w:ascii="Times New Roman" w:hAnsi="Times New Roman" w:cs="Times New Roman"/>
          <w:sz w:val="26"/>
          <w:szCs w:val="26"/>
        </w:rPr>
        <w:t>a</w:t>
      </w:r>
      <w:r w:rsidR="00E162FB" w:rsidRPr="00E162FB">
        <w:rPr>
          <w:rFonts w:ascii="Times New Roman" w:hAnsi="Times New Roman" w:cs="Times New Roman"/>
          <w:sz w:val="26"/>
          <w:szCs w:val="26"/>
        </w:rPr>
        <w:t xml:space="preserve">nalyses and </w:t>
      </w:r>
      <w:r w:rsidR="00E162FB">
        <w:rPr>
          <w:rFonts w:ascii="Times New Roman" w:hAnsi="Times New Roman" w:cs="Times New Roman"/>
          <w:sz w:val="26"/>
          <w:szCs w:val="26"/>
        </w:rPr>
        <w:t>r</w:t>
      </w:r>
      <w:r w:rsidR="00E162FB" w:rsidRPr="00E162FB">
        <w:rPr>
          <w:rFonts w:ascii="Times New Roman" w:hAnsi="Times New Roman" w:cs="Times New Roman"/>
          <w:sz w:val="26"/>
          <w:szCs w:val="26"/>
        </w:rPr>
        <w:t xml:space="preserve">eal-time </w:t>
      </w:r>
      <w:r w:rsidR="00E162FB">
        <w:rPr>
          <w:rFonts w:ascii="Times New Roman" w:hAnsi="Times New Roman" w:cs="Times New Roman"/>
          <w:sz w:val="26"/>
          <w:szCs w:val="26"/>
        </w:rPr>
        <w:t>a</w:t>
      </w:r>
      <w:r w:rsidR="00E162FB" w:rsidRPr="00E162FB">
        <w:rPr>
          <w:rFonts w:ascii="Times New Roman" w:hAnsi="Times New Roman" w:cs="Times New Roman"/>
          <w:sz w:val="26"/>
          <w:szCs w:val="26"/>
        </w:rPr>
        <w:t>ssessments</w:t>
      </w:r>
      <w:r w:rsidR="00E162FB">
        <w:rPr>
          <w:rFonts w:ascii="Times New Roman" w:hAnsi="Times New Roman" w:cs="Times New Roman"/>
          <w:sz w:val="26"/>
          <w:szCs w:val="26"/>
        </w:rPr>
        <w:t xml:space="preserve"> is to </w:t>
      </w:r>
      <w:r>
        <w:rPr>
          <w:rFonts w:ascii="Times New Roman" w:hAnsi="Times New Roman" w:cs="Times New Roman"/>
          <w:sz w:val="26"/>
          <w:szCs w:val="26"/>
        </w:rPr>
        <w:t>ensure reliability for the Western Interconnection.</w:t>
      </w:r>
    </w:p>
    <w:p w14:paraId="2AF5D257" w14:textId="33930B94" w:rsidR="00F571DE" w:rsidRDefault="00F571DE" w:rsidP="00F571DE">
      <w:pPr>
        <w:pStyle w:val="ListParagraph"/>
        <w:spacing w:after="0" w:line="240" w:lineRule="auto"/>
        <w:ind w:left="360"/>
        <w:rPr>
          <w:rFonts w:ascii="Times New Roman" w:hAnsi="Times New Roman" w:cs="Times New Roman"/>
          <w:b/>
          <w:sz w:val="26"/>
          <w:szCs w:val="26"/>
        </w:rPr>
      </w:pPr>
    </w:p>
    <w:p w14:paraId="7D72C983" w14:textId="77777777" w:rsidR="0041562E" w:rsidRPr="00D0606B" w:rsidRDefault="0041562E" w:rsidP="000324A0">
      <w:pPr>
        <w:tabs>
          <w:tab w:val="num" w:pos="720"/>
        </w:tabs>
        <w:autoSpaceDE w:val="0"/>
        <w:autoSpaceDN w:val="0"/>
        <w:adjustRightInd w:val="0"/>
        <w:spacing w:after="0" w:line="240" w:lineRule="auto"/>
        <w:rPr>
          <w:rFonts w:ascii="Times New Roman" w:eastAsia="Times New Roman" w:hAnsi="Times New Roman" w:cs="Times New Roman"/>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that charts list comparision"/>
      </w:tblPr>
      <w:tblGrid>
        <w:gridCol w:w="2160"/>
        <w:gridCol w:w="1779"/>
        <w:gridCol w:w="1959"/>
        <w:gridCol w:w="1958"/>
        <w:gridCol w:w="1504"/>
      </w:tblGrid>
      <w:tr w:rsidR="00F3604E" w:rsidRPr="00D0606B" w14:paraId="6854694A" w14:textId="77777777" w:rsidTr="00410973">
        <w:trPr>
          <w:trHeight w:val="899"/>
        </w:trPr>
        <w:tc>
          <w:tcPr>
            <w:tcW w:w="216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F5B13F9" w14:textId="77777777" w:rsidR="00F3604E" w:rsidRPr="00D0606B" w:rsidRDefault="00F3604E" w:rsidP="00410973">
            <w:pPr>
              <w:widowControl w:val="0"/>
              <w:autoSpaceDE w:val="0"/>
              <w:autoSpaceDN w:val="0"/>
              <w:adjustRightInd w:val="0"/>
              <w:spacing w:after="0" w:line="240" w:lineRule="auto"/>
              <w:jc w:val="center"/>
              <w:rPr>
                <w:rFonts w:ascii="Times New Roman" w:eastAsia="Calibri" w:hAnsi="Times New Roman" w:cs="Times New Roman"/>
                <w:b/>
                <w:sz w:val="26"/>
                <w:szCs w:val="26"/>
              </w:rPr>
            </w:pPr>
          </w:p>
        </w:tc>
        <w:tc>
          <w:tcPr>
            <w:tcW w:w="17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41A035C" w14:textId="77777777" w:rsidR="00F3604E" w:rsidRPr="00D0606B" w:rsidRDefault="00F3604E" w:rsidP="00410973">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Total Request</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4FFC5D7" w14:textId="77777777" w:rsidR="00F3604E" w:rsidRPr="00D0606B" w:rsidRDefault="00F3604E" w:rsidP="00410973">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Previously Approved</w:t>
            </w:r>
          </w:p>
        </w:tc>
        <w:tc>
          <w:tcPr>
            <w:tcW w:w="195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35589FE" w14:textId="77777777" w:rsidR="00F3604E" w:rsidRPr="00D0606B" w:rsidRDefault="00F3604E" w:rsidP="00410973">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Change due to Adjustment in Estimate</w:t>
            </w:r>
          </w:p>
        </w:tc>
        <w:tc>
          <w:tcPr>
            <w:tcW w:w="150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39BBAA6" w14:textId="77777777" w:rsidR="00F3604E" w:rsidRPr="00D0606B" w:rsidRDefault="00F3604E" w:rsidP="00410973">
            <w:pPr>
              <w:widowControl w:val="0"/>
              <w:autoSpaceDE w:val="0"/>
              <w:autoSpaceDN w:val="0"/>
              <w:adjustRightInd w:val="0"/>
              <w:spacing w:after="0" w:line="240" w:lineRule="auto"/>
              <w:jc w:val="center"/>
              <w:rPr>
                <w:rFonts w:ascii="Times New Roman" w:eastAsia="Calibri" w:hAnsi="Times New Roman" w:cs="Times New Roman"/>
                <w:b/>
                <w:sz w:val="26"/>
                <w:szCs w:val="26"/>
              </w:rPr>
            </w:pPr>
            <w:r w:rsidRPr="00D0606B">
              <w:rPr>
                <w:rFonts w:ascii="Times New Roman" w:eastAsia="Calibri" w:hAnsi="Times New Roman" w:cs="Times New Roman"/>
                <w:b/>
                <w:sz w:val="26"/>
                <w:szCs w:val="26"/>
              </w:rPr>
              <w:t>Change Due to Agency Discretion</w:t>
            </w:r>
          </w:p>
        </w:tc>
      </w:tr>
      <w:tr w:rsidR="00DE7A6F" w:rsidRPr="00D0606B" w14:paraId="5F904A88" w14:textId="77777777" w:rsidTr="00410973">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6033359D" w14:textId="77777777" w:rsidR="00DE7A6F" w:rsidRPr="00D0606B" w:rsidRDefault="00DE7A6F" w:rsidP="00DE7A6F">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Number of Responses</w:t>
            </w:r>
          </w:p>
        </w:tc>
        <w:tc>
          <w:tcPr>
            <w:tcW w:w="1779" w:type="dxa"/>
            <w:tcBorders>
              <w:top w:val="single" w:sz="4" w:space="0" w:color="auto"/>
              <w:left w:val="single" w:sz="4" w:space="0" w:color="auto"/>
              <w:bottom w:val="single" w:sz="4" w:space="0" w:color="auto"/>
              <w:right w:val="single" w:sz="4" w:space="0" w:color="auto"/>
            </w:tcBorders>
            <w:vAlign w:val="bottom"/>
          </w:tcPr>
          <w:p w14:paraId="279CB834" w14:textId="48D0262C" w:rsidR="00DE7A6F" w:rsidRPr="00D0606B" w:rsidRDefault="00EA20A9"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6,686</w:t>
            </w:r>
          </w:p>
        </w:tc>
        <w:tc>
          <w:tcPr>
            <w:tcW w:w="1959" w:type="dxa"/>
            <w:tcBorders>
              <w:top w:val="single" w:sz="4" w:space="0" w:color="auto"/>
              <w:left w:val="single" w:sz="4" w:space="0" w:color="auto"/>
              <w:bottom w:val="single" w:sz="4" w:space="0" w:color="auto"/>
              <w:right w:val="single" w:sz="4" w:space="0" w:color="auto"/>
            </w:tcBorders>
            <w:vAlign w:val="bottom"/>
          </w:tcPr>
          <w:p w14:paraId="42537982" w14:textId="74554D15" w:rsidR="00DE7A6F" w:rsidRPr="00D0606B" w:rsidRDefault="000C1DD7"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C1DD7">
              <w:rPr>
                <w:rFonts w:ascii="Times New Roman" w:eastAsia="Calibri" w:hAnsi="Times New Roman" w:cs="Times New Roman"/>
                <w:sz w:val="26"/>
                <w:szCs w:val="26"/>
              </w:rPr>
              <w:t>6,683</w:t>
            </w:r>
          </w:p>
        </w:tc>
        <w:tc>
          <w:tcPr>
            <w:tcW w:w="1958" w:type="dxa"/>
            <w:tcBorders>
              <w:top w:val="single" w:sz="4" w:space="0" w:color="auto"/>
              <w:left w:val="single" w:sz="4" w:space="0" w:color="auto"/>
              <w:bottom w:val="single" w:sz="4" w:space="0" w:color="auto"/>
              <w:right w:val="single" w:sz="4" w:space="0" w:color="auto"/>
            </w:tcBorders>
            <w:vAlign w:val="bottom"/>
          </w:tcPr>
          <w:p w14:paraId="1769492B"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3D28C166" w14:textId="78592C34" w:rsidR="00DE7A6F" w:rsidRPr="00D0606B" w:rsidRDefault="00EA20A9"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DE7A6F" w:rsidRPr="00D0606B" w14:paraId="284EEB8B" w14:textId="77777777" w:rsidTr="00410973">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3D883380" w14:textId="55BF8F79" w:rsidR="00DE7A6F" w:rsidRPr="00D0606B" w:rsidRDefault="00DE7A6F" w:rsidP="00DE7A6F">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Time Burden (Hr</w:t>
            </w:r>
            <w:r w:rsidR="000C1DD7">
              <w:rPr>
                <w:rFonts w:ascii="Times New Roman" w:eastAsia="Calibri" w:hAnsi="Times New Roman" w:cs="Times New Roman"/>
                <w:sz w:val="26"/>
                <w:szCs w:val="26"/>
              </w:rPr>
              <w:t>s</w:t>
            </w:r>
            <w:r w:rsidRPr="00D0606B">
              <w:rPr>
                <w:rFonts w:ascii="Times New Roman" w:eastAsia="Calibri" w:hAnsi="Times New Roman" w:cs="Times New Roman"/>
                <w:sz w:val="26"/>
                <w:szCs w:val="26"/>
              </w:rPr>
              <w:t>.)</w:t>
            </w:r>
          </w:p>
        </w:tc>
        <w:tc>
          <w:tcPr>
            <w:tcW w:w="1779" w:type="dxa"/>
            <w:tcBorders>
              <w:top w:val="single" w:sz="4" w:space="0" w:color="auto"/>
              <w:left w:val="single" w:sz="4" w:space="0" w:color="auto"/>
              <w:bottom w:val="single" w:sz="4" w:space="0" w:color="auto"/>
              <w:right w:val="single" w:sz="4" w:space="0" w:color="auto"/>
            </w:tcBorders>
            <w:vAlign w:val="bottom"/>
          </w:tcPr>
          <w:p w14:paraId="2D2C8526" w14:textId="6CA653AF" w:rsidR="00DE7A6F" w:rsidRPr="00D0606B" w:rsidRDefault="0056018A"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50,167</w:t>
            </w:r>
          </w:p>
        </w:tc>
        <w:tc>
          <w:tcPr>
            <w:tcW w:w="1959" w:type="dxa"/>
            <w:tcBorders>
              <w:top w:val="single" w:sz="4" w:space="0" w:color="auto"/>
              <w:left w:val="single" w:sz="4" w:space="0" w:color="auto"/>
              <w:bottom w:val="single" w:sz="4" w:space="0" w:color="auto"/>
              <w:right w:val="single" w:sz="4" w:space="0" w:color="auto"/>
            </w:tcBorders>
            <w:vAlign w:val="bottom"/>
          </w:tcPr>
          <w:p w14:paraId="1FFCDFDE" w14:textId="7C63A67A" w:rsidR="00DE7A6F" w:rsidRPr="00D0606B" w:rsidRDefault="000C1DD7"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0C1DD7">
              <w:rPr>
                <w:rFonts w:ascii="Times New Roman" w:eastAsia="Calibri" w:hAnsi="Times New Roman" w:cs="Times New Roman"/>
                <w:sz w:val="26"/>
                <w:szCs w:val="26"/>
              </w:rPr>
              <w:t>49,423</w:t>
            </w:r>
          </w:p>
        </w:tc>
        <w:tc>
          <w:tcPr>
            <w:tcW w:w="1958" w:type="dxa"/>
            <w:tcBorders>
              <w:top w:val="single" w:sz="4" w:space="0" w:color="auto"/>
              <w:left w:val="single" w:sz="4" w:space="0" w:color="auto"/>
              <w:bottom w:val="single" w:sz="4" w:space="0" w:color="auto"/>
              <w:right w:val="single" w:sz="4" w:space="0" w:color="auto"/>
            </w:tcBorders>
            <w:vAlign w:val="bottom"/>
          </w:tcPr>
          <w:p w14:paraId="4325120D"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003264BA" w14:textId="2A823060" w:rsidR="00DE7A6F" w:rsidRPr="00D0606B" w:rsidRDefault="00D355C7"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744</w:t>
            </w:r>
          </w:p>
        </w:tc>
      </w:tr>
      <w:tr w:rsidR="00DE7A6F" w:rsidRPr="00D0606B" w14:paraId="254838BD" w14:textId="77777777" w:rsidTr="00410973">
        <w:trPr>
          <w:trHeight w:val="295"/>
        </w:trPr>
        <w:tc>
          <w:tcPr>
            <w:tcW w:w="2160" w:type="dxa"/>
            <w:tcBorders>
              <w:top w:val="single" w:sz="4" w:space="0" w:color="auto"/>
              <w:left w:val="single" w:sz="4" w:space="0" w:color="auto"/>
              <w:bottom w:val="single" w:sz="4" w:space="0" w:color="auto"/>
              <w:right w:val="single" w:sz="4" w:space="0" w:color="auto"/>
            </w:tcBorders>
            <w:vAlign w:val="bottom"/>
          </w:tcPr>
          <w:p w14:paraId="76AF0145" w14:textId="77777777" w:rsidR="00DE7A6F" w:rsidRPr="00D0606B" w:rsidRDefault="00DE7A6F" w:rsidP="00DE7A6F">
            <w:pPr>
              <w:spacing w:after="0" w:line="240" w:lineRule="auto"/>
              <w:rPr>
                <w:rFonts w:ascii="Times New Roman" w:eastAsia="Calibri" w:hAnsi="Times New Roman" w:cs="Times New Roman"/>
                <w:sz w:val="26"/>
                <w:szCs w:val="26"/>
              </w:rPr>
            </w:pPr>
            <w:r w:rsidRPr="00D0606B">
              <w:rPr>
                <w:rFonts w:ascii="Times New Roman" w:eastAsia="Calibri" w:hAnsi="Times New Roman" w:cs="Times New Roman"/>
                <w:sz w:val="26"/>
                <w:szCs w:val="26"/>
              </w:rPr>
              <w:t>Annual Cost Burden ($)</w:t>
            </w:r>
          </w:p>
        </w:tc>
        <w:tc>
          <w:tcPr>
            <w:tcW w:w="1779" w:type="dxa"/>
            <w:tcBorders>
              <w:top w:val="single" w:sz="4" w:space="0" w:color="auto"/>
              <w:left w:val="single" w:sz="4" w:space="0" w:color="auto"/>
              <w:bottom w:val="single" w:sz="4" w:space="0" w:color="auto"/>
              <w:right w:val="single" w:sz="4" w:space="0" w:color="auto"/>
            </w:tcBorders>
            <w:vAlign w:val="bottom"/>
          </w:tcPr>
          <w:p w14:paraId="32D0B11F"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959" w:type="dxa"/>
            <w:tcBorders>
              <w:top w:val="single" w:sz="4" w:space="0" w:color="auto"/>
              <w:left w:val="single" w:sz="4" w:space="0" w:color="auto"/>
              <w:bottom w:val="single" w:sz="4" w:space="0" w:color="auto"/>
              <w:right w:val="single" w:sz="4" w:space="0" w:color="auto"/>
            </w:tcBorders>
            <w:vAlign w:val="bottom"/>
          </w:tcPr>
          <w:p w14:paraId="0B27D240"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958" w:type="dxa"/>
            <w:tcBorders>
              <w:top w:val="single" w:sz="4" w:space="0" w:color="auto"/>
              <w:left w:val="single" w:sz="4" w:space="0" w:color="auto"/>
              <w:bottom w:val="single" w:sz="4" w:space="0" w:color="auto"/>
              <w:right w:val="single" w:sz="4" w:space="0" w:color="auto"/>
            </w:tcBorders>
            <w:vAlign w:val="bottom"/>
          </w:tcPr>
          <w:p w14:paraId="11B98884"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c>
          <w:tcPr>
            <w:tcW w:w="1504" w:type="dxa"/>
            <w:tcBorders>
              <w:top w:val="single" w:sz="4" w:space="0" w:color="auto"/>
              <w:left w:val="single" w:sz="4" w:space="0" w:color="auto"/>
              <w:bottom w:val="single" w:sz="4" w:space="0" w:color="auto"/>
              <w:right w:val="single" w:sz="4" w:space="0" w:color="auto"/>
            </w:tcBorders>
            <w:vAlign w:val="bottom"/>
          </w:tcPr>
          <w:p w14:paraId="15B6EA53" w14:textId="77777777" w:rsidR="00DE7A6F" w:rsidRPr="00D0606B" w:rsidRDefault="00DE7A6F" w:rsidP="00DE7A6F">
            <w:pPr>
              <w:widowControl w:val="0"/>
              <w:autoSpaceDE w:val="0"/>
              <w:autoSpaceDN w:val="0"/>
              <w:adjustRightInd w:val="0"/>
              <w:spacing w:after="0" w:line="240" w:lineRule="auto"/>
              <w:jc w:val="right"/>
              <w:rPr>
                <w:rFonts w:ascii="Times New Roman" w:eastAsia="Calibri" w:hAnsi="Times New Roman" w:cs="Times New Roman"/>
                <w:sz w:val="26"/>
                <w:szCs w:val="26"/>
              </w:rPr>
            </w:pPr>
            <w:r w:rsidRPr="00D0606B">
              <w:rPr>
                <w:rFonts w:ascii="Times New Roman" w:eastAsia="Calibri" w:hAnsi="Times New Roman" w:cs="Times New Roman"/>
                <w:sz w:val="26"/>
                <w:szCs w:val="26"/>
              </w:rPr>
              <w:t>0</w:t>
            </w:r>
          </w:p>
        </w:tc>
      </w:tr>
    </w:tbl>
    <w:p w14:paraId="5EB5622E" w14:textId="77777777" w:rsidR="003F5C55" w:rsidRPr="00D0606B" w:rsidRDefault="003F5C55" w:rsidP="00905360">
      <w:pPr>
        <w:pStyle w:val="ListParagraph"/>
        <w:spacing w:after="0" w:line="240" w:lineRule="auto"/>
        <w:ind w:left="360"/>
        <w:rPr>
          <w:rFonts w:ascii="Times New Roman" w:hAnsi="Times New Roman" w:cs="Times New Roman"/>
          <w:b/>
          <w:sz w:val="26"/>
          <w:szCs w:val="26"/>
        </w:rPr>
      </w:pPr>
    </w:p>
    <w:p w14:paraId="6F846F67" w14:textId="77777777" w:rsidR="00F3604E" w:rsidRPr="00D0606B" w:rsidRDefault="003F5C55" w:rsidP="003F5C55">
      <w:p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 xml:space="preserve">16. </w:t>
      </w:r>
      <w:r w:rsidR="00F3604E" w:rsidRPr="00D0606B">
        <w:rPr>
          <w:rFonts w:ascii="Times New Roman" w:hAnsi="Times New Roman" w:cs="Times New Roman"/>
          <w:b/>
          <w:sz w:val="26"/>
          <w:szCs w:val="26"/>
        </w:rPr>
        <w:t>TIME SCHEDULE FOR PUBLICATION OF DATA</w:t>
      </w:r>
    </w:p>
    <w:p w14:paraId="46B2A373" w14:textId="77777777" w:rsidR="00F3604E" w:rsidRPr="00D0606B" w:rsidRDefault="00F3604E" w:rsidP="00F3604E">
      <w:pPr>
        <w:spacing w:after="0" w:line="240" w:lineRule="auto"/>
        <w:rPr>
          <w:rFonts w:ascii="Times New Roman" w:hAnsi="Times New Roman" w:cs="Times New Roman"/>
          <w:sz w:val="26"/>
          <w:szCs w:val="26"/>
        </w:rPr>
      </w:pPr>
    </w:p>
    <w:p w14:paraId="4E35554F" w14:textId="2D53D945" w:rsidR="00F3604E" w:rsidRPr="00D0606B" w:rsidRDefault="00F3604E" w:rsidP="00F3604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 xml:space="preserve">There is no publication of data associated with </w:t>
      </w:r>
      <w:r w:rsidR="005A74FD">
        <w:rPr>
          <w:rFonts w:ascii="Times New Roman" w:hAnsi="Times New Roman" w:cs="Times New Roman"/>
          <w:sz w:val="26"/>
          <w:szCs w:val="26"/>
        </w:rPr>
        <w:t xml:space="preserve">the </w:t>
      </w:r>
      <w:r w:rsidRPr="00D0606B">
        <w:rPr>
          <w:rFonts w:ascii="Times New Roman" w:hAnsi="Times New Roman" w:cs="Times New Roman"/>
          <w:sz w:val="26"/>
          <w:szCs w:val="26"/>
        </w:rPr>
        <w:t>FERC-725Z.</w:t>
      </w:r>
    </w:p>
    <w:p w14:paraId="6F168C11" w14:textId="77777777" w:rsidR="00F3604E" w:rsidRPr="00D0606B" w:rsidRDefault="00F3604E" w:rsidP="00F3604E">
      <w:pPr>
        <w:spacing w:after="0" w:line="240" w:lineRule="auto"/>
        <w:rPr>
          <w:rFonts w:ascii="Times New Roman" w:hAnsi="Times New Roman" w:cs="Times New Roman"/>
          <w:sz w:val="26"/>
          <w:szCs w:val="26"/>
        </w:rPr>
      </w:pPr>
    </w:p>
    <w:p w14:paraId="4F08563F" w14:textId="77777777" w:rsidR="00F3604E" w:rsidRPr="00D0606B" w:rsidRDefault="00F3604E" w:rsidP="00025DA7">
      <w:pPr>
        <w:pStyle w:val="ListParagraph"/>
        <w:numPr>
          <w:ilvl w:val="0"/>
          <w:numId w:val="8"/>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DISPLAY OF EXPIRATION DATE</w:t>
      </w:r>
    </w:p>
    <w:p w14:paraId="0DE18249" w14:textId="77777777" w:rsidR="00F3604E" w:rsidRPr="00D0606B" w:rsidRDefault="00F3604E" w:rsidP="00F3604E">
      <w:pPr>
        <w:spacing w:after="0" w:line="240" w:lineRule="auto"/>
        <w:rPr>
          <w:rFonts w:ascii="Times New Roman" w:hAnsi="Times New Roman" w:cs="Times New Roman"/>
          <w:sz w:val="26"/>
          <w:szCs w:val="26"/>
        </w:rPr>
      </w:pPr>
    </w:p>
    <w:p w14:paraId="1F4FE45E" w14:textId="77777777" w:rsidR="00F3604E" w:rsidRPr="00D0606B" w:rsidRDefault="00F3604E" w:rsidP="00F3604E">
      <w:pPr>
        <w:spacing w:after="0" w:line="240" w:lineRule="auto"/>
        <w:rPr>
          <w:rFonts w:ascii="Times New Roman" w:hAnsi="Times New Roman" w:cs="Times New Roman"/>
          <w:sz w:val="26"/>
          <w:szCs w:val="26"/>
        </w:rPr>
      </w:pPr>
      <w:r w:rsidRPr="00D0606B">
        <w:rPr>
          <w:rFonts w:ascii="Times New Roman" w:hAnsi="Times New Roman" w:cs="Times New Roman"/>
          <w:sz w:val="26"/>
          <w:szCs w:val="26"/>
        </w:rPr>
        <w:t>The expiration dates are post</w:t>
      </w:r>
      <w:r w:rsidR="00AE2D32">
        <w:rPr>
          <w:rFonts w:ascii="Times New Roman" w:hAnsi="Times New Roman" w:cs="Times New Roman"/>
          <w:sz w:val="26"/>
          <w:szCs w:val="26"/>
        </w:rPr>
        <w:t>ed</w:t>
      </w:r>
      <w:r w:rsidRPr="00D0606B">
        <w:rPr>
          <w:rFonts w:ascii="Times New Roman" w:hAnsi="Times New Roman" w:cs="Times New Roman"/>
          <w:sz w:val="26"/>
          <w:szCs w:val="26"/>
        </w:rPr>
        <w:t xml:space="preserve"> on ferc.gov at </w:t>
      </w:r>
      <w:hyperlink r:id="rId14" w:history="1">
        <w:r w:rsidRPr="00D0606B">
          <w:rPr>
            <w:rStyle w:val="Hyperlink"/>
            <w:rFonts w:ascii="Times New Roman" w:hAnsi="Times New Roman" w:cs="Times New Roman"/>
            <w:sz w:val="26"/>
            <w:szCs w:val="26"/>
          </w:rPr>
          <w:t>http://www.ferc.gov/docs-filing/info-collections.asp</w:t>
        </w:r>
      </w:hyperlink>
      <w:r w:rsidRPr="00D0606B">
        <w:rPr>
          <w:rFonts w:ascii="Times New Roman" w:hAnsi="Times New Roman" w:cs="Times New Roman"/>
          <w:sz w:val="26"/>
          <w:szCs w:val="26"/>
        </w:rPr>
        <w:t xml:space="preserve">. </w:t>
      </w:r>
    </w:p>
    <w:p w14:paraId="56F8A651" w14:textId="77777777" w:rsidR="00F3604E" w:rsidRPr="00D0606B" w:rsidRDefault="00F3604E" w:rsidP="00F3604E">
      <w:pPr>
        <w:spacing w:after="0" w:line="240" w:lineRule="auto"/>
        <w:rPr>
          <w:rFonts w:ascii="Times New Roman" w:hAnsi="Times New Roman" w:cs="Times New Roman"/>
          <w:sz w:val="26"/>
          <w:szCs w:val="26"/>
        </w:rPr>
      </w:pPr>
    </w:p>
    <w:p w14:paraId="1C1145CC" w14:textId="77777777" w:rsidR="00F3604E" w:rsidRPr="00D0606B" w:rsidRDefault="00F3604E" w:rsidP="00025DA7">
      <w:pPr>
        <w:pStyle w:val="ListParagraph"/>
        <w:numPr>
          <w:ilvl w:val="0"/>
          <w:numId w:val="8"/>
        </w:numPr>
        <w:spacing w:after="0" w:line="240" w:lineRule="auto"/>
        <w:rPr>
          <w:rFonts w:ascii="Times New Roman" w:hAnsi="Times New Roman" w:cs="Times New Roman"/>
          <w:b/>
          <w:sz w:val="26"/>
          <w:szCs w:val="26"/>
        </w:rPr>
      </w:pPr>
      <w:r w:rsidRPr="00D0606B">
        <w:rPr>
          <w:rFonts w:ascii="Times New Roman" w:hAnsi="Times New Roman" w:cs="Times New Roman"/>
          <w:b/>
          <w:sz w:val="26"/>
          <w:szCs w:val="26"/>
        </w:rPr>
        <w:t>EXCEPTIONS TO THE CERTIFICATION STATEMENT</w:t>
      </w:r>
    </w:p>
    <w:p w14:paraId="5DAF6AD0" w14:textId="77777777" w:rsidR="00F3604E" w:rsidRPr="00D0606B" w:rsidRDefault="00F3604E" w:rsidP="00F3604E">
      <w:pPr>
        <w:spacing w:after="0" w:line="240" w:lineRule="auto"/>
        <w:rPr>
          <w:rFonts w:ascii="Times New Roman" w:hAnsi="Times New Roman" w:cs="Times New Roman"/>
          <w:b/>
          <w:sz w:val="26"/>
          <w:szCs w:val="26"/>
        </w:rPr>
      </w:pPr>
    </w:p>
    <w:p w14:paraId="2DA1A73F" w14:textId="77777777" w:rsidR="00F3604E" w:rsidRPr="00D0606B" w:rsidRDefault="00F3604E" w:rsidP="00F3604E">
      <w:pPr>
        <w:spacing w:after="0" w:line="240" w:lineRule="auto"/>
        <w:rPr>
          <w:rFonts w:ascii="Times New Roman" w:hAnsi="Times New Roman" w:cs="Times New Roman"/>
          <w:b/>
          <w:sz w:val="26"/>
          <w:szCs w:val="26"/>
        </w:rPr>
      </w:pPr>
      <w:r w:rsidRPr="00D0606B">
        <w:rPr>
          <w:rFonts w:ascii="Times New Roman" w:eastAsia="Calibri" w:hAnsi="Times New Roman" w:cs="Times New Roman"/>
          <w:sz w:val="26"/>
          <w:szCs w:val="26"/>
        </w:rPr>
        <w:t>There are no exceptions.</w:t>
      </w:r>
    </w:p>
    <w:p w14:paraId="2092F2F3" w14:textId="77777777" w:rsidR="00695052" w:rsidRPr="00D0606B" w:rsidRDefault="00695052" w:rsidP="00193DD3">
      <w:pPr>
        <w:rPr>
          <w:rFonts w:ascii="Times New Roman" w:hAnsi="Times New Roman" w:cs="Times New Roman"/>
          <w:sz w:val="26"/>
          <w:szCs w:val="26"/>
        </w:rPr>
      </w:pPr>
    </w:p>
    <w:sectPr w:rsidR="00695052" w:rsidRPr="00D0606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C89A3" w14:textId="77777777" w:rsidR="00410973" w:rsidRDefault="00410973" w:rsidP="00AC7CFF">
      <w:pPr>
        <w:spacing w:after="0" w:line="240" w:lineRule="auto"/>
      </w:pPr>
      <w:r>
        <w:separator/>
      </w:r>
    </w:p>
  </w:endnote>
  <w:endnote w:type="continuationSeparator" w:id="0">
    <w:p w14:paraId="1DED0578" w14:textId="77777777" w:rsidR="00410973" w:rsidRDefault="00410973" w:rsidP="00AC7CFF">
      <w:pPr>
        <w:spacing w:after="0" w:line="240" w:lineRule="auto"/>
      </w:pPr>
      <w:r>
        <w:continuationSeparator/>
      </w:r>
    </w:p>
  </w:endnote>
  <w:endnote w:type="continuationNotice" w:id="1">
    <w:p w14:paraId="062C0455" w14:textId="77777777" w:rsidR="00C83E85" w:rsidRDefault="00C83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E3790" w14:textId="77777777" w:rsidR="00410973" w:rsidRDefault="00410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53608"/>
      <w:docPartObj>
        <w:docPartGallery w:val="Page Numbers (Bottom of Page)"/>
        <w:docPartUnique/>
      </w:docPartObj>
    </w:sdtPr>
    <w:sdtEndPr>
      <w:rPr>
        <w:rFonts w:ascii="Times New Roman" w:hAnsi="Times New Roman" w:cs="Times New Roman"/>
        <w:noProof/>
      </w:rPr>
    </w:sdtEndPr>
    <w:sdtContent>
      <w:p w14:paraId="3D061CC1" w14:textId="7B05E6FA" w:rsidR="00410973" w:rsidRPr="00402E20" w:rsidRDefault="00410973">
        <w:pPr>
          <w:pStyle w:val="Footer"/>
          <w:jc w:val="right"/>
          <w:rPr>
            <w:rFonts w:ascii="Times New Roman" w:hAnsi="Times New Roman" w:cs="Times New Roman"/>
          </w:rPr>
        </w:pPr>
        <w:r w:rsidRPr="00402E20">
          <w:rPr>
            <w:rFonts w:ascii="Times New Roman" w:hAnsi="Times New Roman" w:cs="Times New Roman"/>
          </w:rPr>
          <w:fldChar w:fldCharType="begin"/>
        </w:r>
        <w:r w:rsidRPr="00402E20">
          <w:rPr>
            <w:rFonts w:ascii="Times New Roman" w:hAnsi="Times New Roman" w:cs="Times New Roman"/>
          </w:rPr>
          <w:instrText xml:space="preserve"> PAGE   \* MERGEFORMAT </w:instrText>
        </w:r>
        <w:r w:rsidRPr="00402E20">
          <w:rPr>
            <w:rFonts w:ascii="Times New Roman" w:hAnsi="Times New Roman" w:cs="Times New Roman"/>
          </w:rPr>
          <w:fldChar w:fldCharType="separate"/>
        </w:r>
        <w:r w:rsidR="00D97DF2">
          <w:rPr>
            <w:rFonts w:ascii="Times New Roman" w:hAnsi="Times New Roman" w:cs="Times New Roman"/>
            <w:noProof/>
          </w:rPr>
          <w:t>1</w:t>
        </w:r>
        <w:r w:rsidRPr="00402E20">
          <w:rPr>
            <w:rFonts w:ascii="Times New Roman" w:hAnsi="Times New Roman" w:cs="Times New Roman"/>
            <w:noProof/>
          </w:rPr>
          <w:fldChar w:fldCharType="end"/>
        </w:r>
      </w:p>
    </w:sdtContent>
  </w:sdt>
  <w:p w14:paraId="387591C4" w14:textId="77777777" w:rsidR="00410973" w:rsidRDefault="004109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FA282" w14:textId="77777777" w:rsidR="00410973" w:rsidRDefault="0041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BFB5D" w14:textId="77777777" w:rsidR="00410973" w:rsidRDefault="00410973" w:rsidP="00AC7CFF">
      <w:pPr>
        <w:spacing w:after="0" w:line="240" w:lineRule="auto"/>
      </w:pPr>
      <w:r>
        <w:separator/>
      </w:r>
    </w:p>
  </w:footnote>
  <w:footnote w:type="continuationSeparator" w:id="0">
    <w:p w14:paraId="07226961" w14:textId="77777777" w:rsidR="00410973" w:rsidRDefault="00410973" w:rsidP="00AC7CFF">
      <w:pPr>
        <w:spacing w:after="0" w:line="240" w:lineRule="auto"/>
      </w:pPr>
      <w:r>
        <w:continuationSeparator/>
      </w:r>
    </w:p>
  </w:footnote>
  <w:footnote w:type="continuationNotice" w:id="1">
    <w:p w14:paraId="5DE82C62" w14:textId="77777777" w:rsidR="00C83E85" w:rsidRDefault="00C83E85">
      <w:pPr>
        <w:spacing w:after="0" w:line="240" w:lineRule="auto"/>
      </w:pPr>
    </w:p>
  </w:footnote>
  <w:footnote w:id="2">
    <w:p w14:paraId="7B6E5267" w14:textId="59E00C2A" w:rsidR="00410973" w:rsidRPr="00D247D5" w:rsidRDefault="00410973">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Commission Order is available in FERC’s eLibrary at </w:t>
      </w:r>
      <w:hyperlink r:id="rId1" w:history="1">
        <w:r w:rsidRPr="00D247D5">
          <w:rPr>
            <w:rStyle w:val="Hyperlink"/>
            <w:rFonts w:ascii="Times New Roman" w:hAnsi="Times New Roman" w:cs="Times New Roman"/>
            <w:sz w:val="26"/>
            <w:szCs w:val="26"/>
          </w:rPr>
          <w:t>https://elibrary-backup.ferc.gov/idmws/common/OpenNat.asp?fileID=15305556</w:t>
        </w:r>
      </w:hyperlink>
      <w:r w:rsidRPr="00D247D5">
        <w:rPr>
          <w:rFonts w:ascii="Times New Roman" w:hAnsi="Times New Roman" w:cs="Times New Roman"/>
          <w:sz w:val="26"/>
          <w:szCs w:val="26"/>
        </w:rPr>
        <w:t xml:space="preserve"> .</w:t>
      </w:r>
    </w:p>
  </w:footnote>
  <w:footnote w:id="3">
    <w:p w14:paraId="3B78553A" w14:textId="77777777" w:rsidR="00410973" w:rsidRPr="00D247D5" w:rsidRDefault="00410973" w:rsidP="00B238F7">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Energy Policy Act of 2005 (EPAct), Pub. L. No 109-58, Title XII, Subtitle A, 119 Stat. 594, 941 (2005), codified at 16 U.S.C. 824o (2000).</w:t>
      </w:r>
    </w:p>
  </w:footnote>
  <w:footnote w:id="4">
    <w:p w14:paraId="126A7581" w14:textId="77777777" w:rsidR="00410973" w:rsidRPr="00D247D5" w:rsidRDefault="00410973" w:rsidP="00B238F7">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vertAlign w:val="superscript"/>
        </w:rPr>
        <w:t xml:space="preserve"> </w:t>
      </w:r>
      <w:r w:rsidRPr="00D247D5">
        <w:rPr>
          <w:rFonts w:ascii="Times New Roman" w:hAnsi="Times New Roman" w:cs="Times New Roman"/>
          <w:sz w:val="26"/>
          <w:szCs w:val="26"/>
        </w:rPr>
        <w:t>The Federal Power Act (as modified by the EPAct) states “[t]he term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p>
  </w:footnote>
  <w:footnote w:id="5">
    <w:p w14:paraId="192A8AC4" w14:textId="77777777" w:rsidR="00410973" w:rsidRPr="00D247D5" w:rsidRDefault="00410973" w:rsidP="00B238F7">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North American Electric Reliability Corp., 116 FERC ¶ 61,062, order on reh’g and compliance, 117 FERC ¶ 61,126 (2006), order on compliance, 118 FERC ¶ 61,190, order on reh’g, 119 FERC ¶ 61,046 (2007), aff’d sub nom. Alcoa Inc. v. FERC, 564 F.3d 1342 (D.C. Cir. 2009).</w:t>
      </w:r>
    </w:p>
  </w:footnote>
  <w:footnote w:id="6">
    <w:p w14:paraId="33683E34" w14:textId="474991FB" w:rsidR="00410973" w:rsidRPr="00D247D5" w:rsidRDefault="00410973">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NERC Standard Processes Manual, Appendix 3A of the NERC Rules Of Procedure, (posted at </w:t>
      </w:r>
      <w:hyperlink r:id="rId2" w:history="1">
        <w:r w:rsidRPr="00D247D5">
          <w:rPr>
            <w:rStyle w:val="Hyperlink"/>
            <w:rFonts w:ascii="Times New Roman" w:hAnsi="Times New Roman" w:cs="Times New Roman"/>
            <w:sz w:val="26"/>
            <w:szCs w:val="26"/>
          </w:rPr>
          <w:t>https://www.nerc.com/FilingsOrders/us/RuleOfProcedureDL/SPM_Clean_Mar2019.pdf</w:t>
        </w:r>
      </w:hyperlink>
      <w:r w:rsidRPr="00D247D5">
        <w:rPr>
          <w:rStyle w:val="Hyperlink"/>
          <w:rFonts w:ascii="Times New Roman" w:hAnsi="Times New Roman" w:cs="Times New Roman"/>
          <w:sz w:val="26"/>
          <w:szCs w:val="26"/>
        </w:rPr>
        <w:t xml:space="preserve">) </w:t>
      </w:r>
      <w:r w:rsidRPr="00D247D5">
        <w:rPr>
          <w:rFonts w:ascii="Times New Roman" w:hAnsi="Times New Roman" w:cs="Times New Roman"/>
          <w:sz w:val="26"/>
          <w:szCs w:val="26"/>
        </w:rPr>
        <w:t>describes the process for developing, modifying, withdrawing, or retiring a Reliability Standard.</w:t>
      </w:r>
    </w:p>
  </w:footnote>
  <w:footnote w:id="7">
    <w:p w14:paraId="6935A152" w14:textId="3EB13A4C" w:rsidR="00410973" w:rsidRPr="00D247D5" w:rsidRDefault="00410973">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More information on the Reliability program and Reliability Standards is posted on FERC’s website at </w:t>
      </w:r>
      <w:hyperlink r:id="rId3" w:history="1">
        <w:r w:rsidRPr="00D247D5">
          <w:rPr>
            <w:rStyle w:val="Hyperlink"/>
            <w:rFonts w:ascii="Times New Roman" w:hAnsi="Times New Roman" w:cs="Times New Roman"/>
            <w:sz w:val="26"/>
            <w:szCs w:val="26"/>
          </w:rPr>
          <w:t>https://www.ferc.gov/industries/electric/indus-act/reliability.asp</w:t>
        </w:r>
      </w:hyperlink>
      <w:r w:rsidRPr="00D247D5">
        <w:rPr>
          <w:rFonts w:ascii="Times New Roman" w:hAnsi="Times New Roman" w:cs="Times New Roman"/>
          <w:sz w:val="26"/>
          <w:szCs w:val="26"/>
        </w:rPr>
        <w:t>.</w:t>
      </w:r>
    </w:p>
  </w:footnote>
  <w:footnote w:id="8">
    <w:p w14:paraId="43792427" w14:textId="197CB3D3" w:rsidR="00410973" w:rsidRPr="00B41CBA" w:rsidRDefault="00410973" w:rsidP="00E959B4">
      <w:pPr>
        <w:pStyle w:val="FootnoteText"/>
        <w:rPr>
          <w:rFonts w:ascii="Times New Roman" w:hAnsi="Times New Roman" w:cs="Times New Roman"/>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burden related to continent-wide Reliability Standard IRO-002-5 (Reliability Coordination, Monitoring and Analysis) is included in FERC-725Z (Mandatory Reliability Standards:  IRO Reliability Standards, OMB Control No. 1902-0276).</w:t>
      </w:r>
    </w:p>
  </w:footnote>
  <w:footnote w:id="9">
    <w:p w14:paraId="7DCFF245" w14:textId="7E664294" w:rsidR="00410973" w:rsidRPr="00D247D5" w:rsidRDefault="00410973">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NERC’s Petition is posted in the Commission’s eLibrary at https://elibrary-backup.ferc.gov/idmws/common/OpenNat.asp?fileID=15258584.</w:t>
      </w:r>
    </w:p>
  </w:footnote>
  <w:footnote w:id="10">
    <w:p w14:paraId="0DAAB9D7" w14:textId="7238C7B6" w:rsidR="00410973" w:rsidRPr="00D247D5" w:rsidRDefault="00410973">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NERC Rules of Procedure Sections 507 and 508 are available at: </w:t>
      </w:r>
      <w:hyperlink r:id="rId4" w:history="1">
        <w:r w:rsidRPr="00D247D5">
          <w:rPr>
            <w:rStyle w:val="Hyperlink"/>
            <w:rFonts w:ascii="Times New Roman" w:hAnsi="Times New Roman" w:cs="Times New Roman"/>
            <w:sz w:val="26"/>
            <w:szCs w:val="26"/>
          </w:rPr>
          <w:t>https://www.nerc.com/FilingsOrders/us/RuleOfProcedureDL/NERC_ROP_Effective_20190125.pdf</w:t>
        </w:r>
      </w:hyperlink>
      <w:r w:rsidRPr="00D247D5">
        <w:rPr>
          <w:rFonts w:ascii="Times New Roman" w:hAnsi="Times New Roman" w:cs="Times New Roman"/>
          <w:sz w:val="26"/>
          <w:szCs w:val="26"/>
        </w:rPr>
        <w:t>.</w:t>
      </w:r>
    </w:p>
  </w:footnote>
  <w:footnote w:id="11">
    <w:p w14:paraId="47DD8054" w14:textId="4F3712E2" w:rsidR="00410973" w:rsidRPr="00B41CBA" w:rsidRDefault="00410973">
      <w:pPr>
        <w:pStyle w:val="FootnoteText"/>
        <w:rPr>
          <w:rFonts w:ascii="Times New Roman" w:hAnsi="Times New Roman" w:cs="Times New Roman"/>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w:t>
      </w:r>
      <w:r w:rsidRPr="00D247D5">
        <w:rPr>
          <w:rFonts w:ascii="Times New Roman" w:eastAsia="Calibri" w:hAnsi="Times New Roman" w:cs="Times New Roman"/>
          <w:sz w:val="26"/>
          <w:szCs w:val="26"/>
        </w:rPr>
        <w:t xml:space="preserve">Details of the ERO’s standard process is available on the NERC website in the Standard Process Manual (Version 4, effective 3/1/2019) at </w:t>
      </w:r>
      <w:hyperlink r:id="rId5" w:history="1">
        <w:r w:rsidRPr="00D247D5">
          <w:rPr>
            <w:rStyle w:val="Hyperlink"/>
            <w:rFonts w:ascii="Times New Roman" w:hAnsi="Times New Roman" w:cs="Times New Roman"/>
            <w:sz w:val="26"/>
            <w:szCs w:val="26"/>
          </w:rPr>
          <w:t>https://www.nerc.com/FilingsOrders/us/RuleOfProcedureDL/SPM_Clean_Mar2019.pdf</w:t>
        </w:r>
      </w:hyperlink>
      <w:r w:rsidRPr="00D247D5">
        <w:rPr>
          <w:rFonts w:ascii="Times New Roman" w:eastAsia="Calibri" w:hAnsi="Times New Roman" w:cs="Times New Roman"/>
          <w:sz w:val="26"/>
          <w:szCs w:val="26"/>
        </w:rPr>
        <w:t>.  Figure 1 (Process for Developing or Modifying a Reliability Standard) on page 12 of the NERC manual includes a diagram showing the “typical process for a project identified in the Reliability Standards Development Plan that involves a revision to an existing Reliability Standard....”</w:t>
      </w:r>
    </w:p>
  </w:footnote>
  <w:footnote w:id="12">
    <w:p w14:paraId="2FBC62B8" w14:textId="18692861" w:rsidR="00410973" w:rsidRPr="00D247D5" w:rsidRDefault="00410973">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https://elibrary-backup.ferc.gov/idmws/common/OpenNat.asp?fileID=15260462</w:t>
      </w:r>
    </w:p>
  </w:footnote>
  <w:footnote w:id="13">
    <w:p w14:paraId="2A2A2AAF" w14:textId="47462EFE" w:rsidR="00410973" w:rsidRPr="00B41CBA" w:rsidRDefault="00410973">
      <w:pPr>
        <w:pStyle w:val="FootnoteText"/>
        <w:rPr>
          <w:rFonts w:ascii="Times New Roman" w:hAnsi="Times New Roman" w:cs="Times New Roman"/>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https://elibrary-backup.ferc.gov/idmws/common/OpenNat.asp?fileID=15280144</w:t>
      </w:r>
    </w:p>
  </w:footnote>
  <w:footnote w:id="14">
    <w:p w14:paraId="2AF185DA" w14:textId="2D76BBFE" w:rsidR="00410973" w:rsidRPr="00D247D5" w:rsidRDefault="00410973">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hourly cost figures, for salary plus benefits, for the new standard are based on Bureau of Labor Statistics (BLS) information (at http://www.bls.gov/oes/current/naics2_22.htm), as of May 2018, and benefits information for December 2018 (at https://www.bls.gov/news.release/ecec.nr0.htm).  For salary plus benefits, for reporting requirements, an electrical engineer (code 17-2071) is $68.17/hour; for the recordkeeping requirements, an information and record clerk (code 43-4199) is $40.84/hour.</w:t>
      </w:r>
    </w:p>
  </w:footnote>
  <w:footnote w:id="15">
    <w:p w14:paraId="3D4A7177" w14:textId="485863FE" w:rsidR="00410973" w:rsidRPr="00D247D5" w:rsidRDefault="00410973" w:rsidP="0033778C">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Our estimates </w:t>
      </w:r>
      <w:r w:rsidRPr="00D247D5">
        <w:rPr>
          <w:rFonts w:ascii="Times New Roman" w:hAnsi="Times New Roman" w:cs="Times New Roman"/>
          <w:color w:val="000000"/>
          <w:sz w:val="26"/>
          <w:szCs w:val="26"/>
        </w:rPr>
        <w:t>are based on the joint petition which indicates at present, only one reliability coordinator, Peak Reliability, provides reliability coordinator services in the Western Interconnection.  In July 2018, Peak Reliability announced that it would cease operations at the end of December 2019.  Over the course of 2018 and 2019, several entities have indicated that they will seek certification to perform the reliability coordinator function for their respective footprints in the Western Interconnection.  For the purposes of this information collection, the WECC RC certification status was used to estimate the number of entities</w:t>
      </w:r>
      <w:r w:rsidRPr="00D247D5">
        <w:rPr>
          <w:rFonts w:ascii="Times New Roman" w:hAnsi="Times New Roman" w:cs="Times New Roman"/>
          <w:sz w:val="26"/>
          <w:szCs w:val="26"/>
        </w:rPr>
        <w:t xml:space="preserve"> within the United States making significant progress to become certified Western Interconnection reliability coordinators.  The certification progress chart and schedule are posted at the following link: </w:t>
      </w:r>
      <w:hyperlink r:id="rId6" w:history="1">
        <w:r w:rsidRPr="00D247D5">
          <w:rPr>
            <w:rStyle w:val="Hyperlink"/>
            <w:rFonts w:ascii="Times New Roman" w:hAnsi="Times New Roman" w:cs="Times New Roman"/>
            <w:sz w:val="26"/>
            <w:szCs w:val="26"/>
          </w:rPr>
          <w:t>https://www.wecc.org/EventAnalysisSituationalAwareness/Pages/Certification.aspx</w:t>
        </w:r>
      </w:hyperlink>
      <w:r w:rsidRPr="00D247D5">
        <w:rPr>
          <w:rFonts w:ascii="Times New Roman" w:hAnsi="Times New Roman" w:cs="Times New Roman"/>
          <w:sz w:val="26"/>
          <w:szCs w:val="26"/>
        </w:rPr>
        <w:t xml:space="preserve">.  </w:t>
      </w:r>
    </w:p>
  </w:footnote>
  <w:footnote w:id="16">
    <w:p w14:paraId="63FB33A5" w14:textId="595A2A05" w:rsidR="00410973" w:rsidRPr="00D247D5" w:rsidRDefault="00410973" w:rsidP="0033778C">
      <w:pPr>
        <w:pStyle w:val="FootnoteText"/>
        <w:rPr>
          <w:rFonts w:ascii="Times New Roman" w:hAnsi="Times New Roman" w:cs="Times New Roman"/>
          <w:sz w:val="26"/>
          <w:szCs w:val="26"/>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reporting and recordkeeping requirements and the associated burden will continue in IRO-002-6 (burden formerly included in IRO-002-5).  The corresponding estimated burden for the 11 RCs continues to be 30 hours per response (or a total estimated burden of 330 hours).</w:t>
      </w:r>
    </w:p>
  </w:footnote>
  <w:footnote w:id="17">
    <w:p w14:paraId="36F92AF7" w14:textId="77777777" w:rsidR="00410973" w:rsidRPr="00B41CBA" w:rsidRDefault="00410973" w:rsidP="0033778C">
      <w:pPr>
        <w:pStyle w:val="FootnoteText"/>
        <w:rPr>
          <w:rFonts w:ascii="Times New Roman" w:hAnsi="Times New Roman" w:cs="Times New Roman"/>
        </w:rPr>
      </w:pPr>
      <w:r w:rsidRPr="00D247D5">
        <w:rPr>
          <w:rStyle w:val="FootnoteReference"/>
          <w:rFonts w:ascii="Times New Roman" w:hAnsi="Times New Roman" w:cs="Times New Roman"/>
          <w:sz w:val="26"/>
          <w:szCs w:val="26"/>
        </w:rPr>
        <w:footnoteRef/>
      </w:r>
      <w:r w:rsidRPr="00D247D5">
        <w:rPr>
          <w:rFonts w:ascii="Times New Roman" w:hAnsi="Times New Roman" w:cs="Times New Roman"/>
          <w:sz w:val="26"/>
          <w:szCs w:val="26"/>
        </w:rPr>
        <w:t xml:space="preserve"> The estimated burden is for the development phase and the ongoing effort to administer/implement the variance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1B923" w14:textId="77777777" w:rsidR="00410973" w:rsidRDefault="00410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CB7F" w14:textId="102AE24A" w:rsidR="00410973" w:rsidRPr="00131F7E" w:rsidRDefault="00410973">
    <w:pPr>
      <w:pStyle w:val="Header"/>
      <w:rPr>
        <w:rFonts w:ascii="Times New Roman" w:hAnsi="Times New Roman" w:cs="Times New Roman"/>
        <w:sz w:val="26"/>
        <w:szCs w:val="26"/>
      </w:rPr>
    </w:pPr>
    <w:r w:rsidRPr="00131F7E">
      <w:rPr>
        <w:rFonts w:ascii="Times New Roman" w:hAnsi="Times New Roman" w:cs="Times New Roman"/>
        <w:sz w:val="26"/>
        <w:szCs w:val="26"/>
      </w:rPr>
      <w:t>FERC-725Z (OMB Control No.: 1902-0276)</w:t>
    </w:r>
  </w:p>
  <w:p w14:paraId="2371AB05" w14:textId="74BEBDE4" w:rsidR="00410973" w:rsidRPr="00131F7E" w:rsidRDefault="00410973">
    <w:pPr>
      <w:pStyle w:val="Header"/>
      <w:rPr>
        <w:rFonts w:ascii="Times New Roman" w:hAnsi="Times New Roman" w:cs="Times New Roman"/>
        <w:sz w:val="26"/>
        <w:szCs w:val="26"/>
      </w:rPr>
    </w:pPr>
    <w:r>
      <w:rPr>
        <w:rFonts w:ascii="Times New Roman" w:hAnsi="Times New Roman" w:cs="Times New Roman"/>
        <w:sz w:val="26"/>
        <w:szCs w:val="26"/>
      </w:rPr>
      <w:t xml:space="preserve">Modifications due to </w:t>
    </w:r>
    <w:r w:rsidRPr="00131F7E">
      <w:rPr>
        <w:rFonts w:ascii="Times New Roman" w:hAnsi="Times New Roman" w:cs="Times New Roman"/>
        <w:sz w:val="26"/>
        <w:szCs w:val="26"/>
      </w:rPr>
      <w:t>Order in Docket No. RD19-6 (issued 7/11/2019)</w:t>
    </w:r>
  </w:p>
  <w:p w14:paraId="5ABA9729" w14:textId="77777777" w:rsidR="00410973" w:rsidRDefault="00410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1B6EF" w14:textId="77777777" w:rsidR="00410973" w:rsidRDefault="00410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18E"/>
    <w:multiLevelType w:val="hybridMultilevel"/>
    <w:tmpl w:val="A6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B112F"/>
    <w:multiLevelType w:val="hybridMultilevel"/>
    <w:tmpl w:val="57D6463E"/>
    <w:lvl w:ilvl="0" w:tplc="6FB013E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96117"/>
    <w:multiLevelType w:val="hybridMultilevel"/>
    <w:tmpl w:val="33D4B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F0DEA"/>
    <w:multiLevelType w:val="hybridMultilevel"/>
    <w:tmpl w:val="1900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F516B"/>
    <w:multiLevelType w:val="hybridMultilevel"/>
    <w:tmpl w:val="F90CC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A72F7"/>
    <w:multiLevelType w:val="hybridMultilevel"/>
    <w:tmpl w:val="5596ABA0"/>
    <w:lvl w:ilvl="0" w:tplc="8078E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77FA5"/>
    <w:multiLevelType w:val="hybridMultilevel"/>
    <w:tmpl w:val="B4B4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CD487E"/>
    <w:multiLevelType w:val="hybridMultilevel"/>
    <w:tmpl w:val="C0C8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CC1895"/>
    <w:multiLevelType w:val="hybridMultilevel"/>
    <w:tmpl w:val="40CA1A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91363"/>
    <w:multiLevelType w:val="hybridMultilevel"/>
    <w:tmpl w:val="6756C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9B10C4"/>
    <w:multiLevelType w:val="hybridMultilevel"/>
    <w:tmpl w:val="A442F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A200EA"/>
    <w:multiLevelType w:val="hybridMultilevel"/>
    <w:tmpl w:val="75326C6A"/>
    <w:lvl w:ilvl="0" w:tplc="5276128C">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4"/>
  </w:num>
  <w:num w:numId="5">
    <w:abstractNumId w:val="2"/>
  </w:num>
  <w:num w:numId="6">
    <w:abstractNumId w:val="1"/>
  </w:num>
  <w:num w:numId="7">
    <w:abstractNumId w:val="7"/>
  </w:num>
  <w:num w:numId="8">
    <w:abstractNumId w:val="11"/>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52"/>
    <w:rsid w:val="00003CBA"/>
    <w:rsid w:val="00003D23"/>
    <w:rsid w:val="00006D40"/>
    <w:rsid w:val="00010E64"/>
    <w:rsid w:val="00015273"/>
    <w:rsid w:val="00017EC6"/>
    <w:rsid w:val="00025933"/>
    <w:rsid w:val="00025DA7"/>
    <w:rsid w:val="000324A0"/>
    <w:rsid w:val="000372DF"/>
    <w:rsid w:val="00041C06"/>
    <w:rsid w:val="0004205E"/>
    <w:rsid w:val="000423B6"/>
    <w:rsid w:val="0004696C"/>
    <w:rsid w:val="000613F3"/>
    <w:rsid w:val="00061C67"/>
    <w:rsid w:val="00065B39"/>
    <w:rsid w:val="000709DB"/>
    <w:rsid w:val="00084B0E"/>
    <w:rsid w:val="00084D64"/>
    <w:rsid w:val="000859F1"/>
    <w:rsid w:val="0009215A"/>
    <w:rsid w:val="000A591A"/>
    <w:rsid w:val="000C1DD7"/>
    <w:rsid w:val="000C536D"/>
    <w:rsid w:val="000E00AB"/>
    <w:rsid w:val="000E0616"/>
    <w:rsid w:val="000E7F11"/>
    <w:rsid w:val="000F2AD2"/>
    <w:rsid w:val="000F3293"/>
    <w:rsid w:val="00106429"/>
    <w:rsid w:val="00107FE3"/>
    <w:rsid w:val="00131018"/>
    <w:rsid w:val="00131F7E"/>
    <w:rsid w:val="001367D2"/>
    <w:rsid w:val="001406E8"/>
    <w:rsid w:val="001456E0"/>
    <w:rsid w:val="001471C3"/>
    <w:rsid w:val="00151D52"/>
    <w:rsid w:val="001655BC"/>
    <w:rsid w:val="00166DF1"/>
    <w:rsid w:val="0017343B"/>
    <w:rsid w:val="00173CA3"/>
    <w:rsid w:val="00180C80"/>
    <w:rsid w:val="0018168B"/>
    <w:rsid w:val="001828DB"/>
    <w:rsid w:val="0019022B"/>
    <w:rsid w:val="00193DD3"/>
    <w:rsid w:val="001958C9"/>
    <w:rsid w:val="001A215A"/>
    <w:rsid w:val="001A45E9"/>
    <w:rsid w:val="001C4DBD"/>
    <w:rsid w:val="001D013F"/>
    <w:rsid w:val="001D05F1"/>
    <w:rsid w:val="001D1A89"/>
    <w:rsid w:val="001D5491"/>
    <w:rsid w:val="001E2C9E"/>
    <w:rsid w:val="001F2E34"/>
    <w:rsid w:val="00200821"/>
    <w:rsid w:val="00202F6A"/>
    <w:rsid w:val="0021415A"/>
    <w:rsid w:val="00216041"/>
    <w:rsid w:val="002266EE"/>
    <w:rsid w:val="00234926"/>
    <w:rsid w:val="00257DDE"/>
    <w:rsid w:val="0026551F"/>
    <w:rsid w:val="0027289A"/>
    <w:rsid w:val="00275A35"/>
    <w:rsid w:val="00276B64"/>
    <w:rsid w:val="00290B24"/>
    <w:rsid w:val="002915A0"/>
    <w:rsid w:val="00291831"/>
    <w:rsid w:val="002A2CE4"/>
    <w:rsid w:val="002A3F49"/>
    <w:rsid w:val="002A6A4A"/>
    <w:rsid w:val="002D32C0"/>
    <w:rsid w:val="002D4353"/>
    <w:rsid w:val="002E33C0"/>
    <w:rsid w:val="002E66B1"/>
    <w:rsid w:val="002F1221"/>
    <w:rsid w:val="00310012"/>
    <w:rsid w:val="00313836"/>
    <w:rsid w:val="00331AD5"/>
    <w:rsid w:val="0033778C"/>
    <w:rsid w:val="0034254D"/>
    <w:rsid w:val="003430FD"/>
    <w:rsid w:val="00343FC9"/>
    <w:rsid w:val="0034658D"/>
    <w:rsid w:val="003559B6"/>
    <w:rsid w:val="003717AE"/>
    <w:rsid w:val="0037262F"/>
    <w:rsid w:val="00374037"/>
    <w:rsid w:val="00380F9E"/>
    <w:rsid w:val="0039121A"/>
    <w:rsid w:val="003929CA"/>
    <w:rsid w:val="0039690F"/>
    <w:rsid w:val="003B1BCD"/>
    <w:rsid w:val="003B35FB"/>
    <w:rsid w:val="003C129D"/>
    <w:rsid w:val="003C24E7"/>
    <w:rsid w:val="003D155C"/>
    <w:rsid w:val="003E5E13"/>
    <w:rsid w:val="003E5EEF"/>
    <w:rsid w:val="003F332D"/>
    <w:rsid w:val="003F4EAD"/>
    <w:rsid w:val="003F5C55"/>
    <w:rsid w:val="00402E20"/>
    <w:rsid w:val="00410973"/>
    <w:rsid w:val="004109FB"/>
    <w:rsid w:val="0041366C"/>
    <w:rsid w:val="00414633"/>
    <w:rsid w:val="0041562E"/>
    <w:rsid w:val="00423A8A"/>
    <w:rsid w:val="00440794"/>
    <w:rsid w:val="00446D30"/>
    <w:rsid w:val="00462A10"/>
    <w:rsid w:val="00480B05"/>
    <w:rsid w:val="00482045"/>
    <w:rsid w:val="00485AD4"/>
    <w:rsid w:val="00486FCB"/>
    <w:rsid w:val="004B2BA6"/>
    <w:rsid w:val="004B5777"/>
    <w:rsid w:val="004B672D"/>
    <w:rsid w:val="004C6FA2"/>
    <w:rsid w:val="004C7AB2"/>
    <w:rsid w:val="004D3662"/>
    <w:rsid w:val="004D6FB0"/>
    <w:rsid w:val="004E0AAC"/>
    <w:rsid w:val="004F0011"/>
    <w:rsid w:val="00500ADC"/>
    <w:rsid w:val="00500F38"/>
    <w:rsid w:val="0050760B"/>
    <w:rsid w:val="00512461"/>
    <w:rsid w:val="00514422"/>
    <w:rsid w:val="00521CDF"/>
    <w:rsid w:val="005220FB"/>
    <w:rsid w:val="00522DF5"/>
    <w:rsid w:val="00531D7B"/>
    <w:rsid w:val="00544BB1"/>
    <w:rsid w:val="0055072C"/>
    <w:rsid w:val="005507BF"/>
    <w:rsid w:val="0055646B"/>
    <w:rsid w:val="0056018A"/>
    <w:rsid w:val="005615F6"/>
    <w:rsid w:val="0056736B"/>
    <w:rsid w:val="005823A1"/>
    <w:rsid w:val="005931D3"/>
    <w:rsid w:val="00595098"/>
    <w:rsid w:val="005A74FD"/>
    <w:rsid w:val="005B5823"/>
    <w:rsid w:val="005B5C70"/>
    <w:rsid w:val="005C6141"/>
    <w:rsid w:val="005D0749"/>
    <w:rsid w:val="005E1D42"/>
    <w:rsid w:val="005E3062"/>
    <w:rsid w:val="005E3384"/>
    <w:rsid w:val="005E4E66"/>
    <w:rsid w:val="00600608"/>
    <w:rsid w:val="006017AA"/>
    <w:rsid w:val="00605D47"/>
    <w:rsid w:val="00607D4B"/>
    <w:rsid w:val="0061198F"/>
    <w:rsid w:val="0061331A"/>
    <w:rsid w:val="0063050E"/>
    <w:rsid w:val="0063273B"/>
    <w:rsid w:val="00632A0A"/>
    <w:rsid w:val="00633026"/>
    <w:rsid w:val="00637598"/>
    <w:rsid w:val="00645C27"/>
    <w:rsid w:val="00646FDF"/>
    <w:rsid w:val="00652064"/>
    <w:rsid w:val="006520D7"/>
    <w:rsid w:val="006520EB"/>
    <w:rsid w:val="00653144"/>
    <w:rsid w:val="00653D29"/>
    <w:rsid w:val="00661359"/>
    <w:rsid w:val="00666111"/>
    <w:rsid w:val="006731D3"/>
    <w:rsid w:val="0068059A"/>
    <w:rsid w:val="00680D17"/>
    <w:rsid w:val="00682FFA"/>
    <w:rsid w:val="0069063E"/>
    <w:rsid w:val="00693562"/>
    <w:rsid w:val="00695052"/>
    <w:rsid w:val="006A4975"/>
    <w:rsid w:val="006C06C7"/>
    <w:rsid w:val="006C36FE"/>
    <w:rsid w:val="006C7EA9"/>
    <w:rsid w:val="006E1455"/>
    <w:rsid w:val="006E260E"/>
    <w:rsid w:val="00702E4D"/>
    <w:rsid w:val="0071780D"/>
    <w:rsid w:val="00717D05"/>
    <w:rsid w:val="007366E8"/>
    <w:rsid w:val="00741479"/>
    <w:rsid w:val="00745D0A"/>
    <w:rsid w:val="007501E6"/>
    <w:rsid w:val="0075069E"/>
    <w:rsid w:val="007732AE"/>
    <w:rsid w:val="007778EE"/>
    <w:rsid w:val="00781278"/>
    <w:rsid w:val="00786530"/>
    <w:rsid w:val="0078771E"/>
    <w:rsid w:val="00791302"/>
    <w:rsid w:val="0079510F"/>
    <w:rsid w:val="007A3197"/>
    <w:rsid w:val="007D067C"/>
    <w:rsid w:val="007D47AD"/>
    <w:rsid w:val="007D4839"/>
    <w:rsid w:val="007D56B1"/>
    <w:rsid w:val="007D6F51"/>
    <w:rsid w:val="007E6ECC"/>
    <w:rsid w:val="007E7628"/>
    <w:rsid w:val="007F19B6"/>
    <w:rsid w:val="008028D8"/>
    <w:rsid w:val="008069FD"/>
    <w:rsid w:val="00815482"/>
    <w:rsid w:val="0081615C"/>
    <w:rsid w:val="00823500"/>
    <w:rsid w:val="008311DA"/>
    <w:rsid w:val="00833E05"/>
    <w:rsid w:val="00837C96"/>
    <w:rsid w:val="00847A90"/>
    <w:rsid w:val="00854515"/>
    <w:rsid w:val="008913B6"/>
    <w:rsid w:val="00892CB6"/>
    <w:rsid w:val="008931E8"/>
    <w:rsid w:val="0089611C"/>
    <w:rsid w:val="008A35C5"/>
    <w:rsid w:val="008C3CC9"/>
    <w:rsid w:val="008D2264"/>
    <w:rsid w:val="008D3803"/>
    <w:rsid w:val="008D5565"/>
    <w:rsid w:val="008E3997"/>
    <w:rsid w:val="008E449E"/>
    <w:rsid w:val="008F1558"/>
    <w:rsid w:val="008F18D3"/>
    <w:rsid w:val="00905360"/>
    <w:rsid w:val="00906AD9"/>
    <w:rsid w:val="0091117A"/>
    <w:rsid w:val="00911A90"/>
    <w:rsid w:val="00920096"/>
    <w:rsid w:val="009217CE"/>
    <w:rsid w:val="0092703A"/>
    <w:rsid w:val="0093087A"/>
    <w:rsid w:val="0095194D"/>
    <w:rsid w:val="00954BD4"/>
    <w:rsid w:val="00976E64"/>
    <w:rsid w:val="00992C61"/>
    <w:rsid w:val="00993963"/>
    <w:rsid w:val="009A1707"/>
    <w:rsid w:val="009A6AB0"/>
    <w:rsid w:val="009B4340"/>
    <w:rsid w:val="009B6733"/>
    <w:rsid w:val="009B6E77"/>
    <w:rsid w:val="009B7AF0"/>
    <w:rsid w:val="009D3F62"/>
    <w:rsid w:val="009D4C32"/>
    <w:rsid w:val="009D53E5"/>
    <w:rsid w:val="009E52BB"/>
    <w:rsid w:val="009E603B"/>
    <w:rsid w:val="009F7C83"/>
    <w:rsid w:val="00A075FE"/>
    <w:rsid w:val="00A12F2C"/>
    <w:rsid w:val="00A20379"/>
    <w:rsid w:val="00A23819"/>
    <w:rsid w:val="00A30C94"/>
    <w:rsid w:val="00A3391C"/>
    <w:rsid w:val="00A34062"/>
    <w:rsid w:val="00A37249"/>
    <w:rsid w:val="00A40476"/>
    <w:rsid w:val="00A42953"/>
    <w:rsid w:val="00A60B4B"/>
    <w:rsid w:val="00A72C54"/>
    <w:rsid w:val="00A736E5"/>
    <w:rsid w:val="00A75432"/>
    <w:rsid w:val="00A80035"/>
    <w:rsid w:val="00A8314B"/>
    <w:rsid w:val="00A9047A"/>
    <w:rsid w:val="00A90D99"/>
    <w:rsid w:val="00A9443A"/>
    <w:rsid w:val="00A96220"/>
    <w:rsid w:val="00A97DBB"/>
    <w:rsid w:val="00AA5EAF"/>
    <w:rsid w:val="00AB4AEC"/>
    <w:rsid w:val="00AC7CFF"/>
    <w:rsid w:val="00AD069C"/>
    <w:rsid w:val="00AD17C5"/>
    <w:rsid w:val="00AD24BB"/>
    <w:rsid w:val="00AE2D32"/>
    <w:rsid w:val="00AF22D6"/>
    <w:rsid w:val="00AF3AB6"/>
    <w:rsid w:val="00B06D37"/>
    <w:rsid w:val="00B12E95"/>
    <w:rsid w:val="00B238F7"/>
    <w:rsid w:val="00B26DAC"/>
    <w:rsid w:val="00B3164D"/>
    <w:rsid w:val="00B33B69"/>
    <w:rsid w:val="00B362E6"/>
    <w:rsid w:val="00B41CBA"/>
    <w:rsid w:val="00B43BF0"/>
    <w:rsid w:val="00B445D3"/>
    <w:rsid w:val="00B6301C"/>
    <w:rsid w:val="00B65EFA"/>
    <w:rsid w:val="00B70188"/>
    <w:rsid w:val="00B731E2"/>
    <w:rsid w:val="00B743D5"/>
    <w:rsid w:val="00B9657B"/>
    <w:rsid w:val="00B9793A"/>
    <w:rsid w:val="00B97BA9"/>
    <w:rsid w:val="00BA5FE4"/>
    <w:rsid w:val="00BA760A"/>
    <w:rsid w:val="00BA79A9"/>
    <w:rsid w:val="00BB12F3"/>
    <w:rsid w:val="00BC1050"/>
    <w:rsid w:val="00BC6EAB"/>
    <w:rsid w:val="00BD1957"/>
    <w:rsid w:val="00BD4D7C"/>
    <w:rsid w:val="00BD4F19"/>
    <w:rsid w:val="00BD6277"/>
    <w:rsid w:val="00BE1E08"/>
    <w:rsid w:val="00BE40C6"/>
    <w:rsid w:val="00BF0716"/>
    <w:rsid w:val="00BF2C1A"/>
    <w:rsid w:val="00C11352"/>
    <w:rsid w:val="00C16148"/>
    <w:rsid w:val="00C1747B"/>
    <w:rsid w:val="00C20ADC"/>
    <w:rsid w:val="00C30C52"/>
    <w:rsid w:val="00C32003"/>
    <w:rsid w:val="00C33F93"/>
    <w:rsid w:val="00C347AC"/>
    <w:rsid w:val="00C41997"/>
    <w:rsid w:val="00C41C11"/>
    <w:rsid w:val="00C42285"/>
    <w:rsid w:val="00C55D90"/>
    <w:rsid w:val="00C60101"/>
    <w:rsid w:val="00C61981"/>
    <w:rsid w:val="00C70581"/>
    <w:rsid w:val="00C744DC"/>
    <w:rsid w:val="00C75FE6"/>
    <w:rsid w:val="00C766A9"/>
    <w:rsid w:val="00C7706F"/>
    <w:rsid w:val="00C77FD2"/>
    <w:rsid w:val="00C81035"/>
    <w:rsid w:val="00C83E85"/>
    <w:rsid w:val="00C84C4D"/>
    <w:rsid w:val="00C92AFD"/>
    <w:rsid w:val="00C951E1"/>
    <w:rsid w:val="00CB0EE3"/>
    <w:rsid w:val="00CC26F4"/>
    <w:rsid w:val="00CD1555"/>
    <w:rsid w:val="00CD6998"/>
    <w:rsid w:val="00CE7F81"/>
    <w:rsid w:val="00CF0EED"/>
    <w:rsid w:val="00CF210D"/>
    <w:rsid w:val="00CF3CC1"/>
    <w:rsid w:val="00CF5641"/>
    <w:rsid w:val="00CF5E63"/>
    <w:rsid w:val="00CF6A32"/>
    <w:rsid w:val="00CF6BFC"/>
    <w:rsid w:val="00D01D40"/>
    <w:rsid w:val="00D05969"/>
    <w:rsid w:val="00D0606B"/>
    <w:rsid w:val="00D06E1A"/>
    <w:rsid w:val="00D07BE4"/>
    <w:rsid w:val="00D103DD"/>
    <w:rsid w:val="00D1083A"/>
    <w:rsid w:val="00D1190C"/>
    <w:rsid w:val="00D247D5"/>
    <w:rsid w:val="00D355C7"/>
    <w:rsid w:val="00D45778"/>
    <w:rsid w:val="00D509C8"/>
    <w:rsid w:val="00D832F1"/>
    <w:rsid w:val="00D8352A"/>
    <w:rsid w:val="00D870C5"/>
    <w:rsid w:val="00D968D3"/>
    <w:rsid w:val="00D97DF2"/>
    <w:rsid w:val="00DB396E"/>
    <w:rsid w:val="00DC4FEB"/>
    <w:rsid w:val="00DD3F8B"/>
    <w:rsid w:val="00DE7A6F"/>
    <w:rsid w:val="00E062E3"/>
    <w:rsid w:val="00E12CC8"/>
    <w:rsid w:val="00E14E3A"/>
    <w:rsid w:val="00E162FB"/>
    <w:rsid w:val="00E27153"/>
    <w:rsid w:val="00E31054"/>
    <w:rsid w:val="00E448D4"/>
    <w:rsid w:val="00E52490"/>
    <w:rsid w:val="00E52A6D"/>
    <w:rsid w:val="00E558FD"/>
    <w:rsid w:val="00E55E9B"/>
    <w:rsid w:val="00E959B4"/>
    <w:rsid w:val="00EA20A9"/>
    <w:rsid w:val="00EA2D54"/>
    <w:rsid w:val="00EA478E"/>
    <w:rsid w:val="00EB7C21"/>
    <w:rsid w:val="00ED1F98"/>
    <w:rsid w:val="00ED5E4A"/>
    <w:rsid w:val="00ED7918"/>
    <w:rsid w:val="00EE5EA0"/>
    <w:rsid w:val="00EF1468"/>
    <w:rsid w:val="00F00E11"/>
    <w:rsid w:val="00F048A4"/>
    <w:rsid w:val="00F058D7"/>
    <w:rsid w:val="00F139A1"/>
    <w:rsid w:val="00F153CC"/>
    <w:rsid w:val="00F162F1"/>
    <w:rsid w:val="00F33450"/>
    <w:rsid w:val="00F34B1F"/>
    <w:rsid w:val="00F35D75"/>
    <w:rsid w:val="00F3604E"/>
    <w:rsid w:val="00F3670E"/>
    <w:rsid w:val="00F4042A"/>
    <w:rsid w:val="00F46DE4"/>
    <w:rsid w:val="00F54AC7"/>
    <w:rsid w:val="00F55813"/>
    <w:rsid w:val="00F55D67"/>
    <w:rsid w:val="00F571DE"/>
    <w:rsid w:val="00F639DA"/>
    <w:rsid w:val="00F7106B"/>
    <w:rsid w:val="00F82522"/>
    <w:rsid w:val="00F839D0"/>
    <w:rsid w:val="00F86595"/>
    <w:rsid w:val="00FA7855"/>
    <w:rsid w:val="00FB16FF"/>
    <w:rsid w:val="00FB7411"/>
    <w:rsid w:val="00FD2439"/>
    <w:rsid w:val="00FD7387"/>
    <w:rsid w:val="00FD7B9B"/>
    <w:rsid w:val="00F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1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C7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CFF"/>
    <w:rPr>
      <w:sz w:val="20"/>
      <w:szCs w:val="20"/>
    </w:rPr>
  </w:style>
  <w:style w:type="character" w:styleId="EndnoteReference">
    <w:name w:val="endnote reference"/>
    <w:basedOn w:val="DefaultParagraphFont"/>
    <w:uiPriority w:val="99"/>
    <w:semiHidden/>
    <w:unhideWhenUsed/>
    <w:rsid w:val="00AC7CFF"/>
    <w:rPr>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rsid w:val="00AC7CFF"/>
    <w:pPr>
      <w:spacing w:after="0" w:line="240" w:lineRule="auto"/>
    </w:pPr>
    <w:rPr>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rsid w:val="00AC7CF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unhideWhenUsed/>
    <w:rsid w:val="00AC7CFF"/>
    <w:rPr>
      <w:vertAlign w:val="superscript"/>
    </w:rPr>
  </w:style>
  <w:style w:type="paragraph" w:styleId="Header">
    <w:name w:val="header"/>
    <w:basedOn w:val="Normal"/>
    <w:link w:val="HeaderChar"/>
    <w:uiPriority w:val="99"/>
    <w:unhideWhenUsed/>
    <w:rsid w:val="00480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05"/>
  </w:style>
  <w:style w:type="paragraph" w:styleId="Footer">
    <w:name w:val="footer"/>
    <w:basedOn w:val="Normal"/>
    <w:link w:val="FooterChar"/>
    <w:uiPriority w:val="99"/>
    <w:unhideWhenUsed/>
    <w:rsid w:val="00480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05"/>
  </w:style>
  <w:style w:type="paragraph" w:styleId="ListParagraph">
    <w:name w:val="List Paragraph"/>
    <w:basedOn w:val="Normal"/>
    <w:uiPriority w:val="34"/>
    <w:qFormat/>
    <w:rsid w:val="00480B05"/>
    <w:pPr>
      <w:spacing w:after="200" w:line="276" w:lineRule="auto"/>
      <w:ind w:left="720"/>
      <w:contextualSpacing/>
    </w:pPr>
  </w:style>
  <w:style w:type="character" w:styleId="Hyperlink">
    <w:name w:val="Hyperlink"/>
    <w:rsid w:val="00AD069C"/>
    <w:rPr>
      <w:strike w:val="0"/>
      <w:dstrike w:val="0"/>
      <w:color w:val="004B91"/>
      <w:u w:val="none"/>
      <w:effect w:val="none"/>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rsid w:val="003717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1366C"/>
    <w:rPr>
      <w:sz w:val="16"/>
      <w:szCs w:val="16"/>
    </w:rPr>
  </w:style>
  <w:style w:type="paragraph" w:styleId="CommentText">
    <w:name w:val="annotation text"/>
    <w:basedOn w:val="Normal"/>
    <w:link w:val="CommentTextChar"/>
    <w:uiPriority w:val="99"/>
    <w:semiHidden/>
    <w:unhideWhenUsed/>
    <w:rsid w:val="0041366C"/>
    <w:pPr>
      <w:spacing w:line="240" w:lineRule="auto"/>
    </w:pPr>
    <w:rPr>
      <w:sz w:val="20"/>
      <w:szCs w:val="20"/>
    </w:rPr>
  </w:style>
  <w:style w:type="character" w:customStyle="1" w:styleId="CommentTextChar">
    <w:name w:val="Comment Text Char"/>
    <w:basedOn w:val="DefaultParagraphFont"/>
    <w:link w:val="CommentText"/>
    <w:uiPriority w:val="99"/>
    <w:semiHidden/>
    <w:rsid w:val="0041366C"/>
    <w:rPr>
      <w:sz w:val="20"/>
      <w:szCs w:val="20"/>
    </w:rPr>
  </w:style>
  <w:style w:type="paragraph" w:styleId="CommentSubject">
    <w:name w:val="annotation subject"/>
    <w:basedOn w:val="CommentText"/>
    <w:next w:val="CommentText"/>
    <w:link w:val="CommentSubjectChar"/>
    <w:uiPriority w:val="99"/>
    <w:semiHidden/>
    <w:unhideWhenUsed/>
    <w:rsid w:val="0041366C"/>
    <w:rPr>
      <w:b/>
      <w:bCs/>
    </w:rPr>
  </w:style>
  <w:style w:type="character" w:customStyle="1" w:styleId="CommentSubjectChar">
    <w:name w:val="Comment Subject Char"/>
    <w:basedOn w:val="CommentTextChar"/>
    <w:link w:val="CommentSubject"/>
    <w:uiPriority w:val="99"/>
    <w:semiHidden/>
    <w:rsid w:val="0041366C"/>
    <w:rPr>
      <w:b/>
      <w:bCs/>
      <w:sz w:val="20"/>
      <w:szCs w:val="20"/>
    </w:rPr>
  </w:style>
  <w:style w:type="paragraph" w:styleId="BalloonText">
    <w:name w:val="Balloon Text"/>
    <w:basedOn w:val="Normal"/>
    <w:link w:val="BalloonTextChar"/>
    <w:uiPriority w:val="99"/>
    <w:semiHidden/>
    <w:unhideWhenUsed/>
    <w:rsid w:val="0041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66C"/>
    <w:rPr>
      <w:rFonts w:ascii="Tahoma" w:hAnsi="Tahoma" w:cs="Tahoma"/>
      <w:sz w:val="16"/>
      <w:szCs w:val="16"/>
    </w:rPr>
  </w:style>
  <w:style w:type="character" w:customStyle="1" w:styleId="UnresolvedMention1">
    <w:name w:val="Unresolved Mention1"/>
    <w:basedOn w:val="DefaultParagraphFont"/>
    <w:uiPriority w:val="99"/>
    <w:semiHidden/>
    <w:unhideWhenUsed/>
    <w:rsid w:val="00166DF1"/>
    <w:rPr>
      <w:color w:val="605E5C"/>
      <w:shd w:val="clear" w:color="auto" w:fill="E1DFDD"/>
    </w:rPr>
  </w:style>
  <w:style w:type="character" w:styleId="FollowedHyperlink">
    <w:name w:val="FollowedHyperlink"/>
    <w:basedOn w:val="DefaultParagraphFont"/>
    <w:uiPriority w:val="99"/>
    <w:semiHidden/>
    <w:unhideWhenUsed/>
    <w:rsid w:val="00646F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C7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CFF"/>
    <w:rPr>
      <w:sz w:val="20"/>
      <w:szCs w:val="20"/>
    </w:rPr>
  </w:style>
  <w:style w:type="character" w:styleId="EndnoteReference">
    <w:name w:val="endnote reference"/>
    <w:basedOn w:val="DefaultParagraphFont"/>
    <w:uiPriority w:val="99"/>
    <w:semiHidden/>
    <w:unhideWhenUsed/>
    <w:rsid w:val="00AC7CFF"/>
    <w:rPr>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nhideWhenUsed/>
    <w:rsid w:val="00AC7CFF"/>
    <w:pPr>
      <w:spacing w:after="0" w:line="240" w:lineRule="auto"/>
    </w:pPr>
    <w:rPr>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rsid w:val="00AC7CFF"/>
    <w:rPr>
      <w:sz w:val="20"/>
      <w:szCs w:val="20"/>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unhideWhenUsed/>
    <w:rsid w:val="00AC7CFF"/>
    <w:rPr>
      <w:vertAlign w:val="superscript"/>
    </w:rPr>
  </w:style>
  <w:style w:type="paragraph" w:styleId="Header">
    <w:name w:val="header"/>
    <w:basedOn w:val="Normal"/>
    <w:link w:val="HeaderChar"/>
    <w:uiPriority w:val="99"/>
    <w:unhideWhenUsed/>
    <w:rsid w:val="00480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05"/>
  </w:style>
  <w:style w:type="paragraph" w:styleId="Footer">
    <w:name w:val="footer"/>
    <w:basedOn w:val="Normal"/>
    <w:link w:val="FooterChar"/>
    <w:uiPriority w:val="99"/>
    <w:unhideWhenUsed/>
    <w:rsid w:val="00480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05"/>
  </w:style>
  <w:style w:type="paragraph" w:styleId="ListParagraph">
    <w:name w:val="List Paragraph"/>
    <w:basedOn w:val="Normal"/>
    <w:uiPriority w:val="34"/>
    <w:qFormat/>
    <w:rsid w:val="00480B05"/>
    <w:pPr>
      <w:spacing w:after="200" w:line="276" w:lineRule="auto"/>
      <w:ind w:left="720"/>
      <w:contextualSpacing/>
    </w:pPr>
  </w:style>
  <w:style w:type="character" w:styleId="Hyperlink">
    <w:name w:val="Hyperlink"/>
    <w:rsid w:val="00AD069C"/>
    <w:rPr>
      <w:strike w:val="0"/>
      <w:dstrike w:val="0"/>
      <w:color w:val="004B91"/>
      <w:u w:val="none"/>
      <w:effect w:val="none"/>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rsid w:val="003717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1366C"/>
    <w:rPr>
      <w:sz w:val="16"/>
      <w:szCs w:val="16"/>
    </w:rPr>
  </w:style>
  <w:style w:type="paragraph" w:styleId="CommentText">
    <w:name w:val="annotation text"/>
    <w:basedOn w:val="Normal"/>
    <w:link w:val="CommentTextChar"/>
    <w:uiPriority w:val="99"/>
    <w:semiHidden/>
    <w:unhideWhenUsed/>
    <w:rsid w:val="0041366C"/>
    <w:pPr>
      <w:spacing w:line="240" w:lineRule="auto"/>
    </w:pPr>
    <w:rPr>
      <w:sz w:val="20"/>
      <w:szCs w:val="20"/>
    </w:rPr>
  </w:style>
  <w:style w:type="character" w:customStyle="1" w:styleId="CommentTextChar">
    <w:name w:val="Comment Text Char"/>
    <w:basedOn w:val="DefaultParagraphFont"/>
    <w:link w:val="CommentText"/>
    <w:uiPriority w:val="99"/>
    <w:semiHidden/>
    <w:rsid w:val="0041366C"/>
    <w:rPr>
      <w:sz w:val="20"/>
      <w:szCs w:val="20"/>
    </w:rPr>
  </w:style>
  <w:style w:type="paragraph" w:styleId="CommentSubject">
    <w:name w:val="annotation subject"/>
    <w:basedOn w:val="CommentText"/>
    <w:next w:val="CommentText"/>
    <w:link w:val="CommentSubjectChar"/>
    <w:uiPriority w:val="99"/>
    <w:semiHidden/>
    <w:unhideWhenUsed/>
    <w:rsid w:val="0041366C"/>
    <w:rPr>
      <w:b/>
      <w:bCs/>
    </w:rPr>
  </w:style>
  <w:style w:type="character" w:customStyle="1" w:styleId="CommentSubjectChar">
    <w:name w:val="Comment Subject Char"/>
    <w:basedOn w:val="CommentTextChar"/>
    <w:link w:val="CommentSubject"/>
    <w:uiPriority w:val="99"/>
    <w:semiHidden/>
    <w:rsid w:val="0041366C"/>
    <w:rPr>
      <w:b/>
      <w:bCs/>
      <w:sz w:val="20"/>
      <w:szCs w:val="20"/>
    </w:rPr>
  </w:style>
  <w:style w:type="paragraph" w:styleId="BalloonText">
    <w:name w:val="Balloon Text"/>
    <w:basedOn w:val="Normal"/>
    <w:link w:val="BalloonTextChar"/>
    <w:uiPriority w:val="99"/>
    <w:semiHidden/>
    <w:unhideWhenUsed/>
    <w:rsid w:val="0041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66C"/>
    <w:rPr>
      <w:rFonts w:ascii="Tahoma" w:hAnsi="Tahoma" w:cs="Tahoma"/>
      <w:sz w:val="16"/>
      <w:szCs w:val="16"/>
    </w:rPr>
  </w:style>
  <w:style w:type="character" w:customStyle="1" w:styleId="UnresolvedMention1">
    <w:name w:val="Unresolved Mention1"/>
    <w:basedOn w:val="DefaultParagraphFont"/>
    <w:uiPriority w:val="99"/>
    <w:semiHidden/>
    <w:unhideWhenUsed/>
    <w:rsid w:val="00166DF1"/>
    <w:rPr>
      <w:color w:val="605E5C"/>
      <w:shd w:val="clear" w:color="auto" w:fill="E1DFDD"/>
    </w:rPr>
  </w:style>
  <w:style w:type="character" w:styleId="FollowedHyperlink">
    <w:name w:val="FollowedHyperlink"/>
    <w:basedOn w:val="DefaultParagraphFont"/>
    <w:uiPriority w:val="99"/>
    <w:semiHidden/>
    <w:unhideWhenUsed/>
    <w:rsid w:val="00646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73198">
      <w:bodyDiv w:val="1"/>
      <w:marLeft w:val="0"/>
      <w:marRight w:val="0"/>
      <w:marTop w:val="0"/>
      <w:marBottom w:val="0"/>
      <w:divBdr>
        <w:top w:val="none" w:sz="0" w:space="0" w:color="auto"/>
        <w:left w:val="none" w:sz="0" w:space="0" w:color="auto"/>
        <w:bottom w:val="none" w:sz="0" w:space="0" w:color="auto"/>
        <w:right w:val="none" w:sz="0" w:space="0" w:color="auto"/>
      </w:divBdr>
    </w:div>
    <w:div w:id="12843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rc.gov/industries/electric/indus-act/reliability.asp" TargetMode="External"/><Relationship Id="rId2" Type="http://schemas.openxmlformats.org/officeDocument/2006/relationships/hyperlink" Target="https://www.nerc.com/FilingsOrders/us/RuleOfProcedureDL/SPM_Clean_Mar2019.pdf" TargetMode="External"/><Relationship Id="rId1" Type="http://schemas.openxmlformats.org/officeDocument/2006/relationships/hyperlink" Target="https://elibrary-backup.ferc.gov/idmws/common/OpenNat.asp?fileID=15305556" TargetMode="External"/><Relationship Id="rId6" Type="http://schemas.openxmlformats.org/officeDocument/2006/relationships/hyperlink" Target="https://www.wecc.org/EventAnalysisSituationalAwareness/Pages/Certification.aspx" TargetMode="External"/><Relationship Id="rId5" Type="http://schemas.openxmlformats.org/officeDocument/2006/relationships/hyperlink" Target="https://www.nerc.com/FilingsOrders/us/RuleOfProcedureDL/SPM_Clean_Mar2019.pdf" TargetMode="External"/><Relationship Id="rId4" Type="http://schemas.openxmlformats.org/officeDocument/2006/relationships/hyperlink" Target="https://www.nerc.com/FilingsOrders/us/RuleOfProcedureDL/NERC_ROP_Effective_20190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725Z</_x0031__x002e__x0020_Collection_x0020_Number>
    <Date xmlns="d6eefc7d-9817-4fa6-84d5-3bc009be21b8">2019-09-06T04:00:00+00:00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RD19-6</_x0031__x002e__x0020_Docket_x0020_Number>
    <_x0033__x002e__x0020_Collection_x0020_Number xmlns="d6eefc7d-9817-4fa6-84d5-3bc009be21b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7CDA6-020A-4520-A5DC-4976732E1D1F}">
  <ds:schemaRefs>
    <ds:schemaRef ds:uri="http://schemas.microsoft.com/sharepoint/v3/contenttype/forms"/>
  </ds:schemaRefs>
</ds:datastoreItem>
</file>

<file path=customXml/itemProps2.xml><?xml version="1.0" encoding="utf-8"?>
<ds:datastoreItem xmlns:ds="http://schemas.openxmlformats.org/officeDocument/2006/customXml" ds:itemID="{2B9A099F-435B-490F-A226-D8663367257E}">
  <ds:schemaRefs>
    <ds:schemaRef ds:uri="Microsoft.SharePoint.Taxonomy.ContentTypeSync"/>
  </ds:schemaRefs>
</ds:datastoreItem>
</file>

<file path=customXml/itemProps3.xml><?xml version="1.0" encoding="utf-8"?>
<ds:datastoreItem xmlns:ds="http://schemas.openxmlformats.org/officeDocument/2006/customXml" ds:itemID="{0B7C1C07-CD8A-4C9A-8F2C-B69F7949C13C}">
  <ds:schemaRefs>
    <ds:schemaRef ds:uri="http://schemas.microsoft.com/office/2006/metadata/customXsn"/>
  </ds:schemaRefs>
</ds:datastoreItem>
</file>

<file path=customXml/itemProps4.xml><?xml version="1.0" encoding="utf-8"?>
<ds:datastoreItem xmlns:ds="http://schemas.openxmlformats.org/officeDocument/2006/customXml" ds:itemID="{E831291E-F25D-49F6-A035-1C29F24E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003B1-72A0-4286-A676-D2352FDC1D92}">
  <ds:schemaRef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3F4784AC-33A3-4B09-983F-4DCB7026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RD19-6-000 supporting statement</vt:lpstr>
    </vt:vector>
  </TitlesOfParts>
  <Company>FERC</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RD19-6-000 supporting statement</dc:title>
  <dc:subject/>
  <dc:creator>Michele Chambers</dc:creator>
  <cp:keywords/>
  <dc:description/>
  <cp:lastModifiedBy>SYSTEM</cp:lastModifiedBy>
  <cp:revision>2</cp:revision>
  <dcterms:created xsi:type="dcterms:W3CDTF">2019-09-12T12:48:00Z</dcterms:created>
  <dcterms:modified xsi:type="dcterms:W3CDTF">2019-09-12T12:48:00Z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0x0101001EA51C0686BDB848B772F285AB6866B0</vt:lpwstr>
  </property>
</Properties>
</file>