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174C2BAB" w:rsidR="00A2604E" w:rsidRDefault="00A2604E" w:rsidP="00A2604E">
      <w:pPr>
        <w:jc w:val="center"/>
      </w:pPr>
      <w:r w:rsidRPr="00AC750B">
        <w:t xml:space="preserve">[Docket No. </w:t>
      </w:r>
      <w:r w:rsidR="002A3327">
        <w:t>RD19-6</w:t>
      </w:r>
      <w:r w:rsidR="002E0351">
        <w:t>-000</w:t>
      </w:r>
      <w:r w:rsidRPr="00AC750B">
        <w:t>]</w:t>
      </w:r>
    </w:p>
    <w:p w14:paraId="37A99FB4" w14:textId="77777777" w:rsidR="00A2604E" w:rsidRDefault="00A2604E" w:rsidP="00A2604E"/>
    <w:p w14:paraId="0160830D" w14:textId="5EFC64DA" w:rsidR="00A2604E" w:rsidRDefault="00A2604E" w:rsidP="00A2604E">
      <w:pPr>
        <w:jc w:val="center"/>
      </w:pPr>
      <w:r>
        <w:t>COMMISSION INFORMATION COLLECTION ACTIVITIES (</w:t>
      </w:r>
      <w:r w:rsidR="0095311D">
        <w:t>FERC-725</w:t>
      </w:r>
      <w:r w:rsidR="002A3327">
        <w:t>Z</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238D3321" w:rsidR="006E10F4" w:rsidRDefault="008A4FAE" w:rsidP="008A4FAE">
      <w:pPr>
        <w:jc w:val="center"/>
      </w:pPr>
      <w:r w:rsidRPr="008A4FAE">
        <w:t>(August 30, 2019)</w:t>
      </w:r>
    </w:p>
    <w:p w14:paraId="7AEF3826" w14:textId="77777777" w:rsidR="008A4FAE" w:rsidRPr="008A4FAE" w:rsidRDefault="008A4FAE" w:rsidP="008A4FAE"/>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434551F9"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w:t>
      </w:r>
      <w:r w:rsidRPr="004C232C">
        <w:t xml:space="preserve">the currently approved information collection </w:t>
      </w:r>
      <w:r w:rsidR="002F1F96" w:rsidRPr="004C232C">
        <w:t>FERC-725Z (Mandatory Reliability Standards:  IRO Reliability Standards)</w:t>
      </w:r>
      <w:r w:rsidR="00642602" w:rsidRPr="004C232C">
        <w:t xml:space="preserve"> and submitting the information collection to the Office of Management and Budget (OMB) for review.  Any interested person may file comments directly with OMB and should address a copy of those comments to the Commission as explained below</w:t>
      </w:r>
      <w:r w:rsidR="00642602" w:rsidRPr="004C19E9">
        <w:t xml:space="preserve">. </w:t>
      </w:r>
      <w:r w:rsidR="00BA0FBC" w:rsidRPr="004C19E9">
        <w:t xml:space="preserve">On </w:t>
      </w:r>
      <w:r w:rsidR="004C232C" w:rsidRPr="004C19E9">
        <w:t xml:space="preserve">June </w:t>
      </w:r>
      <w:r w:rsidR="0095311D" w:rsidRPr="004C19E9">
        <w:t>27, 201</w:t>
      </w:r>
      <w:r w:rsidR="004C232C" w:rsidRPr="004C19E9">
        <w:t>9</w:t>
      </w:r>
      <w:r w:rsidR="00BA0FBC" w:rsidRPr="004C19E9">
        <w:t>, t</w:t>
      </w:r>
      <w:r w:rsidR="00642602" w:rsidRPr="004C19E9">
        <w:t xml:space="preserve">he Commission published a Notice in the Federal Register in Docket No. </w:t>
      </w:r>
      <w:r w:rsidR="004C232C" w:rsidRPr="004C19E9">
        <w:t>RD19-6</w:t>
      </w:r>
      <w:r w:rsidR="002E0351" w:rsidRPr="004C19E9">
        <w:t>-000</w:t>
      </w:r>
      <w:r w:rsidR="00642602" w:rsidRPr="004C19E9">
        <w:t xml:space="preserve"> requesting public </w:t>
      </w:r>
      <w:r w:rsidR="00642602" w:rsidRPr="00646A66">
        <w:t xml:space="preserve">comments.  </w:t>
      </w:r>
      <w:r w:rsidR="00485A51" w:rsidRPr="00646A66">
        <w:t xml:space="preserve">The Commission received </w:t>
      </w:r>
      <w:r w:rsidR="002B3E08" w:rsidRPr="00646A66">
        <w:t xml:space="preserve">no </w:t>
      </w:r>
      <w:r w:rsidR="00C81A97" w:rsidRPr="00646A66">
        <w:t xml:space="preserve">public </w:t>
      </w:r>
      <w:r w:rsidR="00485A51" w:rsidRPr="00646A66">
        <w:t>comment</w:t>
      </w:r>
      <w:r w:rsidR="002B3E08" w:rsidRPr="00646A66">
        <w:t xml:space="preserve">s and is indicating that in </w:t>
      </w:r>
      <w:r w:rsidR="00C81A97" w:rsidRPr="00646A66">
        <w:t xml:space="preserve">the </w:t>
      </w:r>
      <w:r w:rsidR="00023EA9" w:rsidRPr="00646A66">
        <w:t xml:space="preserve">related </w:t>
      </w:r>
      <w:r w:rsidR="00C81A97" w:rsidRPr="00646A66">
        <w:t>submittal to OMB</w:t>
      </w:r>
      <w:r w:rsidR="007C6AC2" w:rsidRPr="00646A66">
        <w:t>.</w:t>
      </w:r>
    </w:p>
    <w:p w14:paraId="442CCE36" w14:textId="4EBC3054"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 xml:space="preserve">Insert Date 30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2D9969DB" w:rsidR="007C1916" w:rsidRPr="007C1916" w:rsidRDefault="007C1916" w:rsidP="007C1916">
      <w:pPr>
        <w:spacing w:line="480" w:lineRule="auto"/>
      </w:pPr>
      <w:r w:rsidRPr="007C1916">
        <w:rPr>
          <w:b/>
        </w:rPr>
        <w:t>ADDRESSES:</w:t>
      </w:r>
      <w:r w:rsidRPr="007C1916">
        <w:t xml:space="preserve">  Comments filed with OMB, identified by OMB Control No. </w:t>
      </w:r>
      <w:r w:rsidR="002F1F96">
        <w:t>1902-0276</w:t>
      </w:r>
      <w:r w:rsidRPr="007C1916">
        <w:t xml:space="preserve">, </w:t>
      </w:r>
      <w:r w:rsidR="001E6510">
        <w:t xml:space="preserve">should be sent via email to the </w:t>
      </w:r>
      <w:r w:rsidRPr="007C1916">
        <w:t xml:space="preserve">Office of Information and Regulatory Affairs: </w:t>
      </w:r>
      <w:hyperlink r:id="rId13" w:history="1">
        <w:r w:rsidRPr="007C1916">
          <w:rPr>
            <w:rStyle w:val="Hyperlink"/>
          </w:rPr>
          <w:t>oira_submission@omb.gov</w:t>
        </w:r>
      </w:hyperlink>
      <w:r w:rsidRPr="007C1916">
        <w:t xml:space="preserve">.  Attention: Federal Energy Regulatory Commission Desk Officer.  </w:t>
      </w:r>
    </w:p>
    <w:p w14:paraId="5B1CC12A" w14:textId="30A1BFB2" w:rsidR="007C1916" w:rsidRPr="007C1916" w:rsidRDefault="007C1916" w:rsidP="007C1916">
      <w:pPr>
        <w:spacing w:line="480" w:lineRule="auto"/>
      </w:pPr>
      <w:r w:rsidRPr="007C1916">
        <w:t xml:space="preserve">A copy of the comments should also be sent to the Commission, in Docket No. </w:t>
      </w:r>
      <w:r w:rsidR="000D4D21">
        <w:t>RD19-6-000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4"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telephone at (202) 502-8663, and fax at (202) 273-0873.</w:t>
      </w:r>
    </w:p>
    <w:p w14:paraId="6614759F" w14:textId="34FA9396" w:rsidR="00A2604E" w:rsidRPr="004C19E9" w:rsidRDefault="00A2604E" w:rsidP="00C1124F">
      <w:pPr>
        <w:tabs>
          <w:tab w:val="left" w:pos="7880"/>
        </w:tabs>
        <w:spacing w:line="480" w:lineRule="auto"/>
      </w:pPr>
      <w:r>
        <w:t xml:space="preserve"> </w:t>
      </w:r>
      <w:r w:rsidRPr="004C19E9">
        <w:rPr>
          <w:b/>
        </w:rPr>
        <w:t>SUPPLEMENTARY INFORMATION:</w:t>
      </w:r>
      <w:r w:rsidRPr="004C19E9">
        <w:t xml:space="preserve">  </w:t>
      </w:r>
    </w:p>
    <w:p w14:paraId="1828F029" w14:textId="24247936" w:rsidR="00AA4050" w:rsidRPr="00304734" w:rsidRDefault="00AA4050" w:rsidP="009E5557">
      <w:pPr>
        <w:spacing w:line="480" w:lineRule="auto"/>
        <w:rPr>
          <w:i/>
        </w:rPr>
      </w:pPr>
      <w:r w:rsidRPr="004C19E9">
        <w:rPr>
          <w:i/>
        </w:rPr>
        <w:t xml:space="preserve">Title: </w:t>
      </w:r>
      <w:r w:rsidR="002F1F96" w:rsidRPr="004C19E9">
        <w:t>FERC-725Z (Mandatory Reliability Standards:  IRO Reliability Standards)</w:t>
      </w:r>
      <w:r w:rsidR="00A8690F" w:rsidRPr="00304734">
        <w:t>.</w:t>
      </w:r>
    </w:p>
    <w:p w14:paraId="75921495" w14:textId="264AC65A" w:rsidR="00AA4050" w:rsidRDefault="00AA4050" w:rsidP="00AA4050">
      <w:pPr>
        <w:spacing w:line="480" w:lineRule="auto"/>
      </w:pPr>
      <w:r w:rsidRPr="00304734">
        <w:rPr>
          <w:i/>
        </w:rPr>
        <w:t>OMB Control No.:</w:t>
      </w:r>
      <w:r w:rsidRPr="00304734">
        <w:t xml:space="preserve"> </w:t>
      </w:r>
      <w:r w:rsidR="002F1F96" w:rsidRPr="00304734">
        <w:t>1902-0276</w:t>
      </w:r>
    </w:p>
    <w:p w14:paraId="217530F3" w14:textId="77777777" w:rsidR="000836D6" w:rsidRPr="000836D6" w:rsidRDefault="000836D6" w:rsidP="000836D6">
      <w:pPr>
        <w:spacing w:line="480" w:lineRule="auto"/>
        <w:rPr>
          <w:rFonts w:eastAsia="Calibri"/>
          <w:szCs w:val="26"/>
        </w:rPr>
      </w:pPr>
      <w:r w:rsidRPr="000836D6">
        <w:rPr>
          <w:rFonts w:eastAsia="Calibri"/>
          <w:i/>
          <w:szCs w:val="26"/>
        </w:rPr>
        <w:lastRenderedPageBreak/>
        <w:t>Type of Request:</w:t>
      </w:r>
      <w:r w:rsidRPr="000836D6">
        <w:rPr>
          <w:rFonts w:eastAsia="Calibri"/>
          <w:szCs w:val="26"/>
        </w:rPr>
        <w:t xml:space="preserve"> Revisions to the information collection, as discussed in Docket No. RD19-6-000.</w:t>
      </w:r>
    </w:p>
    <w:p w14:paraId="27E3946C" w14:textId="79271105" w:rsidR="000836D6" w:rsidRPr="000836D6" w:rsidRDefault="000836D6" w:rsidP="000836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0836D6">
        <w:rPr>
          <w:rFonts w:eastAsia="Calibri"/>
          <w:i/>
          <w:szCs w:val="26"/>
        </w:rPr>
        <w:t xml:space="preserve">Abstract: </w:t>
      </w:r>
      <w:r w:rsidRPr="000836D6">
        <w:rPr>
          <w:rFonts w:eastAsia="Calibri"/>
          <w:color w:val="000000"/>
          <w:sz w:val="23"/>
          <w:szCs w:val="23"/>
        </w:rPr>
        <w:t xml:space="preserve">  </w:t>
      </w:r>
      <w:r w:rsidR="008152A0" w:rsidRPr="008152A0">
        <w:rPr>
          <w:rFonts w:eastAsia="Calibri"/>
          <w:color w:val="000000"/>
          <w:szCs w:val="26"/>
        </w:rPr>
        <w:t xml:space="preserve">On July 11, 2019, the Commission issued a Delegated Letter Order, Docket No. RD19-6-000, approving </w:t>
      </w:r>
      <w:r w:rsidR="008152A0" w:rsidRPr="008152A0">
        <w:rPr>
          <w:rFonts w:eastAsia="Calibri"/>
          <w:szCs w:val="26"/>
        </w:rPr>
        <w:t>proposed Reliability Standard IRO-002-6 (Reliability Coordination, Monitoring and Analysis)</w:t>
      </w:r>
      <w:r w:rsidR="008152A0">
        <w:rPr>
          <w:rFonts w:eastAsia="Calibri"/>
          <w:szCs w:val="26"/>
        </w:rPr>
        <w:t>,</w:t>
      </w:r>
      <w:r w:rsidR="008152A0" w:rsidRPr="008152A0">
        <w:t xml:space="preserve"> </w:t>
      </w:r>
      <w:r w:rsidR="008152A0" w:rsidRPr="008152A0">
        <w:rPr>
          <w:rFonts w:eastAsia="Calibri"/>
          <w:szCs w:val="26"/>
        </w:rPr>
        <w:t xml:space="preserve">the associated violation risk factors and violation severity levels, and implementation plan.  The Reliability Standard was submitted </w:t>
      </w:r>
      <w:r w:rsidR="008152A0" w:rsidRPr="008152A0">
        <w:rPr>
          <w:rFonts w:eastAsia="Calibri"/>
          <w:color w:val="000000"/>
          <w:szCs w:val="26"/>
        </w:rPr>
        <w:t>i</w:t>
      </w:r>
      <w:r w:rsidRPr="000836D6">
        <w:rPr>
          <w:rFonts w:eastAsia="Calibri"/>
          <w:color w:val="000000"/>
          <w:szCs w:val="26"/>
        </w:rPr>
        <w:t xml:space="preserve">n a joint petition dated May 30, 2019, </w:t>
      </w:r>
      <w:r w:rsidR="008152A0">
        <w:rPr>
          <w:rFonts w:eastAsia="Calibri"/>
          <w:color w:val="000000"/>
          <w:szCs w:val="26"/>
        </w:rPr>
        <w:t xml:space="preserve">by </w:t>
      </w:r>
      <w:r w:rsidRPr="000836D6">
        <w:rPr>
          <w:rFonts w:eastAsia="Calibri"/>
          <w:szCs w:val="26"/>
        </w:rPr>
        <w:t>the North American Electric Reliability Corporation (“NERC”) and Western Electricity Coordinating Council (“WECC”)</w:t>
      </w:r>
      <w:r w:rsidR="008152A0">
        <w:rPr>
          <w:rFonts w:eastAsia="Calibri"/>
          <w:szCs w:val="26"/>
        </w:rPr>
        <w:t>.</w:t>
      </w:r>
      <w:r w:rsidRPr="000836D6">
        <w:rPr>
          <w:rFonts w:eastAsia="Calibri"/>
          <w:szCs w:val="26"/>
        </w:rPr>
        <w:t xml:space="preserve"> NERC and WECC stated that the “proposed Reliability Standard IRO-002-6 reflects the addition of a regional Variance containing additional requirements applicable to Reliability Coordinators providing service to entities in the Western Interconnection” and “none of the continent-wide requirements have been changed from currently effective Reliability Standard IRO-002-5.”</w:t>
      </w:r>
      <w:r w:rsidRPr="000836D6">
        <w:rPr>
          <w:rFonts w:eastAsia="Calibri"/>
          <w:b/>
          <w:szCs w:val="26"/>
          <w:vertAlign w:val="superscript"/>
        </w:rPr>
        <w:footnoteReference w:id="1"/>
      </w:r>
      <w:r w:rsidRPr="000836D6">
        <w:rPr>
          <w:rFonts w:eastAsia="Calibri"/>
          <w:szCs w:val="26"/>
        </w:rPr>
        <w:t xml:space="preserve">  </w:t>
      </w:r>
      <w:r w:rsidR="008152A0">
        <w:rPr>
          <w:rFonts w:eastAsia="Calibri"/>
          <w:szCs w:val="26"/>
        </w:rPr>
        <w:t>According to the approved implementation plan, the effective date for Reliability Standard IRO-002-6 is January 1, 2020.</w:t>
      </w:r>
    </w:p>
    <w:p w14:paraId="60C1CB46" w14:textId="77777777" w:rsidR="000836D6" w:rsidRPr="000836D6" w:rsidRDefault="000836D6" w:rsidP="000836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0836D6">
        <w:rPr>
          <w:rFonts w:eastAsia="Calibri"/>
          <w:i/>
          <w:szCs w:val="26"/>
        </w:rPr>
        <w:t xml:space="preserve">Type of Respondents: </w:t>
      </w:r>
      <w:r w:rsidRPr="000836D6">
        <w:rPr>
          <w:rFonts w:eastAsia="Calibri"/>
          <w:szCs w:val="26"/>
        </w:rPr>
        <w:t>Reliability coordinators (RC) providing service to entities in the Western Interconnection.</w:t>
      </w:r>
    </w:p>
    <w:p w14:paraId="134C7804" w14:textId="00A8E979" w:rsidR="004C232C" w:rsidRDefault="004C232C" w:rsidP="004C232C">
      <w:pPr>
        <w:spacing w:line="480" w:lineRule="auto"/>
        <w:rPr>
          <w:szCs w:val="26"/>
          <w:vertAlign w:val="superscript"/>
        </w:rPr>
      </w:pPr>
      <w:r w:rsidRPr="003B1D59">
        <w:rPr>
          <w:i/>
          <w:szCs w:val="26"/>
        </w:rPr>
        <w:t>Estimate of Annual Burden</w:t>
      </w:r>
      <w:r>
        <w:rPr>
          <w:i/>
          <w:szCs w:val="26"/>
        </w:rPr>
        <w:t>:</w:t>
      </w:r>
      <w:r w:rsidRPr="00D73B5E">
        <w:rPr>
          <w:rStyle w:val="FootnoteReference"/>
          <w:i/>
        </w:rPr>
        <w:footnoteReference w:id="2"/>
      </w:r>
      <w:r w:rsidRPr="003B1D59">
        <w:rPr>
          <w:i/>
          <w:szCs w:val="26"/>
        </w:rPr>
        <w:t xml:space="preserve"> </w:t>
      </w:r>
      <w:r w:rsidRPr="003B1D59">
        <w:rPr>
          <w:szCs w:val="26"/>
        </w:rPr>
        <w:t xml:space="preserve">The Commission estimates the </w:t>
      </w:r>
      <w:r>
        <w:rPr>
          <w:szCs w:val="26"/>
        </w:rPr>
        <w:t>changes</w:t>
      </w:r>
      <w:r w:rsidRPr="003B1D59">
        <w:rPr>
          <w:szCs w:val="26"/>
        </w:rPr>
        <w:t xml:space="preserve"> in the annual public reporting burden</w:t>
      </w:r>
      <w:r>
        <w:rPr>
          <w:szCs w:val="26"/>
        </w:rPr>
        <w:t xml:space="preserve"> and cost</w:t>
      </w:r>
      <w:r w:rsidR="00A2003C">
        <w:rPr>
          <w:rStyle w:val="FootnoteReference"/>
        </w:rPr>
        <w:footnoteReference w:id="3"/>
      </w:r>
      <w:r w:rsidRPr="003B1D59">
        <w:rPr>
          <w:szCs w:val="26"/>
        </w:rPr>
        <w:t xml:space="preserve"> as follows</w:t>
      </w:r>
      <w:r>
        <w:rPr>
          <w:szCs w:val="26"/>
        </w:rPr>
        <w:t>.</w:t>
      </w:r>
      <w:r w:rsidRPr="00A54D1C">
        <w:rPr>
          <w:szCs w:val="26"/>
          <w:vertAlign w:val="superscript"/>
        </w:rPr>
        <w:t xml:space="preserve"> </w:t>
      </w:r>
      <w:r>
        <w:rPr>
          <w:szCs w:val="26"/>
          <w:vertAlign w:val="superscript"/>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1748"/>
        <w:gridCol w:w="1475"/>
        <w:gridCol w:w="1475"/>
        <w:gridCol w:w="1473"/>
        <w:gridCol w:w="1477"/>
      </w:tblGrid>
      <w:tr w:rsidR="004C232C" w:rsidRPr="00B762E2" w14:paraId="0CC6E670" w14:textId="77777777" w:rsidTr="00646A66">
        <w:trPr>
          <w:cantSplit/>
          <w:jc w:val="right"/>
        </w:trPr>
        <w:tc>
          <w:tcPr>
            <w:tcW w:w="5000" w:type="pct"/>
            <w:gridSpan w:val="6"/>
            <w:shd w:val="clear" w:color="auto" w:fill="D9D9D9"/>
            <w:vAlign w:val="bottom"/>
          </w:tcPr>
          <w:p w14:paraId="77A4EA8C" w14:textId="77777777" w:rsidR="004C232C" w:rsidRPr="00B762E2" w:rsidRDefault="004C232C" w:rsidP="008A1D11">
            <w:pPr>
              <w:jc w:val="center"/>
              <w:rPr>
                <w:rFonts w:eastAsia="Calibri"/>
                <w:b/>
                <w:sz w:val="20"/>
                <w:szCs w:val="20"/>
              </w:rPr>
            </w:pPr>
            <w:r w:rsidRPr="00B762E2">
              <w:rPr>
                <w:rFonts w:eastAsia="Calibri"/>
                <w:b/>
                <w:sz w:val="20"/>
                <w:szCs w:val="20"/>
              </w:rPr>
              <w:t>FERC-725Z --Changes Due to Docket No. RD19-6-000</w:t>
            </w:r>
          </w:p>
        </w:tc>
      </w:tr>
      <w:tr w:rsidR="004C232C" w:rsidRPr="00B762E2" w14:paraId="5910F302" w14:textId="77777777" w:rsidTr="00646A66">
        <w:trPr>
          <w:cantSplit/>
          <w:jc w:val="right"/>
        </w:trPr>
        <w:tc>
          <w:tcPr>
            <w:tcW w:w="1007" w:type="pct"/>
            <w:tcBorders>
              <w:bottom w:val="single" w:sz="4" w:space="0" w:color="auto"/>
            </w:tcBorders>
            <w:shd w:val="clear" w:color="auto" w:fill="D9D9D9"/>
            <w:vAlign w:val="bottom"/>
          </w:tcPr>
          <w:p w14:paraId="4583079E" w14:textId="77777777" w:rsidR="004C232C" w:rsidRPr="00B762E2" w:rsidRDefault="004C232C" w:rsidP="008A1D11">
            <w:pPr>
              <w:jc w:val="center"/>
              <w:rPr>
                <w:rFonts w:eastAsia="Calibri"/>
                <w:b/>
                <w:sz w:val="20"/>
                <w:szCs w:val="20"/>
              </w:rPr>
            </w:pPr>
            <w:r w:rsidRPr="00B762E2">
              <w:rPr>
                <w:rFonts w:eastAsia="Calibri"/>
                <w:b/>
                <w:sz w:val="20"/>
                <w:szCs w:val="20"/>
              </w:rPr>
              <w:t xml:space="preserve">Information Collection Requirements </w:t>
            </w:r>
          </w:p>
        </w:tc>
        <w:tc>
          <w:tcPr>
            <w:tcW w:w="913" w:type="pct"/>
            <w:tcBorders>
              <w:bottom w:val="single" w:sz="4" w:space="0" w:color="auto"/>
            </w:tcBorders>
            <w:shd w:val="clear" w:color="auto" w:fill="D9D9D9"/>
            <w:vAlign w:val="bottom"/>
          </w:tcPr>
          <w:p w14:paraId="4EC80353" w14:textId="77777777" w:rsidR="004C232C" w:rsidRPr="00B762E2" w:rsidRDefault="004C232C" w:rsidP="008A1D11">
            <w:pPr>
              <w:jc w:val="center"/>
              <w:rPr>
                <w:rFonts w:eastAsia="Calibri"/>
                <w:b/>
                <w:sz w:val="20"/>
                <w:szCs w:val="20"/>
              </w:rPr>
            </w:pPr>
            <w:r w:rsidRPr="00B762E2">
              <w:rPr>
                <w:rFonts w:eastAsia="Calibri"/>
                <w:b/>
                <w:sz w:val="20"/>
                <w:szCs w:val="20"/>
              </w:rPr>
              <w:t>No. of Respondents &amp; Type of Entity</w:t>
            </w:r>
            <w:r w:rsidRPr="00B762E2">
              <w:rPr>
                <w:rStyle w:val="FootnoteReference"/>
                <w:rFonts w:eastAsia="Calibri"/>
                <w:sz w:val="20"/>
                <w:szCs w:val="20"/>
              </w:rPr>
              <w:footnoteReference w:id="4"/>
            </w:r>
          </w:p>
          <w:p w14:paraId="6A347991" w14:textId="77777777" w:rsidR="004C232C" w:rsidRPr="00B762E2" w:rsidRDefault="004C232C" w:rsidP="008A1D11">
            <w:pPr>
              <w:jc w:val="center"/>
              <w:rPr>
                <w:rFonts w:eastAsia="Calibri"/>
                <w:b/>
                <w:sz w:val="20"/>
                <w:szCs w:val="20"/>
              </w:rPr>
            </w:pPr>
            <w:r w:rsidRPr="00B762E2">
              <w:rPr>
                <w:rFonts w:eastAsia="Calibri"/>
                <w:b/>
                <w:sz w:val="20"/>
                <w:szCs w:val="20"/>
              </w:rPr>
              <w:t>(1)</w:t>
            </w:r>
          </w:p>
        </w:tc>
        <w:tc>
          <w:tcPr>
            <w:tcW w:w="770" w:type="pct"/>
            <w:tcBorders>
              <w:bottom w:val="single" w:sz="4" w:space="0" w:color="auto"/>
            </w:tcBorders>
            <w:shd w:val="clear" w:color="auto" w:fill="D9D9D9"/>
            <w:vAlign w:val="bottom"/>
          </w:tcPr>
          <w:p w14:paraId="7A289786" w14:textId="77777777" w:rsidR="004C232C" w:rsidRPr="00B762E2" w:rsidRDefault="004C232C" w:rsidP="008A1D11">
            <w:pPr>
              <w:jc w:val="center"/>
              <w:rPr>
                <w:rFonts w:eastAsia="Calibri"/>
                <w:b/>
                <w:sz w:val="20"/>
                <w:szCs w:val="20"/>
              </w:rPr>
            </w:pPr>
            <w:r w:rsidRPr="00B762E2">
              <w:rPr>
                <w:rFonts w:eastAsia="Calibri"/>
                <w:b/>
                <w:sz w:val="20"/>
                <w:szCs w:val="20"/>
              </w:rPr>
              <w:t>Annual No. of Responses per Respondent</w:t>
            </w:r>
          </w:p>
          <w:p w14:paraId="0249E672" w14:textId="77777777" w:rsidR="004C232C" w:rsidRPr="00B762E2" w:rsidRDefault="004C232C" w:rsidP="008A1D11">
            <w:pPr>
              <w:jc w:val="center"/>
              <w:rPr>
                <w:rFonts w:eastAsia="Calibri"/>
                <w:b/>
                <w:sz w:val="20"/>
                <w:szCs w:val="20"/>
              </w:rPr>
            </w:pPr>
            <w:r w:rsidRPr="00B762E2">
              <w:rPr>
                <w:rFonts w:eastAsia="Calibri"/>
                <w:b/>
                <w:sz w:val="20"/>
                <w:szCs w:val="20"/>
              </w:rPr>
              <w:t>(2)</w:t>
            </w:r>
          </w:p>
        </w:tc>
        <w:tc>
          <w:tcPr>
            <w:tcW w:w="770" w:type="pct"/>
            <w:tcBorders>
              <w:bottom w:val="single" w:sz="4" w:space="0" w:color="auto"/>
            </w:tcBorders>
            <w:shd w:val="clear" w:color="auto" w:fill="D9D9D9"/>
            <w:vAlign w:val="bottom"/>
          </w:tcPr>
          <w:p w14:paraId="681A5324" w14:textId="77777777" w:rsidR="004C232C" w:rsidRPr="00B762E2" w:rsidRDefault="004C232C" w:rsidP="008A1D11">
            <w:pPr>
              <w:jc w:val="center"/>
              <w:rPr>
                <w:rFonts w:eastAsia="Calibri"/>
                <w:b/>
                <w:sz w:val="20"/>
                <w:szCs w:val="20"/>
              </w:rPr>
            </w:pPr>
            <w:r w:rsidRPr="00B762E2">
              <w:rPr>
                <w:rFonts w:eastAsia="Calibri"/>
                <w:b/>
                <w:sz w:val="20"/>
                <w:szCs w:val="20"/>
              </w:rPr>
              <w:t>Total No. of Responses (1)*(2)=(3)</w:t>
            </w:r>
          </w:p>
        </w:tc>
        <w:tc>
          <w:tcPr>
            <w:tcW w:w="769" w:type="pct"/>
            <w:tcBorders>
              <w:bottom w:val="single" w:sz="4" w:space="0" w:color="auto"/>
            </w:tcBorders>
            <w:shd w:val="clear" w:color="auto" w:fill="D9D9D9"/>
            <w:vAlign w:val="bottom"/>
          </w:tcPr>
          <w:p w14:paraId="54F480F8" w14:textId="77777777" w:rsidR="004C232C" w:rsidRPr="00B762E2" w:rsidRDefault="004C232C" w:rsidP="008A1D11">
            <w:pPr>
              <w:jc w:val="center"/>
              <w:rPr>
                <w:rFonts w:eastAsia="Calibri"/>
                <w:b/>
                <w:sz w:val="20"/>
                <w:szCs w:val="20"/>
              </w:rPr>
            </w:pPr>
            <w:r w:rsidRPr="00B762E2">
              <w:rPr>
                <w:rFonts w:eastAsia="Calibri"/>
                <w:b/>
                <w:sz w:val="20"/>
                <w:szCs w:val="20"/>
              </w:rPr>
              <w:t>Average Burden Hours &amp; Cost Per Response ($)</w:t>
            </w:r>
          </w:p>
          <w:p w14:paraId="4304825C" w14:textId="49F3B118" w:rsidR="004C232C" w:rsidRPr="00B762E2" w:rsidRDefault="004C232C" w:rsidP="008A1D11">
            <w:pPr>
              <w:jc w:val="center"/>
              <w:rPr>
                <w:rFonts w:eastAsia="Calibri"/>
                <w:b/>
                <w:sz w:val="20"/>
                <w:szCs w:val="20"/>
              </w:rPr>
            </w:pPr>
            <w:r w:rsidRPr="00B762E2">
              <w:rPr>
                <w:rFonts w:eastAsia="Calibri"/>
                <w:b/>
                <w:sz w:val="20"/>
                <w:szCs w:val="20"/>
              </w:rPr>
              <w:t>(4)</w:t>
            </w:r>
          </w:p>
        </w:tc>
        <w:tc>
          <w:tcPr>
            <w:tcW w:w="771" w:type="pct"/>
            <w:tcBorders>
              <w:bottom w:val="single" w:sz="4" w:space="0" w:color="auto"/>
            </w:tcBorders>
            <w:shd w:val="clear" w:color="auto" w:fill="D9D9D9"/>
            <w:vAlign w:val="bottom"/>
          </w:tcPr>
          <w:p w14:paraId="1F09DC37" w14:textId="77777777" w:rsidR="004C232C" w:rsidRPr="00B762E2" w:rsidRDefault="004C232C" w:rsidP="008A1D11">
            <w:pPr>
              <w:jc w:val="center"/>
              <w:rPr>
                <w:rFonts w:eastAsia="Calibri"/>
                <w:b/>
                <w:sz w:val="20"/>
                <w:szCs w:val="20"/>
              </w:rPr>
            </w:pPr>
            <w:r w:rsidRPr="00B762E2">
              <w:rPr>
                <w:rFonts w:eastAsia="Calibri"/>
                <w:b/>
                <w:sz w:val="20"/>
                <w:szCs w:val="20"/>
              </w:rPr>
              <w:t>Total Annual Burden Hours &amp; Total Annual Cost ($)</w:t>
            </w:r>
          </w:p>
          <w:p w14:paraId="5851E6D2" w14:textId="77777777" w:rsidR="004C232C" w:rsidRPr="00B762E2" w:rsidRDefault="004C232C" w:rsidP="008A1D11">
            <w:pPr>
              <w:jc w:val="center"/>
              <w:rPr>
                <w:rFonts w:eastAsia="Calibri"/>
                <w:b/>
                <w:sz w:val="20"/>
                <w:szCs w:val="20"/>
              </w:rPr>
            </w:pPr>
            <w:r w:rsidRPr="00B762E2">
              <w:rPr>
                <w:rFonts w:eastAsia="Calibri"/>
                <w:b/>
                <w:sz w:val="20"/>
                <w:szCs w:val="20"/>
              </w:rPr>
              <w:t>(3)*(4)=(5)</w:t>
            </w:r>
          </w:p>
        </w:tc>
      </w:tr>
      <w:tr w:rsidR="004C232C" w:rsidRPr="00B762E2" w14:paraId="210BCF1B" w14:textId="77777777" w:rsidTr="00646A66">
        <w:trPr>
          <w:cantSplit/>
          <w:trHeight w:val="485"/>
          <w:jc w:val="right"/>
        </w:trPr>
        <w:tc>
          <w:tcPr>
            <w:tcW w:w="1007" w:type="pct"/>
          </w:tcPr>
          <w:p w14:paraId="7A478311" w14:textId="77777777" w:rsidR="004C232C" w:rsidRPr="00B762E2" w:rsidRDefault="004C232C" w:rsidP="008A1D11">
            <w:pPr>
              <w:rPr>
                <w:rFonts w:eastAsia="Calibri"/>
                <w:sz w:val="20"/>
                <w:szCs w:val="20"/>
              </w:rPr>
            </w:pPr>
            <w:r w:rsidRPr="00B762E2">
              <w:rPr>
                <w:rFonts w:eastAsia="Calibri"/>
                <w:sz w:val="20"/>
                <w:szCs w:val="20"/>
              </w:rPr>
              <w:t>Reporting and Recordkeeping Requirements (continuing in IRO-002-6 [formerly in IRO-002-5])</w:t>
            </w:r>
            <w:r w:rsidRPr="00B762E2">
              <w:rPr>
                <w:rStyle w:val="FootnoteReference"/>
                <w:rFonts w:eastAsia="Calibri"/>
                <w:sz w:val="20"/>
                <w:szCs w:val="20"/>
              </w:rPr>
              <w:footnoteReference w:id="5"/>
            </w:r>
          </w:p>
        </w:tc>
        <w:tc>
          <w:tcPr>
            <w:tcW w:w="913" w:type="pct"/>
            <w:vAlign w:val="bottom"/>
          </w:tcPr>
          <w:p w14:paraId="247C203C" w14:textId="77777777" w:rsidR="004C232C" w:rsidRPr="00B762E2" w:rsidRDefault="004C232C" w:rsidP="008A1D11">
            <w:pPr>
              <w:jc w:val="right"/>
              <w:rPr>
                <w:rFonts w:eastAsia="Calibri"/>
                <w:sz w:val="20"/>
                <w:szCs w:val="20"/>
              </w:rPr>
            </w:pPr>
          </w:p>
        </w:tc>
        <w:tc>
          <w:tcPr>
            <w:tcW w:w="770" w:type="pct"/>
            <w:vAlign w:val="bottom"/>
          </w:tcPr>
          <w:p w14:paraId="48ED576B" w14:textId="77777777" w:rsidR="004C232C" w:rsidRPr="00B762E2" w:rsidRDefault="004C232C" w:rsidP="008A1D11">
            <w:pPr>
              <w:jc w:val="right"/>
              <w:rPr>
                <w:rFonts w:eastAsia="Calibri"/>
                <w:sz w:val="20"/>
                <w:szCs w:val="20"/>
              </w:rPr>
            </w:pPr>
          </w:p>
        </w:tc>
        <w:tc>
          <w:tcPr>
            <w:tcW w:w="770" w:type="pct"/>
            <w:vAlign w:val="bottom"/>
          </w:tcPr>
          <w:p w14:paraId="543F717F" w14:textId="77777777" w:rsidR="004C232C" w:rsidRPr="00B762E2" w:rsidRDefault="004C232C" w:rsidP="008A1D11">
            <w:pPr>
              <w:jc w:val="right"/>
              <w:rPr>
                <w:rFonts w:eastAsia="Calibri"/>
                <w:sz w:val="20"/>
                <w:szCs w:val="20"/>
              </w:rPr>
            </w:pPr>
          </w:p>
        </w:tc>
        <w:tc>
          <w:tcPr>
            <w:tcW w:w="769" w:type="pct"/>
            <w:vAlign w:val="bottom"/>
          </w:tcPr>
          <w:p w14:paraId="20F1F5DF" w14:textId="77777777" w:rsidR="004C232C" w:rsidRPr="00B762E2" w:rsidRDefault="004C232C" w:rsidP="008A1D11">
            <w:pPr>
              <w:jc w:val="right"/>
              <w:rPr>
                <w:rFonts w:eastAsia="Calibri"/>
                <w:sz w:val="20"/>
                <w:szCs w:val="20"/>
              </w:rPr>
            </w:pPr>
            <w:r w:rsidRPr="00B762E2">
              <w:rPr>
                <w:rFonts w:eastAsia="Calibri"/>
                <w:sz w:val="20"/>
                <w:szCs w:val="20"/>
              </w:rPr>
              <w:t>no change</w:t>
            </w:r>
          </w:p>
        </w:tc>
        <w:tc>
          <w:tcPr>
            <w:tcW w:w="771" w:type="pct"/>
            <w:vAlign w:val="bottom"/>
          </w:tcPr>
          <w:p w14:paraId="7D723297" w14:textId="77777777" w:rsidR="004C232C" w:rsidRPr="00B762E2" w:rsidRDefault="004C232C" w:rsidP="008A1D11">
            <w:pPr>
              <w:jc w:val="right"/>
              <w:rPr>
                <w:rFonts w:eastAsia="Calibri"/>
                <w:sz w:val="20"/>
                <w:szCs w:val="20"/>
              </w:rPr>
            </w:pPr>
            <w:r w:rsidRPr="00B762E2">
              <w:rPr>
                <w:rFonts w:eastAsia="Calibri"/>
                <w:sz w:val="20"/>
                <w:szCs w:val="20"/>
              </w:rPr>
              <w:t>no change</w:t>
            </w:r>
          </w:p>
        </w:tc>
      </w:tr>
      <w:tr w:rsidR="004C232C" w:rsidRPr="00B762E2" w14:paraId="0B0F449F" w14:textId="77777777" w:rsidTr="00646A66">
        <w:trPr>
          <w:cantSplit/>
          <w:trHeight w:val="485"/>
          <w:jc w:val="right"/>
        </w:trPr>
        <w:tc>
          <w:tcPr>
            <w:tcW w:w="5000" w:type="pct"/>
            <w:gridSpan w:val="6"/>
            <w:vAlign w:val="bottom"/>
          </w:tcPr>
          <w:p w14:paraId="5D150936" w14:textId="77777777" w:rsidR="004C232C" w:rsidRPr="00B762E2" w:rsidRDefault="004C232C" w:rsidP="008A1D11">
            <w:pPr>
              <w:rPr>
                <w:rFonts w:eastAsia="Calibri"/>
                <w:sz w:val="20"/>
                <w:szCs w:val="20"/>
              </w:rPr>
            </w:pPr>
            <w:r w:rsidRPr="00B762E2">
              <w:rPr>
                <w:rFonts w:eastAsia="Calibri"/>
                <w:b/>
                <w:sz w:val="20"/>
                <w:szCs w:val="20"/>
              </w:rPr>
              <w:t>Increases, due to the Regional Variance of IRO-002-6</w:t>
            </w:r>
            <w:r w:rsidRPr="00B762E2">
              <w:rPr>
                <w:rStyle w:val="FootnoteReference"/>
                <w:rFonts w:eastAsia="Calibri"/>
                <w:sz w:val="20"/>
                <w:szCs w:val="20"/>
              </w:rPr>
              <w:footnoteReference w:id="6"/>
            </w:r>
          </w:p>
        </w:tc>
      </w:tr>
      <w:tr w:rsidR="004C232C" w:rsidRPr="00B762E2" w14:paraId="4ED7238A" w14:textId="77777777" w:rsidTr="00646A66">
        <w:trPr>
          <w:cantSplit/>
          <w:trHeight w:val="485"/>
          <w:jc w:val="right"/>
        </w:trPr>
        <w:tc>
          <w:tcPr>
            <w:tcW w:w="1007" w:type="pct"/>
          </w:tcPr>
          <w:p w14:paraId="63C83FBB" w14:textId="77777777" w:rsidR="004C232C" w:rsidRPr="00B762E2" w:rsidRDefault="004C232C" w:rsidP="008A1D11">
            <w:pPr>
              <w:rPr>
                <w:rFonts w:eastAsia="Calibri"/>
                <w:b/>
                <w:sz w:val="20"/>
                <w:szCs w:val="20"/>
              </w:rPr>
            </w:pPr>
            <w:r w:rsidRPr="00B762E2">
              <w:rPr>
                <w:rFonts w:eastAsia="Calibri"/>
                <w:sz w:val="20"/>
                <w:szCs w:val="20"/>
              </w:rPr>
              <w:t>Reporting (R2 &amp; R3), in Yr. 1</w:t>
            </w:r>
          </w:p>
        </w:tc>
        <w:tc>
          <w:tcPr>
            <w:tcW w:w="913" w:type="pct"/>
            <w:tcBorders>
              <w:bottom w:val="single" w:sz="4" w:space="0" w:color="auto"/>
            </w:tcBorders>
            <w:shd w:val="clear" w:color="auto" w:fill="auto"/>
            <w:vAlign w:val="bottom"/>
          </w:tcPr>
          <w:p w14:paraId="1441DD13" w14:textId="77777777" w:rsidR="004C232C" w:rsidRPr="00B762E2" w:rsidRDefault="004C232C" w:rsidP="008A1D11">
            <w:pPr>
              <w:jc w:val="right"/>
              <w:rPr>
                <w:rFonts w:eastAsia="Calibri"/>
                <w:sz w:val="20"/>
                <w:szCs w:val="20"/>
              </w:rPr>
            </w:pPr>
            <w:r w:rsidRPr="00B762E2">
              <w:rPr>
                <w:rFonts w:eastAsia="Calibri"/>
                <w:sz w:val="20"/>
                <w:szCs w:val="20"/>
              </w:rPr>
              <w:t>2 (RC)</w:t>
            </w:r>
          </w:p>
        </w:tc>
        <w:tc>
          <w:tcPr>
            <w:tcW w:w="770" w:type="pct"/>
            <w:tcBorders>
              <w:bottom w:val="single" w:sz="4" w:space="0" w:color="auto"/>
            </w:tcBorders>
            <w:shd w:val="clear" w:color="auto" w:fill="auto"/>
            <w:vAlign w:val="bottom"/>
          </w:tcPr>
          <w:p w14:paraId="3DCAEA35" w14:textId="77777777" w:rsidR="004C232C" w:rsidRPr="00B762E2" w:rsidRDefault="004C232C" w:rsidP="008A1D11">
            <w:pPr>
              <w:jc w:val="right"/>
              <w:rPr>
                <w:rFonts w:eastAsia="Calibri"/>
                <w:sz w:val="20"/>
                <w:szCs w:val="20"/>
              </w:rPr>
            </w:pPr>
            <w:r w:rsidRPr="00B762E2">
              <w:rPr>
                <w:rFonts w:eastAsia="Calibri"/>
                <w:sz w:val="20"/>
                <w:szCs w:val="20"/>
              </w:rPr>
              <w:t>3</w:t>
            </w:r>
          </w:p>
        </w:tc>
        <w:tc>
          <w:tcPr>
            <w:tcW w:w="770" w:type="pct"/>
            <w:tcBorders>
              <w:bottom w:val="single" w:sz="4" w:space="0" w:color="auto"/>
            </w:tcBorders>
            <w:shd w:val="clear" w:color="auto" w:fill="auto"/>
            <w:vAlign w:val="bottom"/>
          </w:tcPr>
          <w:p w14:paraId="2C87D7F6" w14:textId="77777777" w:rsidR="004C232C" w:rsidRPr="00B762E2" w:rsidRDefault="004C232C" w:rsidP="008A1D11">
            <w:pPr>
              <w:jc w:val="right"/>
              <w:rPr>
                <w:rFonts w:eastAsia="Calibri"/>
                <w:sz w:val="20"/>
                <w:szCs w:val="20"/>
              </w:rPr>
            </w:pPr>
            <w:r w:rsidRPr="00B762E2">
              <w:rPr>
                <w:rFonts w:eastAsia="Calibri"/>
                <w:sz w:val="20"/>
                <w:szCs w:val="20"/>
              </w:rPr>
              <w:t>6</w:t>
            </w:r>
          </w:p>
        </w:tc>
        <w:tc>
          <w:tcPr>
            <w:tcW w:w="769" w:type="pct"/>
            <w:tcBorders>
              <w:bottom w:val="single" w:sz="4" w:space="0" w:color="auto"/>
            </w:tcBorders>
            <w:shd w:val="clear" w:color="auto" w:fill="auto"/>
            <w:vAlign w:val="bottom"/>
          </w:tcPr>
          <w:p w14:paraId="7274B0A3" w14:textId="77777777" w:rsidR="004C232C" w:rsidRPr="00B762E2" w:rsidRDefault="004C232C" w:rsidP="008A1D11">
            <w:pPr>
              <w:jc w:val="right"/>
              <w:rPr>
                <w:rFonts w:eastAsia="Calibri"/>
                <w:sz w:val="20"/>
                <w:szCs w:val="20"/>
              </w:rPr>
            </w:pPr>
            <w:r w:rsidRPr="00B762E2">
              <w:rPr>
                <w:rFonts w:eastAsia="Calibri"/>
                <w:sz w:val="20"/>
                <w:szCs w:val="20"/>
              </w:rPr>
              <w:t>52 hrs.; $3,544.84</w:t>
            </w:r>
          </w:p>
        </w:tc>
        <w:tc>
          <w:tcPr>
            <w:tcW w:w="771" w:type="pct"/>
            <w:tcBorders>
              <w:bottom w:val="single" w:sz="4" w:space="0" w:color="auto"/>
            </w:tcBorders>
            <w:vAlign w:val="bottom"/>
          </w:tcPr>
          <w:p w14:paraId="56106A9E" w14:textId="6AA651D8" w:rsidR="004C232C" w:rsidRPr="00B762E2" w:rsidRDefault="004C232C" w:rsidP="00817968">
            <w:pPr>
              <w:jc w:val="right"/>
              <w:rPr>
                <w:rFonts w:eastAsia="Calibri"/>
                <w:sz w:val="20"/>
                <w:szCs w:val="20"/>
              </w:rPr>
            </w:pPr>
            <w:r w:rsidRPr="00B762E2">
              <w:rPr>
                <w:rFonts w:eastAsia="Calibri"/>
                <w:sz w:val="20"/>
                <w:szCs w:val="20"/>
              </w:rPr>
              <w:t>312 hrs.;</w:t>
            </w:r>
            <w:r w:rsidR="00817968" w:rsidRPr="00B762E2">
              <w:rPr>
                <w:rFonts w:eastAsia="Calibri"/>
                <w:sz w:val="20"/>
                <w:szCs w:val="20"/>
              </w:rPr>
              <w:t xml:space="preserve"> </w:t>
            </w:r>
            <w:r w:rsidRPr="00B762E2">
              <w:rPr>
                <w:rFonts w:eastAsia="Calibri"/>
                <w:sz w:val="20"/>
                <w:szCs w:val="20"/>
              </w:rPr>
              <w:t>$21,269.04</w:t>
            </w:r>
          </w:p>
        </w:tc>
      </w:tr>
      <w:tr w:rsidR="004C232C" w:rsidRPr="00B762E2" w14:paraId="7CDBC165" w14:textId="77777777" w:rsidTr="00646A66">
        <w:trPr>
          <w:cantSplit/>
          <w:trHeight w:val="485"/>
          <w:jc w:val="right"/>
        </w:trPr>
        <w:tc>
          <w:tcPr>
            <w:tcW w:w="1007" w:type="pct"/>
          </w:tcPr>
          <w:p w14:paraId="2E7B38E7" w14:textId="77777777" w:rsidR="004C232C" w:rsidRPr="00B762E2" w:rsidRDefault="004C232C" w:rsidP="008A1D11">
            <w:pPr>
              <w:rPr>
                <w:rFonts w:eastAsia="Calibri"/>
                <w:b/>
                <w:sz w:val="20"/>
                <w:szCs w:val="20"/>
              </w:rPr>
            </w:pPr>
            <w:r w:rsidRPr="00B762E2">
              <w:rPr>
                <w:rFonts w:eastAsia="Calibri"/>
                <w:sz w:val="20"/>
                <w:szCs w:val="20"/>
              </w:rPr>
              <w:t>Reporting (R2 &amp; R3), in Yr. 2 &amp; ongoing</w:t>
            </w:r>
          </w:p>
        </w:tc>
        <w:tc>
          <w:tcPr>
            <w:tcW w:w="913" w:type="pct"/>
            <w:tcBorders>
              <w:bottom w:val="single" w:sz="4" w:space="0" w:color="auto"/>
            </w:tcBorders>
            <w:shd w:val="clear" w:color="auto" w:fill="auto"/>
            <w:vAlign w:val="bottom"/>
          </w:tcPr>
          <w:p w14:paraId="4842D29B" w14:textId="77777777" w:rsidR="004C232C" w:rsidRPr="00B762E2" w:rsidRDefault="004C232C" w:rsidP="008A1D11">
            <w:pPr>
              <w:jc w:val="right"/>
              <w:rPr>
                <w:rFonts w:eastAsia="Calibri"/>
                <w:sz w:val="20"/>
                <w:szCs w:val="20"/>
              </w:rPr>
            </w:pPr>
            <w:r w:rsidRPr="00B762E2">
              <w:rPr>
                <w:rFonts w:eastAsia="Calibri"/>
                <w:sz w:val="20"/>
                <w:szCs w:val="20"/>
              </w:rPr>
              <w:t>2 (RC)</w:t>
            </w:r>
          </w:p>
        </w:tc>
        <w:tc>
          <w:tcPr>
            <w:tcW w:w="770" w:type="pct"/>
            <w:tcBorders>
              <w:bottom w:val="single" w:sz="4" w:space="0" w:color="auto"/>
            </w:tcBorders>
            <w:shd w:val="clear" w:color="auto" w:fill="auto"/>
            <w:vAlign w:val="bottom"/>
          </w:tcPr>
          <w:p w14:paraId="4696523C" w14:textId="77777777" w:rsidR="004C232C" w:rsidRPr="00B762E2" w:rsidRDefault="004C232C" w:rsidP="008A1D11">
            <w:pPr>
              <w:jc w:val="right"/>
              <w:rPr>
                <w:rFonts w:eastAsia="Calibri"/>
                <w:sz w:val="20"/>
                <w:szCs w:val="20"/>
              </w:rPr>
            </w:pPr>
            <w:r w:rsidRPr="00B762E2">
              <w:rPr>
                <w:rFonts w:eastAsia="Calibri"/>
                <w:sz w:val="20"/>
                <w:szCs w:val="20"/>
              </w:rPr>
              <w:t>1</w:t>
            </w:r>
          </w:p>
        </w:tc>
        <w:tc>
          <w:tcPr>
            <w:tcW w:w="770" w:type="pct"/>
            <w:tcBorders>
              <w:bottom w:val="single" w:sz="4" w:space="0" w:color="auto"/>
            </w:tcBorders>
            <w:shd w:val="clear" w:color="auto" w:fill="auto"/>
            <w:vAlign w:val="bottom"/>
          </w:tcPr>
          <w:p w14:paraId="0FDD9E0B" w14:textId="77777777" w:rsidR="004C232C" w:rsidRPr="00B762E2" w:rsidRDefault="004C232C" w:rsidP="008A1D11">
            <w:pPr>
              <w:jc w:val="right"/>
              <w:rPr>
                <w:rFonts w:eastAsia="Calibri"/>
                <w:sz w:val="20"/>
                <w:szCs w:val="20"/>
              </w:rPr>
            </w:pPr>
            <w:r w:rsidRPr="00B762E2">
              <w:rPr>
                <w:rFonts w:eastAsia="Calibri"/>
                <w:sz w:val="20"/>
                <w:szCs w:val="20"/>
              </w:rPr>
              <w:t>2</w:t>
            </w:r>
          </w:p>
        </w:tc>
        <w:tc>
          <w:tcPr>
            <w:tcW w:w="769" w:type="pct"/>
            <w:tcBorders>
              <w:bottom w:val="single" w:sz="4" w:space="0" w:color="auto"/>
            </w:tcBorders>
            <w:shd w:val="clear" w:color="auto" w:fill="auto"/>
            <w:vAlign w:val="bottom"/>
          </w:tcPr>
          <w:p w14:paraId="0596F21B" w14:textId="2F4F375B" w:rsidR="004C232C" w:rsidRPr="00B762E2" w:rsidRDefault="004C232C" w:rsidP="00817968">
            <w:pPr>
              <w:jc w:val="right"/>
              <w:rPr>
                <w:rFonts w:eastAsia="Calibri"/>
                <w:sz w:val="20"/>
                <w:szCs w:val="20"/>
              </w:rPr>
            </w:pPr>
            <w:r w:rsidRPr="00B762E2">
              <w:rPr>
                <w:rFonts w:eastAsia="Calibri"/>
                <w:sz w:val="20"/>
                <w:szCs w:val="20"/>
              </w:rPr>
              <w:t>480 hrs.; $32,721.60</w:t>
            </w:r>
          </w:p>
        </w:tc>
        <w:tc>
          <w:tcPr>
            <w:tcW w:w="771" w:type="pct"/>
            <w:tcBorders>
              <w:bottom w:val="single" w:sz="4" w:space="0" w:color="auto"/>
            </w:tcBorders>
            <w:vAlign w:val="bottom"/>
          </w:tcPr>
          <w:p w14:paraId="5005780F" w14:textId="42D389D0" w:rsidR="004C232C" w:rsidRPr="00B762E2" w:rsidRDefault="004C232C" w:rsidP="00817968">
            <w:pPr>
              <w:jc w:val="right"/>
              <w:rPr>
                <w:rFonts w:eastAsia="Calibri"/>
                <w:sz w:val="20"/>
                <w:szCs w:val="20"/>
              </w:rPr>
            </w:pPr>
            <w:r w:rsidRPr="00B762E2">
              <w:rPr>
                <w:rFonts w:eastAsia="Calibri"/>
                <w:sz w:val="20"/>
                <w:szCs w:val="20"/>
              </w:rPr>
              <w:t>960 hrs.;</w:t>
            </w:r>
            <w:r w:rsidR="00817968" w:rsidRPr="00B762E2">
              <w:rPr>
                <w:rFonts w:eastAsia="Calibri"/>
                <w:sz w:val="20"/>
                <w:szCs w:val="20"/>
              </w:rPr>
              <w:t xml:space="preserve"> </w:t>
            </w:r>
            <w:r w:rsidRPr="00B762E2">
              <w:rPr>
                <w:rFonts w:eastAsia="Calibri"/>
                <w:sz w:val="20"/>
                <w:szCs w:val="20"/>
              </w:rPr>
              <w:t>$65,443.20</w:t>
            </w:r>
          </w:p>
        </w:tc>
      </w:tr>
      <w:tr w:rsidR="004C232C" w:rsidRPr="00B762E2" w14:paraId="353C0BDA" w14:textId="77777777" w:rsidTr="00646A66">
        <w:trPr>
          <w:cantSplit/>
          <w:trHeight w:val="485"/>
          <w:jc w:val="right"/>
        </w:trPr>
        <w:tc>
          <w:tcPr>
            <w:tcW w:w="1007" w:type="pct"/>
            <w:tcBorders>
              <w:bottom w:val="single" w:sz="4" w:space="0" w:color="auto"/>
            </w:tcBorders>
          </w:tcPr>
          <w:p w14:paraId="159739C1" w14:textId="77777777" w:rsidR="004C232C" w:rsidRPr="00B762E2" w:rsidRDefault="004C232C" w:rsidP="008A1D11">
            <w:pPr>
              <w:rPr>
                <w:rFonts w:eastAsia="Calibri"/>
                <w:b/>
                <w:sz w:val="20"/>
                <w:szCs w:val="20"/>
              </w:rPr>
            </w:pPr>
            <w:r w:rsidRPr="00B762E2">
              <w:rPr>
                <w:rFonts w:eastAsia="Calibri"/>
                <w:b/>
                <w:sz w:val="20"/>
                <w:szCs w:val="20"/>
              </w:rPr>
              <w:t>Total Increase to FERC-725Z in Year 1</w:t>
            </w:r>
          </w:p>
        </w:tc>
        <w:tc>
          <w:tcPr>
            <w:tcW w:w="913" w:type="pct"/>
            <w:tcBorders>
              <w:bottom w:val="single" w:sz="4" w:space="0" w:color="auto"/>
            </w:tcBorders>
            <w:shd w:val="clear" w:color="auto" w:fill="D9D9D9" w:themeFill="background1" w:themeFillShade="D9"/>
            <w:vAlign w:val="bottom"/>
          </w:tcPr>
          <w:p w14:paraId="658F508A" w14:textId="77777777" w:rsidR="004C232C" w:rsidRPr="00B762E2" w:rsidRDefault="004C232C" w:rsidP="008A1D11">
            <w:pPr>
              <w:jc w:val="right"/>
              <w:rPr>
                <w:rFonts w:eastAsia="Calibri"/>
                <w:sz w:val="20"/>
                <w:szCs w:val="20"/>
              </w:rPr>
            </w:pPr>
          </w:p>
        </w:tc>
        <w:tc>
          <w:tcPr>
            <w:tcW w:w="770" w:type="pct"/>
            <w:tcBorders>
              <w:bottom w:val="single" w:sz="4" w:space="0" w:color="auto"/>
            </w:tcBorders>
            <w:shd w:val="clear" w:color="auto" w:fill="D9D9D9" w:themeFill="background1" w:themeFillShade="D9"/>
            <w:vAlign w:val="bottom"/>
          </w:tcPr>
          <w:p w14:paraId="4611BD83" w14:textId="77777777" w:rsidR="004C232C" w:rsidRPr="00B762E2" w:rsidRDefault="004C232C" w:rsidP="008A1D11">
            <w:pPr>
              <w:jc w:val="right"/>
              <w:rPr>
                <w:rFonts w:eastAsia="Calibri"/>
                <w:sz w:val="20"/>
                <w:szCs w:val="20"/>
              </w:rPr>
            </w:pPr>
          </w:p>
        </w:tc>
        <w:tc>
          <w:tcPr>
            <w:tcW w:w="770" w:type="pct"/>
            <w:tcBorders>
              <w:bottom w:val="single" w:sz="4" w:space="0" w:color="auto"/>
            </w:tcBorders>
            <w:shd w:val="clear" w:color="auto" w:fill="D9D9D9" w:themeFill="background1" w:themeFillShade="D9"/>
            <w:vAlign w:val="bottom"/>
          </w:tcPr>
          <w:p w14:paraId="31A01C56" w14:textId="77777777" w:rsidR="004C232C" w:rsidRPr="00B762E2" w:rsidRDefault="004C232C" w:rsidP="008A1D11">
            <w:pPr>
              <w:jc w:val="right"/>
              <w:rPr>
                <w:rFonts w:eastAsia="Calibri"/>
                <w:sz w:val="20"/>
                <w:szCs w:val="20"/>
              </w:rPr>
            </w:pPr>
          </w:p>
        </w:tc>
        <w:tc>
          <w:tcPr>
            <w:tcW w:w="769" w:type="pct"/>
            <w:tcBorders>
              <w:bottom w:val="single" w:sz="4" w:space="0" w:color="auto"/>
            </w:tcBorders>
            <w:shd w:val="clear" w:color="auto" w:fill="D9D9D9" w:themeFill="background1" w:themeFillShade="D9"/>
            <w:vAlign w:val="bottom"/>
          </w:tcPr>
          <w:p w14:paraId="666BEF99" w14:textId="77777777" w:rsidR="004C232C" w:rsidRPr="00B762E2" w:rsidRDefault="004C232C" w:rsidP="008A1D11">
            <w:pPr>
              <w:jc w:val="right"/>
              <w:rPr>
                <w:rFonts w:eastAsia="Calibri"/>
                <w:sz w:val="20"/>
                <w:szCs w:val="20"/>
              </w:rPr>
            </w:pPr>
          </w:p>
        </w:tc>
        <w:tc>
          <w:tcPr>
            <w:tcW w:w="771" w:type="pct"/>
            <w:tcBorders>
              <w:bottom w:val="single" w:sz="4" w:space="0" w:color="auto"/>
            </w:tcBorders>
            <w:vAlign w:val="bottom"/>
          </w:tcPr>
          <w:p w14:paraId="55D3B10C" w14:textId="77777777" w:rsidR="004C232C" w:rsidRPr="00B762E2" w:rsidRDefault="004C232C" w:rsidP="008A1D11">
            <w:pPr>
              <w:jc w:val="right"/>
              <w:rPr>
                <w:rFonts w:eastAsia="Calibri"/>
                <w:sz w:val="20"/>
                <w:szCs w:val="20"/>
              </w:rPr>
            </w:pPr>
            <w:r w:rsidRPr="00B762E2">
              <w:rPr>
                <w:rFonts w:eastAsia="Calibri"/>
                <w:sz w:val="20"/>
                <w:szCs w:val="20"/>
              </w:rPr>
              <w:t>312 hrs.; $21,269.04</w:t>
            </w:r>
          </w:p>
        </w:tc>
      </w:tr>
      <w:tr w:rsidR="004C232C" w:rsidRPr="00B762E2" w14:paraId="738D305E" w14:textId="77777777" w:rsidTr="00646A66">
        <w:trPr>
          <w:cantSplit/>
          <w:trHeight w:val="485"/>
          <w:jc w:val="right"/>
        </w:trPr>
        <w:tc>
          <w:tcPr>
            <w:tcW w:w="1007" w:type="pct"/>
            <w:tcBorders>
              <w:bottom w:val="single" w:sz="4" w:space="0" w:color="auto"/>
            </w:tcBorders>
            <w:vAlign w:val="bottom"/>
          </w:tcPr>
          <w:p w14:paraId="5B9F72A6" w14:textId="77777777" w:rsidR="004C232C" w:rsidRPr="00B762E2" w:rsidRDefault="004C232C" w:rsidP="008A1D11">
            <w:pPr>
              <w:rPr>
                <w:rFonts w:eastAsia="Calibri"/>
                <w:b/>
                <w:sz w:val="20"/>
                <w:szCs w:val="20"/>
              </w:rPr>
            </w:pPr>
            <w:r w:rsidRPr="00B762E2">
              <w:rPr>
                <w:rFonts w:eastAsia="Calibri"/>
                <w:b/>
                <w:sz w:val="20"/>
                <w:szCs w:val="20"/>
              </w:rPr>
              <w:t>Total Increase to FERC-725Z in Year 2 and ongoing</w:t>
            </w:r>
          </w:p>
        </w:tc>
        <w:tc>
          <w:tcPr>
            <w:tcW w:w="913" w:type="pct"/>
            <w:tcBorders>
              <w:bottom w:val="single" w:sz="4" w:space="0" w:color="auto"/>
            </w:tcBorders>
            <w:shd w:val="clear" w:color="auto" w:fill="D9D9D9" w:themeFill="background1" w:themeFillShade="D9"/>
            <w:vAlign w:val="bottom"/>
          </w:tcPr>
          <w:p w14:paraId="0EFE3CF3" w14:textId="77777777" w:rsidR="004C232C" w:rsidRPr="00B762E2" w:rsidRDefault="004C232C" w:rsidP="008A1D11">
            <w:pPr>
              <w:jc w:val="right"/>
              <w:rPr>
                <w:rFonts w:eastAsia="Calibri"/>
                <w:sz w:val="20"/>
                <w:szCs w:val="20"/>
              </w:rPr>
            </w:pPr>
          </w:p>
        </w:tc>
        <w:tc>
          <w:tcPr>
            <w:tcW w:w="770" w:type="pct"/>
            <w:tcBorders>
              <w:bottom w:val="single" w:sz="4" w:space="0" w:color="auto"/>
            </w:tcBorders>
            <w:shd w:val="clear" w:color="auto" w:fill="D9D9D9" w:themeFill="background1" w:themeFillShade="D9"/>
            <w:vAlign w:val="bottom"/>
          </w:tcPr>
          <w:p w14:paraId="4A74E64E" w14:textId="77777777" w:rsidR="004C232C" w:rsidRPr="00B762E2" w:rsidRDefault="004C232C" w:rsidP="008A1D11">
            <w:pPr>
              <w:jc w:val="right"/>
              <w:rPr>
                <w:rFonts w:eastAsia="Calibri"/>
                <w:sz w:val="20"/>
                <w:szCs w:val="20"/>
              </w:rPr>
            </w:pPr>
          </w:p>
        </w:tc>
        <w:tc>
          <w:tcPr>
            <w:tcW w:w="770" w:type="pct"/>
            <w:tcBorders>
              <w:bottom w:val="single" w:sz="4" w:space="0" w:color="auto"/>
            </w:tcBorders>
            <w:shd w:val="clear" w:color="auto" w:fill="D9D9D9" w:themeFill="background1" w:themeFillShade="D9"/>
            <w:vAlign w:val="bottom"/>
          </w:tcPr>
          <w:p w14:paraId="01B428BD" w14:textId="77777777" w:rsidR="004C232C" w:rsidRPr="00B762E2" w:rsidRDefault="004C232C" w:rsidP="008A1D11">
            <w:pPr>
              <w:jc w:val="right"/>
              <w:rPr>
                <w:rFonts w:eastAsia="Calibri"/>
                <w:sz w:val="20"/>
                <w:szCs w:val="20"/>
              </w:rPr>
            </w:pPr>
          </w:p>
        </w:tc>
        <w:tc>
          <w:tcPr>
            <w:tcW w:w="769" w:type="pct"/>
            <w:tcBorders>
              <w:bottom w:val="single" w:sz="4" w:space="0" w:color="auto"/>
            </w:tcBorders>
            <w:shd w:val="clear" w:color="auto" w:fill="D9D9D9" w:themeFill="background1" w:themeFillShade="D9"/>
            <w:vAlign w:val="bottom"/>
          </w:tcPr>
          <w:p w14:paraId="778B8B6F" w14:textId="77777777" w:rsidR="004C232C" w:rsidRPr="00B762E2" w:rsidRDefault="004C232C" w:rsidP="008A1D11">
            <w:pPr>
              <w:jc w:val="right"/>
              <w:rPr>
                <w:rFonts w:eastAsia="Calibri"/>
                <w:sz w:val="20"/>
                <w:szCs w:val="20"/>
              </w:rPr>
            </w:pPr>
          </w:p>
        </w:tc>
        <w:tc>
          <w:tcPr>
            <w:tcW w:w="771" w:type="pct"/>
            <w:tcBorders>
              <w:bottom w:val="single" w:sz="4" w:space="0" w:color="auto"/>
            </w:tcBorders>
            <w:vAlign w:val="bottom"/>
          </w:tcPr>
          <w:p w14:paraId="3F712B0C" w14:textId="77777777" w:rsidR="004C232C" w:rsidRPr="00B762E2" w:rsidRDefault="004C232C" w:rsidP="008A1D11">
            <w:pPr>
              <w:jc w:val="right"/>
              <w:rPr>
                <w:rFonts w:eastAsia="Calibri"/>
                <w:sz w:val="20"/>
                <w:szCs w:val="20"/>
              </w:rPr>
            </w:pPr>
            <w:r w:rsidRPr="00B762E2">
              <w:rPr>
                <w:rFonts w:eastAsia="Calibri"/>
                <w:sz w:val="20"/>
                <w:szCs w:val="20"/>
              </w:rPr>
              <w:t>960 hrs.; $65,443.20</w:t>
            </w:r>
          </w:p>
        </w:tc>
      </w:tr>
    </w:tbl>
    <w:p w14:paraId="2D6307FE" w14:textId="77777777" w:rsidR="004C232C" w:rsidRDefault="004C232C" w:rsidP="00AE1F12">
      <w:pPr>
        <w:spacing w:line="480" w:lineRule="auto"/>
        <w:rPr>
          <w:i/>
        </w:rPr>
      </w:pPr>
    </w:p>
    <w:p w14:paraId="6ED19215" w14:textId="4B366DFE"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B5A45" w14:textId="77777777" w:rsidR="003C66BE" w:rsidRDefault="003C66BE" w:rsidP="00B01B16">
      <w:r>
        <w:separator/>
      </w:r>
    </w:p>
  </w:endnote>
  <w:endnote w:type="continuationSeparator" w:id="0">
    <w:p w14:paraId="64112D5D" w14:textId="77777777" w:rsidR="003C66BE" w:rsidRDefault="003C66BE"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21977" w14:textId="77777777" w:rsidR="004D4D87" w:rsidRDefault="004D4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739C3" w14:textId="77777777" w:rsidR="004D4D87" w:rsidRDefault="004D4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8ECB" w14:textId="77777777" w:rsidR="004D4D87" w:rsidRDefault="004D4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BB4B" w14:textId="77777777" w:rsidR="003C66BE" w:rsidRDefault="003C66BE" w:rsidP="00B01B16">
      <w:r>
        <w:separator/>
      </w:r>
    </w:p>
  </w:footnote>
  <w:footnote w:type="continuationSeparator" w:id="0">
    <w:p w14:paraId="0FEC571B" w14:textId="77777777" w:rsidR="003C66BE" w:rsidRDefault="003C66BE" w:rsidP="00B01B16">
      <w:r>
        <w:continuationSeparator/>
      </w:r>
    </w:p>
  </w:footnote>
  <w:footnote w:id="1">
    <w:p w14:paraId="05A026AF" w14:textId="0D0B6505" w:rsidR="000836D6" w:rsidRDefault="000836D6" w:rsidP="000836D6">
      <w:pPr>
        <w:pStyle w:val="FootnoteText"/>
        <w:rPr>
          <w:sz w:val="26"/>
          <w:szCs w:val="26"/>
        </w:rPr>
      </w:pPr>
      <w:r w:rsidRPr="00A2003C">
        <w:rPr>
          <w:rStyle w:val="FootnoteReference"/>
        </w:rPr>
        <w:footnoteRef/>
      </w:r>
      <w:r w:rsidRPr="004C19E9">
        <w:rPr>
          <w:sz w:val="26"/>
          <w:szCs w:val="26"/>
        </w:rPr>
        <w:t xml:space="preserve"> The burden related to continent-wide Reliability Standard IRO-002-5 (Reliability Coordination, Monitoring and Analysis) is included in FERC-725Z (Mandatory Reliability Standards:  IRO Reliability Standards, OMB Control No. 1902-0276).</w:t>
      </w:r>
    </w:p>
    <w:p w14:paraId="092F24D2" w14:textId="77777777" w:rsidR="00817968" w:rsidRPr="004C19E9" w:rsidRDefault="00817968" w:rsidP="000836D6">
      <w:pPr>
        <w:pStyle w:val="FootnoteText"/>
        <w:rPr>
          <w:sz w:val="26"/>
          <w:szCs w:val="26"/>
        </w:rPr>
      </w:pPr>
    </w:p>
  </w:footnote>
  <w:footnote w:id="2">
    <w:p w14:paraId="0A856B28" w14:textId="70A44203" w:rsidR="004C232C" w:rsidRDefault="004C232C" w:rsidP="004C232C">
      <w:pPr>
        <w:pStyle w:val="FootnoteText"/>
        <w:rPr>
          <w:sz w:val="26"/>
          <w:szCs w:val="26"/>
        </w:rPr>
      </w:pPr>
      <w:r w:rsidRPr="00A2003C">
        <w:rPr>
          <w:rStyle w:val="FootnoteReference"/>
        </w:rPr>
        <w:footnoteRef/>
      </w:r>
      <w:r w:rsidRPr="004C19E9">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14:paraId="68854FFE" w14:textId="77777777" w:rsidR="00817968" w:rsidRPr="004C19E9" w:rsidRDefault="00817968" w:rsidP="004C232C">
      <w:pPr>
        <w:pStyle w:val="FootnoteText"/>
        <w:rPr>
          <w:sz w:val="26"/>
          <w:szCs w:val="26"/>
        </w:rPr>
      </w:pPr>
    </w:p>
  </w:footnote>
  <w:footnote w:id="3">
    <w:p w14:paraId="6B1175A3" w14:textId="5D5ABA7C" w:rsidR="00A2003C" w:rsidRDefault="00A2003C">
      <w:pPr>
        <w:pStyle w:val="FootnoteText"/>
        <w:rPr>
          <w:sz w:val="26"/>
          <w:szCs w:val="26"/>
        </w:rPr>
      </w:pPr>
      <w:r w:rsidRPr="00A2003C">
        <w:rPr>
          <w:rStyle w:val="FootnoteReference"/>
        </w:rPr>
        <w:footnoteRef/>
      </w:r>
      <w:r w:rsidRPr="004C19E9">
        <w:rPr>
          <w:sz w:val="26"/>
          <w:szCs w:val="26"/>
        </w:rPr>
        <w:t xml:space="preserve"> The hourly cost figures, for salary plus benefits, for the new standards are based on Bureau of Labor Statistics (BLS) information (at http://www.bls.gov/oes/current/naics2_22.htm), as of May 2018, and benefits information for December 2018 (at https://www.bls.gov/news.release/ecec.nr0.htm).  For salary plus benefits, for reporting requirements, an electrical engineer (code 17-2071) is $68.17/hour; for the recordkeeping requirements, an information and record clerk (code 43-4199) is $40.84/hour.</w:t>
      </w:r>
    </w:p>
    <w:p w14:paraId="7CB10082" w14:textId="77777777" w:rsidR="00817968" w:rsidRPr="004C19E9" w:rsidRDefault="00817968">
      <w:pPr>
        <w:pStyle w:val="FootnoteText"/>
        <w:rPr>
          <w:sz w:val="26"/>
          <w:szCs w:val="26"/>
        </w:rPr>
      </w:pPr>
    </w:p>
  </w:footnote>
  <w:footnote w:id="4">
    <w:p w14:paraId="3B6C8B50" w14:textId="2D6D76C9" w:rsidR="004C232C" w:rsidRDefault="004C232C" w:rsidP="004C232C">
      <w:pPr>
        <w:pStyle w:val="FootnoteText"/>
        <w:rPr>
          <w:sz w:val="26"/>
          <w:szCs w:val="26"/>
        </w:rPr>
      </w:pPr>
      <w:r w:rsidRPr="004C19E9">
        <w:rPr>
          <w:rStyle w:val="FootnoteReference"/>
        </w:rPr>
        <w:footnoteRef/>
      </w:r>
      <w:r w:rsidRPr="004C19E9">
        <w:rPr>
          <w:sz w:val="26"/>
          <w:szCs w:val="26"/>
        </w:rPr>
        <w:t xml:space="preserve"> Our estimates </w:t>
      </w:r>
      <w:r w:rsidRPr="004C19E9">
        <w:rPr>
          <w:color w:val="000000"/>
          <w:sz w:val="26"/>
          <w:szCs w:val="26"/>
        </w:rPr>
        <w:t>are based on the joint petition which indicates at present, only one reliability coordinator, Peak Reliability, provides reliability coordinator services in the Western Interconnection.  In July 2018, Peak Reliability announced that it would cease operations at the end of December 2019.  Over the course of 2018 and 2019, several entities have indicated that they will seek certification to perform the reliability coordinator function for their respective footprints in the Western Interconnection.  For the purposes of this information collection, the WECC RC certification status was used to estimate the number of entities</w:t>
      </w:r>
      <w:r w:rsidRPr="004C19E9">
        <w:rPr>
          <w:sz w:val="26"/>
          <w:szCs w:val="26"/>
        </w:rPr>
        <w:t xml:space="preserve"> within the United States making significant progress to become certified Western Interconnection reliability coordinators.  The certification progress chart and schedule are posted at the following link: </w:t>
      </w:r>
      <w:hyperlink r:id="rId1" w:history="1">
        <w:r w:rsidRPr="004C19E9">
          <w:rPr>
            <w:rStyle w:val="Hyperlink"/>
            <w:sz w:val="26"/>
            <w:szCs w:val="26"/>
          </w:rPr>
          <w:t>https://www.wecc.org/EventAnalysisSituationalAwareness/Pages/Certification.aspx</w:t>
        </w:r>
      </w:hyperlink>
      <w:r w:rsidRPr="004C19E9">
        <w:rPr>
          <w:sz w:val="26"/>
          <w:szCs w:val="26"/>
        </w:rPr>
        <w:t xml:space="preserve">.  </w:t>
      </w:r>
    </w:p>
    <w:p w14:paraId="5B72C4B9" w14:textId="77777777" w:rsidR="00817968" w:rsidRPr="004C19E9" w:rsidRDefault="00817968" w:rsidP="004C232C">
      <w:pPr>
        <w:pStyle w:val="FootnoteText"/>
        <w:rPr>
          <w:sz w:val="26"/>
          <w:szCs w:val="26"/>
        </w:rPr>
      </w:pPr>
    </w:p>
  </w:footnote>
  <w:footnote w:id="5">
    <w:p w14:paraId="22B771C1" w14:textId="3F854B17" w:rsidR="004C232C" w:rsidRDefault="004C232C" w:rsidP="004C232C">
      <w:pPr>
        <w:pStyle w:val="FootnoteText"/>
        <w:rPr>
          <w:sz w:val="26"/>
          <w:szCs w:val="26"/>
        </w:rPr>
      </w:pPr>
      <w:r w:rsidRPr="004C19E9">
        <w:rPr>
          <w:rStyle w:val="FootnoteReference"/>
        </w:rPr>
        <w:footnoteRef/>
      </w:r>
      <w:r w:rsidRPr="004C19E9">
        <w:rPr>
          <w:sz w:val="26"/>
          <w:szCs w:val="26"/>
        </w:rPr>
        <w:t xml:space="preserve"> The reporting and recordkeeping requirements and the associated burden will continue in IRO-002-6 (burden formerly included in IRO-002-5).  The corresponding estimated burden for the 11 RCs continues to be 30 hours per response (or a total estimated burden of 330 hours).</w:t>
      </w:r>
    </w:p>
    <w:p w14:paraId="779E90F6" w14:textId="77777777" w:rsidR="008836C1" w:rsidRDefault="008836C1" w:rsidP="004C232C">
      <w:pPr>
        <w:pStyle w:val="FootnoteText"/>
      </w:pPr>
    </w:p>
  </w:footnote>
  <w:footnote w:id="6">
    <w:p w14:paraId="7293D13A" w14:textId="77777777" w:rsidR="004C232C" w:rsidRPr="004C19E9" w:rsidRDefault="004C232C" w:rsidP="004C232C">
      <w:pPr>
        <w:pStyle w:val="FootnoteText"/>
        <w:rPr>
          <w:sz w:val="26"/>
          <w:szCs w:val="26"/>
        </w:rPr>
      </w:pPr>
      <w:r w:rsidRPr="004C19E9">
        <w:rPr>
          <w:rStyle w:val="FootnoteReference"/>
        </w:rPr>
        <w:footnoteRef/>
      </w:r>
      <w:r w:rsidRPr="004C19E9">
        <w:rPr>
          <w:sz w:val="26"/>
          <w:szCs w:val="26"/>
        </w:rPr>
        <w:t xml:space="preserve"> The estimated burden is for the development phase and the ongoing effort to administer/implement the variance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4AC6B" w14:textId="77777777" w:rsidR="004D4D87" w:rsidRDefault="004D4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1DA82F98" w:rsidR="00810D18" w:rsidRDefault="00810D18" w:rsidP="00810D18">
    <w:pPr>
      <w:pStyle w:val="Header"/>
    </w:pPr>
    <w:r>
      <w:t xml:space="preserve">Docket No. </w:t>
    </w:r>
    <w:r w:rsidR="002A3327">
      <w:t>RD19-6</w:t>
    </w:r>
    <w:r w:rsidR="002E0351">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6018D">
          <w:rPr>
            <w:noProof/>
          </w:rPr>
          <w:t>2</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5D85" w14:textId="77777777" w:rsidR="004D4D87" w:rsidRDefault="004D4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59B6"/>
    <w:rsid w:val="00056C5D"/>
    <w:rsid w:val="00062427"/>
    <w:rsid w:val="000836D6"/>
    <w:rsid w:val="000A0250"/>
    <w:rsid w:val="000A7E68"/>
    <w:rsid w:val="000D4D21"/>
    <w:rsid w:val="000E17FF"/>
    <w:rsid w:val="000E2568"/>
    <w:rsid w:val="0015578A"/>
    <w:rsid w:val="00156BBB"/>
    <w:rsid w:val="001600DF"/>
    <w:rsid w:val="00171725"/>
    <w:rsid w:val="00181BF7"/>
    <w:rsid w:val="001A6AD6"/>
    <w:rsid w:val="001B78B8"/>
    <w:rsid w:val="001E6510"/>
    <w:rsid w:val="002232AB"/>
    <w:rsid w:val="00224BF2"/>
    <w:rsid w:val="00246C85"/>
    <w:rsid w:val="0027452E"/>
    <w:rsid w:val="00293D56"/>
    <w:rsid w:val="002A3327"/>
    <w:rsid w:val="002B3E08"/>
    <w:rsid w:val="002B7AA8"/>
    <w:rsid w:val="002D5237"/>
    <w:rsid w:val="002E0351"/>
    <w:rsid w:val="002F1F96"/>
    <w:rsid w:val="002F24E8"/>
    <w:rsid w:val="002F697A"/>
    <w:rsid w:val="00304734"/>
    <w:rsid w:val="003060F0"/>
    <w:rsid w:val="00311D90"/>
    <w:rsid w:val="003149BC"/>
    <w:rsid w:val="0034195C"/>
    <w:rsid w:val="00347056"/>
    <w:rsid w:val="00361371"/>
    <w:rsid w:val="00363638"/>
    <w:rsid w:val="003673EC"/>
    <w:rsid w:val="00376525"/>
    <w:rsid w:val="003960E0"/>
    <w:rsid w:val="003A1A72"/>
    <w:rsid w:val="003A3189"/>
    <w:rsid w:val="003C3E7A"/>
    <w:rsid w:val="003C66BE"/>
    <w:rsid w:val="003C7BC3"/>
    <w:rsid w:val="003E44AD"/>
    <w:rsid w:val="0040718A"/>
    <w:rsid w:val="00443282"/>
    <w:rsid w:val="00452592"/>
    <w:rsid w:val="00454653"/>
    <w:rsid w:val="0045734B"/>
    <w:rsid w:val="004759C4"/>
    <w:rsid w:val="00485A51"/>
    <w:rsid w:val="0049480F"/>
    <w:rsid w:val="004C19E9"/>
    <w:rsid w:val="004C232C"/>
    <w:rsid w:val="004C70C8"/>
    <w:rsid w:val="004C77EF"/>
    <w:rsid w:val="004D27A2"/>
    <w:rsid w:val="004D4D87"/>
    <w:rsid w:val="004D7C47"/>
    <w:rsid w:val="004F26DA"/>
    <w:rsid w:val="00513DA8"/>
    <w:rsid w:val="00514B50"/>
    <w:rsid w:val="00516493"/>
    <w:rsid w:val="0054073B"/>
    <w:rsid w:val="0054746C"/>
    <w:rsid w:val="00554E35"/>
    <w:rsid w:val="00585F73"/>
    <w:rsid w:val="005A0148"/>
    <w:rsid w:val="005A2F24"/>
    <w:rsid w:val="005A3F56"/>
    <w:rsid w:val="005B4DA4"/>
    <w:rsid w:val="005C6D4E"/>
    <w:rsid w:val="005D16A1"/>
    <w:rsid w:val="005E6D8A"/>
    <w:rsid w:val="005F3DAA"/>
    <w:rsid w:val="005F726F"/>
    <w:rsid w:val="006128A5"/>
    <w:rsid w:val="006144F3"/>
    <w:rsid w:val="00634374"/>
    <w:rsid w:val="00637F43"/>
    <w:rsid w:val="00642602"/>
    <w:rsid w:val="00644A1B"/>
    <w:rsid w:val="00646A66"/>
    <w:rsid w:val="00650FA1"/>
    <w:rsid w:val="006536D8"/>
    <w:rsid w:val="00654BA4"/>
    <w:rsid w:val="0066018D"/>
    <w:rsid w:val="00680D78"/>
    <w:rsid w:val="00695E65"/>
    <w:rsid w:val="006963BC"/>
    <w:rsid w:val="006A34AE"/>
    <w:rsid w:val="006A423E"/>
    <w:rsid w:val="006C6B0C"/>
    <w:rsid w:val="006E10F4"/>
    <w:rsid w:val="006E75AA"/>
    <w:rsid w:val="006E7CBB"/>
    <w:rsid w:val="00714F57"/>
    <w:rsid w:val="00727C5E"/>
    <w:rsid w:val="00741C80"/>
    <w:rsid w:val="0075009F"/>
    <w:rsid w:val="00782ACA"/>
    <w:rsid w:val="007B588C"/>
    <w:rsid w:val="007C1916"/>
    <w:rsid w:val="007C6AC2"/>
    <w:rsid w:val="007C729C"/>
    <w:rsid w:val="00803CA2"/>
    <w:rsid w:val="00807CAC"/>
    <w:rsid w:val="00810D18"/>
    <w:rsid w:val="008115BF"/>
    <w:rsid w:val="00812B30"/>
    <w:rsid w:val="008152A0"/>
    <w:rsid w:val="00817968"/>
    <w:rsid w:val="00824D81"/>
    <w:rsid w:val="00836DF9"/>
    <w:rsid w:val="00853ABC"/>
    <w:rsid w:val="00881405"/>
    <w:rsid w:val="008836C1"/>
    <w:rsid w:val="0089069F"/>
    <w:rsid w:val="00895DA2"/>
    <w:rsid w:val="00897359"/>
    <w:rsid w:val="008A020E"/>
    <w:rsid w:val="008A4FAE"/>
    <w:rsid w:val="008B6E06"/>
    <w:rsid w:val="008C572B"/>
    <w:rsid w:val="008D25B7"/>
    <w:rsid w:val="008D300A"/>
    <w:rsid w:val="008D5479"/>
    <w:rsid w:val="008E0DF5"/>
    <w:rsid w:val="008E3273"/>
    <w:rsid w:val="009179E9"/>
    <w:rsid w:val="00937284"/>
    <w:rsid w:val="00940C0F"/>
    <w:rsid w:val="0095311D"/>
    <w:rsid w:val="00954CCB"/>
    <w:rsid w:val="009744C8"/>
    <w:rsid w:val="00981886"/>
    <w:rsid w:val="00990FEC"/>
    <w:rsid w:val="009A1B08"/>
    <w:rsid w:val="009A6E91"/>
    <w:rsid w:val="009B4450"/>
    <w:rsid w:val="009C25C4"/>
    <w:rsid w:val="009C4A13"/>
    <w:rsid w:val="009E5557"/>
    <w:rsid w:val="009E66F8"/>
    <w:rsid w:val="009F7DE3"/>
    <w:rsid w:val="00A038F9"/>
    <w:rsid w:val="00A2003C"/>
    <w:rsid w:val="00A2604E"/>
    <w:rsid w:val="00A43A4A"/>
    <w:rsid w:val="00A507F0"/>
    <w:rsid w:val="00A54EFC"/>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15004"/>
    <w:rsid w:val="00B22DCB"/>
    <w:rsid w:val="00B41250"/>
    <w:rsid w:val="00B447D7"/>
    <w:rsid w:val="00B46F03"/>
    <w:rsid w:val="00B5066A"/>
    <w:rsid w:val="00B56882"/>
    <w:rsid w:val="00B65A09"/>
    <w:rsid w:val="00B762E2"/>
    <w:rsid w:val="00B76A1F"/>
    <w:rsid w:val="00B82F8C"/>
    <w:rsid w:val="00BA0FBC"/>
    <w:rsid w:val="00BA5479"/>
    <w:rsid w:val="00BB7D82"/>
    <w:rsid w:val="00BC200B"/>
    <w:rsid w:val="00BD74AE"/>
    <w:rsid w:val="00BE3FE7"/>
    <w:rsid w:val="00BF29D8"/>
    <w:rsid w:val="00BF2D74"/>
    <w:rsid w:val="00BF38BC"/>
    <w:rsid w:val="00BF4CC8"/>
    <w:rsid w:val="00C1124F"/>
    <w:rsid w:val="00C37BFF"/>
    <w:rsid w:val="00C51458"/>
    <w:rsid w:val="00C53580"/>
    <w:rsid w:val="00C55838"/>
    <w:rsid w:val="00C728C5"/>
    <w:rsid w:val="00C77EF7"/>
    <w:rsid w:val="00C81A97"/>
    <w:rsid w:val="00C820F1"/>
    <w:rsid w:val="00C91512"/>
    <w:rsid w:val="00CA6636"/>
    <w:rsid w:val="00CA6D76"/>
    <w:rsid w:val="00CD37C7"/>
    <w:rsid w:val="00CD57EB"/>
    <w:rsid w:val="00CD5C97"/>
    <w:rsid w:val="00CD786C"/>
    <w:rsid w:val="00CE3598"/>
    <w:rsid w:val="00CF4753"/>
    <w:rsid w:val="00CF71E0"/>
    <w:rsid w:val="00D0083B"/>
    <w:rsid w:val="00D207BB"/>
    <w:rsid w:val="00D42209"/>
    <w:rsid w:val="00D44183"/>
    <w:rsid w:val="00D70AFD"/>
    <w:rsid w:val="00D9761F"/>
    <w:rsid w:val="00DA529F"/>
    <w:rsid w:val="00DC5017"/>
    <w:rsid w:val="00DD2ED3"/>
    <w:rsid w:val="00DD7F1B"/>
    <w:rsid w:val="00E024B6"/>
    <w:rsid w:val="00E13A02"/>
    <w:rsid w:val="00E34382"/>
    <w:rsid w:val="00E41DB9"/>
    <w:rsid w:val="00E762BB"/>
    <w:rsid w:val="00E77B33"/>
    <w:rsid w:val="00E8661B"/>
    <w:rsid w:val="00EA689F"/>
    <w:rsid w:val="00EF2866"/>
    <w:rsid w:val="00EF33BE"/>
    <w:rsid w:val="00F0383C"/>
    <w:rsid w:val="00F11631"/>
    <w:rsid w:val="00F24AB0"/>
    <w:rsid w:val="00F309CB"/>
    <w:rsid w:val="00F44A0E"/>
    <w:rsid w:val="00F55BC1"/>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ecc.org/EventAnalysisSituationalAwareness/Pages/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88E0203C-002A-4802-9757-73302D71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FBB0F7F1-8DE9-4C4A-9DF6-3406AFB8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2016-12-20T13:40:00Z</cp:lastPrinted>
  <dcterms:created xsi:type="dcterms:W3CDTF">2019-09-06T14:53:00Z</dcterms:created>
  <dcterms:modified xsi:type="dcterms:W3CDTF">2019-09-06T14:53:00Z</dcterms:modified>
  <cp:category/>
  <dc:identifier/>
  <cp:contentStatus/>
  <cp:version/>
</cp:coreProperties>
</file>