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9E31D" w14:textId="284AEAF6" w:rsidR="00864536" w:rsidRPr="009279FD" w:rsidRDefault="00864536" w:rsidP="00864536">
      <w:pPr>
        <w:autoSpaceDE w:val="0"/>
        <w:autoSpaceDN w:val="0"/>
        <w:adjustRightInd w:val="0"/>
        <w:jc w:val="center"/>
        <w:rPr>
          <w:rFonts w:ascii="Times New Roman" w:hAnsi="Times New Roman" w:cs="Times New Roman"/>
          <w:b/>
          <w:bCs/>
          <w:sz w:val="44"/>
          <w:szCs w:val="42"/>
        </w:rPr>
      </w:pPr>
      <w:bookmarkStart w:id="0" w:name="_Hlk523391163"/>
      <w:bookmarkStart w:id="1" w:name="_GoBack"/>
      <w:bookmarkEnd w:id="1"/>
      <w:r w:rsidRPr="009279FD">
        <w:rPr>
          <w:rFonts w:ascii="Times New Roman" w:hAnsi="Times New Roman" w:cs="Times New Roman"/>
          <w:b/>
          <w:bCs/>
          <w:sz w:val="44"/>
          <w:szCs w:val="42"/>
        </w:rPr>
        <w:t xml:space="preserve">Appendix </w:t>
      </w:r>
      <w:r w:rsidR="001036CA" w:rsidRPr="009279FD">
        <w:rPr>
          <w:rFonts w:ascii="Times New Roman" w:hAnsi="Times New Roman" w:cs="Times New Roman"/>
          <w:b/>
          <w:bCs/>
          <w:sz w:val="44"/>
          <w:szCs w:val="42"/>
        </w:rPr>
        <w:t>G</w:t>
      </w:r>
      <w:r w:rsidRPr="009279FD">
        <w:rPr>
          <w:rFonts w:ascii="Times New Roman" w:hAnsi="Times New Roman" w:cs="Times New Roman"/>
          <w:b/>
          <w:bCs/>
          <w:sz w:val="44"/>
          <w:szCs w:val="42"/>
        </w:rPr>
        <w:t>:</w:t>
      </w:r>
    </w:p>
    <w:p w14:paraId="681DD146" w14:textId="77777777" w:rsidR="00864536" w:rsidRPr="009279FD" w:rsidRDefault="00864536" w:rsidP="00864536">
      <w:pPr>
        <w:autoSpaceDE w:val="0"/>
        <w:autoSpaceDN w:val="0"/>
        <w:adjustRightInd w:val="0"/>
        <w:jc w:val="center"/>
        <w:rPr>
          <w:rFonts w:ascii="Times New Roman" w:hAnsi="Times New Roman" w:cs="Times New Roman"/>
          <w:b/>
          <w:bCs/>
          <w:sz w:val="44"/>
          <w:szCs w:val="42"/>
        </w:rPr>
      </w:pPr>
    </w:p>
    <w:p w14:paraId="702A595C" w14:textId="77777777" w:rsidR="009279FD" w:rsidRPr="009279FD" w:rsidRDefault="00864536" w:rsidP="00864536">
      <w:pPr>
        <w:autoSpaceDE w:val="0"/>
        <w:autoSpaceDN w:val="0"/>
        <w:adjustRightInd w:val="0"/>
        <w:ind w:firstLine="720"/>
        <w:jc w:val="center"/>
        <w:rPr>
          <w:rFonts w:ascii="Times New Roman" w:hAnsi="Times New Roman" w:cs="Times New Roman"/>
          <w:b/>
          <w:bCs/>
          <w:sz w:val="44"/>
          <w:szCs w:val="42"/>
        </w:rPr>
      </w:pPr>
      <w:r w:rsidRPr="009279FD">
        <w:rPr>
          <w:rFonts w:ascii="Times New Roman" w:hAnsi="Times New Roman" w:cs="Times New Roman"/>
          <w:b/>
          <w:bCs/>
          <w:sz w:val="44"/>
          <w:szCs w:val="42"/>
        </w:rPr>
        <w:t>Burden and Cost Estimate for Geologic Sequestration of Carbon Dioxide (Subpart RR)</w:t>
      </w:r>
      <w:bookmarkEnd w:id="0"/>
    </w:p>
    <w:p w14:paraId="2785AA80" w14:textId="77777777" w:rsidR="009279FD" w:rsidRPr="009279FD" w:rsidRDefault="009279FD" w:rsidP="00864536">
      <w:pPr>
        <w:autoSpaceDE w:val="0"/>
        <w:autoSpaceDN w:val="0"/>
        <w:adjustRightInd w:val="0"/>
        <w:ind w:firstLine="720"/>
        <w:jc w:val="center"/>
        <w:rPr>
          <w:rFonts w:ascii="Times New Roman" w:hAnsi="Times New Roman" w:cs="Times New Roman"/>
          <w:b/>
          <w:bCs/>
          <w:sz w:val="44"/>
          <w:szCs w:val="42"/>
        </w:rPr>
      </w:pPr>
    </w:p>
    <w:p w14:paraId="73EA880C" w14:textId="56DD524A" w:rsidR="00864536" w:rsidRPr="009279FD" w:rsidRDefault="009279FD" w:rsidP="006F3938">
      <w:pPr>
        <w:autoSpaceDE w:val="0"/>
        <w:autoSpaceDN w:val="0"/>
        <w:adjustRightInd w:val="0"/>
        <w:jc w:val="center"/>
        <w:rPr>
          <w:rFonts w:ascii="Times New Roman" w:hAnsi="Times New Roman" w:cs="Times New Roman"/>
          <w:b/>
          <w:sz w:val="32"/>
          <w:szCs w:val="32"/>
        </w:rPr>
      </w:pPr>
      <w:r w:rsidRPr="009279FD">
        <w:rPr>
          <w:rFonts w:ascii="Times New Roman" w:hAnsi="Times New Roman" w:cs="Times New Roman"/>
          <w:b/>
          <w:bCs/>
          <w:sz w:val="40"/>
          <w:szCs w:val="40"/>
        </w:rPr>
        <w:t>June 2019</w:t>
      </w:r>
      <w:r w:rsidR="00864536" w:rsidRPr="009279FD">
        <w:rPr>
          <w:rFonts w:ascii="Times New Roman" w:hAnsi="Times New Roman" w:cs="Times New Roman"/>
          <w:b/>
          <w:sz w:val="32"/>
          <w:szCs w:val="32"/>
        </w:rPr>
        <w:br w:type="page"/>
      </w:r>
    </w:p>
    <w:p w14:paraId="04B19145" w14:textId="77777777" w:rsidR="0029185E" w:rsidRPr="009279FD" w:rsidRDefault="0029185E" w:rsidP="0029185E">
      <w:pPr>
        <w:spacing w:after="120" w:line="240" w:lineRule="auto"/>
        <w:rPr>
          <w:rFonts w:ascii="Times New Roman" w:hAnsi="Times New Roman" w:cs="Times New Roman"/>
        </w:rPr>
      </w:pPr>
      <w:r w:rsidRPr="009279FD">
        <w:rPr>
          <w:rFonts w:ascii="Times New Roman" w:hAnsi="Times New Roman" w:cs="Times New Roman"/>
        </w:rPr>
        <w:lastRenderedPageBreak/>
        <w:t>The objective of this appendix is to summarize updated burden and cost estimates for subpart RR of the Greenhouse Gas Reporting Program (GHGRP). More detail on the methodology, assumptions, and estimated costs, including costs for potential alternative cost scenarios, are presented in the docket.</w:t>
      </w:r>
      <w:r w:rsidRPr="009279FD">
        <w:rPr>
          <w:rStyle w:val="FootnoteReference"/>
          <w:rFonts w:ascii="Times New Roman" w:hAnsi="Times New Roman" w:cs="Times New Roman"/>
        </w:rPr>
        <w:footnoteReference w:id="1"/>
      </w:r>
    </w:p>
    <w:p w14:paraId="2B1EC328" w14:textId="77777777" w:rsidR="0029185E" w:rsidRPr="009279FD" w:rsidRDefault="0029185E" w:rsidP="0029185E">
      <w:pPr>
        <w:spacing w:after="120" w:line="240" w:lineRule="auto"/>
        <w:rPr>
          <w:rFonts w:ascii="Times New Roman" w:hAnsi="Times New Roman" w:cs="Times New Roman"/>
        </w:rPr>
      </w:pPr>
      <w:r w:rsidRPr="009279FD">
        <w:rPr>
          <w:rFonts w:ascii="Times New Roman" w:hAnsi="Times New Roman" w:cs="Times New Roman"/>
        </w:rPr>
        <w:t xml:space="preserve">Subpart RR monitoring and reporting costs are estimated based on two types of facilities: </w:t>
      </w:r>
    </w:p>
    <w:p w14:paraId="5631AD1F" w14:textId="77777777" w:rsidR="0029185E" w:rsidRPr="009279FD" w:rsidRDefault="0029185E" w:rsidP="0029185E">
      <w:pPr>
        <w:pStyle w:val="ListParagraph"/>
        <w:numPr>
          <w:ilvl w:val="0"/>
          <w:numId w:val="4"/>
        </w:numPr>
        <w:spacing w:after="120" w:line="240" w:lineRule="auto"/>
        <w:rPr>
          <w:rFonts w:ascii="Times New Roman" w:hAnsi="Times New Roman" w:cs="Times New Roman"/>
        </w:rPr>
      </w:pPr>
      <w:r w:rsidRPr="009279FD">
        <w:rPr>
          <w:rFonts w:ascii="Times New Roman" w:hAnsi="Times New Roman" w:cs="Times New Roman"/>
        </w:rPr>
        <w:t>Projects permitted under Class II of EPA’s Underground Injection Control (UIC) program (primarily for carbon dioxide enhanced oil recovery (“CO</w:t>
      </w:r>
      <w:r w:rsidRPr="009279FD">
        <w:rPr>
          <w:rFonts w:ascii="Times New Roman" w:hAnsi="Times New Roman" w:cs="Times New Roman"/>
          <w:vertAlign w:val="subscript"/>
        </w:rPr>
        <w:t>2</w:t>
      </w:r>
      <w:r w:rsidRPr="009279FD">
        <w:rPr>
          <w:rFonts w:ascii="Times New Roman" w:hAnsi="Times New Roman" w:cs="Times New Roman"/>
        </w:rPr>
        <w:t>-EOR”) wells).</w:t>
      </w:r>
    </w:p>
    <w:p w14:paraId="4ACB6510" w14:textId="77777777" w:rsidR="0029185E" w:rsidRPr="009279FD" w:rsidRDefault="0029185E" w:rsidP="0029185E">
      <w:pPr>
        <w:pStyle w:val="ListParagraph"/>
        <w:numPr>
          <w:ilvl w:val="0"/>
          <w:numId w:val="4"/>
        </w:numPr>
        <w:spacing w:after="120" w:line="240" w:lineRule="auto"/>
        <w:rPr>
          <w:rFonts w:ascii="Times New Roman" w:hAnsi="Times New Roman" w:cs="Times New Roman"/>
        </w:rPr>
      </w:pPr>
      <w:r w:rsidRPr="009279FD">
        <w:rPr>
          <w:rFonts w:ascii="Times New Roman" w:hAnsi="Times New Roman" w:cs="Times New Roman"/>
        </w:rPr>
        <w:t>Projects permitted under Class VI of EPA’s UIC Program (assumed to be injecting into deep saline formations for purposes of the analysis).</w:t>
      </w:r>
    </w:p>
    <w:p w14:paraId="77F0F8BE" w14:textId="77777777" w:rsidR="0029185E" w:rsidRPr="009279FD" w:rsidRDefault="0029185E" w:rsidP="0029185E">
      <w:pPr>
        <w:spacing w:after="120" w:line="240" w:lineRule="auto"/>
        <w:rPr>
          <w:rFonts w:ascii="Times New Roman" w:hAnsi="Times New Roman" w:cs="Times New Roman"/>
        </w:rPr>
      </w:pPr>
      <w:r w:rsidRPr="009279FD">
        <w:rPr>
          <w:rFonts w:ascii="Times New Roman" w:hAnsi="Times New Roman" w:cs="Times New Roman"/>
        </w:rPr>
        <w:t>The geologic and project characteristics of the “representative” facility for both the CO</w:t>
      </w:r>
      <w:r w:rsidRPr="009279FD">
        <w:rPr>
          <w:rFonts w:ascii="Times New Roman" w:hAnsi="Times New Roman" w:cs="Times New Roman"/>
          <w:vertAlign w:val="subscript"/>
        </w:rPr>
        <w:t>2</w:t>
      </w:r>
      <w:r w:rsidRPr="009279FD">
        <w:rPr>
          <w:rFonts w:ascii="Times New Roman" w:hAnsi="Times New Roman" w:cs="Times New Roman"/>
        </w:rPr>
        <w:t>-EOR and the deep saline aquifer case are based on a typical CO</w:t>
      </w:r>
      <w:r w:rsidRPr="009279FD">
        <w:rPr>
          <w:rFonts w:ascii="Times New Roman" w:hAnsi="Times New Roman" w:cs="Times New Roman"/>
          <w:vertAlign w:val="subscript"/>
        </w:rPr>
        <w:t>2</w:t>
      </w:r>
      <w:r w:rsidRPr="009279FD">
        <w:rPr>
          <w:rFonts w:ascii="Times New Roman" w:hAnsi="Times New Roman" w:cs="Times New Roman"/>
        </w:rPr>
        <w:t>-EOR project in the Permian Basin of West Texas, where the majority of ongoing CO</w:t>
      </w:r>
      <w:r w:rsidRPr="009279FD">
        <w:rPr>
          <w:rFonts w:ascii="Times New Roman" w:hAnsi="Times New Roman" w:cs="Times New Roman"/>
          <w:vertAlign w:val="subscript"/>
        </w:rPr>
        <w:t>2</w:t>
      </w:r>
      <w:r w:rsidRPr="009279FD">
        <w:rPr>
          <w:rFonts w:ascii="Times New Roman" w:hAnsi="Times New Roman" w:cs="Times New Roman"/>
        </w:rPr>
        <w:t>-EOR operations in the U.S. exist. This “representative” facility is comparable to that used in previous EPA subpart RR analyses.</w:t>
      </w:r>
    </w:p>
    <w:p w14:paraId="72837A5F" w14:textId="77777777" w:rsidR="0029185E" w:rsidRPr="009279FD" w:rsidRDefault="0029185E" w:rsidP="0029185E">
      <w:pPr>
        <w:spacing w:after="120" w:line="240" w:lineRule="auto"/>
        <w:rPr>
          <w:rFonts w:ascii="Times New Roman" w:hAnsi="Times New Roman" w:cs="Times New Roman"/>
        </w:rPr>
      </w:pPr>
      <w:r w:rsidRPr="009279FD">
        <w:rPr>
          <w:rFonts w:ascii="Times New Roman" w:hAnsi="Times New Roman" w:cs="Times New Roman"/>
        </w:rPr>
        <w:t>This update takes into consideration activities and events occurring since the last estimate in 2016. Specifically, monitoring, reporting, and verification (MRV) plans for CO</w:t>
      </w:r>
      <w:r w:rsidRPr="009279FD">
        <w:rPr>
          <w:rFonts w:ascii="Times New Roman" w:hAnsi="Times New Roman" w:cs="Times New Roman"/>
          <w:vertAlign w:val="subscript"/>
        </w:rPr>
        <w:t>2</w:t>
      </w:r>
      <w:r w:rsidRPr="009279FD">
        <w:rPr>
          <w:rFonts w:ascii="Times New Roman" w:hAnsi="Times New Roman" w:cs="Times New Roman"/>
        </w:rPr>
        <w:t xml:space="preserve">-EOR and deep saline </w:t>
      </w:r>
      <w:r w:rsidRPr="009279FD">
        <w:rPr>
          <w:rFonts w:ascii="Times New Roman" w:eastAsia="ヒラギノ角ゴ Pro W3" w:hAnsi="Times New Roman" w:cs="Times New Roman"/>
          <w:color w:val="000000"/>
        </w:rPr>
        <w:t>CO</w:t>
      </w:r>
      <w:r w:rsidRPr="009279FD">
        <w:rPr>
          <w:rFonts w:ascii="Times New Roman" w:eastAsia="ヒラギノ角ゴ Pro W3" w:hAnsi="Times New Roman" w:cs="Times New Roman"/>
          <w:color w:val="000000"/>
          <w:vertAlign w:val="subscript"/>
        </w:rPr>
        <w:t>2</w:t>
      </w:r>
      <w:r w:rsidRPr="009279FD">
        <w:rPr>
          <w:rFonts w:ascii="Times New Roman" w:eastAsia="ヒラギノ角ゴ Pro W3" w:hAnsi="Times New Roman" w:cs="Times New Roman"/>
          <w:color w:val="000000"/>
        </w:rPr>
        <w:t xml:space="preserve"> </w:t>
      </w:r>
      <w:r w:rsidRPr="009279FD">
        <w:rPr>
          <w:rFonts w:ascii="Times New Roman" w:hAnsi="Times New Roman" w:cs="Times New Roman"/>
        </w:rPr>
        <w:t>storage projects have been approved by EPA.</w:t>
      </w:r>
      <w:r w:rsidRPr="009279FD">
        <w:rPr>
          <w:rStyle w:val="FootnoteReference"/>
          <w:rFonts w:ascii="Times New Roman" w:hAnsi="Times New Roman" w:cs="Times New Roman"/>
        </w:rPr>
        <w:footnoteReference w:id="2"/>
      </w:r>
      <w:r w:rsidRPr="009279FD">
        <w:rPr>
          <w:rFonts w:ascii="Times New Roman" w:hAnsi="Times New Roman" w:cs="Times New Roman"/>
        </w:rPr>
        <w:t xml:space="preserve"> Cost estimates have been updated based on the activities reflected in the approved plans.</w:t>
      </w:r>
    </w:p>
    <w:p w14:paraId="38FA7756" w14:textId="77777777" w:rsidR="0029185E" w:rsidRPr="009279FD" w:rsidRDefault="0029185E" w:rsidP="0029185E">
      <w:pPr>
        <w:pStyle w:val="ARIPara1"/>
        <w:spacing w:before="0" w:after="120" w:line="240" w:lineRule="auto"/>
        <w:rPr>
          <w:rFonts w:ascii="Times New Roman" w:hAnsi="Times New Roman"/>
          <w:sz w:val="22"/>
          <w:szCs w:val="22"/>
        </w:rPr>
      </w:pPr>
      <w:r w:rsidRPr="009279FD">
        <w:rPr>
          <w:rFonts w:ascii="Times New Roman" w:hAnsi="Times New Roman"/>
          <w:sz w:val="22"/>
          <w:szCs w:val="22"/>
        </w:rPr>
        <w:t>CO</w:t>
      </w:r>
      <w:r w:rsidRPr="009279FD">
        <w:rPr>
          <w:rFonts w:ascii="Times New Roman" w:hAnsi="Times New Roman"/>
          <w:sz w:val="22"/>
          <w:szCs w:val="22"/>
          <w:vertAlign w:val="subscript"/>
        </w:rPr>
        <w:t>2</w:t>
      </w:r>
      <w:r w:rsidRPr="009279FD">
        <w:rPr>
          <w:rFonts w:ascii="Times New Roman" w:hAnsi="Times New Roman"/>
          <w:sz w:val="22"/>
          <w:szCs w:val="22"/>
        </w:rPr>
        <w:t>-EOR projects that have submitted MRV plans to EPA operate with rigorous monitoring already in place, to ensure efficient and economically viable operation. Based on the approved MRV plans for Class II/CO</w:t>
      </w:r>
      <w:r w:rsidRPr="009279FD">
        <w:rPr>
          <w:rFonts w:ascii="Times New Roman" w:hAnsi="Times New Roman"/>
          <w:sz w:val="22"/>
          <w:szCs w:val="22"/>
          <w:vertAlign w:val="subscript"/>
        </w:rPr>
        <w:t>2</w:t>
      </w:r>
      <w:r w:rsidRPr="009279FD">
        <w:rPr>
          <w:rFonts w:ascii="Times New Roman" w:hAnsi="Times New Roman"/>
          <w:sz w:val="22"/>
          <w:szCs w:val="22"/>
        </w:rPr>
        <w:t>-EOR operations, the incremental costs are assumed to be associated with the development of an MRV plan and reporting and recordkeeping costs to meet subpart RR requirements (e.g., submission of annual reports). It is assumed that models are updated every other year during the injection phase, and every four years during post-injection. This results in incremental annual costs of $35,960 during the injection phase.  No reporters are assumed to be in the post-injection phase over the time frame of these estimates.</w:t>
      </w:r>
    </w:p>
    <w:p w14:paraId="7BC0FC93" w14:textId="77777777" w:rsidR="0029185E" w:rsidRPr="009279FD" w:rsidRDefault="0029185E" w:rsidP="0029185E">
      <w:pPr>
        <w:pStyle w:val="ARIPara1"/>
        <w:spacing w:before="0" w:after="120" w:line="240" w:lineRule="auto"/>
        <w:rPr>
          <w:rFonts w:ascii="Times New Roman" w:hAnsi="Times New Roman"/>
          <w:sz w:val="22"/>
          <w:szCs w:val="22"/>
        </w:rPr>
      </w:pPr>
      <w:r w:rsidRPr="009279FD">
        <w:rPr>
          <w:rFonts w:ascii="Times New Roman" w:hAnsi="Times New Roman"/>
          <w:sz w:val="22"/>
          <w:szCs w:val="22"/>
        </w:rPr>
        <w:t xml:space="preserve">Table 1 summarizes the MRV activities assumed for a MRV plan for a deep saline formation project, </w:t>
      </w:r>
      <w:r w:rsidRPr="009279FD">
        <w:rPr>
          <w:rFonts w:ascii="Times New Roman" w:hAnsi="Times New Roman"/>
          <w:i/>
          <w:sz w:val="22"/>
          <w:szCs w:val="22"/>
        </w:rPr>
        <w:t>which are assumed to be incremental to activities that may be associated with a Class VI permit</w:t>
      </w:r>
      <w:r w:rsidRPr="009279FD">
        <w:rPr>
          <w:rFonts w:ascii="Times New Roman" w:hAnsi="Times New Roman"/>
          <w:sz w:val="22"/>
          <w:szCs w:val="22"/>
        </w:rPr>
        <w:t xml:space="preserve">. Table 2 summarizes the incremental unit burden and cost estimates under subpart RR for a deep saline formation project based on these assumed activities. </w:t>
      </w:r>
    </w:p>
    <w:p w14:paraId="35A6878B" w14:textId="77777777" w:rsidR="0029185E" w:rsidRPr="009279FD" w:rsidRDefault="0029185E" w:rsidP="0029185E">
      <w:pPr>
        <w:spacing w:after="120" w:line="240" w:lineRule="auto"/>
        <w:rPr>
          <w:rFonts w:ascii="Times New Roman" w:hAnsi="Times New Roman" w:cs="Times New Roman"/>
        </w:rPr>
      </w:pPr>
      <w:r w:rsidRPr="009279FD">
        <w:rPr>
          <w:rFonts w:ascii="Times New Roman" w:hAnsi="Times New Roman" w:cs="Times New Roman"/>
        </w:rPr>
        <w:t>In addition, in February 2018, the Bipartisan Budget Act of 2018 extended and enhanced the federal Internal Revenue Code (IRC), Section 45Q tax credits.</w:t>
      </w:r>
      <w:r w:rsidRPr="009279FD">
        <w:rPr>
          <w:rStyle w:val="FootnoteReference"/>
          <w:rFonts w:ascii="Times New Roman" w:hAnsi="Times New Roman" w:cs="Times New Roman"/>
        </w:rPr>
        <w:footnoteReference w:id="3"/>
      </w:r>
      <w:r w:rsidRPr="009279FD">
        <w:rPr>
          <w:rFonts w:ascii="Times New Roman" w:hAnsi="Times New Roman" w:cs="Times New Roman"/>
        </w:rPr>
        <w:t xml:space="preserve"> It is anticipated that the tax credit enhancements will stimulate additional geologic sequestration projects. </w:t>
      </w:r>
    </w:p>
    <w:p w14:paraId="50AAA7F3" w14:textId="77777777" w:rsidR="0029185E" w:rsidRPr="009279FD" w:rsidRDefault="0029185E" w:rsidP="0029185E">
      <w:pPr>
        <w:spacing w:after="120" w:line="240" w:lineRule="auto"/>
        <w:rPr>
          <w:rFonts w:ascii="Times New Roman" w:hAnsi="Times New Roman" w:cs="Times New Roman"/>
        </w:rPr>
      </w:pPr>
      <w:r w:rsidRPr="009279FD">
        <w:rPr>
          <w:rFonts w:ascii="Times New Roman" w:hAnsi="Times New Roman" w:cs="Times New Roman"/>
        </w:rPr>
        <w:t>For purposes of this analysis, it is assumed that one deep saline formation CO</w:t>
      </w:r>
      <w:r w:rsidRPr="009279FD">
        <w:rPr>
          <w:rFonts w:ascii="Times New Roman" w:hAnsi="Times New Roman" w:cs="Times New Roman"/>
          <w:vertAlign w:val="subscript"/>
        </w:rPr>
        <w:t>2</w:t>
      </w:r>
      <w:r w:rsidRPr="009279FD">
        <w:rPr>
          <w:rFonts w:ascii="Times New Roman" w:hAnsi="Times New Roman" w:cs="Times New Roman"/>
        </w:rPr>
        <w:t xml:space="preserve"> storage project would report under subpart RR in year 1 (2019), year 2 (2020), and year 3 (2021). It is also assumed that four CO</w:t>
      </w:r>
      <w:r w:rsidRPr="009279FD">
        <w:rPr>
          <w:rFonts w:ascii="Times New Roman" w:hAnsi="Times New Roman" w:cs="Times New Roman"/>
          <w:vertAlign w:val="subscript"/>
        </w:rPr>
        <w:t>2</w:t>
      </w:r>
      <w:r w:rsidRPr="009279FD">
        <w:rPr>
          <w:rFonts w:ascii="Times New Roman" w:hAnsi="Times New Roman" w:cs="Times New Roman"/>
        </w:rPr>
        <w:t xml:space="preserve">-EOR projects would report under subpart RR in year 1, seven in year 2, and ten in year 3.  </w:t>
      </w:r>
    </w:p>
    <w:p w14:paraId="3DFA07EB" w14:textId="77777777" w:rsidR="0029185E" w:rsidRPr="009279FD" w:rsidRDefault="0029185E" w:rsidP="0029185E">
      <w:pPr>
        <w:pStyle w:val="ARIPara1"/>
        <w:spacing w:before="0" w:line="240" w:lineRule="auto"/>
        <w:rPr>
          <w:rFonts w:ascii="Times New Roman" w:hAnsi="Times New Roman"/>
          <w:sz w:val="22"/>
          <w:szCs w:val="22"/>
        </w:rPr>
      </w:pPr>
      <w:r w:rsidRPr="009279FD">
        <w:rPr>
          <w:rFonts w:ascii="Times New Roman" w:hAnsi="Times New Roman"/>
          <w:sz w:val="22"/>
          <w:szCs w:val="22"/>
        </w:rPr>
        <w:t>Taking into consideration the unit cost and burden estimates for CO</w:t>
      </w:r>
      <w:r w:rsidRPr="009279FD">
        <w:rPr>
          <w:rFonts w:ascii="Times New Roman" w:hAnsi="Times New Roman"/>
          <w:sz w:val="22"/>
          <w:szCs w:val="22"/>
          <w:vertAlign w:val="subscript"/>
        </w:rPr>
        <w:t>2</w:t>
      </w:r>
      <w:r w:rsidRPr="009279FD">
        <w:rPr>
          <w:rFonts w:ascii="Times New Roman" w:hAnsi="Times New Roman"/>
          <w:sz w:val="22"/>
          <w:szCs w:val="22"/>
        </w:rPr>
        <w:t xml:space="preserve">-EOR and deep saline formation facilities, and the estimated number of impacted facilities stated above, estimates for the incremental burden and associated costs for subpart RR are presented in Table 3.  </w:t>
      </w:r>
    </w:p>
    <w:p w14:paraId="4FE1D34B" w14:textId="77777777" w:rsidR="009279FD" w:rsidRDefault="009279FD" w:rsidP="0029185E">
      <w:pPr>
        <w:spacing w:after="0" w:line="240" w:lineRule="auto"/>
        <w:jc w:val="center"/>
        <w:rPr>
          <w:rFonts w:ascii="Times New Roman" w:hAnsi="Times New Roman" w:cs="Times New Roman"/>
          <w:b/>
        </w:rPr>
      </w:pPr>
    </w:p>
    <w:p w14:paraId="647861DA" w14:textId="77777777" w:rsidR="009279FD" w:rsidRDefault="009279FD" w:rsidP="0029185E">
      <w:pPr>
        <w:spacing w:after="0" w:line="240" w:lineRule="auto"/>
        <w:jc w:val="center"/>
        <w:rPr>
          <w:rFonts w:ascii="Times New Roman" w:hAnsi="Times New Roman" w:cs="Times New Roman"/>
          <w:b/>
        </w:rPr>
      </w:pPr>
    </w:p>
    <w:p w14:paraId="603F84DE" w14:textId="77777777" w:rsidR="009279FD" w:rsidRDefault="009279FD" w:rsidP="0029185E">
      <w:pPr>
        <w:spacing w:after="0" w:line="240" w:lineRule="auto"/>
        <w:jc w:val="center"/>
        <w:rPr>
          <w:rFonts w:ascii="Times New Roman" w:hAnsi="Times New Roman" w:cs="Times New Roman"/>
          <w:b/>
        </w:rPr>
      </w:pPr>
    </w:p>
    <w:p w14:paraId="3C0E98C4" w14:textId="794ED49D" w:rsidR="0029185E" w:rsidRPr="009279FD" w:rsidRDefault="0029185E" w:rsidP="0029185E">
      <w:pPr>
        <w:spacing w:after="0" w:line="240" w:lineRule="auto"/>
        <w:jc w:val="center"/>
        <w:rPr>
          <w:rFonts w:ascii="Times New Roman" w:hAnsi="Times New Roman" w:cs="Times New Roman"/>
          <w:b/>
        </w:rPr>
      </w:pPr>
      <w:r w:rsidRPr="009279FD">
        <w:rPr>
          <w:rFonts w:ascii="Times New Roman" w:hAnsi="Times New Roman" w:cs="Times New Roman"/>
          <w:b/>
        </w:rPr>
        <w:lastRenderedPageBreak/>
        <w:t xml:space="preserve">Table 1. Deep Saline Formation: Subpart RR Baseline Scenario </w:t>
      </w:r>
    </w:p>
    <w:tbl>
      <w:tblPr>
        <w:tblW w:w="8190" w:type="dxa"/>
        <w:tblInd w:w="620" w:type="dxa"/>
        <w:tblCellMar>
          <w:left w:w="0" w:type="dxa"/>
          <w:right w:w="0" w:type="dxa"/>
        </w:tblCellMar>
        <w:tblLook w:val="04A0" w:firstRow="1" w:lastRow="0" w:firstColumn="1" w:lastColumn="0" w:noHBand="0" w:noVBand="1"/>
      </w:tblPr>
      <w:tblGrid>
        <w:gridCol w:w="5010"/>
        <w:gridCol w:w="3180"/>
      </w:tblGrid>
      <w:tr w:rsidR="0029185E" w:rsidRPr="009279FD" w14:paraId="09F4DDD0" w14:textId="77777777" w:rsidTr="0029185E">
        <w:trPr>
          <w:trHeight w:val="1110"/>
        </w:trPr>
        <w:tc>
          <w:tcPr>
            <w:tcW w:w="50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7075B3E" w14:textId="77777777" w:rsidR="0029185E" w:rsidRPr="009279FD" w:rsidRDefault="0029185E">
            <w:pPr>
              <w:spacing w:after="0" w:line="240" w:lineRule="auto"/>
              <w:jc w:val="center"/>
              <w:rPr>
                <w:rFonts w:ascii="Times New Roman" w:eastAsia="Calibri" w:hAnsi="Times New Roman" w:cs="Times New Roman"/>
                <w:b/>
                <w:bCs/>
                <w:color w:val="000000"/>
              </w:rPr>
            </w:pPr>
            <w:r w:rsidRPr="009279FD">
              <w:rPr>
                <w:rFonts w:ascii="Times New Roman" w:eastAsia="Calibri" w:hAnsi="Times New Roman" w:cs="Times New Roman"/>
                <w:b/>
                <w:bCs/>
                <w:color w:val="000000"/>
              </w:rPr>
              <w:t>MRV Activity</w:t>
            </w:r>
          </w:p>
        </w:tc>
        <w:tc>
          <w:tcPr>
            <w:tcW w:w="31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10440A4E" w14:textId="77777777" w:rsidR="0029185E" w:rsidRPr="009279FD" w:rsidRDefault="0029185E">
            <w:pPr>
              <w:spacing w:after="0" w:line="240" w:lineRule="auto"/>
              <w:jc w:val="center"/>
              <w:rPr>
                <w:rFonts w:ascii="Times New Roman" w:eastAsia="Calibri" w:hAnsi="Times New Roman" w:cs="Times New Roman"/>
                <w:b/>
                <w:bCs/>
                <w:color w:val="000000"/>
              </w:rPr>
            </w:pPr>
            <w:r w:rsidRPr="009279FD">
              <w:rPr>
                <w:rFonts w:ascii="Times New Roman" w:eastAsia="Calibri" w:hAnsi="Times New Roman" w:cs="Times New Roman"/>
                <w:b/>
                <w:bCs/>
                <w:color w:val="000000"/>
              </w:rPr>
              <w:t>Deep Saline Formation</w:t>
            </w:r>
          </w:p>
          <w:p w14:paraId="1D4C0F54" w14:textId="77777777" w:rsidR="0029185E" w:rsidRPr="009279FD" w:rsidRDefault="0029185E">
            <w:pPr>
              <w:spacing w:after="0" w:line="240" w:lineRule="auto"/>
              <w:jc w:val="center"/>
              <w:rPr>
                <w:rFonts w:ascii="Times New Roman" w:eastAsia="Calibri" w:hAnsi="Times New Roman" w:cs="Times New Roman"/>
                <w:b/>
                <w:bCs/>
                <w:color w:val="000000"/>
              </w:rPr>
            </w:pPr>
            <w:r w:rsidRPr="009279FD">
              <w:rPr>
                <w:rFonts w:ascii="Times New Roman" w:eastAsia="Calibri" w:hAnsi="Times New Roman" w:cs="Times New Roman"/>
                <w:b/>
                <w:bCs/>
                <w:color w:val="000000"/>
              </w:rPr>
              <w:t>Operation</w:t>
            </w:r>
          </w:p>
        </w:tc>
      </w:tr>
      <w:tr w:rsidR="0029185E" w:rsidRPr="009279FD" w14:paraId="0D869560" w14:textId="77777777" w:rsidTr="0029185E">
        <w:trPr>
          <w:trHeight w:val="315"/>
        </w:trPr>
        <w:tc>
          <w:tcPr>
            <w:tcW w:w="50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1EE354E" w14:textId="77777777" w:rsidR="0029185E" w:rsidRPr="009279FD" w:rsidRDefault="0029185E">
            <w:pPr>
              <w:spacing w:after="0" w:line="240" w:lineRule="auto"/>
              <w:ind w:left="360"/>
              <w:jc w:val="center"/>
              <w:rPr>
                <w:rFonts w:ascii="Times New Roman" w:eastAsia="Calibri" w:hAnsi="Times New Roman" w:cs="Times New Roman"/>
                <w:color w:val="000000"/>
              </w:rPr>
            </w:pPr>
            <w:r w:rsidRPr="009279FD">
              <w:rPr>
                <w:rFonts w:ascii="Times New Roman" w:eastAsia="Calibri" w:hAnsi="Times New Roman" w:cs="Times New Roman"/>
                <w:color w:val="000000"/>
              </w:rPr>
              <w:t>Develop MRV plans and update models</w:t>
            </w:r>
          </w:p>
        </w:tc>
        <w:tc>
          <w:tcPr>
            <w:tcW w:w="318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7A7FA269" w14:textId="77777777" w:rsidR="0029185E" w:rsidRPr="009279FD" w:rsidRDefault="0029185E">
            <w:pPr>
              <w:spacing w:after="0" w:line="240" w:lineRule="auto"/>
              <w:jc w:val="center"/>
              <w:rPr>
                <w:rFonts w:ascii="Times New Roman" w:eastAsia="Calibri" w:hAnsi="Times New Roman" w:cs="Times New Roman"/>
                <w:color w:val="000000"/>
              </w:rPr>
            </w:pPr>
            <w:r w:rsidRPr="009279FD">
              <w:rPr>
                <w:rFonts w:ascii="Times New Roman" w:eastAsia="Calibri" w:hAnsi="Times New Roman" w:cs="Times New Roman"/>
                <w:color w:val="000000"/>
                <w:highlight w:val="yellow"/>
              </w:rPr>
              <w:t>YES</w:t>
            </w:r>
          </w:p>
        </w:tc>
      </w:tr>
      <w:tr w:rsidR="0029185E" w:rsidRPr="009279FD" w14:paraId="084B74A3" w14:textId="77777777" w:rsidTr="0029185E">
        <w:trPr>
          <w:trHeight w:val="315"/>
        </w:trPr>
        <w:tc>
          <w:tcPr>
            <w:tcW w:w="50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F1D47D5" w14:textId="77777777" w:rsidR="0029185E" w:rsidRPr="009279FD" w:rsidRDefault="0029185E">
            <w:pPr>
              <w:spacing w:after="0" w:line="240" w:lineRule="auto"/>
              <w:jc w:val="center"/>
              <w:rPr>
                <w:rFonts w:ascii="Times New Roman" w:eastAsia="Calibri" w:hAnsi="Times New Roman" w:cs="Times New Roman"/>
                <w:color w:val="000000"/>
              </w:rPr>
            </w:pPr>
            <w:r w:rsidRPr="009279FD">
              <w:rPr>
                <w:rFonts w:ascii="Times New Roman" w:eastAsia="Calibri" w:hAnsi="Times New Roman" w:cs="Times New Roman"/>
                <w:color w:val="000000"/>
              </w:rPr>
              <w:t>Report per subpart RR requirements</w:t>
            </w:r>
          </w:p>
        </w:tc>
        <w:tc>
          <w:tcPr>
            <w:tcW w:w="318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2159ACEB" w14:textId="77777777" w:rsidR="0029185E" w:rsidRPr="009279FD" w:rsidRDefault="0029185E">
            <w:pPr>
              <w:spacing w:after="0" w:line="240" w:lineRule="auto"/>
              <w:jc w:val="center"/>
              <w:rPr>
                <w:rFonts w:ascii="Times New Roman" w:eastAsia="Calibri" w:hAnsi="Times New Roman" w:cs="Times New Roman"/>
                <w:color w:val="000000"/>
                <w:highlight w:val="yellow"/>
              </w:rPr>
            </w:pPr>
            <w:r w:rsidRPr="009279FD">
              <w:rPr>
                <w:rFonts w:ascii="Times New Roman" w:eastAsia="Calibri" w:hAnsi="Times New Roman" w:cs="Times New Roman"/>
                <w:color w:val="000000"/>
                <w:highlight w:val="yellow"/>
              </w:rPr>
              <w:t>YES</w:t>
            </w:r>
          </w:p>
        </w:tc>
      </w:tr>
      <w:tr w:rsidR="0029185E" w:rsidRPr="009279FD" w14:paraId="37B46B26" w14:textId="77777777" w:rsidTr="0029185E">
        <w:trPr>
          <w:trHeight w:val="315"/>
        </w:trPr>
        <w:tc>
          <w:tcPr>
            <w:tcW w:w="50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1C64CB5" w14:textId="77777777" w:rsidR="0029185E" w:rsidRPr="009279FD" w:rsidRDefault="0029185E">
            <w:pPr>
              <w:spacing w:after="0" w:line="240" w:lineRule="auto"/>
              <w:jc w:val="center"/>
              <w:rPr>
                <w:rFonts w:ascii="Times New Roman" w:eastAsia="Calibri" w:hAnsi="Times New Roman" w:cs="Times New Roman"/>
                <w:color w:val="000000"/>
              </w:rPr>
            </w:pPr>
            <w:r w:rsidRPr="009279FD">
              <w:rPr>
                <w:rFonts w:ascii="Times New Roman" w:eastAsia="Calibri" w:hAnsi="Times New Roman" w:cs="Times New Roman"/>
                <w:color w:val="000000"/>
              </w:rPr>
              <w:t>Convert some existing wells to monitoring wells</w:t>
            </w:r>
          </w:p>
        </w:tc>
        <w:tc>
          <w:tcPr>
            <w:tcW w:w="3180"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14:paraId="3F799E23" w14:textId="77777777" w:rsidR="0029185E" w:rsidRPr="009279FD" w:rsidRDefault="0029185E">
            <w:pPr>
              <w:spacing w:after="0" w:line="240" w:lineRule="auto"/>
              <w:jc w:val="center"/>
              <w:rPr>
                <w:rFonts w:ascii="Times New Roman" w:eastAsia="Calibri" w:hAnsi="Times New Roman" w:cs="Times New Roman"/>
                <w:color w:val="000000"/>
              </w:rPr>
            </w:pPr>
            <w:r w:rsidRPr="009279FD">
              <w:rPr>
                <w:rFonts w:ascii="Times New Roman" w:eastAsia="Calibri" w:hAnsi="Times New Roman" w:cs="Times New Roman"/>
                <w:color w:val="000000"/>
              </w:rPr>
              <w:t>IN PLACE</w:t>
            </w:r>
          </w:p>
        </w:tc>
      </w:tr>
      <w:tr w:rsidR="0029185E" w:rsidRPr="009279FD" w14:paraId="10677FDC" w14:textId="77777777" w:rsidTr="0029185E">
        <w:trPr>
          <w:trHeight w:val="345"/>
        </w:trPr>
        <w:tc>
          <w:tcPr>
            <w:tcW w:w="50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F7F60C1" w14:textId="77777777" w:rsidR="0029185E" w:rsidRPr="009279FD" w:rsidRDefault="0029185E">
            <w:pPr>
              <w:spacing w:after="0" w:line="240" w:lineRule="auto"/>
              <w:jc w:val="center"/>
              <w:rPr>
                <w:rFonts w:ascii="Times New Roman" w:eastAsia="Calibri" w:hAnsi="Times New Roman" w:cs="Times New Roman"/>
                <w:color w:val="000000"/>
              </w:rPr>
            </w:pPr>
            <w:r w:rsidRPr="009279FD">
              <w:rPr>
                <w:rFonts w:ascii="Times New Roman" w:eastAsia="Calibri" w:hAnsi="Times New Roman" w:cs="Times New Roman"/>
                <w:color w:val="000000"/>
              </w:rPr>
              <w:t>Install shallow monitoring wells</w:t>
            </w:r>
          </w:p>
        </w:tc>
        <w:tc>
          <w:tcPr>
            <w:tcW w:w="3180"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14:paraId="74AF9EAE" w14:textId="77777777" w:rsidR="0029185E" w:rsidRPr="009279FD" w:rsidRDefault="0029185E">
            <w:pPr>
              <w:spacing w:after="0" w:line="240" w:lineRule="auto"/>
              <w:jc w:val="center"/>
              <w:rPr>
                <w:rFonts w:ascii="Times New Roman" w:eastAsia="Calibri" w:hAnsi="Times New Roman" w:cs="Times New Roman"/>
                <w:color w:val="000000"/>
              </w:rPr>
            </w:pPr>
            <w:r w:rsidRPr="009279FD">
              <w:rPr>
                <w:rFonts w:ascii="Times New Roman" w:eastAsia="Calibri" w:hAnsi="Times New Roman" w:cs="Times New Roman"/>
                <w:color w:val="000000"/>
              </w:rPr>
              <w:t>IN PLACE</w:t>
            </w:r>
          </w:p>
        </w:tc>
      </w:tr>
      <w:tr w:rsidR="0029185E" w:rsidRPr="009279FD" w14:paraId="1354C601" w14:textId="77777777" w:rsidTr="0029185E">
        <w:trPr>
          <w:trHeight w:val="315"/>
        </w:trPr>
        <w:tc>
          <w:tcPr>
            <w:tcW w:w="50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DA0DE21" w14:textId="77777777" w:rsidR="0029185E" w:rsidRPr="009279FD" w:rsidRDefault="0029185E">
            <w:pPr>
              <w:spacing w:after="0" w:line="240" w:lineRule="auto"/>
              <w:jc w:val="center"/>
              <w:rPr>
                <w:rFonts w:ascii="Times New Roman" w:eastAsia="Calibri" w:hAnsi="Times New Roman" w:cs="Times New Roman"/>
                <w:color w:val="000000"/>
              </w:rPr>
            </w:pPr>
            <w:r w:rsidRPr="009279FD">
              <w:rPr>
                <w:rFonts w:ascii="Times New Roman" w:eastAsia="Calibri" w:hAnsi="Times New Roman" w:cs="Times New Roman"/>
                <w:color w:val="000000"/>
              </w:rPr>
              <w:t>Perform soil flux/vadose zone monitoring</w:t>
            </w:r>
          </w:p>
        </w:tc>
        <w:tc>
          <w:tcPr>
            <w:tcW w:w="3180"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14:paraId="4F769591" w14:textId="77777777" w:rsidR="0029185E" w:rsidRPr="009279FD" w:rsidRDefault="0029185E">
            <w:pPr>
              <w:spacing w:after="0" w:line="240" w:lineRule="auto"/>
              <w:jc w:val="center"/>
              <w:rPr>
                <w:rFonts w:ascii="Times New Roman" w:eastAsia="Calibri" w:hAnsi="Times New Roman" w:cs="Times New Roman"/>
                <w:color w:val="000000"/>
              </w:rPr>
            </w:pPr>
            <w:r w:rsidRPr="009279FD">
              <w:rPr>
                <w:rFonts w:ascii="Times New Roman" w:eastAsia="Calibri" w:hAnsi="Times New Roman" w:cs="Times New Roman"/>
                <w:color w:val="000000"/>
              </w:rPr>
              <w:t>IN PLACE</w:t>
            </w:r>
          </w:p>
        </w:tc>
      </w:tr>
      <w:tr w:rsidR="0029185E" w:rsidRPr="009279FD" w14:paraId="0604D3CA" w14:textId="77777777" w:rsidTr="0029185E">
        <w:trPr>
          <w:trHeight w:val="315"/>
        </w:trPr>
        <w:tc>
          <w:tcPr>
            <w:tcW w:w="50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63CBE2D" w14:textId="77777777" w:rsidR="0029185E" w:rsidRPr="009279FD" w:rsidRDefault="0029185E">
            <w:pPr>
              <w:spacing w:after="0" w:line="240" w:lineRule="auto"/>
              <w:jc w:val="center"/>
              <w:rPr>
                <w:rFonts w:ascii="Times New Roman" w:eastAsia="Calibri" w:hAnsi="Times New Roman" w:cs="Times New Roman"/>
                <w:color w:val="000000"/>
              </w:rPr>
            </w:pPr>
            <w:r w:rsidRPr="009279FD">
              <w:rPr>
                <w:rFonts w:ascii="Times New Roman" w:eastAsia="Calibri" w:hAnsi="Times New Roman" w:cs="Times New Roman"/>
                <w:color w:val="000000"/>
              </w:rPr>
              <w:t>Perform micro-seismic monitoring</w:t>
            </w:r>
          </w:p>
        </w:tc>
        <w:tc>
          <w:tcPr>
            <w:tcW w:w="3180"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14:paraId="53588576" w14:textId="77777777" w:rsidR="0029185E" w:rsidRPr="009279FD" w:rsidRDefault="0029185E">
            <w:pPr>
              <w:spacing w:after="0" w:line="240" w:lineRule="auto"/>
              <w:jc w:val="center"/>
              <w:rPr>
                <w:rFonts w:ascii="Times New Roman" w:eastAsia="Calibri" w:hAnsi="Times New Roman" w:cs="Times New Roman"/>
                <w:color w:val="000000"/>
              </w:rPr>
            </w:pPr>
            <w:r w:rsidRPr="009279FD">
              <w:rPr>
                <w:rFonts w:ascii="Times New Roman" w:eastAsia="Calibri" w:hAnsi="Times New Roman" w:cs="Times New Roman"/>
                <w:color w:val="000000"/>
              </w:rPr>
              <w:t>IN PLACE</w:t>
            </w:r>
          </w:p>
        </w:tc>
      </w:tr>
      <w:tr w:rsidR="0029185E" w:rsidRPr="009279FD" w14:paraId="25FD241F" w14:textId="77777777" w:rsidTr="0029185E">
        <w:trPr>
          <w:trHeight w:val="315"/>
        </w:trPr>
        <w:tc>
          <w:tcPr>
            <w:tcW w:w="50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23DB0A6" w14:textId="77777777" w:rsidR="0029185E" w:rsidRPr="009279FD" w:rsidRDefault="0029185E">
            <w:pPr>
              <w:spacing w:after="0" w:line="240" w:lineRule="auto"/>
              <w:jc w:val="center"/>
              <w:rPr>
                <w:rFonts w:ascii="Times New Roman" w:eastAsia="Calibri" w:hAnsi="Times New Roman" w:cs="Times New Roman"/>
                <w:color w:val="000000"/>
              </w:rPr>
            </w:pPr>
            <w:r w:rsidRPr="009279FD">
              <w:rPr>
                <w:rFonts w:ascii="Times New Roman" w:eastAsia="Calibri" w:hAnsi="Times New Roman" w:cs="Times New Roman"/>
                <w:color w:val="000000"/>
              </w:rPr>
              <w:t>Special-case P&amp;As</w:t>
            </w:r>
          </w:p>
        </w:tc>
        <w:tc>
          <w:tcPr>
            <w:tcW w:w="3180"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14:paraId="13AE6FA1" w14:textId="77777777" w:rsidR="0029185E" w:rsidRPr="009279FD" w:rsidRDefault="0029185E">
            <w:pPr>
              <w:spacing w:after="0" w:line="240" w:lineRule="auto"/>
              <w:jc w:val="center"/>
              <w:rPr>
                <w:rFonts w:ascii="Times New Roman" w:eastAsia="Calibri" w:hAnsi="Times New Roman" w:cs="Times New Roman"/>
                <w:color w:val="000000"/>
              </w:rPr>
            </w:pPr>
            <w:r w:rsidRPr="009279FD">
              <w:rPr>
                <w:rFonts w:ascii="Times New Roman" w:eastAsia="Calibri" w:hAnsi="Times New Roman" w:cs="Times New Roman"/>
                <w:color w:val="000000"/>
              </w:rPr>
              <w:t>IN PLACE</w:t>
            </w:r>
          </w:p>
        </w:tc>
      </w:tr>
      <w:tr w:rsidR="0029185E" w:rsidRPr="009279FD" w14:paraId="4D420B4D" w14:textId="77777777" w:rsidTr="0029185E">
        <w:trPr>
          <w:trHeight w:val="315"/>
        </w:trPr>
        <w:tc>
          <w:tcPr>
            <w:tcW w:w="50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B5F7F51" w14:textId="77777777" w:rsidR="0029185E" w:rsidRPr="009279FD" w:rsidRDefault="0029185E">
            <w:pPr>
              <w:spacing w:after="0" w:line="240" w:lineRule="auto"/>
              <w:jc w:val="center"/>
              <w:rPr>
                <w:rFonts w:ascii="Times New Roman" w:eastAsia="Calibri" w:hAnsi="Times New Roman" w:cs="Times New Roman"/>
                <w:color w:val="000000"/>
              </w:rPr>
            </w:pPr>
            <w:r w:rsidRPr="009279FD">
              <w:rPr>
                <w:rFonts w:ascii="Times New Roman" w:eastAsia="Calibri" w:hAnsi="Times New Roman" w:cs="Times New Roman"/>
                <w:color w:val="000000"/>
              </w:rPr>
              <w:t>Drill new deep monitoring wells</w:t>
            </w:r>
          </w:p>
        </w:tc>
        <w:tc>
          <w:tcPr>
            <w:tcW w:w="3180"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14:paraId="19A44043" w14:textId="77777777" w:rsidR="0029185E" w:rsidRPr="009279FD" w:rsidRDefault="0029185E">
            <w:pPr>
              <w:spacing w:after="0" w:line="240" w:lineRule="auto"/>
              <w:jc w:val="center"/>
              <w:rPr>
                <w:rFonts w:ascii="Times New Roman" w:eastAsia="Calibri" w:hAnsi="Times New Roman" w:cs="Times New Roman"/>
                <w:color w:val="000000"/>
              </w:rPr>
            </w:pPr>
            <w:r w:rsidRPr="009279FD">
              <w:rPr>
                <w:rFonts w:ascii="Times New Roman" w:eastAsia="Calibri" w:hAnsi="Times New Roman" w:cs="Times New Roman"/>
                <w:color w:val="000000"/>
              </w:rPr>
              <w:t>IN PLACE</w:t>
            </w:r>
          </w:p>
        </w:tc>
      </w:tr>
      <w:tr w:rsidR="0029185E" w:rsidRPr="009279FD" w14:paraId="37ADDD42" w14:textId="77777777" w:rsidTr="0029185E">
        <w:trPr>
          <w:trHeight w:val="360"/>
        </w:trPr>
        <w:tc>
          <w:tcPr>
            <w:tcW w:w="50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9B87551" w14:textId="77777777" w:rsidR="0029185E" w:rsidRPr="009279FD" w:rsidRDefault="0029185E">
            <w:pPr>
              <w:spacing w:after="0" w:line="240" w:lineRule="auto"/>
              <w:jc w:val="center"/>
              <w:rPr>
                <w:rFonts w:ascii="Times New Roman" w:eastAsia="Calibri" w:hAnsi="Times New Roman" w:cs="Times New Roman"/>
                <w:color w:val="000000"/>
              </w:rPr>
            </w:pPr>
            <w:r w:rsidRPr="009279FD">
              <w:rPr>
                <w:rFonts w:ascii="Times New Roman" w:eastAsia="Calibri" w:hAnsi="Times New Roman" w:cs="Times New Roman"/>
                <w:color w:val="000000"/>
              </w:rPr>
              <w:t>Perform 3D seismic</w:t>
            </w:r>
          </w:p>
        </w:tc>
        <w:tc>
          <w:tcPr>
            <w:tcW w:w="3180"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14:paraId="3479974B" w14:textId="77777777" w:rsidR="0029185E" w:rsidRPr="009279FD" w:rsidRDefault="0029185E">
            <w:pPr>
              <w:spacing w:after="0" w:line="240" w:lineRule="auto"/>
              <w:jc w:val="center"/>
              <w:rPr>
                <w:rFonts w:ascii="Times New Roman" w:eastAsia="Calibri" w:hAnsi="Times New Roman" w:cs="Times New Roman"/>
                <w:color w:val="000000"/>
              </w:rPr>
            </w:pPr>
            <w:r w:rsidRPr="009279FD">
              <w:rPr>
                <w:rFonts w:ascii="Times New Roman" w:eastAsia="Calibri" w:hAnsi="Times New Roman" w:cs="Times New Roman"/>
                <w:color w:val="000000"/>
              </w:rPr>
              <w:t>IN PLACE</w:t>
            </w:r>
          </w:p>
        </w:tc>
      </w:tr>
      <w:tr w:rsidR="0029185E" w:rsidRPr="009279FD" w14:paraId="4CF70DA9" w14:textId="77777777" w:rsidTr="0029185E">
        <w:trPr>
          <w:trHeight w:val="315"/>
        </w:trPr>
        <w:tc>
          <w:tcPr>
            <w:tcW w:w="50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40DEB9E" w14:textId="77777777" w:rsidR="0029185E" w:rsidRPr="009279FD" w:rsidRDefault="0029185E">
            <w:pPr>
              <w:spacing w:after="0" w:line="240" w:lineRule="auto"/>
              <w:jc w:val="center"/>
              <w:rPr>
                <w:rFonts w:ascii="Times New Roman" w:eastAsia="Calibri" w:hAnsi="Times New Roman" w:cs="Times New Roman"/>
                <w:color w:val="000000"/>
              </w:rPr>
            </w:pPr>
            <w:r w:rsidRPr="009279FD">
              <w:rPr>
                <w:rFonts w:ascii="Times New Roman" w:eastAsia="Calibri" w:hAnsi="Times New Roman" w:cs="Times New Roman"/>
                <w:color w:val="000000"/>
              </w:rPr>
              <w:t>Perform eddy covariance/CIR monitoring</w:t>
            </w:r>
          </w:p>
        </w:tc>
        <w:tc>
          <w:tcPr>
            <w:tcW w:w="318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4514E08B" w14:textId="77777777" w:rsidR="0029185E" w:rsidRPr="009279FD" w:rsidRDefault="0029185E">
            <w:pPr>
              <w:spacing w:after="0" w:line="240" w:lineRule="auto"/>
              <w:jc w:val="center"/>
              <w:rPr>
                <w:rFonts w:ascii="Times New Roman" w:eastAsia="Calibri" w:hAnsi="Times New Roman" w:cs="Times New Roman"/>
                <w:color w:val="000000"/>
              </w:rPr>
            </w:pPr>
            <w:r w:rsidRPr="009279FD">
              <w:rPr>
                <w:rFonts w:ascii="Times New Roman" w:eastAsia="Calibri" w:hAnsi="Times New Roman" w:cs="Times New Roman"/>
                <w:color w:val="000000"/>
              </w:rPr>
              <w:t>YES</w:t>
            </w:r>
          </w:p>
        </w:tc>
      </w:tr>
      <w:tr w:rsidR="0029185E" w:rsidRPr="009279FD" w14:paraId="1566E175" w14:textId="77777777" w:rsidTr="0029185E">
        <w:trPr>
          <w:trHeight w:val="315"/>
        </w:trPr>
        <w:tc>
          <w:tcPr>
            <w:tcW w:w="50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D3EC14" w14:textId="77777777" w:rsidR="0029185E" w:rsidRPr="009279FD" w:rsidRDefault="0029185E">
            <w:pPr>
              <w:spacing w:after="0" w:line="240" w:lineRule="auto"/>
              <w:jc w:val="center"/>
              <w:rPr>
                <w:rFonts w:ascii="Times New Roman" w:eastAsia="Calibri" w:hAnsi="Times New Roman" w:cs="Times New Roman"/>
                <w:color w:val="000000"/>
              </w:rPr>
            </w:pPr>
            <w:r w:rsidRPr="009279FD">
              <w:rPr>
                <w:rFonts w:ascii="Times New Roman" w:eastAsia="Calibri" w:hAnsi="Times New Roman" w:cs="Times New Roman"/>
                <w:color w:val="000000"/>
              </w:rPr>
              <w:t>Conduct cased hole logging</w:t>
            </w:r>
          </w:p>
        </w:tc>
        <w:tc>
          <w:tcPr>
            <w:tcW w:w="3180"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14:paraId="29149362" w14:textId="77777777" w:rsidR="0029185E" w:rsidRPr="009279FD" w:rsidRDefault="0029185E">
            <w:pPr>
              <w:spacing w:after="0" w:line="240" w:lineRule="auto"/>
              <w:jc w:val="center"/>
              <w:rPr>
                <w:rFonts w:ascii="Times New Roman" w:eastAsia="Calibri" w:hAnsi="Times New Roman" w:cs="Times New Roman"/>
                <w:color w:val="000000"/>
              </w:rPr>
            </w:pPr>
            <w:r w:rsidRPr="009279FD">
              <w:rPr>
                <w:rFonts w:ascii="Times New Roman" w:eastAsia="Calibri" w:hAnsi="Times New Roman" w:cs="Times New Roman"/>
                <w:color w:val="000000"/>
              </w:rPr>
              <w:t>IN PLACE</w:t>
            </w:r>
          </w:p>
        </w:tc>
      </w:tr>
      <w:tr w:rsidR="0029185E" w:rsidRPr="009279FD" w14:paraId="128C8D42" w14:textId="77777777" w:rsidTr="0029185E">
        <w:trPr>
          <w:trHeight w:val="360"/>
        </w:trPr>
        <w:tc>
          <w:tcPr>
            <w:tcW w:w="50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6E40A97" w14:textId="77777777" w:rsidR="0029185E" w:rsidRPr="009279FD" w:rsidRDefault="0029185E">
            <w:pPr>
              <w:spacing w:after="0" w:line="240" w:lineRule="auto"/>
              <w:jc w:val="center"/>
              <w:rPr>
                <w:rFonts w:ascii="Times New Roman" w:eastAsia="Calibri" w:hAnsi="Times New Roman" w:cs="Times New Roman"/>
                <w:color w:val="000000"/>
              </w:rPr>
            </w:pPr>
            <w:r w:rsidRPr="009279FD">
              <w:rPr>
                <w:rFonts w:ascii="Times New Roman" w:eastAsia="Calibri" w:hAnsi="Times New Roman" w:cs="Times New Roman"/>
                <w:color w:val="000000"/>
              </w:rPr>
              <w:t>Conduct MIT program</w:t>
            </w:r>
          </w:p>
        </w:tc>
        <w:tc>
          <w:tcPr>
            <w:tcW w:w="3180"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14:paraId="15770877" w14:textId="77777777" w:rsidR="0029185E" w:rsidRPr="009279FD" w:rsidRDefault="0029185E">
            <w:pPr>
              <w:spacing w:after="0" w:line="240" w:lineRule="auto"/>
              <w:jc w:val="center"/>
              <w:rPr>
                <w:rFonts w:ascii="Times New Roman" w:eastAsia="Calibri" w:hAnsi="Times New Roman" w:cs="Times New Roman"/>
                <w:color w:val="000000"/>
              </w:rPr>
            </w:pPr>
            <w:r w:rsidRPr="009279FD">
              <w:rPr>
                <w:rFonts w:ascii="Times New Roman" w:eastAsia="Calibri" w:hAnsi="Times New Roman" w:cs="Times New Roman"/>
                <w:color w:val="000000"/>
              </w:rPr>
              <w:t>IN PLACE</w:t>
            </w:r>
          </w:p>
        </w:tc>
      </w:tr>
      <w:tr w:rsidR="0029185E" w:rsidRPr="009279FD" w14:paraId="34BB3464" w14:textId="77777777" w:rsidTr="0029185E">
        <w:trPr>
          <w:trHeight w:val="315"/>
        </w:trPr>
        <w:tc>
          <w:tcPr>
            <w:tcW w:w="50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513D027" w14:textId="77777777" w:rsidR="0029185E" w:rsidRPr="009279FD" w:rsidRDefault="0029185E">
            <w:pPr>
              <w:spacing w:after="0" w:line="240" w:lineRule="auto"/>
              <w:jc w:val="center"/>
              <w:rPr>
                <w:rFonts w:ascii="Times New Roman" w:eastAsia="Calibri" w:hAnsi="Times New Roman" w:cs="Times New Roman"/>
                <w:color w:val="000000"/>
              </w:rPr>
            </w:pPr>
            <w:r w:rsidRPr="009279FD">
              <w:rPr>
                <w:rFonts w:ascii="Times New Roman" w:eastAsia="Calibri" w:hAnsi="Times New Roman" w:cs="Times New Roman"/>
                <w:color w:val="000000"/>
              </w:rPr>
              <w:t>Monitor surface pressure, temperatures, rates, gas composition, and corrosion</w:t>
            </w:r>
          </w:p>
        </w:tc>
        <w:tc>
          <w:tcPr>
            <w:tcW w:w="3180"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14:paraId="54254454" w14:textId="77777777" w:rsidR="0029185E" w:rsidRPr="009279FD" w:rsidRDefault="0029185E">
            <w:pPr>
              <w:spacing w:after="0" w:line="240" w:lineRule="auto"/>
              <w:jc w:val="center"/>
              <w:rPr>
                <w:rFonts w:ascii="Times New Roman" w:eastAsia="Calibri" w:hAnsi="Times New Roman" w:cs="Times New Roman"/>
                <w:color w:val="000000"/>
              </w:rPr>
            </w:pPr>
            <w:r w:rsidRPr="009279FD">
              <w:rPr>
                <w:rFonts w:ascii="Times New Roman" w:eastAsia="Calibri" w:hAnsi="Times New Roman" w:cs="Times New Roman"/>
                <w:color w:val="000000"/>
              </w:rPr>
              <w:t>IN PLACE</w:t>
            </w:r>
          </w:p>
        </w:tc>
      </w:tr>
      <w:tr w:rsidR="0029185E" w:rsidRPr="009279FD" w14:paraId="0F0814C6" w14:textId="77777777" w:rsidTr="0029185E">
        <w:trPr>
          <w:trHeight w:val="360"/>
        </w:trPr>
        <w:tc>
          <w:tcPr>
            <w:tcW w:w="50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CD5AD0F" w14:textId="77777777" w:rsidR="0029185E" w:rsidRPr="009279FD" w:rsidRDefault="0029185E">
            <w:pPr>
              <w:spacing w:after="0" w:line="240" w:lineRule="auto"/>
              <w:jc w:val="center"/>
              <w:rPr>
                <w:rFonts w:ascii="Times New Roman" w:eastAsia="Calibri" w:hAnsi="Times New Roman" w:cs="Times New Roman"/>
                <w:color w:val="000000"/>
              </w:rPr>
            </w:pPr>
            <w:r w:rsidRPr="009279FD">
              <w:rPr>
                <w:rFonts w:ascii="Times New Roman" w:eastAsia="Calibri" w:hAnsi="Times New Roman" w:cs="Times New Roman"/>
                <w:color w:val="000000"/>
              </w:rPr>
              <w:t>Monitor subsurface pressure and fluid sampling</w:t>
            </w:r>
          </w:p>
        </w:tc>
        <w:tc>
          <w:tcPr>
            <w:tcW w:w="3180"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14:paraId="7C5CCBEC" w14:textId="77777777" w:rsidR="0029185E" w:rsidRPr="009279FD" w:rsidRDefault="0029185E">
            <w:pPr>
              <w:spacing w:after="0" w:line="240" w:lineRule="auto"/>
              <w:jc w:val="center"/>
              <w:rPr>
                <w:rFonts w:ascii="Times New Roman" w:eastAsia="Calibri" w:hAnsi="Times New Roman" w:cs="Times New Roman"/>
                <w:color w:val="000000"/>
              </w:rPr>
            </w:pPr>
            <w:r w:rsidRPr="009279FD">
              <w:rPr>
                <w:rFonts w:ascii="Times New Roman" w:eastAsia="Calibri" w:hAnsi="Times New Roman" w:cs="Times New Roman"/>
                <w:color w:val="000000"/>
              </w:rPr>
              <w:t>IN PLACE</w:t>
            </w:r>
          </w:p>
        </w:tc>
      </w:tr>
      <w:tr w:rsidR="0029185E" w:rsidRPr="009279FD" w14:paraId="06CFF9F9" w14:textId="77777777" w:rsidTr="0029185E">
        <w:trPr>
          <w:trHeight w:val="300"/>
        </w:trPr>
        <w:tc>
          <w:tcPr>
            <w:tcW w:w="5010" w:type="dxa"/>
            <w:tcBorders>
              <w:top w:val="nil"/>
              <w:left w:val="single" w:sz="8" w:space="0" w:color="auto"/>
              <w:bottom w:val="nil"/>
              <w:right w:val="nil"/>
            </w:tcBorders>
            <w:shd w:val="clear" w:color="auto" w:fill="FFFF00"/>
            <w:noWrap/>
            <w:tcMar>
              <w:top w:w="0" w:type="dxa"/>
              <w:left w:w="108" w:type="dxa"/>
              <w:bottom w:w="0" w:type="dxa"/>
              <w:right w:w="108" w:type="dxa"/>
            </w:tcMar>
            <w:vAlign w:val="bottom"/>
            <w:hideMark/>
          </w:tcPr>
          <w:p w14:paraId="4411A31B" w14:textId="77777777" w:rsidR="0029185E" w:rsidRPr="009279FD" w:rsidRDefault="0029185E">
            <w:pPr>
              <w:spacing w:after="0" w:line="240" w:lineRule="auto"/>
              <w:rPr>
                <w:rFonts w:ascii="Times New Roman" w:eastAsia="Calibri" w:hAnsi="Times New Roman" w:cs="Times New Roman"/>
                <w:color w:val="000000"/>
              </w:rPr>
            </w:pPr>
            <w:r w:rsidRPr="009279FD">
              <w:rPr>
                <w:rFonts w:ascii="Times New Roman" w:eastAsia="Calibri" w:hAnsi="Times New Roman" w:cs="Times New Roman"/>
                <w:color w:val="000000"/>
              </w:rPr>
              <w:t>YES = will be in MRV Plan</w:t>
            </w:r>
          </w:p>
        </w:tc>
        <w:tc>
          <w:tcPr>
            <w:tcW w:w="3180" w:type="dxa"/>
            <w:tcBorders>
              <w:top w:val="nil"/>
              <w:left w:val="nil"/>
              <w:bottom w:val="nil"/>
              <w:right w:val="single" w:sz="8" w:space="0" w:color="auto"/>
            </w:tcBorders>
            <w:noWrap/>
            <w:tcMar>
              <w:top w:w="0" w:type="dxa"/>
              <w:left w:w="108" w:type="dxa"/>
              <w:bottom w:w="0" w:type="dxa"/>
              <w:right w:w="108" w:type="dxa"/>
            </w:tcMar>
            <w:vAlign w:val="bottom"/>
            <w:hideMark/>
          </w:tcPr>
          <w:p w14:paraId="73AB1EF8" w14:textId="77777777" w:rsidR="0029185E" w:rsidRPr="009279FD" w:rsidRDefault="0029185E">
            <w:pPr>
              <w:rPr>
                <w:rFonts w:ascii="Times New Roman" w:eastAsia="Calibri" w:hAnsi="Times New Roman" w:cs="Times New Roman"/>
                <w:color w:val="000000"/>
              </w:rPr>
            </w:pPr>
          </w:p>
        </w:tc>
      </w:tr>
      <w:tr w:rsidR="0029185E" w:rsidRPr="009279FD" w14:paraId="1B0DFA8E" w14:textId="77777777" w:rsidTr="0029185E">
        <w:trPr>
          <w:trHeight w:val="315"/>
        </w:trPr>
        <w:tc>
          <w:tcPr>
            <w:tcW w:w="5010" w:type="dxa"/>
            <w:tcBorders>
              <w:top w:val="nil"/>
              <w:left w:val="single" w:sz="8" w:space="0" w:color="auto"/>
              <w:bottom w:val="single" w:sz="8" w:space="0" w:color="auto"/>
              <w:right w:val="nil"/>
            </w:tcBorders>
            <w:shd w:val="clear" w:color="auto" w:fill="FFC000"/>
            <w:noWrap/>
            <w:tcMar>
              <w:top w:w="0" w:type="dxa"/>
              <w:left w:w="108" w:type="dxa"/>
              <w:bottom w:w="0" w:type="dxa"/>
              <w:right w:w="108" w:type="dxa"/>
            </w:tcMar>
            <w:vAlign w:val="bottom"/>
            <w:hideMark/>
          </w:tcPr>
          <w:p w14:paraId="73B56BE4" w14:textId="77777777" w:rsidR="0029185E" w:rsidRPr="009279FD" w:rsidRDefault="0029185E">
            <w:pPr>
              <w:spacing w:after="0" w:line="240" w:lineRule="auto"/>
              <w:rPr>
                <w:rFonts w:ascii="Times New Roman" w:eastAsia="Calibri" w:hAnsi="Times New Roman" w:cs="Times New Roman"/>
                <w:color w:val="000000"/>
              </w:rPr>
            </w:pPr>
            <w:r w:rsidRPr="009279FD">
              <w:rPr>
                <w:rFonts w:ascii="Times New Roman" w:eastAsia="Calibri" w:hAnsi="Times New Roman" w:cs="Times New Roman"/>
                <w:color w:val="000000"/>
              </w:rPr>
              <w:t>IN PLACE = already in place</w:t>
            </w:r>
          </w:p>
        </w:tc>
        <w:tc>
          <w:tcPr>
            <w:tcW w:w="3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F91100" w14:textId="77777777" w:rsidR="0029185E" w:rsidRPr="009279FD" w:rsidRDefault="0029185E">
            <w:pPr>
              <w:spacing w:after="0" w:line="240" w:lineRule="auto"/>
              <w:jc w:val="center"/>
              <w:rPr>
                <w:rFonts w:ascii="Times New Roman" w:eastAsia="Calibri" w:hAnsi="Times New Roman" w:cs="Times New Roman"/>
                <w:color w:val="000000"/>
              </w:rPr>
            </w:pPr>
            <w:r w:rsidRPr="009279FD">
              <w:rPr>
                <w:rFonts w:ascii="Times New Roman" w:eastAsia="Calibri" w:hAnsi="Times New Roman" w:cs="Times New Roman"/>
                <w:color w:val="000000"/>
              </w:rPr>
              <w:t> </w:t>
            </w:r>
          </w:p>
        </w:tc>
      </w:tr>
    </w:tbl>
    <w:p w14:paraId="0251CCFE" w14:textId="77777777" w:rsidR="0029185E" w:rsidRPr="009279FD" w:rsidRDefault="0029185E" w:rsidP="0029185E">
      <w:pPr>
        <w:pStyle w:val="ARIPara1"/>
        <w:spacing w:before="0" w:after="0" w:line="240" w:lineRule="auto"/>
        <w:jc w:val="center"/>
        <w:rPr>
          <w:rFonts w:ascii="Times New Roman" w:hAnsi="Times New Roman"/>
          <w:b/>
          <w:sz w:val="22"/>
          <w:szCs w:val="22"/>
        </w:rPr>
      </w:pPr>
    </w:p>
    <w:p w14:paraId="1731D09E" w14:textId="77777777" w:rsidR="0029185E" w:rsidRPr="009279FD" w:rsidRDefault="0029185E" w:rsidP="0029185E">
      <w:pPr>
        <w:rPr>
          <w:rFonts w:ascii="Times New Roman" w:eastAsia="ヒラギノ角ゴ Pro W3" w:hAnsi="Times New Roman" w:cs="Times New Roman"/>
          <w:b/>
          <w:color w:val="000000"/>
          <w:sz w:val="24"/>
          <w:szCs w:val="24"/>
        </w:rPr>
      </w:pPr>
      <w:r w:rsidRPr="009279FD">
        <w:rPr>
          <w:rFonts w:ascii="Times New Roman" w:hAnsi="Times New Roman" w:cs="Times New Roman"/>
          <w:b/>
        </w:rPr>
        <w:br w:type="page"/>
      </w:r>
    </w:p>
    <w:p w14:paraId="6D1CF48C" w14:textId="77777777" w:rsidR="0029185E" w:rsidRPr="009279FD" w:rsidRDefault="0029185E" w:rsidP="0029185E">
      <w:pPr>
        <w:pStyle w:val="ARIPara1"/>
        <w:spacing w:before="0" w:after="120" w:line="240" w:lineRule="auto"/>
        <w:jc w:val="center"/>
        <w:rPr>
          <w:rFonts w:ascii="Times New Roman" w:hAnsi="Times New Roman"/>
          <w:b/>
        </w:rPr>
      </w:pPr>
      <w:r w:rsidRPr="009279FD">
        <w:rPr>
          <w:rFonts w:ascii="Times New Roman" w:hAnsi="Times New Roman"/>
          <w:b/>
        </w:rPr>
        <w:t>Table 2. Baseline Unit Burden and Cost Estimates for Deep Saline Formation Projects: Subpart RR Baseline Scenario</w:t>
      </w:r>
    </w:p>
    <w:p w14:paraId="0ADE83B7" w14:textId="6FFE2E15" w:rsidR="0029185E" w:rsidRPr="009279FD" w:rsidRDefault="0029185E" w:rsidP="0029185E">
      <w:pPr>
        <w:pStyle w:val="ARIPara1"/>
        <w:spacing w:before="0" w:after="120" w:line="240" w:lineRule="auto"/>
        <w:jc w:val="center"/>
        <w:rPr>
          <w:rFonts w:ascii="Times New Roman" w:hAnsi="Times New Roman"/>
          <w:b/>
        </w:rPr>
      </w:pPr>
      <w:r w:rsidRPr="009279FD">
        <w:rPr>
          <w:rFonts w:ascii="Times New Roman" w:hAnsi="Times New Roman"/>
          <w:noProof/>
        </w:rPr>
        <w:drawing>
          <wp:inline distT="0" distB="0" distL="0" distR="0" wp14:anchorId="0B634304" wp14:editId="762B2382">
            <wp:extent cx="4762500" cy="7600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0" cy="7600950"/>
                    </a:xfrm>
                    <a:prstGeom prst="rect">
                      <a:avLst/>
                    </a:prstGeom>
                    <a:noFill/>
                    <a:ln>
                      <a:noFill/>
                    </a:ln>
                  </pic:spPr>
                </pic:pic>
              </a:graphicData>
            </a:graphic>
          </wp:inline>
        </w:drawing>
      </w:r>
    </w:p>
    <w:p w14:paraId="156FC9D7" w14:textId="77777777" w:rsidR="0029185E" w:rsidRPr="009279FD" w:rsidRDefault="0029185E" w:rsidP="0029185E">
      <w:pPr>
        <w:spacing w:after="120" w:line="240" w:lineRule="auto"/>
        <w:jc w:val="center"/>
        <w:rPr>
          <w:rFonts w:ascii="Times New Roman" w:hAnsi="Times New Roman" w:cs="Times New Roman"/>
          <w:b/>
          <w:sz w:val="24"/>
          <w:szCs w:val="24"/>
        </w:rPr>
      </w:pPr>
      <w:r w:rsidRPr="009279FD">
        <w:rPr>
          <w:rFonts w:ascii="Times New Roman" w:hAnsi="Times New Roman" w:cs="Times New Roman"/>
          <w:b/>
        </w:rPr>
        <w:br w:type="page"/>
      </w:r>
      <w:r w:rsidRPr="009279FD">
        <w:rPr>
          <w:rFonts w:ascii="Times New Roman" w:hAnsi="Times New Roman" w:cs="Times New Roman"/>
          <w:b/>
          <w:sz w:val="24"/>
          <w:szCs w:val="24"/>
        </w:rPr>
        <w:t xml:space="preserve">Table 3. Total Burden and Cost Estimates for Subpart RR </w:t>
      </w:r>
    </w:p>
    <w:p w14:paraId="7C9F0615" w14:textId="7FFF5545" w:rsidR="0029185E" w:rsidRPr="009279FD" w:rsidRDefault="0029185E" w:rsidP="0029185E">
      <w:pPr>
        <w:pStyle w:val="ARIPara1"/>
        <w:spacing w:before="0" w:after="120" w:line="240" w:lineRule="auto"/>
        <w:ind w:left="-720"/>
        <w:jc w:val="center"/>
        <w:rPr>
          <w:rFonts w:ascii="Times New Roman" w:hAnsi="Times New Roman"/>
          <w:b/>
        </w:rPr>
      </w:pPr>
      <w:r w:rsidRPr="009279FD">
        <w:rPr>
          <w:rFonts w:ascii="Times New Roman" w:hAnsi="Times New Roman"/>
          <w:noProof/>
        </w:rPr>
        <w:drawing>
          <wp:inline distT="0" distB="0" distL="0" distR="0" wp14:anchorId="7A0E9F81" wp14:editId="2EE0C557">
            <wp:extent cx="5943600" cy="5572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5572125"/>
                    </a:xfrm>
                    <a:prstGeom prst="rect">
                      <a:avLst/>
                    </a:prstGeom>
                    <a:noFill/>
                    <a:ln>
                      <a:noFill/>
                    </a:ln>
                  </pic:spPr>
                </pic:pic>
              </a:graphicData>
            </a:graphic>
          </wp:inline>
        </w:drawing>
      </w:r>
    </w:p>
    <w:p w14:paraId="7BB950AE" w14:textId="77777777" w:rsidR="0029185E" w:rsidRPr="009279FD" w:rsidRDefault="0029185E" w:rsidP="0029185E">
      <w:pPr>
        <w:rPr>
          <w:rFonts w:ascii="Times New Roman" w:eastAsia="ヒラギノ角ゴ Pro W3" w:hAnsi="Times New Roman" w:cs="Times New Roman"/>
          <w:color w:val="000000"/>
        </w:rPr>
      </w:pPr>
    </w:p>
    <w:p w14:paraId="31128EC6" w14:textId="2D5AB1C9" w:rsidR="004B753D" w:rsidRPr="009279FD" w:rsidRDefault="004B753D" w:rsidP="0029185E">
      <w:pPr>
        <w:rPr>
          <w:rFonts w:ascii="Times New Roman" w:hAnsi="Times New Roman" w:cs="Times New Roman"/>
        </w:rPr>
      </w:pPr>
    </w:p>
    <w:sectPr w:rsidR="004B753D" w:rsidRPr="009279FD" w:rsidSect="00864536">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366BC" w14:textId="77777777" w:rsidR="003F0C4B" w:rsidRDefault="003F0C4B" w:rsidP="002F1563">
      <w:pPr>
        <w:spacing w:after="0" w:line="240" w:lineRule="auto"/>
      </w:pPr>
      <w:r>
        <w:separator/>
      </w:r>
    </w:p>
  </w:endnote>
  <w:endnote w:type="continuationSeparator" w:id="0">
    <w:p w14:paraId="5D48651C" w14:textId="77777777" w:rsidR="003F0C4B" w:rsidRDefault="003F0C4B" w:rsidP="002F1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A453C" w14:textId="77777777" w:rsidR="00DD78AF" w:rsidRDefault="00DD78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94BE1" w14:textId="51DE846A" w:rsidR="00993E99" w:rsidRDefault="00BC01F5" w:rsidP="00BC01F5">
    <w:pPr>
      <w:pStyle w:val="Footer"/>
      <w:jc w:val="center"/>
    </w:pPr>
    <w:r>
      <w:t xml:space="preserve">Appendix G </w:t>
    </w:r>
    <w:sdt>
      <w:sdtPr>
        <w:id w:val="-2030016256"/>
        <w:docPartObj>
          <w:docPartGallery w:val="Page Numbers (Bottom of Page)"/>
          <w:docPartUnique/>
        </w:docPartObj>
      </w:sdtPr>
      <w:sdtEndPr>
        <w:rPr>
          <w:noProof/>
        </w:rPr>
      </w:sdtEndPr>
      <w:sdtContent>
        <w:r>
          <w:tab/>
        </w:r>
        <w:r w:rsidR="00993E99">
          <w:fldChar w:fldCharType="begin"/>
        </w:r>
        <w:r w:rsidR="00993E99">
          <w:instrText xml:space="preserve"> PAGE   \* MERGEFORMAT </w:instrText>
        </w:r>
        <w:r w:rsidR="00993E99">
          <w:fldChar w:fldCharType="separate"/>
        </w:r>
        <w:r w:rsidR="007B5E67">
          <w:rPr>
            <w:noProof/>
          </w:rPr>
          <w:t>2</w:t>
        </w:r>
        <w:r w:rsidR="00993E99">
          <w:rPr>
            <w:noProof/>
          </w:rPr>
          <w:fldChar w:fldCharType="end"/>
        </w:r>
        <w:r w:rsidR="00DD78AF">
          <w:rPr>
            <w:noProof/>
          </w:rPr>
          <w:tab/>
          <w:t>June 2019</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A2D46" w14:textId="77777777" w:rsidR="00DD78AF" w:rsidRDefault="00DD78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D9E44" w14:textId="77777777" w:rsidR="003F0C4B" w:rsidRDefault="003F0C4B" w:rsidP="002F1563">
      <w:pPr>
        <w:spacing w:after="0" w:line="240" w:lineRule="auto"/>
      </w:pPr>
      <w:r>
        <w:separator/>
      </w:r>
    </w:p>
  </w:footnote>
  <w:footnote w:type="continuationSeparator" w:id="0">
    <w:p w14:paraId="128C2BB2" w14:textId="77777777" w:rsidR="003F0C4B" w:rsidRDefault="003F0C4B" w:rsidP="002F1563">
      <w:pPr>
        <w:spacing w:after="0" w:line="240" w:lineRule="auto"/>
      </w:pPr>
      <w:r>
        <w:continuationSeparator/>
      </w:r>
    </w:p>
  </w:footnote>
  <w:footnote w:id="1">
    <w:p w14:paraId="0F592990" w14:textId="77777777" w:rsidR="0029185E" w:rsidRDefault="0029185E" w:rsidP="0029185E">
      <w:pPr>
        <w:spacing w:after="0" w:line="240" w:lineRule="auto"/>
        <w:rPr>
          <w:rFonts w:ascii="Arial" w:hAnsi="Arial" w:cs="Arial"/>
          <w:sz w:val="20"/>
          <w:szCs w:val="20"/>
        </w:rPr>
      </w:pPr>
      <w:r>
        <w:rPr>
          <w:rStyle w:val="FootnoteReference"/>
        </w:rPr>
        <w:footnoteRef/>
      </w:r>
      <w:r>
        <w:t xml:space="preserve"> </w:t>
      </w:r>
      <w:r>
        <w:rPr>
          <w:rFonts w:ascii="Arial" w:hAnsi="Arial" w:cs="Arial"/>
          <w:i/>
          <w:sz w:val="20"/>
          <w:szCs w:val="20"/>
        </w:rPr>
        <w:t>Analysis of the Costs Associated with Subpart RR (Geologic Sequestration of Carbon Dioxide) Reporting under the EPA Greenhouse Gas Reporting Program</w:t>
      </w:r>
      <w:r>
        <w:rPr>
          <w:rFonts w:ascii="Arial" w:hAnsi="Arial" w:cs="Arial"/>
          <w:sz w:val="20"/>
          <w:szCs w:val="20"/>
        </w:rPr>
        <w:t>, paper prepared by Advanced Resources International, Inc., May 2018.</w:t>
      </w:r>
    </w:p>
  </w:footnote>
  <w:footnote w:id="2">
    <w:p w14:paraId="6A9C20A6" w14:textId="77777777" w:rsidR="0029185E" w:rsidRDefault="0029185E" w:rsidP="0029185E">
      <w:pPr>
        <w:pStyle w:val="FootnoteText"/>
      </w:pPr>
      <w:r>
        <w:rPr>
          <w:rStyle w:val="FootnoteReference"/>
        </w:rPr>
        <w:footnoteRef/>
      </w:r>
      <w:r>
        <w:t xml:space="preserve"> </w:t>
      </w:r>
      <w:hyperlink r:id="rId1" w:history="1">
        <w:r>
          <w:rPr>
            <w:rStyle w:val="Hyperlink"/>
          </w:rPr>
          <w:t>https://www.epa.gov/ghgreporting/subpart-rr-geologic-sequestration-carbon-dioxide</w:t>
        </w:r>
      </w:hyperlink>
      <w:r>
        <w:t xml:space="preserve"> </w:t>
      </w:r>
    </w:p>
  </w:footnote>
  <w:footnote w:id="3">
    <w:p w14:paraId="029D6802" w14:textId="77777777" w:rsidR="0029185E" w:rsidRDefault="0029185E" w:rsidP="0029185E">
      <w:pPr>
        <w:pStyle w:val="FootnoteText"/>
      </w:pPr>
      <w:r>
        <w:rPr>
          <w:rStyle w:val="FootnoteReference"/>
        </w:rPr>
        <w:footnoteRef/>
      </w:r>
      <w:r>
        <w:t xml:space="preserve"> </w:t>
      </w:r>
      <w:hyperlink r:id="rId2" w:history="1">
        <w:r>
          <w:rPr>
            <w:rStyle w:val="Hyperlink"/>
          </w:rPr>
          <w:t>https://www.congress.gov/bill/115th-congress/house-bill/1892/text</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131CF" w14:textId="77777777" w:rsidR="00DD78AF" w:rsidRDefault="00DD78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787D1" w14:textId="77777777" w:rsidR="00DD78AF" w:rsidRDefault="00DD78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BFAE1" w14:textId="77777777" w:rsidR="00DD78AF" w:rsidRDefault="00DD78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D7F36"/>
    <w:multiLevelType w:val="hybridMultilevel"/>
    <w:tmpl w:val="FF92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4F018C"/>
    <w:multiLevelType w:val="hybridMultilevel"/>
    <w:tmpl w:val="EDB84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EC3935"/>
    <w:multiLevelType w:val="hybridMultilevel"/>
    <w:tmpl w:val="CB9231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563"/>
    <w:rsid w:val="0002437C"/>
    <w:rsid w:val="0004348F"/>
    <w:rsid w:val="000521C1"/>
    <w:rsid w:val="000623B8"/>
    <w:rsid w:val="000B1985"/>
    <w:rsid w:val="000B240E"/>
    <w:rsid w:val="000C15B2"/>
    <w:rsid w:val="001036CA"/>
    <w:rsid w:val="00170A22"/>
    <w:rsid w:val="001A0EAF"/>
    <w:rsid w:val="001B6520"/>
    <w:rsid w:val="001D420F"/>
    <w:rsid w:val="001F56CB"/>
    <w:rsid w:val="00220326"/>
    <w:rsid w:val="00232CDF"/>
    <w:rsid w:val="0023628A"/>
    <w:rsid w:val="00270FDF"/>
    <w:rsid w:val="00275426"/>
    <w:rsid w:val="0028525C"/>
    <w:rsid w:val="0029185E"/>
    <w:rsid w:val="002952AB"/>
    <w:rsid w:val="002F1563"/>
    <w:rsid w:val="00304204"/>
    <w:rsid w:val="00350D4E"/>
    <w:rsid w:val="00392429"/>
    <w:rsid w:val="003A7900"/>
    <w:rsid w:val="003C5DB8"/>
    <w:rsid w:val="003F0C4B"/>
    <w:rsid w:val="004475ED"/>
    <w:rsid w:val="00453F93"/>
    <w:rsid w:val="004871A7"/>
    <w:rsid w:val="004B34E9"/>
    <w:rsid w:val="004B753D"/>
    <w:rsid w:val="004F40AF"/>
    <w:rsid w:val="005107C0"/>
    <w:rsid w:val="00515D1F"/>
    <w:rsid w:val="0053193B"/>
    <w:rsid w:val="005364DB"/>
    <w:rsid w:val="00540A09"/>
    <w:rsid w:val="00545A61"/>
    <w:rsid w:val="0058755A"/>
    <w:rsid w:val="005B31EA"/>
    <w:rsid w:val="005C0F2C"/>
    <w:rsid w:val="005C124A"/>
    <w:rsid w:val="005D4000"/>
    <w:rsid w:val="006608A3"/>
    <w:rsid w:val="00675E03"/>
    <w:rsid w:val="00696809"/>
    <w:rsid w:val="006A5AE9"/>
    <w:rsid w:val="006C2B0F"/>
    <w:rsid w:val="006F1B32"/>
    <w:rsid w:val="006F3938"/>
    <w:rsid w:val="00700181"/>
    <w:rsid w:val="00704ECA"/>
    <w:rsid w:val="0071495B"/>
    <w:rsid w:val="00730242"/>
    <w:rsid w:val="007539FC"/>
    <w:rsid w:val="007A4BE9"/>
    <w:rsid w:val="007B5E67"/>
    <w:rsid w:val="00834A4B"/>
    <w:rsid w:val="00836E17"/>
    <w:rsid w:val="00850E21"/>
    <w:rsid w:val="00864536"/>
    <w:rsid w:val="00873A51"/>
    <w:rsid w:val="008B230E"/>
    <w:rsid w:val="008D738E"/>
    <w:rsid w:val="00906048"/>
    <w:rsid w:val="009242BD"/>
    <w:rsid w:val="009279FD"/>
    <w:rsid w:val="00957318"/>
    <w:rsid w:val="009805BF"/>
    <w:rsid w:val="0099325D"/>
    <w:rsid w:val="00993E99"/>
    <w:rsid w:val="009A7546"/>
    <w:rsid w:val="009D3774"/>
    <w:rsid w:val="009E2EF9"/>
    <w:rsid w:val="00A677C7"/>
    <w:rsid w:val="00A74049"/>
    <w:rsid w:val="00A7420B"/>
    <w:rsid w:val="00A77E4A"/>
    <w:rsid w:val="00A83556"/>
    <w:rsid w:val="00AA4F76"/>
    <w:rsid w:val="00B40938"/>
    <w:rsid w:val="00B74F3E"/>
    <w:rsid w:val="00B864B1"/>
    <w:rsid w:val="00B911FC"/>
    <w:rsid w:val="00BA2DAF"/>
    <w:rsid w:val="00BC01F5"/>
    <w:rsid w:val="00BC5AE9"/>
    <w:rsid w:val="00BF0AFE"/>
    <w:rsid w:val="00C11523"/>
    <w:rsid w:val="00C11E21"/>
    <w:rsid w:val="00C33C36"/>
    <w:rsid w:val="00C40DF9"/>
    <w:rsid w:val="00C81275"/>
    <w:rsid w:val="00C9069A"/>
    <w:rsid w:val="00CA1C18"/>
    <w:rsid w:val="00CB2476"/>
    <w:rsid w:val="00CD4C3E"/>
    <w:rsid w:val="00CD7978"/>
    <w:rsid w:val="00CE6487"/>
    <w:rsid w:val="00CF27BC"/>
    <w:rsid w:val="00D27367"/>
    <w:rsid w:val="00D37D75"/>
    <w:rsid w:val="00D67D7E"/>
    <w:rsid w:val="00D809A0"/>
    <w:rsid w:val="00DD78AF"/>
    <w:rsid w:val="00E54538"/>
    <w:rsid w:val="00F05B05"/>
    <w:rsid w:val="00F2660C"/>
    <w:rsid w:val="00F7696D"/>
    <w:rsid w:val="00FA0802"/>
    <w:rsid w:val="00FA23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BFC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85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1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563"/>
  </w:style>
  <w:style w:type="paragraph" w:styleId="Footer">
    <w:name w:val="footer"/>
    <w:basedOn w:val="Normal"/>
    <w:link w:val="FooterChar"/>
    <w:uiPriority w:val="99"/>
    <w:unhideWhenUsed/>
    <w:rsid w:val="002F1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563"/>
  </w:style>
  <w:style w:type="paragraph" w:styleId="NormalWeb">
    <w:name w:val="Normal (Web)"/>
    <w:basedOn w:val="Normal"/>
    <w:uiPriority w:val="99"/>
    <w:semiHidden/>
    <w:unhideWhenUsed/>
    <w:rsid w:val="002F156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2437C"/>
    <w:pPr>
      <w:ind w:left="720"/>
      <w:contextualSpacing/>
    </w:pPr>
  </w:style>
  <w:style w:type="paragraph" w:styleId="FootnoteText">
    <w:name w:val="footnote text"/>
    <w:basedOn w:val="Normal"/>
    <w:link w:val="FootnoteTextChar"/>
    <w:rsid w:val="00B911FC"/>
    <w:pPr>
      <w:spacing w:after="0" w:line="240" w:lineRule="auto"/>
      <w:outlineLvl w:val="0"/>
    </w:pPr>
    <w:rPr>
      <w:rFonts w:ascii="Arial" w:eastAsia="ヒラギノ角ゴ Pro W3" w:hAnsi="Arial" w:cs="Arial"/>
      <w:bCs/>
      <w:sz w:val="20"/>
      <w:szCs w:val="20"/>
    </w:rPr>
  </w:style>
  <w:style w:type="character" w:customStyle="1" w:styleId="FootnoteTextChar">
    <w:name w:val="Footnote Text Char"/>
    <w:basedOn w:val="DefaultParagraphFont"/>
    <w:link w:val="FootnoteText"/>
    <w:rsid w:val="00B911FC"/>
    <w:rPr>
      <w:rFonts w:ascii="Arial" w:eastAsia="ヒラギノ角ゴ Pro W3" w:hAnsi="Arial" w:cs="Arial"/>
      <w:bCs/>
      <w:sz w:val="20"/>
      <w:szCs w:val="20"/>
    </w:rPr>
  </w:style>
  <w:style w:type="character" w:styleId="FootnoteReference">
    <w:name w:val="footnote reference"/>
    <w:rsid w:val="00B911FC"/>
    <w:rPr>
      <w:vertAlign w:val="superscript"/>
    </w:rPr>
  </w:style>
  <w:style w:type="character" w:styleId="Hyperlink">
    <w:name w:val="Hyperlink"/>
    <w:uiPriority w:val="99"/>
    <w:rsid w:val="00B911FC"/>
    <w:rPr>
      <w:color w:val="0563C1"/>
      <w:u w:val="single"/>
    </w:rPr>
  </w:style>
  <w:style w:type="paragraph" w:customStyle="1" w:styleId="ARIPara1">
    <w:name w:val="ARI Para 1"/>
    <w:basedOn w:val="Normal"/>
    <w:qFormat/>
    <w:rsid w:val="00B911FC"/>
    <w:pPr>
      <w:spacing w:before="240" w:after="240" w:line="276" w:lineRule="auto"/>
    </w:pPr>
    <w:rPr>
      <w:rFonts w:ascii="Arial" w:eastAsia="ヒラギノ角ゴ Pro W3" w:hAnsi="Arial" w:cs="Times New Roman"/>
      <w:color w:val="000000"/>
      <w:sz w:val="24"/>
      <w:szCs w:val="24"/>
    </w:rPr>
  </w:style>
  <w:style w:type="paragraph" w:styleId="BalloonText">
    <w:name w:val="Balloon Text"/>
    <w:basedOn w:val="Normal"/>
    <w:link w:val="BalloonTextChar"/>
    <w:uiPriority w:val="99"/>
    <w:semiHidden/>
    <w:unhideWhenUsed/>
    <w:rsid w:val="00836E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E17"/>
    <w:rPr>
      <w:rFonts w:ascii="Segoe UI" w:hAnsi="Segoe UI" w:cs="Segoe UI"/>
      <w:sz w:val="18"/>
      <w:szCs w:val="18"/>
    </w:rPr>
  </w:style>
  <w:style w:type="character" w:styleId="CommentReference">
    <w:name w:val="annotation reference"/>
    <w:basedOn w:val="DefaultParagraphFont"/>
    <w:uiPriority w:val="99"/>
    <w:semiHidden/>
    <w:unhideWhenUsed/>
    <w:rsid w:val="001A0EAF"/>
    <w:rPr>
      <w:sz w:val="16"/>
      <w:szCs w:val="16"/>
    </w:rPr>
  </w:style>
  <w:style w:type="paragraph" w:styleId="CommentText">
    <w:name w:val="annotation text"/>
    <w:basedOn w:val="Normal"/>
    <w:link w:val="CommentTextChar"/>
    <w:uiPriority w:val="99"/>
    <w:semiHidden/>
    <w:unhideWhenUsed/>
    <w:rsid w:val="001A0EAF"/>
    <w:pPr>
      <w:spacing w:line="240" w:lineRule="auto"/>
    </w:pPr>
    <w:rPr>
      <w:sz w:val="20"/>
      <w:szCs w:val="20"/>
    </w:rPr>
  </w:style>
  <w:style w:type="character" w:customStyle="1" w:styleId="CommentTextChar">
    <w:name w:val="Comment Text Char"/>
    <w:basedOn w:val="DefaultParagraphFont"/>
    <w:link w:val="CommentText"/>
    <w:uiPriority w:val="99"/>
    <w:semiHidden/>
    <w:rsid w:val="001A0EAF"/>
    <w:rPr>
      <w:sz w:val="20"/>
      <w:szCs w:val="20"/>
    </w:rPr>
  </w:style>
  <w:style w:type="paragraph" w:styleId="CommentSubject">
    <w:name w:val="annotation subject"/>
    <w:basedOn w:val="CommentText"/>
    <w:next w:val="CommentText"/>
    <w:link w:val="CommentSubjectChar"/>
    <w:uiPriority w:val="99"/>
    <w:semiHidden/>
    <w:unhideWhenUsed/>
    <w:rsid w:val="001A0EAF"/>
    <w:rPr>
      <w:b/>
      <w:bCs/>
    </w:rPr>
  </w:style>
  <w:style w:type="character" w:customStyle="1" w:styleId="CommentSubjectChar">
    <w:name w:val="Comment Subject Char"/>
    <w:basedOn w:val="CommentTextChar"/>
    <w:link w:val="CommentSubject"/>
    <w:uiPriority w:val="99"/>
    <w:semiHidden/>
    <w:rsid w:val="001A0EA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85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1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563"/>
  </w:style>
  <w:style w:type="paragraph" w:styleId="Footer">
    <w:name w:val="footer"/>
    <w:basedOn w:val="Normal"/>
    <w:link w:val="FooterChar"/>
    <w:uiPriority w:val="99"/>
    <w:unhideWhenUsed/>
    <w:rsid w:val="002F1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563"/>
  </w:style>
  <w:style w:type="paragraph" w:styleId="NormalWeb">
    <w:name w:val="Normal (Web)"/>
    <w:basedOn w:val="Normal"/>
    <w:uiPriority w:val="99"/>
    <w:semiHidden/>
    <w:unhideWhenUsed/>
    <w:rsid w:val="002F156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2437C"/>
    <w:pPr>
      <w:ind w:left="720"/>
      <w:contextualSpacing/>
    </w:pPr>
  </w:style>
  <w:style w:type="paragraph" w:styleId="FootnoteText">
    <w:name w:val="footnote text"/>
    <w:basedOn w:val="Normal"/>
    <w:link w:val="FootnoteTextChar"/>
    <w:rsid w:val="00B911FC"/>
    <w:pPr>
      <w:spacing w:after="0" w:line="240" w:lineRule="auto"/>
      <w:outlineLvl w:val="0"/>
    </w:pPr>
    <w:rPr>
      <w:rFonts w:ascii="Arial" w:eastAsia="ヒラギノ角ゴ Pro W3" w:hAnsi="Arial" w:cs="Arial"/>
      <w:bCs/>
      <w:sz w:val="20"/>
      <w:szCs w:val="20"/>
    </w:rPr>
  </w:style>
  <w:style w:type="character" w:customStyle="1" w:styleId="FootnoteTextChar">
    <w:name w:val="Footnote Text Char"/>
    <w:basedOn w:val="DefaultParagraphFont"/>
    <w:link w:val="FootnoteText"/>
    <w:rsid w:val="00B911FC"/>
    <w:rPr>
      <w:rFonts w:ascii="Arial" w:eastAsia="ヒラギノ角ゴ Pro W3" w:hAnsi="Arial" w:cs="Arial"/>
      <w:bCs/>
      <w:sz w:val="20"/>
      <w:szCs w:val="20"/>
    </w:rPr>
  </w:style>
  <w:style w:type="character" w:styleId="FootnoteReference">
    <w:name w:val="footnote reference"/>
    <w:rsid w:val="00B911FC"/>
    <w:rPr>
      <w:vertAlign w:val="superscript"/>
    </w:rPr>
  </w:style>
  <w:style w:type="character" w:styleId="Hyperlink">
    <w:name w:val="Hyperlink"/>
    <w:uiPriority w:val="99"/>
    <w:rsid w:val="00B911FC"/>
    <w:rPr>
      <w:color w:val="0563C1"/>
      <w:u w:val="single"/>
    </w:rPr>
  </w:style>
  <w:style w:type="paragraph" w:customStyle="1" w:styleId="ARIPara1">
    <w:name w:val="ARI Para 1"/>
    <w:basedOn w:val="Normal"/>
    <w:qFormat/>
    <w:rsid w:val="00B911FC"/>
    <w:pPr>
      <w:spacing w:before="240" w:after="240" w:line="276" w:lineRule="auto"/>
    </w:pPr>
    <w:rPr>
      <w:rFonts w:ascii="Arial" w:eastAsia="ヒラギノ角ゴ Pro W3" w:hAnsi="Arial" w:cs="Times New Roman"/>
      <w:color w:val="000000"/>
      <w:sz w:val="24"/>
      <w:szCs w:val="24"/>
    </w:rPr>
  </w:style>
  <w:style w:type="paragraph" w:styleId="BalloonText">
    <w:name w:val="Balloon Text"/>
    <w:basedOn w:val="Normal"/>
    <w:link w:val="BalloonTextChar"/>
    <w:uiPriority w:val="99"/>
    <w:semiHidden/>
    <w:unhideWhenUsed/>
    <w:rsid w:val="00836E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E17"/>
    <w:rPr>
      <w:rFonts w:ascii="Segoe UI" w:hAnsi="Segoe UI" w:cs="Segoe UI"/>
      <w:sz w:val="18"/>
      <w:szCs w:val="18"/>
    </w:rPr>
  </w:style>
  <w:style w:type="character" w:styleId="CommentReference">
    <w:name w:val="annotation reference"/>
    <w:basedOn w:val="DefaultParagraphFont"/>
    <w:uiPriority w:val="99"/>
    <w:semiHidden/>
    <w:unhideWhenUsed/>
    <w:rsid w:val="001A0EAF"/>
    <w:rPr>
      <w:sz w:val="16"/>
      <w:szCs w:val="16"/>
    </w:rPr>
  </w:style>
  <w:style w:type="paragraph" w:styleId="CommentText">
    <w:name w:val="annotation text"/>
    <w:basedOn w:val="Normal"/>
    <w:link w:val="CommentTextChar"/>
    <w:uiPriority w:val="99"/>
    <w:semiHidden/>
    <w:unhideWhenUsed/>
    <w:rsid w:val="001A0EAF"/>
    <w:pPr>
      <w:spacing w:line="240" w:lineRule="auto"/>
    </w:pPr>
    <w:rPr>
      <w:sz w:val="20"/>
      <w:szCs w:val="20"/>
    </w:rPr>
  </w:style>
  <w:style w:type="character" w:customStyle="1" w:styleId="CommentTextChar">
    <w:name w:val="Comment Text Char"/>
    <w:basedOn w:val="DefaultParagraphFont"/>
    <w:link w:val="CommentText"/>
    <w:uiPriority w:val="99"/>
    <w:semiHidden/>
    <w:rsid w:val="001A0EAF"/>
    <w:rPr>
      <w:sz w:val="20"/>
      <w:szCs w:val="20"/>
    </w:rPr>
  </w:style>
  <w:style w:type="paragraph" w:styleId="CommentSubject">
    <w:name w:val="annotation subject"/>
    <w:basedOn w:val="CommentText"/>
    <w:next w:val="CommentText"/>
    <w:link w:val="CommentSubjectChar"/>
    <w:uiPriority w:val="99"/>
    <w:semiHidden/>
    <w:unhideWhenUsed/>
    <w:rsid w:val="001A0EAF"/>
    <w:rPr>
      <w:b/>
      <w:bCs/>
    </w:rPr>
  </w:style>
  <w:style w:type="character" w:customStyle="1" w:styleId="CommentSubjectChar">
    <w:name w:val="Comment Subject Char"/>
    <w:basedOn w:val="CommentTextChar"/>
    <w:link w:val="CommentSubject"/>
    <w:uiPriority w:val="99"/>
    <w:semiHidden/>
    <w:rsid w:val="001A0E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03177">
      <w:bodyDiv w:val="1"/>
      <w:marLeft w:val="0"/>
      <w:marRight w:val="0"/>
      <w:marTop w:val="0"/>
      <w:marBottom w:val="0"/>
      <w:divBdr>
        <w:top w:val="none" w:sz="0" w:space="0" w:color="auto"/>
        <w:left w:val="none" w:sz="0" w:space="0" w:color="auto"/>
        <w:bottom w:val="none" w:sz="0" w:space="0" w:color="auto"/>
        <w:right w:val="none" w:sz="0" w:space="0" w:color="auto"/>
      </w:divBdr>
    </w:div>
    <w:div w:id="413549414">
      <w:bodyDiv w:val="1"/>
      <w:marLeft w:val="0"/>
      <w:marRight w:val="0"/>
      <w:marTop w:val="0"/>
      <w:marBottom w:val="0"/>
      <w:divBdr>
        <w:top w:val="none" w:sz="0" w:space="0" w:color="auto"/>
        <w:left w:val="none" w:sz="0" w:space="0" w:color="auto"/>
        <w:bottom w:val="none" w:sz="0" w:space="0" w:color="auto"/>
        <w:right w:val="none" w:sz="0" w:space="0" w:color="auto"/>
      </w:divBdr>
    </w:div>
    <w:div w:id="819661777">
      <w:bodyDiv w:val="1"/>
      <w:marLeft w:val="0"/>
      <w:marRight w:val="0"/>
      <w:marTop w:val="0"/>
      <w:marBottom w:val="0"/>
      <w:divBdr>
        <w:top w:val="none" w:sz="0" w:space="0" w:color="auto"/>
        <w:left w:val="none" w:sz="0" w:space="0" w:color="auto"/>
        <w:bottom w:val="none" w:sz="0" w:space="0" w:color="auto"/>
        <w:right w:val="none" w:sz="0" w:space="0" w:color="auto"/>
      </w:divBdr>
    </w:div>
    <w:div w:id="903756887">
      <w:bodyDiv w:val="1"/>
      <w:marLeft w:val="0"/>
      <w:marRight w:val="0"/>
      <w:marTop w:val="0"/>
      <w:marBottom w:val="0"/>
      <w:divBdr>
        <w:top w:val="none" w:sz="0" w:space="0" w:color="auto"/>
        <w:left w:val="none" w:sz="0" w:space="0" w:color="auto"/>
        <w:bottom w:val="none" w:sz="0" w:space="0" w:color="auto"/>
        <w:right w:val="none" w:sz="0" w:space="0" w:color="auto"/>
      </w:divBdr>
    </w:div>
    <w:div w:id="125300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ongress.gov/bill/115th-congress/house-bill/1892/text" TargetMode="External"/><Relationship Id="rId1" Type="http://schemas.openxmlformats.org/officeDocument/2006/relationships/hyperlink" Target="https://www.epa.gov/ghgreporting/subpart-rr-geologic-sequestration-carbon-diox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72347C3E16B44487FB416AC8C18764" ma:contentTypeVersion="28" ma:contentTypeDescription="Create a new document." ma:contentTypeScope="" ma:versionID="c1978f7b572f27a915155af5319e1985">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7d8dd676-26ca-4e08-b90f-b4e0026a58ac" xmlns:ns6="b5536db3-f794-4651-9300-744cba5f619d" targetNamespace="http://schemas.microsoft.com/office/2006/metadata/properties" ma:root="true" ma:fieldsID="bacc102681b41cb41919114111e7db5d" ns1:_="" ns2:_="" ns3:_="" ns4:_="" ns5:_="" ns6:_="">
    <xsd:import namespace="http://schemas.microsoft.com/sharepoint/v3"/>
    <xsd:import namespace="4ffa91fb-a0ff-4ac5-b2db-65c790d184a4"/>
    <xsd:import namespace="http://schemas.microsoft.com/sharepoint.v3"/>
    <xsd:import namespace="http://schemas.microsoft.com/sharepoint/v3/fields"/>
    <xsd:import namespace="7d8dd676-26ca-4e08-b90f-b4e0026a58ac"/>
    <xsd:import namespace="b5536db3-f794-4651-9300-744cba5f619d"/>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element ref="ns6:MediaServiceMetadata" minOccurs="0"/>
                <xsd:element ref="ns6:MediaServiceFastMetadata" minOccurs="0"/>
                <xsd:element ref="ns6:MediaServiceEventHashCode" minOccurs="0"/>
                <xsd:element ref="ns6:MediaServiceGenerationTime" minOccurs="0"/>
                <xsd:element ref="ns6:MediaServiceAutoTags" minOccurs="0"/>
                <xsd:element ref="ns6: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aec54597-794d-48fd-aaaa-4eaa50f4ff1d}" ma:internalName="TaxCatchAllLabel" ma:readOnly="true" ma:showField="CatchAllDataLabel" ma:web="7d8dd676-26ca-4e08-b90f-b4e0026a58ac">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aec54597-794d-48fd-aaaa-4eaa50f4ff1d}" ma:internalName="TaxCatchAll" ma:showField="CatchAllData" ma:web="7d8dd676-26ca-4e08-b90f-b4e0026a58ac">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8dd676-26ca-4e08-b90f-b4e0026a58ac"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536db3-f794-4651-9300-744cba5f619d"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2018-08-30T18:33:00+00:00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9DDBA-5B9B-4A1F-9CCE-81102AC28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7d8dd676-26ca-4e08-b90f-b4e0026a58ac"/>
    <ds:schemaRef ds:uri="b5536db3-f794-4651-9300-744cba5f6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6BAFD6-52EE-4659-8F7D-ADA37A1A9B9C}">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3.xml><?xml version="1.0" encoding="utf-8"?>
<ds:datastoreItem xmlns:ds="http://schemas.openxmlformats.org/officeDocument/2006/customXml" ds:itemID="{FC603298-0086-40B4-A0E8-62F7E5095982}">
  <ds:schemaRefs>
    <ds:schemaRef ds:uri="http://schemas.microsoft.com/sharepoint/v3/contenttype/forms"/>
  </ds:schemaRefs>
</ds:datastoreItem>
</file>

<file path=customXml/itemProps4.xml><?xml version="1.0" encoding="utf-8"?>
<ds:datastoreItem xmlns:ds="http://schemas.openxmlformats.org/officeDocument/2006/customXml" ds:itemID="{44C82CCA-93C7-4DE6-A56F-866B4B153359}">
  <ds:schemaRefs>
    <ds:schemaRef ds:uri="Microsoft.SharePoint.Taxonomy.ContentTypeSync"/>
  </ds:schemaRefs>
</ds:datastoreItem>
</file>

<file path=customXml/itemProps5.xml><?xml version="1.0" encoding="utf-8"?>
<ds:datastoreItem xmlns:ds="http://schemas.openxmlformats.org/officeDocument/2006/customXml" ds:itemID="{977C5C38-908D-4A5B-A333-5D7842585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Godec</dc:creator>
  <cp:keywords/>
  <dc:description/>
  <cp:lastModifiedBy>SYSTEM</cp:lastModifiedBy>
  <cp:revision>2</cp:revision>
  <cp:lastPrinted>2016-04-12T13:55:00Z</cp:lastPrinted>
  <dcterms:created xsi:type="dcterms:W3CDTF">2019-09-20T10:31:00Z</dcterms:created>
  <dcterms:modified xsi:type="dcterms:W3CDTF">2019-09-20T10:31:00Z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0x0101000A72347C3E16B44487FB416AC8C18764</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y fmtid="{D5CDD505-2E9C-101B-9397-08002B2CF9AE}" pid="6" name="AuthorIds_UIVersion_1536">
    <vt:lpwstr>10089</vt:lpwstr>
  </property>
</Properties>
</file>