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6D38" w:rsidR="007F3318" w:rsidP="00196D38" w:rsidRDefault="00A37EED" w14:paraId="7090DBC0" w14:textId="77777777">
      <w:pPr>
        <w:jc w:val="center"/>
        <w:rPr>
          <w:rFonts w:ascii="Times New Roman" w:hAnsi="Times New Roman" w:cs="Times New Roman"/>
          <w:b/>
          <w:sz w:val="24"/>
          <w:szCs w:val="24"/>
        </w:rPr>
      </w:pPr>
      <w:bookmarkStart w:name="_GoBack" w:id="0"/>
      <w:bookmarkEnd w:id="0"/>
      <w:r w:rsidRPr="0084344E">
        <w:rPr>
          <w:rFonts w:ascii="Times New Roman" w:hAnsi="Times New Roman" w:cs="Times New Roman"/>
          <w:b/>
          <w:sz w:val="24"/>
          <w:szCs w:val="24"/>
        </w:rPr>
        <w:t>Supporting Statement for Paperwork Reduction Act Submission</w:t>
      </w:r>
    </w:p>
    <w:p w:rsidRPr="00196D38" w:rsidR="0084344E" w:rsidP="00196D38" w:rsidRDefault="00911A79" w14:paraId="625318F6" w14:textId="4C85CC5D">
      <w:pPr>
        <w:jc w:val="center"/>
        <w:rPr>
          <w:rFonts w:ascii="Times New Roman" w:hAnsi="Times New Roman" w:cs="Times New Roman"/>
          <w:b/>
          <w:sz w:val="24"/>
          <w:szCs w:val="24"/>
        </w:rPr>
      </w:pPr>
      <w:r w:rsidRPr="00196D38">
        <w:rPr>
          <w:rFonts w:ascii="Times New Roman" w:hAnsi="Times New Roman" w:cs="Times New Roman"/>
          <w:b/>
          <w:sz w:val="24"/>
          <w:szCs w:val="24"/>
        </w:rPr>
        <w:t xml:space="preserve">License for the Use of Personally Identifiable Information Protected Under the </w:t>
      </w:r>
    </w:p>
    <w:p w:rsidRPr="00196D38" w:rsidR="00A37EED" w:rsidP="00196D38" w:rsidRDefault="00911A79" w14:paraId="68E112CB" w14:textId="43FDD9DC">
      <w:pPr>
        <w:jc w:val="center"/>
        <w:rPr>
          <w:rFonts w:ascii="Times New Roman" w:hAnsi="Times New Roman" w:cs="Times New Roman"/>
          <w:b/>
          <w:sz w:val="24"/>
          <w:szCs w:val="24"/>
        </w:rPr>
      </w:pPr>
      <w:r w:rsidRPr="00196D38">
        <w:rPr>
          <w:rFonts w:ascii="Times New Roman" w:hAnsi="Times New Roman" w:cs="Times New Roman"/>
          <w:b/>
          <w:sz w:val="24"/>
          <w:szCs w:val="24"/>
        </w:rPr>
        <w:t>Privacy Act of 1974</w:t>
      </w:r>
    </w:p>
    <w:p w:rsidRPr="00196D38" w:rsidR="00A37EED" w:rsidP="00196D38" w:rsidRDefault="0084344E" w14:paraId="1D9AE8EA" w14:textId="59B0589A">
      <w:pPr>
        <w:jc w:val="center"/>
        <w:rPr>
          <w:rFonts w:ascii="Times New Roman" w:hAnsi="Times New Roman" w:cs="Times New Roman"/>
          <w:b/>
          <w:sz w:val="24"/>
          <w:szCs w:val="24"/>
        </w:rPr>
      </w:pPr>
      <w:r w:rsidRPr="00196D38">
        <w:rPr>
          <w:rFonts w:ascii="Times New Roman" w:hAnsi="Times New Roman" w:cs="Times New Roman"/>
          <w:b/>
          <w:sz w:val="24"/>
          <w:szCs w:val="24"/>
        </w:rPr>
        <w:t>OMB Control # 2528-0297</w:t>
      </w:r>
    </w:p>
    <w:p w:rsidR="00A730AC" w:rsidRDefault="00A730AC" w14:paraId="57C45E10" w14:textId="77777777">
      <w:pPr>
        <w:rPr>
          <w:rFonts w:ascii="Times New Roman" w:hAnsi="Times New Roman" w:cs="Times New Roman"/>
          <w:sz w:val="24"/>
        </w:rPr>
      </w:pPr>
    </w:p>
    <w:p w:rsidR="00A37EED" w:rsidRDefault="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009200AA" w:rsidP="009200AA" w:rsidRDefault="009200AA" w14:paraId="1710B9E8" w14:textId="0B6CC826">
      <w:pPr>
        <w:keepLines/>
        <w:tabs>
          <w:tab w:val="left" w:pos="360"/>
        </w:tabs>
        <w:spacing w:after="80"/>
        <w:rPr>
          <w:rFonts w:ascii="Times New Roman" w:hAnsi="Times New Roman" w:cs="Times New Roman"/>
          <w:b/>
          <w:sz w:val="24"/>
          <w:szCs w:val="24"/>
        </w:rPr>
      </w:pPr>
    </w:p>
    <w:p w:rsidR="009200AA" w:rsidP="009200AA" w:rsidRDefault="009200AA" w14:paraId="674717EB" w14:textId="77777777">
      <w:pPr>
        <w:keepLines/>
        <w:tabs>
          <w:tab w:val="left" w:pos="360"/>
        </w:tabs>
        <w:spacing w:after="80"/>
        <w:rPr>
          <w:rFonts w:ascii="Times New Roman" w:hAnsi="Times New Roman" w:cs="Times New Roman"/>
          <w:b/>
          <w:sz w:val="24"/>
          <w:szCs w:val="24"/>
        </w:rPr>
      </w:pPr>
    </w:p>
    <w:p w:rsidR="009200AA" w:rsidP="009200AA" w:rsidRDefault="009200AA" w14:paraId="03D0D441" w14:textId="1335A0F6">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00AA" w:rsidP="009200AA" w:rsidRDefault="009200AA" w14:paraId="65F07160" w14:textId="543A61EA">
      <w:pPr>
        <w:keepLines/>
        <w:tabs>
          <w:tab w:val="left" w:pos="360"/>
        </w:tabs>
        <w:spacing w:after="80"/>
        <w:rPr>
          <w:rFonts w:ascii="Times New Roman" w:hAnsi="Times New Roman" w:cs="Times New Roman"/>
          <w:b/>
          <w:sz w:val="24"/>
          <w:szCs w:val="24"/>
        </w:rPr>
      </w:pPr>
    </w:p>
    <w:p w:rsidRPr="005529B7" w:rsidR="005529B7" w:rsidP="00FE1050" w:rsidRDefault="005529B7" w14:paraId="2703DC76" w14:textId="77777777">
      <w:pPr>
        <w:ind w:left="360"/>
        <w:rPr>
          <w:rFonts w:ascii="Times New Roman" w:hAnsi="Times New Roman" w:eastAsia="Times New Roman" w:cs="Times New Roman"/>
          <w:sz w:val="24"/>
          <w:szCs w:val="24"/>
        </w:rPr>
      </w:pPr>
      <w:r w:rsidRPr="005529B7">
        <w:rPr>
          <w:rFonts w:ascii="Times New Roman" w:hAnsi="Times New Roman" w:eastAsia="Times New Roman" w:cs="Times New Roman"/>
          <w:sz w:val="24"/>
          <w:szCs w:val="24"/>
        </w:rPr>
        <w:t xml:space="preserve">The United States Department of Housing and Urban Development (HUD) collects and maintains personally identifiable information on tenants in public and assisted housing, the confidentiality of which is protected by the Privacy Act of 1974 (5 U.S.C. 552a).  On occasion, HUD shares this information with researchers subject to stringent requirements to protect these households from unauthorized disclosure of information.  The purpose for sharing is to further policy-relevant research on the effectiveness of HUD programs.  </w:t>
      </w:r>
    </w:p>
    <w:p w:rsidRPr="005529B7" w:rsidR="005529B7" w:rsidP="005529B7" w:rsidRDefault="005529B7" w14:paraId="5A2D5768" w14:textId="77777777">
      <w:pPr>
        <w:ind w:left="360"/>
        <w:rPr>
          <w:rFonts w:ascii="Times New Roman" w:hAnsi="Times New Roman" w:eastAsia="Times New Roman" w:cs="Times New Roman"/>
          <w:sz w:val="24"/>
          <w:szCs w:val="24"/>
        </w:rPr>
      </w:pPr>
    </w:p>
    <w:p w:rsidRPr="005529B7" w:rsidR="005529B7" w:rsidP="005529B7" w:rsidRDefault="005529B7" w14:paraId="187F27FF" w14:textId="77777777">
      <w:pPr>
        <w:ind w:left="360"/>
        <w:rPr>
          <w:rFonts w:ascii="Times New Roman" w:hAnsi="Times New Roman" w:eastAsia="Times New Roman" w:cs="Times New Roman"/>
          <w:sz w:val="24"/>
          <w:szCs w:val="24"/>
        </w:rPr>
      </w:pPr>
      <w:r w:rsidRPr="005529B7">
        <w:rPr>
          <w:rFonts w:ascii="Times New Roman" w:hAnsi="Times New Roman" w:eastAsia="Times New Roman" w:cs="Times New Roman"/>
          <w:sz w:val="24"/>
          <w:szCs w:val="24"/>
        </w:rPr>
        <w:t xml:space="preserve">HUD may, under the terms of its Routine Use Inventory (77 FR 17361), share these data with researchers whom HUD has awarded contracts, grants, or service agreements.  HUD has shared data with contractors and grantees and will continue to share data under service agreements because it has a legal form for effectuating such an agreement.  HUD does not limit access to the information to parties that have received specific funding to carry out a study through a grant or contract.  Instead, HUD also shares the data with legitimate research organizations that have conceived policy-relevant analyses and that are able and willing to protect the data from unauthorized disclosure.  The legal form for the service agreement is herein called a “license.”  </w:t>
      </w:r>
    </w:p>
    <w:p w:rsidRPr="005529B7" w:rsidR="005529B7" w:rsidP="005529B7" w:rsidRDefault="005529B7" w14:paraId="612E14BC" w14:textId="77777777">
      <w:pPr>
        <w:rPr>
          <w:rFonts w:ascii="Times New Roman" w:hAnsi="Times New Roman" w:eastAsia="Times New Roman" w:cs="Times New Roman"/>
          <w:sz w:val="24"/>
          <w:szCs w:val="24"/>
        </w:rPr>
      </w:pPr>
    </w:p>
    <w:p w:rsidRPr="005529B7" w:rsidR="005529B7" w:rsidP="005529B7" w:rsidRDefault="005529B7" w14:paraId="3FDE6BDB" w14:textId="77777777">
      <w:pPr>
        <w:ind w:left="360"/>
        <w:rPr>
          <w:rFonts w:ascii="Times New Roman" w:hAnsi="Times New Roman" w:eastAsia="Times New Roman" w:cs="Times New Roman"/>
          <w:sz w:val="24"/>
          <w:szCs w:val="24"/>
        </w:rPr>
      </w:pPr>
      <w:r w:rsidRPr="005529B7">
        <w:rPr>
          <w:rFonts w:ascii="Times New Roman" w:hAnsi="Times New Roman" w:eastAsia="Times New Roman" w:cs="Times New Roman"/>
          <w:sz w:val="24"/>
          <w:szCs w:val="24"/>
        </w:rPr>
        <w:t>HUD will continue making the data available for statistical, research, or evaluation purposes to organizations qualified and capable of research and analysis consistent with the statistical, research, or evaluation purposes for which the data were provided or are maintained, but only if the data are used and protected in accordance with the terms and condition stated in the license, upon receipt of such assurance of qualification and capability, and it is agreed by the organization requesting such information and HUD.</w:t>
      </w:r>
    </w:p>
    <w:p w:rsidR="0017462A" w:rsidP="00FE1050" w:rsidRDefault="0017462A" w14:paraId="046E8172" w14:textId="1E68B7E0">
      <w:pPr>
        <w:ind w:left="360"/>
        <w:rPr>
          <w:rFonts w:ascii="Times New Roman" w:hAnsi="Times New Roman" w:eastAsia="Times New Roman" w:cs="Times New Roman"/>
          <w:sz w:val="24"/>
          <w:szCs w:val="24"/>
        </w:rPr>
      </w:pPr>
    </w:p>
    <w:p w:rsidRPr="008064C8" w:rsidR="00C452BF" w:rsidP="008064C8" w:rsidRDefault="00C452BF" w14:paraId="425791F7" w14:textId="668D12C5">
      <w:pPr>
        <w:ind w:left="360"/>
        <w:rPr>
          <w:rFonts w:ascii="Times New Roman" w:hAnsi="Times New Roman" w:cs="Times New Roman"/>
          <w:sz w:val="24"/>
        </w:rPr>
      </w:pPr>
      <w:r w:rsidRPr="008064C8">
        <w:rPr>
          <w:rFonts w:ascii="Times New Roman" w:hAnsi="Times New Roman" w:cs="Times New Roman"/>
          <w:sz w:val="24"/>
        </w:rPr>
        <w:t xml:space="preserve">All data containing personally identifiable information maintained by HUD that are provided the Licensee and all information derived from that data, and all data resulting from mergers, matches, or other uses of the data provided by HUD with other data are subject to the License and are referred to in this </w:t>
      </w:r>
      <w:r w:rsidRPr="008064C8" w:rsidR="00401187">
        <w:rPr>
          <w:rFonts w:ascii="Times New Roman" w:hAnsi="Times New Roman" w:cs="Times New Roman"/>
          <w:sz w:val="24"/>
        </w:rPr>
        <w:t>License as subject data.</w:t>
      </w:r>
    </w:p>
    <w:p w:rsidRPr="008064C8" w:rsidR="00401187" w:rsidP="008064C8" w:rsidRDefault="00401187" w14:paraId="34878C25" w14:textId="77777777">
      <w:pPr>
        <w:ind w:left="360"/>
        <w:rPr>
          <w:rFonts w:ascii="Times New Roman" w:hAnsi="Times New Roman" w:cs="Times New Roman"/>
          <w:sz w:val="24"/>
        </w:rPr>
      </w:pPr>
    </w:p>
    <w:p w:rsidRPr="008064C8" w:rsidR="00401187" w:rsidP="008064C8" w:rsidRDefault="00401187" w14:paraId="4F1831FF" w14:textId="77777777">
      <w:pPr>
        <w:ind w:left="360"/>
        <w:rPr>
          <w:rFonts w:ascii="Times New Roman" w:hAnsi="Times New Roman" w:cs="Times New Roman"/>
          <w:sz w:val="24"/>
        </w:rPr>
      </w:pPr>
      <w:r w:rsidRPr="008064C8">
        <w:rPr>
          <w:rFonts w:ascii="Times New Roman" w:hAnsi="Times New Roman" w:cs="Times New Roman"/>
          <w:sz w:val="24"/>
        </w:rPr>
        <w:t xml:space="preserve">Subject data under this License may </w:t>
      </w:r>
      <w:r w:rsidRPr="008064C8" w:rsidR="00B839F1">
        <w:rPr>
          <w:rFonts w:ascii="Times New Roman" w:hAnsi="Times New Roman" w:cs="Times New Roman"/>
          <w:sz w:val="24"/>
        </w:rPr>
        <w:t xml:space="preserve">be </w:t>
      </w:r>
      <w:r w:rsidRPr="008064C8">
        <w:rPr>
          <w:rFonts w:ascii="Times New Roman" w:hAnsi="Times New Roman" w:cs="Times New Roman"/>
          <w:sz w:val="24"/>
        </w:rPr>
        <w:t>in the form of CD-ROMs, electronic data, hard copy, etc.  The Licensee may only use the subject data in a manner and to purpose consistent with</w:t>
      </w:r>
      <w:r w:rsidRPr="008064C8" w:rsidR="003A7152">
        <w:rPr>
          <w:rFonts w:ascii="Times New Roman" w:hAnsi="Times New Roman" w:cs="Times New Roman"/>
          <w:sz w:val="24"/>
        </w:rPr>
        <w:t xml:space="preserve"> </w:t>
      </w:r>
      <w:r w:rsidRPr="008064C8" w:rsidR="00811F26">
        <w:rPr>
          <w:rFonts w:ascii="Times New Roman" w:hAnsi="Times New Roman" w:cs="Times New Roman"/>
          <w:sz w:val="24"/>
        </w:rPr>
        <w:t xml:space="preserve">the </w:t>
      </w:r>
      <w:r w:rsidRPr="008064C8">
        <w:rPr>
          <w:rFonts w:ascii="Times New Roman" w:hAnsi="Times New Roman" w:cs="Times New Roman"/>
          <w:sz w:val="24"/>
        </w:rPr>
        <w:t xml:space="preserve">statistical, research, or evaluation purpose for which the data are maintained.  All subject </w:t>
      </w:r>
      <w:r w:rsidRPr="008064C8">
        <w:rPr>
          <w:rFonts w:ascii="Times New Roman" w:hAnsi="Times New Roman" w:cs="Times New Roman"/>
          <w:sz w:val="24"/>
        </w:rPr>
        <w:lastRenderedPageBreak/>
        <w:t>data that include personally identifiable information are protected under the Privacy Act and may be used only for statistical, research, or evaluation purposes consistent with the purposes for which the data was collected and or is maintained.</w:t>
      </w:r>
    </w:p>
    <w:p w:rsidRPr="008064C8" w:rsidR="00A37EED" w:rsidRDefault="00A37EED" w14:paraId="6E42D335" w14:textId="77777777">
      <w:pPr>
        <w:rPr>
          <w:rFonts w:ascii="Times New Roman" w:hAnsi="Times New Roman" w:cs="Times New Roman"/>
          <w:sz w:val="24"/>
        </w:rPr>
      </w:pPr>
    </w:p>
    <w:p w:rsidRPr="008064C8" w:rsidR="008064C8" w:rsidP="008064C8" w:rsidRDefault="008064C8" w14:paraId="16799AAD"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8064C8" w:rsidR="008064C8" w:rsidP="007F3318" w:rsidRDefault="008064C8" w14:paraId="434BCAA0" w14:textId="77777777">
      <w:pPr>
        <w:rPr>
          <w:rFonts w:ascii="Times New Roman" w:hAnsi="Times New Roman" w:cs="Times New Roman"/>
          <w:sz w:val="24"/>
          <w:szCs w:val="24"/>
        </w:rPr>
      </w:pPr>
    </w:p>
    <w:p w:rsidRPr="008064C8" w:rsidR="00016E2F" w:rsidP="008064C8" w:rsidRDefault="00016E2F" w14:paraId="3A3CD313" w14:textId="0E2EB97A">
      <w:pPr>
        <w:ind w:left="360"/>
        <w:rPr>
          <w:rFonts w:ascii="Times New Roman" w:hAnsi="Times New Roman" w:cs="Times New Roman"/>
          <w:sz w:val="24"/>
          <w:szCs w:val="24"/>
        </w:rPr>
      </w:pPr>
      <w:r w:rsidRPr="008064C8">
        <w:rPr>
          <w:rFonts w:ascii="Times New Roman" w:hAnsi="Times New Roman" w:cs="Times New Roman"/>
          <w:sz w:val="24"/>
          <w:szCs w:val="24"/>
        </w:rPr>
        <w:t>The United States Department of Housing and Urban Development (HUD) has collected and maintains personally identifiable information</w:t>
      </w:r>
      <w:r w:rsidRPr="008064C8" w:rsidR="00D52C60">
        <w:rPr>
          <w:rFonts w:ascii="Times New Roman" w:hAnsi="Times New Roman" w:cs="Times New Roman"/>
          <w:sz w:val="24"/>
          <w:szCs w:val="24"/>
        </w:rPr>
        <w:t xml:space="preserve"> (PII)</w:t>
      </w:r>
      <w:r w:rsidRPr="008064C8">
        <w:rPr>
          <w:rFonts w:ascii="Times New Roman" w:hAnsi="Times New Roman" w:cs="Times New Roman"/>
          <w:sz w:val="24"/>
          <w:szCs w:val="24"/>
        </w:rPr>
        <w:t xml:space="preserve">, the confidentiality of which is protected by the Privacy Act of 1974 (5 U.S.C. 552a), </w:t>
      </w:r>
      <w:r w:rsidRPr="008064C8" w:rsidR="00A730AC">
        <w:rPr>
          <w:rFonts w:ascii="Times New Roman" w:hAnsi="Times New Roman" w:cs="Times New Roman"/>
          <w:sz w:val="24"/>
          <w:szCs w:val="24"/>
        </w:rPr>
        <w:t xml:space="preserve">which it intends to make </w:t>
      </w:r>
      <w:r w:rsidRPr="008064C8">
        <w:rPr>
          <w:rFonts w:ascii="Times New Roman" w:hAnsi="Times New Roman" w:cs="Times New Roman"/>
          <w:sz w:val="24"/>
          <w:szCs w:val="24"/>
        </w:rPr>
        <w:t>available to qualified researchers.</w:t>
      </w:r>
      <w:r w:rsidRPr="008064C8" w:rsidR="00D52C60">
        <w:rPr>
          <w:rFonts w:ascii="Times New Roman" w:hAnsi="Times New Roman" w:cs="Times New Roman"/>
          <w:sz w:val="24"/>
          <w:szCs w:val="24"/>
        </w:rPr>
        <w:t xml:space="preserve">  The information </w:t>
      </w:r>
      <w:r w:rsidR="00EF227E">
        <w:rPr>
          <w:rFonts w:ascii="Times New Roman" w:hAnsi="Times New Roman" w:cs="Times New Roman"/>
          <w:sz w:val="24"/>
          <w:szCs w:val="24"/>
        </w:rPr>
        <w:t>collect</w:t>
      </w:r>
      <w:r w:rsidRPr="008064C8" w:rsidR="00EF227E">
        <w:rPr>
          <w:rFonts w:ascii="Times New Roman" w:hAnsi="Times New Roman" w:cs="Times New Roman"/>
          <w:sz w:val="24"/>
          <w:szCs w:val="24"/>
        </w:rPr>
        <w:t xml:space="preserve">ed </w:t>
      </w:r>
      <w:r w:rsidRPr="008064C8" w:rsidR="00D52C60">
        <w:rPr>
          <w:rFonts w:ascii="Times New Roman" w:hAnsi="Times New Roman" w:cs="Times New Roman"/>
          <w:sz w:val="24"/>
          <w:szCs w:val="24"/>
        </w:rPr>
        <w:t xml:space="preserve">will enable HUD to determine whether a data license permitting access to such PII by legitimate research organizations is in the public interest. </w:t>
      </w:r>
    </w:p>
    <w:p w:rsidRPr="008064C8" w:rsidR="007F3318" w:rsidP="007F3318" w:rsidRDefault="007F3318" w14:paraId="4A7A5DA3" w14:textId="77777777">
      <w:pPr>
        <w:rPr>
          <w:rFonts w:ascii="Times New Roman" w:hAnsi="Times New Roman" w:cs="Times New Roman"/>
          <w:sz w:val="24"/>
          <w:szCs w:val="24"/>
        </w:rPr>
      </w:pPr>
    </w:p>
    <w:p w:rsidRPr="008064C8" w:rsidR="008064C8" w:rsidP="008064C8" w:rsidRDefault="008064C8" w14:paraId="2102F8A0"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064C8" w:rsidR="007F3318" w:rsidP="007F3318" w:rsidRDefault="007F3318" w14:paraId="3535CB5E" w14:textId="77777777">
      <w:pPr>
        <w:rPr>
          <w:rFonts w:ascii="Times New Roman" w:hAnsi="Times New Roman" w:cs="Times New Roman"/>
          <w:sz w:val="24"/>
          <w:szCs w:val="24"/>
        </w:rPr>
      </w:pPr>
    </w:p>
    <w:p w:rsidRPr="008064C8" w:rsidR="00D52C60" w:rsidP="008064C8" w:rsidRDefault="00D52C60" w14:paraId="6BC7B6DA" w14:textId="77777777">
      <w:pPr>
        <w:ind w:left="360"/>
        <w:rPr>
          <w:rFonts w:ascii="Times New Roman" w:hAnsi="Times New Roman" w:cs="Times New Roman"/>
          <w:sz w:val="24"/>
          <w:szCs w:val="24"/>
        </w:rPr>
      </w:pPr>
      <w:r w:rsidRPr="008064C8">
        <w:rPr>
          <w:rFonts w:ascii="Times New Roman" w:hAnsi="Times New Roman" w:cs="Times New Roman"/>
          <w:sz w:val="24"/>
          <w:szCs w:val="24"/>
        </w:rPr>
        <w:t>We have maximized the use of email for transmission of documents.  Some wet-ink documents must still be physically transmitted.</w:t>
      </w:r>
    </w:p>
    <w:p w:rsidRPr="008064C8" w:rsidR="00401187" w:rsidP="007F3318" w:rsidRDefault="00401187" w14:paraId="67BEC400" w14:textId="77777777">
      <w:pPr>
        <w:rPr>
          <w:rFonts w:ascii="Times New Roman" w:hAnsi="Times New Roman" w:cs="Times New Roman"/>
          <w:b/>
          <w:sz w:val="24"/>
          <w:szCs w:val="24"/>
        </w:rPr>
      </w:pPr>
    </w:p>
    <w:p w:rsidRPr="008064C8" w:rsidR="008064C8" w:rsidP="008064C8" w:rsidRDefault="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Pr="008064C8" w:rsidR="007F3318" w:rsidP="007F3318" w:rsidRDefault="007F3318" w14:paraId="62A013B3" w14:textId="77777777">
      <w:pPr>
        <w:rPr>
          <w:rFonts w:ascii="Times New Roman" w:hAnsi="Times New Roman" w:cs="Times New Roman"/>
          <w:sz w:val="24"/>
          <w:szCs w:val="24"/>
        </w:rPr>
      </w:pPr>
    </w:p>
    <w:p w:rsidRPr="008064C8" w:rsidR="007F3318" w:rsidP="008064C8" w:rsidRDefault="007F3318" w14:paraId="3220B5E3" w14:textId="77777777">
      <w:pPr>
        <w:ind w:left="360"/>
        <w:rPr>
          <w:rFonts w:ascii="Times New Roman" w:hAnsi="Times New Roman" w:cs="Times New Roman"/>
          <w:sz w:val="24"/>
          <w:szCs w:val="24"/>
        </w:rPr>
      </w:pPr>
      <w:r w:rsidRPr="008064C8">
        <w:rPr>
          <w:rFonts w:ascii="Times New Roman" w:hAnsi="Times New Roman" w:cs="Times New Roman"/>
          <w:sz w:val="24"/>
          <w:szCs w:val="24"/>
        </w:rPr>
        <w:t>There is no other source of the required information.</w:t>
      </w:r>
      <w:r w:rsidRPr="008064C8" w:rsidR="00D52C60">
        <w:rPr>
          <w:rFonts w:ascii="Times New Roman" w:hAnsi="Times New Roman" w:cs="Times New Roman"/>
          <w:sz w:val="24"/>
          <w:szCs w:val="24"/>
        </w:rPr>
        <w:t xml:space="preserve">  Data licenses are issued only for unique research projects, which must be uniquely described.  Assurances by research organizations and affidavits by project staff promising not to disclose the PII provided to them must be uniquely subscribed. </w:t>
      </w:r>
    </w:p>
    <w:p w:rsidRPr="008064C8" w:rsidR="008064C8" w:rsidP="008064C8" w:rsidRDefault="008064C8" w14:paraId="3FB827B8" w14:textId="77777777">
      <w:pPr>
        <w:keepLines/>
        <w:tabs>
          <w:tab w:val="left" w:pos="360"/>
        </w:tabs>
        <w:spacing w:after="80"/>
        <w:ind w:left="360" w:hanging="360"/>
        <w:rPr>
          <w:rFonts w:ascii="Times New Roman" w:hAnsi="Times New Roman" w:cs="Times New Roman"/>
          <w:b/>
          <w:sz w:val="24"/>
          <w:szCs w:val="24"/>
        </w:rPr>
      </w:pPr>
    </w:p>
    <w:p w:rsidRPr="008064C8" w:rsidR="008064C8" w:rsidP="008064C8" w:rsidRDefault="008064C8" w14:paraId="2C26C907" w14:textId="66FAD487">
      <w:pPr>
        <w:keepLines/>
        <w:tabs>
          <w:tab w:val="left" w:pos="360"/>
        </w:tabs>
        <w:spacing w:after="80"/>
        <w:ind w:left="360" w:hanging="360"/>
        <w:rPr>
          <w:rFonts w:ascii="Times New Roman" w:hAnsi="Times New Roman" w:cs="Times New Roman"/>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Pr="008064C8" w:rsidR="007F3318" w:rsidP="007F3318" w:rsidRDefault="007F3318" w14:paraId="2BEE829C" w14:textId="77777777">
      <w:pPr>
        <w:rPr>
          <w:rFonts w:ascii="Times New Roman" w:hAnsi="Times New Roman" w:cs="Times New Roman"/>
          <w:sz w:val="24"/>
          <w:szCs w:val="24"/>
        </w:rPr>
      </w:pPr>
    </w:p>
    <w:p w:rsidRPr="008064C8" w:rsidR="007F3318" w:rsidP="008064C8" w:rsidRDefault="00A03116" w14:paraId="24694A9E" w14:textId="77777777">
      <w:pPr>
        <w:ind w:left="360"/>
        <w:rPr>
          <w:rFonts w:ascii="Times New Roman" w:hAnsi="Times New Roman" w:cs="Times New Roman"/>
          <w:sz w:val="24"/>
          <w:szCs w:val="24"/>
        </w:rPr>
      </w:pPr>
      <w:r w:rsidRPr="008064C8">
        <w:rPr>
          <w:rFonts w:ascii="Times New Roman" w:hAnsi="Times New Roman" w:cs="Times New Roman"/>
          <w:sz w:val="24"/>
          <w:szCs w:val="24"/>
        </w:rPr>
        <w:t>There is no negative impact on small business or other small entities.  In fact, they will benefit from Departmental collected and maintained statistical data that they otherwise would not have access to.</w:t>
      </w:r>
    </w:p>
    <w:p w:rsidRPr="008064C8" w:rsidR="00A03116" w:rsidP="007F3318" w:rsidRDefault="00A03116" w14:paraId="766048CA" w14:textId="062DC5C9">
      <w:pPr>
        <w:rPr>
          <w:rFonts w:ascii="Times New Roman" w:hAnsi="Times New Roman" w:cs="Times New Roman"/>
          <w:sz w:val="24"/>
          <w:szCs w:val="24"/>
        </w:rPr>
      </w:pPr>
    </w:p>
    <w:p w:rsidRPr="008064C8" w:rsidR="008064C8" w:rsidP="007F3318" w:rsidRDefault="008064C8" w14:paraId="25097212" w14:textId="7669E7A7">
      <w:pPr>
        <w:rPr>
          <w:rFonts w:ascii="Times New Roman" w:hAnsi="Times New Roman" w:cs="Times New Roman"/>
          <w:sz w:val="24"/>
          <w:szCs w:val="24"/>
        </w:rPr>
      </w:pPr>
    </w:p>
    <w:p w:rsidRPr="008064C8" w:rsidR="008064C8" w:rsidP="007F3318" w:rsidRDefault="008064C8" w14:paraId="57E8E252" w14:textId="1C3F548F">
      <w:pPr>
        <w:rPr>
          <w:rFonts w:ascii="Times New Roman" w:hAnsi="Times New Roman" w:cs="Times New Roman"/>
          <w:sz w:val="24"/>
          <w:szCs w:val="24"/>
        </w:rPr>
      </w:pPr>
    </w:p>
    <w:p w:rsidRPr="008064C8" w:rsidR="008064C8" w:rsidP="007F3318" w:rsidRDefault="008064C8" w14:paraId="449BB396" w14:textId="77777777">
      <w:pPr>
        <w:rPr>
          <w:rFonts w:ascii="Times New Roman" w:hAnsi="Times New Roman" w:cs="Times New Roman"/>
          <w:sz w:val="24"/>
          <w:szCs w:val="24"/>
        </w:rPr>
      </w:pPr>
    </w:p>
    <w:p w:rsidRPr="008064C8" w:rsidR="008064C8" w:rsidP="008064C8" w:rsidRDefault="008064C8" w14:paraId="64AADCBF"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8064C8" w:rsidR="007F3318" w:rsidP="008064C8" w:rsidRDefault="00B839F1" w14:paraId="7D7D29DC" w14:textId="77777777">
      <w:pPr>
        <w:ind w:left="360"/>
        <w:rPr>
          <w:rFonts w:ascii="Times New Roman" w:hAnsi="Times New Roman" w:cs="Times New Roman"/>
          <w:sz w:val="24"/>
          <w:szCs w:val="24"/>
        </w:rPr>
      </w:pPr>
      <w:r w:rsidRPr="008064C8">
        <w:rPr>
          <w:rFonts w:ascii="Times New Roman" w:hAnsi="Times New Roman" w:cs="Times New Roman"/>
          <w:sz w:val="24"/>
          <w:szCs w:val="24"/>
        </w:rPr>
        <w:lastRenderedPageBreak/>
        <w:t>If the information is not collected, the Department would not be able to enter into an agreement with the applicant.  The applicant would not be able to conduct the research, and the Department and the public would lose the results of the research.</w:t>
      </w:r>
    </w:p>
    <w:p w:rsidRPr="008064C8" w:rsidR="00A03116" w:rsidP="007F3318" w:rsidRDefault="00A03116" w14:paraId="45BBE79D" w14:textId="77777777">
      <w:pPr>
        <w:rPr>
          <w:rFonts w:ascii="Times New Roman" w:hAnsi="Times New Roman" w:cs="Times New Roman"/>
          <w:sz w:val="24"/>
          <w:szCs w:val="24"/>
        </w:rPr>
      </w:pPr>
    </w:p>
    <w:p w:rsidRPr="008064C8" w:rsidR="008064C8" w:rsidP="008064C8" w:rsidRDefault="008064C8" w14:paraId="3E8B622B" w14:textId="77777777">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Pr="008064C8" w:rsidR="008064C8" w:rsidP="008064C8" w:rsidRDefault="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rsidRPr="008064C8" w:rsidR="008064C8" w:rsidP="008064C8" w:rsidRDefault="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rsidRPr="008064C8" w:rsidR="008064C8" w:rsidP="008064C8" w:rsidRDefault="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rsidRPr="008064C8" w:rsidR="008064C8" w:rsidP="008064C8" w:rsidRDefault="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8064C8" w:rsidR="008064C8" w:rsidP="008064C8" w:rsidRDefault="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rsidRPr="008064C8" w:rsidR="008064C8" w:rsidP="008064C8" w:rsidRDefault="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rsidRPr="008064C8" w:rsidR="008064C8" w:rsidP="008064C8" w:rsidRDefault="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064C8" w:rsidR="008064C8" w:rsidP="008064C8" w:rsidRDefault="008064C8" w14:paraId="5C2F5734" w14:textId="77777777">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064C8" w:rsidR="008064C8" w:rsidP="00225624" w:rsidRDefault="008064C8" w14:paraId="147A15CB" w14:textId="2AA2D50E">
      <w:pPr>
        <w:keepNext/>
        <w:keepLines/>
        <w:tabs>
          <w:tab w:val="left" w:pos="0"/>
          <w:tab w:val="left" w:pos="720"/>
          <w:tab w:val="left" w:pos="840"/>
        </w:tabs>
        <w:overflowPunct w:val="0"/>
        <w:autoSpaceDE w:val="0"/>
        <w:autoSpaceDN w:val="0"/>
        <w:adjustRightInd w:val="0"/>
        <w:textAlignment w:val="baseline"/>
        <w:rPr>
          <w:rFonts w:ascii="Times New Roman" w:hAnsi="Times New Roman" w:eastAsia="Times New Roman" w:cs="Times New Roman"/>
          <w:sz w:val="24"/>
          <w:szCs w:val="24"/>
        </w:rPr>
      </w:pPr>
    </w:p>
    <w:p w:rsidRPr="008064C8" w:rsidR="00225624" w:rsidP="008064C8" w:rsidRDefault="00225624" w14:paraId="6D30C0A9" w14:textId="425324A6">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hAnsi="Times New Roman" w:eastAsia="Times New Roman" w:cs="Times New Roman"/>
          <w:b/>
          <w:sz w:val="24"/>
          <w:szCs w:val="24"/>
        </w:rPr>
        <w:t>“Not Applicable”</w:t>
      </w:r>
      <w:r w:rsidRPr="008064C8">
        <w:rPr>
          <w:rFonts w:ascii="Times New Roman" w:hAnsi="Times New Roman" w:eastAsia="Times New Roman" w:cs="Times New Roman"/>
          <w:sz w:val="24"/>
          <w:szCs w:val="24"/>
        </w:rPr>
        <w:t xml:space="preserve"> to this collection:</w:t>
      </w:r>
    </w:p>
    <w:p w:rsidRPr="008064C8" w:rsidR="00225624" w:rsidP="008064C8" w:rsidRDefault="00225624" w14:paraId="025BF807" w14:textId="77777777">
      <w:pPr>
        <w:overflowPunct w:val="0"/>
        <w:autoSpaceDE w:val="0"/>
        <w:autoSpaceDN w:val="0"/>
        <w:adjustRightInd w:val="0"/>
        <w:ind w:left="360"/>
        <w:textAlignment w:val="baseline"/>
        <w:rPr>
          <w:rFonts w:ascii="Times New Roman" w:hAnsi="Times New Roman" w:eastAsia="Times New Roman" w:cs="Times New Roman"/>
          <w:bCs/>
          <w:sz w:val="24"/>
          <w:szCs w:val="24"/>
        </w:rPr>
      </w:pPr>
    </w:p>
    <w:p w:rsidRPr="008064C8" w:rsidR="00225624" w:rsidP="008064C8" w:rsidRDefault="00225624" w14:paraId="1D46D5EC" w14:textId="77777777">
      <w:pPr>
        <w:numPr>
          <w:ilvl w:val="0"/>
          <w:numId w:val="1"/>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0"/>
        </w:rPr>
      </w:pPr>
      <w:r w:rsidRPr="008064C8">
        <w:rPr>
          <w:rFonts w:ascii="Times New Roman" w:hAnsi="Times New Roman" w:eastAsia="Times New Roman" w:cs="Times New Roman"/>
          <w:sz w:val="24"/>
          <w:szCs w:val="20"/>
        </w:rPr>
        <w:t xml:space="preserve">requiring respondents to report information to the agency more often than quarterly;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41898D1D"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0"/>
        </w:rPr>
      </w:pPr>
      <w:r w:rsidRPr="008064C8">
        <w:rPr>
          <w:rFonts w:ascii="Times New Roman" w:hAnsi="Times New Roman" w:eastAsia="Times New Roman" w:cs="Times New Roman"/>
          <w:sz w:val="24"/>
          <w:szCs w:val="20"/>
        </w:rPr>
        <w:t xml:space="preserve">requiring respondents to prepare a written response to a collection of information in fewer than 30 days after receipt of it;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54F75BDD"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0"/>
        </w:rPr>
      </w:pPr>
      <w:r w:rsidRPr="008064C8">
        <w:rPr>
          <w:rFonts w:ascii="Times New Roman" w:hAnsi="Times New Roman" w:eastAsia="Times New Roman" w:cs="Times New Roman"/>
          <w:sz w:val="24"/>
          <w:szCs w:val="20"/>
        </w:rPr>
        <w:t>requiring respondents to submit more than an original and two copies of any document;</w:t>
      </w:r>
      <w:r w:rsidRPr="008064C8">
        <w:rPr>
          <w:rFonts w:ascii="Times New Roman" w:hAnsi="Times New Roman" w:eastAsia="Times New Roman" w:cs="Times New Roman"/>
          <w:bCs/>
          <w:sz w:val="24"/>
          <w:szCs w:val="24"/>
        </w:rPr>
        <w:t xml:space="preserve"> “</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308C0E52"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requiring respondents to retain records, other than health, medical, government contract, grant-in-aid, or tax records, for more than three years;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080E1BE3"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in connection with a statistical survey, that is not designed to produce valid and reliable results that can be generalized to the universe of study;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20507A81"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requiring the use of a statistical data classification that has not been reviewed and approved by OMB;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4A7872B1"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8064C8">
        <w:rPr>
          <w:rFonts w:ascii="Times New Roman" w:hAnsi="Times New Roman" w:eastAsia="Times New Roman" w:cs="Times New Roman"/>
          <w:bCs/>
          <w:sz w:val="24"/>
          <w:szCs w:val="24"/>
        </w:rPr>
        <w:t>“</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8064C8" w:rsidRDefault="00225624" w14:paraId="09D4C340" w14:textId="77777777">
      <w:pPr>
        <w:numPr>
          <w:ilvl w:val="0"/>
          <w:numId w:val="2"/>
        </w:numPr>
        <w:tabs>
          <w:tab w:val="left" w:pos="360"/>
        </w:tabs>
        <w:overflowPunct w:val="0"/>
        <w:autoSpaceDE w:val="0"/>
        <w:autoSpaceDN w:val="0"/>
        <w:adjustRightInd w:val="0"/>
        <w:ind w:left="1080"/>
        <w:contextualSpacing/>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Pr="008064C8">
        <w:rPr>
          <w:rFonts w:ascii="Times New Roman" w:hAnsi="Times New Roman" w:eastAsia="Times New Roman" w:cs="Times New Roman"/>
          <w:bCs/>
          <w:sz w:val="24"/>
          <w:szCs w:val="24"/>
        </w:rPr>
        <w:t xml:space="preserve"> “</w:t>
      </w:r>
      <w:r w:rsidRPr="008064C8">
        <w:rPr>
          <w:rFonts w:ascii="Times New Roman" w:hAnsi="Times New Roman" w:eastAsia="Times New Roman" w:cs="Times New Roman"/>
          <w:b/>
          <w:bCs/>
          <w:sz w:val="24"/>
          <w:szCs w:val="24"/>
        </w:rPr>
        <w:t>Not Applicable</w:t>
      </w:r>
      <w:r w:rsidRPr="008064C8">
        <w:rPr>
          <w:rFonts w:ascii="Times New Roman" w:hAnsi="Times New Roman" w:eastAsia="Times New Roman" w:cs="Times New Roman"/>
          <w:bCs/>
          <w:sz w:val="24"/>
          <w:szCs w:val="24"/>
        </w:rPr>
        <w:t>”</w:t>
      </w:r>
    </w:p>
    <w:p w:rsidRPr="008064C8" w:rsidR="00225624" w:rsidP="00C635B8" w:rsidRDefault="00225624" w14:paraId="6BF27111" w14:textId="77777777">
      <w:pPr>
        <w:pStyle w:val="ListParagraph"/>
        <w:rPr>
          <w:rFonts w:ascii="Times New Roman" w:hAnsi="Times New Roman" w:cs="Times New Roman"/>
          <w:sz w:val="24"/>
          <w:szCs w:val="24"/>
        </w:rPr>
      </w:pPr>
    </w:p>
    <w:p w:rsidRPr="008064C8" w:rsidR="00225624" w:rsidP="008064C8" w:rsidRDefault="00225624" w14:paraId="0C41A40C" w14:textId="1169CC12">
      <w:pPr>
        <w:ind w:left="720"/>
        <w:rPr>
          <w:rFonts w:ascii="Times New Roman" w:hAnsi="Times New Roman" w:cs="Times New Roman"/>
          <w:sz w:val="24"/>
          <w:szCs w:val="24"/>
        </w:rPr>
      </w:pPr>
      <w:r w:rsidRPr="008064C8">
        <w:rPr>
          <w:rFonts w:ascii="Times New Roman" w:hAnsi="Times New Roman" w:cs="Times New Roman"/>
          <w:sz w:val="24"/>
          <w:szCs w:val="24"/>
        </w:rPr>
        <w:t>None of the 8 bullets detailing special circumstances apply.  We note here that the current document refers only to the Privacy Act as our authority, although other agencies can cite the Confidential Information Protection and Statistical Efficiency Act.</w:t>
      </w:r>
    </w:p>
    <w:p w:rsidRPr="008064C8" w:rsidR="007F3318" w:rsidP="007F3318" w:rsidRDefault="007F3318" w14:paraId="7BEDCDAF" w14:textId="77777777">
      <w:pPr>
        <w:rPr>
          <w:rFonts w:ascii="Times New Roman" w:hAnsi="Times New Roman" w:cs="Times New Roman"/>
          <w:sz w:val="24"/>
          <w:szCs w:val="24"/>
        </w:rPr>
      </w:pPr>
    </w:p>
    <w:p w:rsidRPr="008064C8" w:rsidR="008064C8" w:rsidP="008064C8" w:rsidRDefault="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w:t>
      </w:r>
      <w:proofErr w:type="gramStart"/>
      <w:r w:rsidRPr="008064C8">
        <w:rPr>
          <w:rFonts w:ascii="Times New Roman" w:hAnsi="Times New Roman" w:cs="Times New Roman"/>
          <w:b/>
          <w:sz w:val="24"/>
          <w:szCs w:val="24"/>
        </w:rPr>
        <w:t>publication</w:t>
      </w:r>
      <w:proofErr w:type="gramEnd"/>
      <w:r w:rsidRPr="008064C8">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8064C8" w:rsidP="008064C8" w:rsidRDefault="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064C8" w:rsidR="008064C8" w:rsidP="00DF4E4E" w:rsidRDefault="008064C8"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064C8" w:rsidP="008064C8" w:rsidRDefault="008064C8" w14:paraId="484FC7EF" w14:textId="77777777">
      <w:pPr>
        <w:tabs>
          <w:tab w:val="left" w:pos="360"/>
        </w:tabs>
        <w:ind w:left="336"/>
        <w:rPr>
          <w:rFonts w:ascii="Times New Roman" w:hAnsi="Times New Roman" w:cs="Times New Roman"/>
          <w:color w:val="000000"/>
          <w:sz w:val="24"/>
          <w:szCs w:val="24"/>
        </w:rPr>
      </w:pPr>
    </w:p>
    <w:p w:rsidRPr="008064C8" w:rsidR="008064C8" w:rsidP="008064C8" w:rsidRDefault="008064C8" w14:paraId="263CDD03" w14:textId="3F759EF4">
      <w:pPr>
        <w:tabs>
          <w:tab w:val="left" w:pos="360"/>
        </w:tabs>
        <w:ind w:left="336"/>
        <w:rPr>
          <w:rFonts w:ascii="Times New Roman" w:hAnsi="Times New Roman" w:cs="Times New Roman"/>
          <w:color w:val="000000"/>
          <w:sz w:val="24"/>
          <w:szCs w:val="24"/>
        </w:rPr>
      </w:pPr>
      <w:r w:rsidRPr="008064C8">
        <w:rPr>
          <w:rFonts w:ascii="Times New Roman" w:hAnsi="Times New Roman" w:cs="Times New Roman"/>
          <w:color w:val="000000"/>
          <w:sz w:val="24"/>
          <w:szCs w:val="24"/>
        </w:rPr>
        <w:t xml:space="preserve">On </w:t>
      </w:r>
      <w:r w:rsidR="00414AD9">
        <w:rPr>
          <w:rFonts w:ascii="Times New Roman" w:hAnsi="Times New Roman" w:cs="Times New Roman"/>
          <w:color w:val="000000"/>
          <w:sz w:val="24"/>
          <w:szCs w:val="24"/>
        </w:rPr>
        <w:t>November 8, 2019</w:t>
      </w:r>
      <w:r w:rsidRPr="008064C8">
        <w:rPr>
          <w:rFonts w:ascii="Times New Roman" w:hAnsi="Times New Roman" w:cs="Times New Roman"/>
          <w:color w:val="000000"/>
          <w:sz w:val="24"/>
          <w:szCs w:val="24"/>
        </w:rPr>
        <w:t>, a 60-Day Federal Register Notice was published at Volume</w:t>
      </w:r>
      <w:r w:rsidR="00414AD9">
        <w:rPr>
          <w:rFonts w:ascii="Times New Roman" w:hAnsi="Times New Roman" w:cs="Times New Roman"/>
          <w:color w:val="000000"/>
          <w:sz w:val="24"/>
          <w:szCs w:val="24"/>
        </w:rPr>
        <w:t xml:space="preserve"> 84</w:t>
      </w:r>
      <w:r w:rsidRPr="008064C8">
        <w:rPr>
          <w:rFonts w:ascii="Times New Roman" w:hAnsi="Times New Roman" w:cs="Times New Roman"/>
          <w:color w:val="000000"/>
          <w:sz w:val="24"/>
          <w:szCs w:val="24"/>
        </w:rPr>
        <w:t xml:space="preserve">, No. </w:t>
      </w:r>
      <w:r w:rsidR="00414AD9">
        <w:rPr>
          <w:rFonts w:ascii="Times New Roman" w:hAnsi="Times New Roman" w:cs="Times New Roman"/>
          <w:color w:val="000000"/>
          <w:sz w:val="24"/>
          <w:szCs w:val="24"/>
        </w:rPr>
        <w:t>217</w:t>
      </w:r>
      <w:r w:rsidRPr="008064C8">
        <w:rPr>
          <w:rFonts w:ascii="Times New Roman" w:hAnsi="Times New Roman" w:cs="Times New Roman"/>
          <w:color w:val="000000"/>
          <w:sz w:val="24"/>
          <w:szCs w:val="24"/>
        </w:rPr>
        <w:t xml:space="preserve">, page </w:t>
      </w:r>
      <w:r w:rsidR="00414AD9">
        <w:rPr>
          <w:rFonts w:ascii="Times New Roman" w:hAnsi="Times New Roman" w:cs="Times New Roman"/>
          <w:color w:val="000000"/>
          <w:sz w:val="24"/>
          <w:szCs w:val="24"/>
        </w:rPr>
        <w:t>60429</w:t>
      </w:r>
      <w:r w:rsidRPr="008064C8">
        <w:rPr>
          <w:rFonts w:ascii="Times New Roman" w:hAnsi="Times New Roman" w:cs="Times New Roman"/>
          <w:color w:val="000000"/>
          <w:sz w:val="24"/>
          <w:szCs w:val="24"/>
        </w:rPr>
        <w:t xml:space="preserve">. No public comments were received. </w:t>
      </w:r>
    </w:p>
    <w:p w:rsidR="008064C8" w:rsidP="007F3318" w:rsidRDefault="008064C8" w14:paraId="08D02539" w14:textId="3430A897">
      <w:pPr>
        <w:rPr>
          <w:rFonts w:ascii="Times New Roman" w:hAnsi="Times New Roman" w:cs="Times New Roman"/>
          <w:sz w:val="24"/>
          <w:szCs w:val="24"/>
        </w:rPr>
      </w:pPr>
    </w:p>
    <w:p w:rsidR="008064C8" w:rsidP="007F3318" w:rsidRDefault="008064C8" w14:paraId="49C07B20" w14:textId="78406565">
      <w:pPr>
        <w:rPr>
          <w:rFonts w:ascii="Times New Roman" w:hAnsi="Times New Roman" w:cs="Times New Roman"/>
          <w:sz w:val="24"/>
          <w:szCs w:val="24"/>
        </w:rPr>
      </w:pPr>
    </w:p>
    <w:p w:rsidR="008064C8" w:rsidP="008064C8" w:rsidRDefault="008064C8" w14:paraId="72841242" w14:textId="318E29C1">
      <w:pPr>
        <w:keepLines/>
        <w:numPr>
          <w:ilvl w:val="0"/>
          <w:numId w:val="6"/>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Explain any decision to provide any payment or gift to respondents, other than renumeration of contractors or grantees</w:t>
      </w:r>
      <w:r>
        <w:rPr>
          <w:b/>
          <w:sz w:val="24"/>
          <w:szCs w:val="24"/>
        </w:rPr>
        <w:t>.</w:t>
      </w:r>
    </w:p>
    <w:p w:rsidR="008064C8" w:rsidP="007F3318" w:rsidRDefault="008064C8" w14:paraId="597ECDAC" w14:textId="77777777">
      <w:pPr>
        <w:rPr>
          <w:rFonts w:ascii="Times New Roman" w:hAnsi="Times New Roman" w:cs="Times New Roman"/>
          <w:sz w:val="24"/>
          <w:szCs w:val="24"/>
        </w:rPr>
      </w:pPr>
    </w:p>
    <w:p w:rsidRPr="008B40D0" w:rsidR="008B40D0" w:rsidP="008064C8" w:rsidRDefault="008B40D0" w14:paraId="1273FDDF" w14:textId="77777777">
      <w:pPr>
        <w:ind w:firstLine="360"/>
        <w:rPr>
          <w:rFonts w:ascii="Times New Roman" w:hAnsi="Times New Roman" w:cs="Times New Roman"/>
          <w:sz w:val="24"/>
          <w:szCs w:val="24"/>
        </w:rPr>
      </w:pPr>
      <w:r>
        <w:rPr>
          <w:rFonts w:ascii="Times New Roman" w:hAnsi="Times New Roman" w:cs="Times New Roman"/>
          <w:sz w:val="24"/>
          <w:szCs w:val="24"/>
        </w:rPr>
        <w:t>None</w:t>
      </w:r>
    </w:p>
    <w:p w:rsidR="008064C8" w:rsidP="008064C8" w:rsidRDefault="008064C8" w14:paraId="2E15435F" w14:textId="77777777">
      <w:pPr>
        <w:tabs>
          <w:tab w:val="left" w:pos="360"/>
        </w:tabs>
        <w:ind w:left="360" w:hanging="360"/>
        <w:rPr>
          <w:sz w:val="24"/>
          <w:szCs w:val="24"/>
        </w:rPr>
      </w:pPr>
    </w:p>
    <w:p w:rsidRPr="008064C8" w:rsidR="008064C8" w:rsidP="008064C8" w:rsidRDefault="008064C8" w14:paraId="00C65321"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10.</w:t>
      </w:r>
      <w:r w:rsidRPr="008064C8">
        <w:rPr>
          <w:rFonts w:ascii="Times New Roman" w:hAnsi="Times New Roman" w:cs="Times New Roman"/>
          <w:b/>
          <w:sz w:val="24"/>
          <w:szCs w:val="24"/>
        </w:rPr>
        <w:tab/>
        <w:t>Describe any assurance of confidentiality provided to respondents and the basis for assurance in statute, regulation or agency policy.</w:t>
      </w:r>
    </w:p>
    <w:p w:rsidR="00DF4E4E" w:rsidRDefault="00DF4E4E" w14:paraId="5FBF250A" w14:textId="77777777">
      <w:pPr>
        <w:rPr>
          <w:rFonts w:ascii="Times New Roman" w:hAnsi="Times New Roman" w:cs="Times New Roman"/>
          <w:sz w:val="24"/>
        </w:rPr>
      </w:pPr>
    </w:p>
    <w:p w:rsidR="008B40D0" w:rsidP="00DF4E4E" w:rsidRDefault="00766F57" w14:paraId="02E02CBC" w14:textId="4B74ED44">
      <w:pPr>
        <w:ind w:left="360"/>
        <w:rPr>
          <w:rFonts w:ascii="Times New Roman" w:hAnsi="Times New Roman" w:cs="Times New Roman"/>
          <w:sz w:val="24"/>
        </w:rPr>
      </w:pPr>
      <w:r>
        <w:rPr>
          <w:rFonts w:ascii="Times New Roman" w:hAnsi="Times New Roman" w:cs="Times New Roman"/>
          <w:sz w:val="24"/>
        </w:rPr>
        <w:t>With respect to the institutions and affiliated researchers applying for the licenses:</w:t>
      </w:r>
      <w:r w:rsidR="009464F7">
        <w:rPr>
          <w:rFonts w:ascii="Times New Roman" w:hAnsi="Times New Roman" w:cs="Times New Roman"/>
          <w:sz w:val="24"/>
        </w:rPr>
        <w:t xml:space="preserve">  </w:t>
      </w:r>
      <w:r>
        <w:rPr>
          <w:rFonts w:ascii="Times New Roman" w:hAnsi="Times New Roman" w:cs="Times New Roman"/>
          <w:sz w:val="24"/>
        </w:rPr>
        <w:t xml:space="preserve">we </w:t>
      </w:r>
      <w:r w:rsidR="009464F7">
        <w:rPr>
          <w:rFonts w:ascii="Times New Roman" w:hAnsi="Times New Roman" w:cs="Times New Roman"/>
          <w:sz w:val="24"/>
        </w:rPr>
        <w:t>make no assurance of confidentiality with respect to the documents submitted in support of any data license, whether the application, the license, the non-disclosure affidavit, or the certificate of data destruction</w:t>
      </w:r>
      <w:r w:rsidR="002E1145">
        <w:rPr>
          <w:rFonts w:ascii="Times New Roman" w:hAnsi="Times New Roman" w:cs="Times New Roman"/>
          <w:sz w:val="24"/>
        </w:rPr>
        <w:t xml:space="preserve">  </w:t>
      </w:r>
      <w:r w:rsidR="009464F7">
        <w:rPr>
          <w:rFonts w:ascii="Times New Roman" w:hAnsi="Times New Roman" w:cs="Times New Roman"/>
          <w:sz w:val="24"/>
        </w:rPr>
        <w:t xml:space="preserve">  </w:t>
      </w:r>
    </w:p>
    <w:p w:rsidR="003968A0" w:rsidP="00DF4E4E" w:rsidRDefault="003968A0" w14:paraId="1A1AB141" w14:textId="77777777">
      <w:pPr>
        <w:ind w:left="360"/>
        <w:rPr>
          <w:rFonts w:ascii="Times New Roman" w:hAnsi="Times New Roman" w:cs="Times New Roman"/>
          <w:sz w:val="24"/>
        </w:rPr>
      </w:pPr>
    </w:p>
    <w:p w:rsidR="00766F57" w:rsidP="00DF4E4E" w:rsidRDefault="00766F57" w14:paraId="6FBE065B" w14:textId="62A0F009">
      <w:pPr>
        <w:ind w:left="360"/>
        <w:rPr>
          <w:rFonts w:ascii="Times New Roman" w:hAnsi="Times New Roman" w:cs="Times New Roman"/>
          <w:sz w:val="24"/>
        </w:rPr>
      </w:pPr>
      <w:r>
        <w:rPr>
          <w:rFonts w:ascii="Times New Roman" w:hAnsi="Times New Roman" w:cs="Times New Roman"/>
          <w:sz w:val="24"/>
        </w:rPr>
        <w:t xml:space="preserve">With respect to the HUD-assisted tenants or other parties whose personal or sensitive information is requested, the licensee undertakes to share that information only with members of the research team, to protect the information from disclosure to others, to store </w:t>
      </w:r>
      <w:r>
        <w:rPr>
          <w:rFonts w:ascii="Times New Roman" w:hAnsi="Times New Roman" w:cs="Times New Roman"/>
          <w:sz w:val="24"/>
        </w:rPr>
        <w:lastRenderedPageBreak/>
        <w:t xml:space="preserve">the data on a non-networked computer in a locked room, and to publish research based on the information only after review by HUD to prevent unlawful disclosures. </w:t>
      </w:r>
    </w:p>
    <w:p w:rsidR="003968A0" w:rsidP="00DF4E4E" w:rsidRDefault="003968A0" w14:paraId="53256282" w14:textId="77777777">
      <w:pPr>
        <w:ind w:left="360"/>
        <w:rPr>
          <w:rFonts w:ascii="Times New Roman" w:hAnsi="Times New Roman" w:cs="Times New Roman"/>
          <w:sz w:val="24"/>
        </w:rPr>
      </w:pPr>
    </w:p>
    <w:p w:rsidRPr="00196D38" w:rsidR="003968A0" w:rsidP="00DF4E4E" w:rsidRDefault="003968A0" w14:paraId="6A58E545" w14:textId="2251721E">
      <w:pPr>
        <w:ind w:left="360"/>
        <w:rPr>
          <w:rFonts w:ascii="Times New Roman" w:hAnsi="Times New Roman" w:cs="Times New Roman"/>
          <w:color w:val="000000"/>
          <w:sz w:val="24"/>
          <w:szCs w:val="24"/>
        </w:rPr>
      </w:pPr>
      <w:r w:rsidRPr="00196D38">
        <w:rPr>
          <w:rFonts w:ascii="Times New Roman" w:hAnsi="Times New Roman" w:cs="Times New Roman"/>
          <w:color w:val="000000"/>
          <w:sz w:val="24"/>
          <w:szCs w:val="24"/>
        </w:rPr>
        <w:t>Any forms in this information collection that do contain person/sensitive information do contain the appropriate Privacy Act Notice in the document and are protected under the Privacy Act and Freedom of Information Act (FOIA)</w:t>
      </w:r>
      <w:r w:rsidRPr="00196D38">
        <w:rPr>
          <w:rFonts w:ascii="Times New Roman" w:hAnsi="Times New Roman" w:cs="Times New Roman"/>
          <w:sz w:val="24"/>
          <w:szCs w:val="24"/>
        </w:rPr>
        <w:t xml:space="preserve"> - </w:t>
      </w:r>
      <w:r w:rsidRPr="00196D38">
        <w:rPr>
          <w:rFonts w:ascii="Times New Roman" w:hAnsi="Times New Roman" w:cs="Times New Roman"/>
          <w:color w:val="000000"/>
          <w:sz w:val="24"/>
          <w:szCs w:val="24"/>
        </w:rPr>
        <w:t>5 U.S. Code § 552.  HUD assures confidentiality to respondent on other information collected if it would result in competitive harm in accord with the FOIA provision and/or Department’s mission.</w:t>
      </w:r>
    </w:p>
    <w:p w:rsidR="003968A0" w:rsidP="003968A0" w:rsidRDefault="003968A0" w14:paraId="6F607622" w14:textId="42FCDA95">
      <w:pPr>
        <w:rPr>
          <w:color w:val="000000"/>
        </w:rPr>
      </w:pPr>
    </w:p>
    <w:p w:rsidRPr="00DF4E4E" w:rsidR="00DF4E4E" w:rsidP="00DF4E4E" w:rsidRDefault="00DF4E4E" w14:paraId="5F620E73" w14:textId="77777777">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40D0" w:rsidP="00DF4E4E" w:rsidRDefault="008B40D0" w14:paraId="1F47984C" w14:textId="77777777">
      <w:pPr>
        <w:ind w:firstLine="360"/>
        <w:rPr>
          <w:rFonts w:ascii="Times New Roman" w:hAnsi="Times New Roman" w:cs="Times New Roman"/>
          <w:sz w:val="24"/>
        </w:rPr>
      </w:pPr>
      <w:r>
        <w:rPr>
          <w:rFonts w:ascii="Times New Roman" w:hAnsi="Times New Roman" w:cs="Times New Roman"/>
          <w:sz w:val="24"/>
        </w:rPr>
        <w:t>None</w:t>
      </w:r>
    </w:p>
    <w:p w:rsidR="008B40D0" w:rsidRDefault="008B40D0" w14:paraId="18AA54C8" w14:textId="0250FFB7">
      <w:pPr>
        <w:rPr>
          <w:rFonts w:ascii="Times New Roman" w:hAnsi="Times New Roman" w:cs="Times New Roman"/>
          <w:sz w:val="24"/>
        </w:rPr>
      </w:pPr>
    </w:p>
    <w:p w:rsidRPr="00DF4E4E" w:rsidR="00DF4E4E" w:rsidP="00DF4E4E" w:rsidRDefault="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Pr="00DF4E4E" w:rsidR="00DF4E4E" w:rsidP="00DF4E4E" w:rsidRDefault="00DF4E4E" w14:paraId="0838D87B"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F4E4E" w:rsidR="00DF4E4E" w:rsidP="00DF4E4E" w:rsidRDefault="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Pr="00DF4E4E" w:rsidR="00DF4E4E" w:rsidP="00DF4E4E" w:rsidRDefault="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F4E4E" w:rsidRDefault="00DF4E4E" w14:paraId="786ED037" w14:textId="4E36CBC9">
      <w:pPr>
        <w:rPr>
          <w:rFonts w:ascii="Times New Roman" w:hAnsi="Times New Roman" w:cs="Times New Roman"/>
          <w:sz w:val="24"/>
        </w:rPr>
      </w:pPr>
    </w:p>
    <w:p w:rsidR="00DF4E4E" w:rsidRDefault="00DF4E4E" w14:paraId="2734CDE4" w14:textId="77777777">
      <w:pPr>
        <w:rPr>
          <w:rFonts w:ascii="Times New Roman" w:hAnsi="Times New Roman" w:cs="Times New Roman"/>
          <w:sz w:val="24"/>
        </w:rPr>
      </w:pPr>
    </w:p>
    <w:p w:rsidR="00DF4E4E" w:rsidP="00DF4E4E" w:rsidRDefault="00DF4E4E" w14:paraId="2CB4DF6F" w14:textId="77777777">
      <w:pPr>
        <w:ind w:left="840"/>
        <w:rPr>
          <w:rFonts w:ascii="Times New Roman" w:hAnsi="Times New Roman" w:cs="Times New Roman"/>
          <w:sz w:val="24"/>
          <w:szCs w:val="24"/>
        </w:rPr>
      </w:pPr>
    </w:p>
    <w:p w:rsidR="00DF4E4E" w:rsidP="00DF4E4E" w:rsidRDefault="00DF4E4E" w14:paraId="5595A56F" w14:textId="77777777">
      <w:pPr>
        <w:ind w:left="840"/>
        <w:rPr>
          <w:rFonts w:ascii="Times New Roman" w:hAnsi="Times New Roman" w:cs="Times New Roman"/>
          <w:sz w:val="24"/>
          <w:szCs w:val="24"/>
        </w:rPr>
      </w:pPr>
    </w:p>
    <w:p w:rsidR="00DF4E4E" w:rsidP="00DF4E4E" w:rsidRDefault="00DF4E4E" w14:paraId="1E4FAC9F" w14:textId="76321C86">
      <w:pPr>
        <w:ind w:left="840"/>
        <w:rPr>
          <w:rFonts w:ascii="Times New Roman" w:hAnsi="Times New Roman" w:cs="Times New Roman"/>
          <w:sz w:val="24"/>
          <w:szCs w:val="24"/>
        </w:rPr>
      </w:pPr>
    </w:p>
    <w:p w:rsidR="00FE1050" w:rsidP="00DF4E4E" w:rsidRDefault="00FE1050" w14:paraId="7B7D248E" w14:textId="0AF060BD">
      <w:pPr>
        <w:ind w:left="840"/>
        <w:rPr>
          <w:rFonts w:ascii="Times New Roman" w:hAnsi="Times New Roman" w:cs="Times New Roman"/>
          <w:sz w:val="24"/>
          <w:szCs w:val="24"/>
        </w:rPr>
      </w:pPr>
    </w:p>
    <w:p w:rsidR="00FE1050" w:rsidP="00DF4E4E" w:rsidRDefault="00FE1050" w14:paraId="42BBDD98" w14:textId="3C30ED21">
      <w:pPr>
        <w:ind w:left="840"/>
        <w:rPr>
          <w:rFonts w:ascii="Times New Roman" w:hAnsi="Times New Roman" w:cs="Times New Roman"/>
          <w:sz w:val="24"/>
          <w:szCs w:val="24"/>
        </w:rPr>
      </w:pPr>
    </w:p>
    <w:p w:rsidR="00FE1050" w:rsidP="00DF4E4E" w:rsidRDefault="00FE1050" w14:paraId="3C05EDD2" w14:textId="4A815B2B">
      <w:pPr>
        <w:ind w:left="840"/>
        <w:rPr>
          <w:rFonts w:ascii="Times New Roman" w:hAnsi="Times New Roman" w:cs="Times New Roman"/>
          <w:sz w:val="24"/>
          <w:szCs w:val="24"/>
        </w:rPr>
      </w:pPr>
    </w:p>
    <w:p w:rsidR="00FE1050" w:rsidP="00DF4E4E" w:rsidRDefault="00FE1050" w14:paraId="5F935E34" w14:textId="77777777">
      <w:pPr>
        <w:ind w:left="840"/>
        <w:rPr>
          <w:rFonts w:ascii="Times New Roman" w:hAnsi="Times New Roman" w:cs="Times New Roman"/>
          <w:sz w:val="24"/>
          <w:szCs w:val="24"/>
        </w:rPr>
      </w:pPr>
    </w:p>
    <w:p w:rsidR="00DF4E4E" w:rsidP="00DF4E4E" w:rsidRDefault="00DF4E4E" w14:paraId="5764BC05" w14:textId="77777777">
      <w:pPr>
        <w:ind w:left="840"/>
        <w:rPr>
          <w:rFonts w:ascii="Times New Roman" w:hAnsi="Times New Roman" w:cs="Times New Roman"/>
          <w:sz w:val="24"/>
          <w:szCs w:val="24"/>
        </w:rPr>
      </w:pPr>
    </w:p>
    <w:p w:rsidR="008B40D0" w:rsidP="00DF4E4E" w:rsidRDefault="00682B0F" w14:paraId="78DEB635" w14:textId="719E0CFA">
      <w:pPr>
        <w:ind w:left="840"/>
        <w:rPr>
          <w:rFonts w:ascii="Times New Roman" w:hAnsi="Times New Roman" w:cs="Times New Roman"/>
          <w:b/>
          <w:sz w:val="24"/>
        </w:rPr>
      </w:pPr>
      <w:r w:rsidRPr="00C635B8">
        <w:rPr>
          <w:rFonts w:ascii="Times New Roman" w:hAnsi="Times New Roman" w:cs="Times New Roman"/>
          <w:sz w:val="24"/>
          <w:szCs w:val="24"/>
        </w:rPr>
        <w:t xml:space="preserve"> </w:t>
      </w:r>
    </w:p>
    <w:p w:rsidRPr="00225624" w:rsidR="00225624" w:rsidP="00225624" w:rsidRDefault="00225624" w14:paraId="1E16945C" w14:textId="77777777">
      <w:pPr>
        <w:overflowPunct w:val="0"/>
        <w:autoSpaceDE w:val="0"/>
        <w:autoSpaceDN w:val="0"/>
        <w:adjustRightInd w:val="0"/>
        <w:spacing w:after="200"/>
        <w:jc w:val="center"/>
        <w:textAlignment w:val="baseline"/>
        <w:rPr>
          <w:rFonts w:ascii="Times New Roman" w:hAnsi="Times New Roman" w:eastAsia="Times New Roman" w:cs="Times New Roman"/>
          <w:b/>
          <w:sz w:val="24"/>
          <w:szCs w:val="24"/>
        </w:rPr>
      </w:pPr>
      <w:r w:rsidRPr="00225624">
        <w:rPr>
          <w:rFonts w:ascii="Times New Roman" w:hAnsi="Times New Roman" w:eastAsia="Times New Roman" w:cs="Times New Roman"/>
          <w:b/>
          <w:sz w:val="24"/>
          <w:szCs w:val="24"/>
        </w:rPr>
        <w:lastRenderedPageBreak/>
        <w:t>Table 1: Data Collection Activities and Anticipated Burden</w:t>
      </w:r>
    </w:p>
    <w:tbl>
      <w:tblPr>
        <w:tblW w:w="9450" w:type="dxa"/>
        <w:tblInd w:w="-100" w:type="dxa"/>
        <w:tblLayout w:type="fixed"/>
        <w:tblCellMar>
          <w:left w:w="0" w:type="dxa"/>
          <w:right w:w="0" w:type="dxa"/>
        </w:tblCellMar>
        <w:tblLook w:val="04A0" w:firstRow="1" w:lastRow="0" w:firstColumn="1" w:lastColumn="0" w:noHBand="0" w:noVBand="1"/>
      </w:tblPr>
      <w:tblGrid>
        <w:gridCol w:w="1530"/>
        <w:gridCol w:w="1350"/>
        <w:gridCol w:w="1170"/>
        <w:gridCol w:w="1170"/>
        <w:gridCol w:w="1080"/>
        <w:gridCol w:w="990"/>
        <w:gridCol w:w="1080"/>
        <w:gridCol w:w="1080"/>
      </w:tblGrid>
      <w:tr w:rsidRPr="00225624" w:rsidR="00225624" w:rsidTr="00CD04C1" w14:paraId="5196B945" w14:textId="77777777">
        <w:trPr>
          <w:trHeight w:val="751"/>
        </w:trPr>
        <w:tc>
          <w:tcPr>
            <w:tcW w:w="15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6346561A"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bookmarkStart w:name="_Hlk20213485" w:id="1"/>
            <w:r w:rsidRPr="00343058">
              <w:rPr>
                <w:rFonts w:ascii="Times New Roman" w:hAnsi="Times New Roman" w:eastAsia="Times New Roman" w:cs="Times New Roman"/>
                <w:b/>
                <w:sz w:val="20"/>
                <w:szCs w:val="20"/>
              </w:rPr>
              <w:t>Information Collection</w:t>
            </w:r>
          </w:p>
          <w:p w:rsidRPr="00343058" w:rsidR="00225624" w:rsidP="00225624" w:rsidRDefault="00225624" w14:paraId="1C6204A1" w14:textId="4AF5B198">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77585E84"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Number of Respondents</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142ED97A"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Frequency of Response</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6459E9F8"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Responses</w:t>
            </w:r>
          </w:p>
          <w:p w:rsidRPr="00343058" w:rsidR="00225624" w:rsidP="00225624" w:rsidRDefault="00225624" w14:paraId="6871C853"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Per Annum</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701F144E"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Burden Hour Per Response</w:t>
            </w: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735AF3B6"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proofErr w:type="gramStart"/>
            <w:r w:rsidRPr="00343058">
              <w:rPr>
                <w:rFonts w:ascii="Times New Roman" w:hAnsi="Times New Roman" w:eastAsia="Times New Roman" w:cs="Times New Roman"/>
                <w:b/>
                <w:sz w:val="20"/>
                <w:szCs w:val="20"/>
              </w:rPr>
              <w:t>Annual  Burden</w:t>
            </w:r>
            <w:proofErr w:type="gramEnd"/>
            <w:r w:rsidRPr="00343058">
              <w:rPr>
                <w:rFonts w:ascii="Times New Roman" w:hAnsi="Times New Roman" w:eastAsia="Times New Roman" w:cs="Times New Roman"/>
                <w:b/>
                <w:sz w:val="20"/>
                <w:szCs w:val="20"/>
              </w:rPr>
              <w:t xml:space="preserve"> Hours</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343058" w:rsidR="00225624" w:rsidP="00225624" w:rsidRDefault="00225624" w14:paraId="0344853B"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Hourly Cost Per Response</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343058" w:rsidR="00225624" w:rsidP="00225624" w:rsidRDefault="00225624" w14:paraId="76B7E280"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r w:rsidRPr="00343058">
              <w:rPr>
                <w:rFonts w:ascii="Times New Roman" w:hAnsi="Times New Roman" w:eastAsia="Times New Roman" w:cs="Times New Roman"/>
                <w:b/>
                <w:sz w:val="20"/>
                <w:szCs w:val="20"/>
              </w:rPr>
              <w:t>Annual Cost</w:t>
            </w:r>
          </w:p>
          <w:p w:rsidRPr="00343058" w:rsidR="00225624" w:rsidP="00225624" w:rsidRDefault="00225624" w14:paraId="07793FF1" w14:textId="77777777">
            <w:pPr>
              <w:tabs>
                <w:tab w:val="left" w:pos="480"/>
              </w:tabs>
              <w:overflowPunct w:val="0"/>
              <w:autoSpaceDE w:val="0"/>
              <w:autoSpaceDN w:val="0"/>
              <w:adjustRightInd w:val="0"/>
              <w:textAlignment w:val="baseline"/>
              <w:rPr>
                <w:rFonts w:ascii="Times New Roman" w:hAnsi="Times New Roman" w:eastAsia="Times New Roman" w:cs="Times New Roman"/>
                <w:b/>
                <w:sz w:val="20"/>
                <w:szCs w:val="20"/>
              </w:rPr>
            </w:pPr>
          </w:p>
        </w:tc>
      </w:tr>
      <w:tr w:rsidRPr="00225624" w:rsidR="00225624" w:rsidTr="00CD04C1" w14:paraId="5E59B7B1"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ED3F03" w14:paraId="438B05B7" w14:textId="47CCCDA8">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cs="Times New Roman"/>
                <w:sz w:val="20"/>
                <w:szCs w:val="20"/>
              </w:rPr>
              <w:t>Applicants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ED3F03" w14:paraId="476725EE" w14:textId="2965FFEE">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r w:rsidR="00495A80">
              <w:rPr>
                <w:rFonts w:ascii="Times New Roman" w:hAnsi="Times New Roman" w:eastAsia="Times New Roman" w:cs="Times New Roman"/>
                <w:sz w:val="20"/>
                <w:szCs w:val="20"/>
              </w:rPr>
              <w:t>5</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225624" w14:paraId="5B26FD3E" w14:textId="77777777">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ED3F03" w14:paraId="01CE0EF1" w14:textId="3BBD2845">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eastAsia="Times New Roman" w:cs="Times New Roman"/>
                <w:bCs/>
                <w:sz w:val="20"/>
                <w:szCs w:val="20"/>
              </w:rPr>
              <w:t>1</w:t>
            </w:r>
            <w:r w:rsidR="00495A80">
              <w:rPr>
                <w:rFonts w:ascii="Times New Roman" w:hAnsi="Times New Roman" w:eastAsia="Times New Roman" w:cs="Times New Roman"/>
                <w:bCs/>
                <w:sz w:val="20"/>
                <w:szCs w:val="20"/>
              </w:rPr>
              <w:t>5</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ED3F03" w14:paraId="35A4639A" w14:textId="496C0D74">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eastAsia="Times New Roman" w:cs="Times New Roman"/>
                <w:bCs/>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ED3F03" w14:paraId="7E8DD1AD" w14:textId="494FB362">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eastAsia="Times New Roman" w:cs="Times New Roman"/>
                <w:sz w:val="20"/>
                <w:szCs w:val="20"/>
              </w:rPr>
              <w:t>1</w:t>
            </w:r>
            <w:r w:rsidR="00495A80">
              <w:rPr>
                <w:rFonts w:ascii="Times New Roman" w:hAnsi="Times New Roman" w:eastAsia="Times New Roman" w:cs="Times New Roman"/>
                <w:sz w:val="20"/>
                <w:szCs w:val="20"/>
              </w:rPr>
              <w:t>5</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D17173" w14:paraId="21B1C5AC" w14:textId="0D91A0F8">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w:t>
            </w:r>
            <w:r w:rsidRPr="00343058" w:rsidR="00225624">
              <w:rPr>
                <w:rFonts w:ascii="Times New Roman" w:hAnsi="Times New Roman" w:eastAsia="Times New Roman" w:cs="Times New Roman"/>
                <w:sz w:val="20"/>
                <w:szCs w:val="20"/>
              </w:rPr>
              <w:t>5</w:t>
            </w:r>
            <w:r w:rsidRPr="00343058">
              <w:rPr>
                <w:rFonts w:ascii="Times New Roman" w:hAnsi="Times New Roman" w:eastAsia="Times New Roman" w:cs="Times New Roman"/>
                <w:sz w:val="20"/>
                <w:szCs w:val="20"/>
              </w:rPr>
              <w:t>0</w:t>
            </w:r>
            <w:r w:rsidRPr="00343058" w:rsidR="00225624">
              <w:rPr>
                <w:rFonts w:ascii="Times New Roman" w:hAnsi="Times New Roman" w:eastAsia="Times New Roman" w:cs="Times New Roman"/>
                <w:sz w:val="20"/>
                <w:szCs w:val="20"/>
              </w:rPr>
              <w:t>.00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RDefault="00225624" w14:paraId="3BF919A6" w14:textId="0CA089B8">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w:t>
            </w:r>
            <w:r w:rsidR="00495A80">
              <w:rPr>
                <w:rFonts w:ascii="Times New Roman" w:hAnsi="Times New Roman" w:eastAsia="Times New Roman" w:cs="Times New Roman"/>
                <w:sz w:val="20"/>
                <w:szCs w:val="20"/>
              </w:rPr>
              <w:t>75</w:t>
            </w:r>
            <w:r w:rsidRPr="00343058" w:rsidR="00D17173">
              <w:rPr>
                <w:rFonts w:ascii="Times New Roman" w:hAnsi="Times New Roman" w:eastAsia="Times New Roman" w:cs="Times New Roman"/>
                <w:sz w:val="20"/>
                <w:szCs w:val="20"/>
              </w:rPr>
              <w:t>0.00</w:t>
            </w:r>
          </w:p>
        </w:tc>
      </w:tr>
      <w:tr w:rsidRPr="00225624" w:rsidR="00ED3F03" w:rsidTr="00CD04C1" w14:paraId="185C8CE5"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7C145C79" w14:textId="7BBE368D">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cs="Times New Roman"/>
                <w:sz w:val="20"/>
                <w:szCs w:val="20"/>
              </w:rPr>
              <w:t>Quarterly Reports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342C859E" w14:textId="7A8D81B8">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2B0EDB63" w14:textId="3EB683AA">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74032866" w14:textId="223245DE">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3831BD2D" w14:textId="22A42022">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67334561" w14:textId="414D9E31">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D17173" w14:paraId="34F998DE" w14:textId="6B8825B9">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D17173" w14:paraId="666A5570" w14:textId="0CFED913">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$0</w:t>
            </w:r>
          </w:p>
        </w:tc>
      </w:tr>
      <w:tr w:rsidRPr="00225624" w:rsidR="00ED3F03" w:rsidTr="00CD04C1" w14:paraId="5739B979"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0FABB754" w14:textId="6678BD55">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cs="Times New Roman"/>
                <w:sz w:val="20"/>
                <w:szCs w:val="20"/>
              </w:rPr>
              <w:t>Annual Reports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49A4CD88" w14:textId="77866995">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40</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526DC734" w14:textId="7AE5E187">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587FE5D7" w14:textId="43F18944">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40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3DA13BAD" w14:textId="5F9FF351">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6D7B3C21" w14:textId="65136EDD">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40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D17173" w14:paraId="2BBEA77D" w14:textId="1E088551">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$44.00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D17173" w14:paraId="4C2C36A8" w14:textId="44340FCD">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$1,760.00</w:t>
            </w:r>
          </w:p>
        </w:tc>
      </w:tr>
      <w:tr w:rsidRPr="00225624" w:rsidR="00ED3F03" w:rsidTr="00CD04C1" w14:paraId="162442BB"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5EC28D05" w14:textId="1E46BA62">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cs="Times New Roman"/>
                <w:sz w:val="20"/>
                <w:szCs w:val="20"/>
              </w:rPr>
              <w:t>Final Reports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68A8D7F9" w14:textId="207616E1">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6</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30725F86" w14:textId="6009F0E7">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2EC75905" w14:textId="242BC0DC">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6</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30AED747" w14:textId="297F6B0E">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3E859D0E" w14:textId="3EB7A67C">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6</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D17173" w14:paraId="26E6E8E5" w14:textId="5595117A">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$50.00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0381659F" w14:textId="40EE46DE">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$300</w:t>
            </w:r>
            <w:r w:rsidRPr="00343058" w:rsidR="00D17173">
              <w:rPr>
                <w:rFonts w:ascii="Times New Roman" w:hAnsi="Times New Roman" w:eastAsia="Times New Roman" w:cs="Times New Roman"/>
                <w:sz w:val="20"/>
                <w:szCs w:val="20"/>
              </w:rPr>
              <w:t>.00</w:t>
            </w:r>
          </w:p>
        </w:tc>
      </w:tr>
      <w:tr w:rsidRPr="00225624" w:rsidR="00ED3F03" w:rsidTr="00CD04C1" w14:paraId="1609F66B"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48C4D505" w14:textId="62A01BD0">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r w:rsidRPr="00343058">
              <w:rPr>
                <w:rFonts w:ascii="Times New Roman" w:hAnsi="Times New Roman" w:cs="Times New Roman"/>
                <w:sz w:val="20"/>
                <w:szCs w:val="20"/>
              </w:rPr>
              <w:t>Recordkeeping</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ED3F03" w14:paraId="422CEFB7" w14:textId="1BCBCDD1">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r w:rsidR="00495A80">
              <w:rPr>
                <w:rFonts w:ascii="Times New Roman" w:hAnsi="Times New Roman" w:eastAsia="Times New Roman" w:cs="Times New Roman"/>
                <w:sz w:val="20"/>
                <w:szCs w:val="20"/>
              </w:rPr>
              <w:t>5</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50F52395" w14:textId="0DE59A28">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3</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495A80" w14:paraId="6762FEBE" w14:textId="2F7EFBA2">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5BD3A347" w14:textId="5DED98F8">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495A80" w14:paraId="3665CE16" w14:textId="32531879">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p w:rsidRPr="00343058" w:rsidR="003E3328" w:rsidP="00225624" w:rsidRDefault="003E3328" w14:paraId="612BB5FB" w14:textId="7EA260BA">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RDefault="00D17173" w14:paraId="64F13A32" w14:textId="5B25057D">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w:t>
            </w:r>
            <w:r w:rsidR="00CD04C1">
              <w:rPr>
                <w:rFonts w:ascii="Times New Roman" w:hAnsi="Times New Roman" w:eastAsia="Times New Roman" w:cs="Times New Roman"/>
                <w:sz w:val="20"/>
                <w:szCs w:val="20"/>
              </w:rPr>
              <w:t>3</w:t>
            </w:r>
            <w:r w:rsidRPr="00343058">
              <w:rPr>
                <w:rFonts w:ascii="Times New Roman" w:hAnsi="Times New Roman" w:eastAsia="Times New Roman" w:cs="Times New Roman"/>
                <w:sz w:val="20"/>
                <w:szCs w:val="20"/>
              </w:rPr>
              <w:t>0.00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ED3F03" w:rsidP="00225624" w:rsidRDefault="003E3328" w14:paraId="15526C1B" w14:textId="4D325D67">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sz w:val="20"/>
                <w:szCs w:val="20"/>
              </w:rPr>
              <w:t>$</w:t>
            </w:r>
            <w:r w:rsidR="00CD04C1">
              <w:rPr>
                <w:rFonts w:ascii="Times New Roman" w:hAnsi="Times New Roman" w:eastAsia="Times New Roman" w:cs="Times New Roman"/>
                <w:sz w:val="20"/>
                <w:szCs w:val="20"/>
              </w:rPr>
              <w:t>1,35</w:t>
            </w:r>
            <w:r w:rsidRPr="00343058">
              <w:rPr>
                <w:rFonts w:ascii="Times New Roman" w:hAnsi="Times New Roman" w:eastAsia="Times New Roman" w:cs="Times New Roman"/>
                <w:sz w:val="20"/>
                <w:szCs w:val="20"/>
              </w:rPr>
              <w:t>0.00</w:t>
            </w:r>
          </w:p>
        </w:tc>
      </w:tr>
      <w:tr w:rsidRPr="00225624" w:rsidR="00225624" w:rsidTr="00CD04C1" w14:paraId="3A9350CF" w14:textId="77777777">
        <w:trPr>
          <w:trHeight w:val="245"/>
        </w:trPr>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225624" w14:paraId="32E8D898" w14:textId="77777777">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b/>
                <w:sz w:val="20"/>
                <w:szCs w:val="20"/>
              </w:rPr>
              <w:t>Total Burden Hours</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D17173" w14:paraId="29CA0A26" w14:textId="6AF2183C">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b/>
                <w:sz w:val="20"/>
                <w:szCs w:val="20"/>
              </w:rPr>
              <w:t>7</w:t>
            </w:r>
            <w:r w:rsidR="00495A80">
              <w:rPr>
                <w:rFonts w:ascii="Times New Roman" w:hAnsi="Times New Roman" w:eastAsia="Times New Roman" w:cs="Times New Roman"/>
                <w:b/>
                <w:sz w:val="20"/>
                <w:szCs w:val="20"/>
              </w:rPr>
              <w:t>6</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225624" w14:paraId="46F41FDB" w14:textId="77777777">
            <w:pPr>
              <w:overflowPunct w:val="0"/>
              <w:autoSpaceDE w:val="0"/>
              <w:autoSpaceDN w:val="0"/>
              <w:adjustRightInd w:val="0"/>
              <w:textAlignment w:val="baseline"/>
              <w:rPr>
                <w:rFonts w:ascii="Times New Roman" w:hAnsi="Times New Roman" w:eastAsia="Times New Roman" w:cs="Times New Roman"/>
                <w:sz w:val="20"/>
                <w:szCs w:val="20"/>
              </w:rPr>
            </w:pP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225624" w14:paraId="1E76FC69" w14:textId="77777777">
            <w:pPr>
              <w:tabs>
                <w:tab w:val="left" w:pos="480"/>
              </w:tabs>
              <w:overflowPunct w:val="0"/>
              <w:autoSpaceDE w:val="0"/>
              <w:autoSpaceDN w:val="0"/>
              <w:adjustRightInd w:val="0"/>
              <w:textAlignment w:val="baseline"/>
              <w:rPr>
                <w:rFonts w:ascii="Times New Roman" w:hAnsi="Times New Roman" w:eastAsia="Times New Roman" w:cs="Times New Roman"/>
                <w:bCs/>
                <w:sz w:val="20"/>
                <w:szCs w:val="20"/>
              </w:rPr>
            </w:pP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225624" w14:paraId="55BE188B" w14:textId="77777777">
            <w:pPr>
              <w:tabs>
                <w:tab w:val="left" w:pos="480"/>
              </w:tabs>
              <w:overflowPunct w:val="0"/>
              <w:autoSpaceDE w:val="0"/>
              <w:autoSpaceDN w:val="0"/>
              <w:adjustRightInd w:val="0"/>
              <w:textAlignment w:val="baseline"/>
              <w:rPr>
                <w:rFonts w:ascii="Times New Roman" w:hAnsi="Times New Roman" w:eastAsia="Times New Roman" w:cs="Times New Roman"/>
                <w:sz w:val="20"/>
                <w:szCs w:val="20"/>
              </w:rPr>
            </w:pP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225624" w:rsidRDefault="00495A80" w14:paraId="78C06283" w14:textId="582AA565">
            <w:pPr>
              <w:tabs>
                <w:tab w:val="left" w:pos="480"/>
              </w:tabs>
              <w:overflowPunct w:val="0"/>
              <w:autoSpaceDE w:val="0"/>
              <w:autoSpaceDN w:val="0"/>
              <w:adjustRightInd w:val="0"/>
              <w:textAlignment w:val="baseline"/>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106</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RDefault="00225624" w14:paraId="07902983" w14:textId="7C28977E">
            <w:pPr>
              <w:overflowPunct w:val="0"/>
              <w:autoSpaceDE w:val="0"/>
              <w:autoSpaceDN w:val="0"/>
              <w:adjustRightInd w:val="0"/>
              <w:textAlignment w:val="baseline"/>
              <w:rPr>
                <w:rFonts w:ascii="Times New Roman" w:hAnsi="Times New Roman" w:eastAsia="Times New Roman" w:cs="Times New Roman"/>
                <w:sz w:val="20"/>
                <w:szCs w:val="20"/>
              </w:rPr>
            </w:pP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43058" w:rsidR="00225624" w:rsidP="003E3328" w:rsidRDefault="00225624" w14:paraId="40954C0C" w14:textId="439FEBDB">
            <w:pPr>
              <w:overflowPunct w:val="0"/>
              <w:autoSpaceDE w:val="0"/>
              <w:autoSpaceDN w:val="0"/>
              <w:adjustRightInd w:val="0"/>
              <w:textAlignment w:val="baseline"/>
              <w:rPr>
                <w:rFonts w:ascii="Times New Roman" w:hAnsi="Times New Roman" w:eastAsia="Times New Roman" w:cs="Times New Roman"/>
                <w:sz w:val="20"/>
                <w:szCs w:val="20"/>
              </w:rPr>
            </w:pPr>
            <w:r w:rsidRPr="00343058">
              <w:rPr>
                <w:rFonts w:ascii="Times New Roman" w:hAnsi="Times New Roman" w:eastAsia="Times New Roman" w:cs="Times New Roman"/>
                <w:b/>
                <w:sz w:val="20"/>
                <w:szCs w:val="20"/>
              </w:rPr>
              <w:t>$</w:t>
            </w:r>
            <w:r w:rsidR="00CD04C1">
              <w:rPr>
                <w:rFonts w:ascii="Times New Roman" w:hAnsi="Times New Roman" w:eastAsia="Times New Roman" w:cs="Times New Roman"/>
                <w:b/>
                <w:sz w:val="20"/>
                <w:szCs w:val="20"/>
              </w:rPr>
              <w:t>4</w:t>
            </w:r>
            <w:r w:rsidRPr="00343058" w:rsidR="003E3328">
              <w:rPr>
                <w:rFonts w:ascii="Times New Roman" w:hAnsi="Times New Roman" w:eastAsia="Times New Roman" w:cs="Times New Roman"/>
                <w:b/>
                <w:sz w:val="20"/>
                <w:szCs w:val="20"/>
              </w:rPr>
              <w:t>,</w:t>
            </w:r>
            <w:r w:rsidR="00CD04C1">
              <w:rPr>
                <w:rFonts w:ascii="Times New Roman" w:hAnsi="Times New Roman" w:eastAsia="Times New Roman" w:cs="Times New Roman"/>
                <w:b/>
                <w:sz w:val="20"/>
                <w:szCs w:val="20"/>
              </w:rPr>
              <w:t>160</w:t>
            </w:r>
            <w:r w:rsidRPr="00343058" w:rsidR="00D17173">
              <w:rPr>
                <w:rFonts w:ascii="Times New Roman" w:hAnsi="Times New Roman" w:eastAsia="Times New Roman" w:cs="Times New Roman"/>
                <w:b/>
                <w:sz w:val="20"/>
                <w:szCs w:val="20"/>
              </w:rPr>
              <w:t>.00</w:t>
            </w:r>
          </w:p>
        </w:tc>
      </w:tr>
      <w:bookmarkEnd w:id="1"/>
    </w:tbl>
    <w:p w:rsidR="00C635B8" w:rsidRDefault="00C635B8" w14:paraId="1F780E2E" w14:textId="77777777">
      <w:pPr>
        <w:rPr>
          <w:rFonts w:ascii="Times New Roman" w:hAnsi="Times New Roman" w:cs="Times New Roman"/>
          <w:b/>
          <w:sz w:val="24"/>
        </w:rPr>
      </w:pPr>
    </w:p>
    <w:p w:rsidR="007571C4" w:rsidRDefault="007571C4" w14:paraId="13010D23" w14:textId="36A09320">
      <w:pPr>
        <w:rPr>
          <w:rFonts w:ascii="Times New Roman" w:hAnsi="Times New Roman" w:cs="Times New Roman"/>
          <w:sz w:val="24"/>
        </w:rPr>
      </w:pPr>
      <w:r w:rsidRPr="00F769CF">
        <w:rPr>
          <w:rFonts w:ascii="Times New Roman" w:hAnsi="Times New Roman" w:cs="Times New Roman"/>
          <w:b/>
          <w:sz w:val="24"/>
        </w:rPr>
        <w:t>Costs to Applicants.</w:t>
      </w:r>
      <w:r>
        <w:rPr>
          <w:rFonts w:ascii="Times New Roman" w:hAnsi="Times New Roman" w:cs="Times New Roman"/>
          <w:sz w:val="24"/>
        </w:rPr>
        <w:t xml:space="preserve"> Estimate assumes each applicant spends about </w:t>
      </w:r>
      <w:r w:rsidR="00811F26">
        <w:rPr>
          <w:rFonts w:ascii="Times New Roman" w:hAnsi="Times New Roman" w:cs="Times New Roman"/>
          <w:sz w:val="24"/>
        </w:rPr>
        <w:t xml:space="preserve">1 </w:t>
      </w:r>
      <w:r>
        <w:rPr>
          <w:rFonts w:ascii="Times New Roman" w:hAnsi="Times New Roman" w:cs="Times New Roman"/>
          <w:sz w:val="24"/>
        </w:rPr>
        <w:t>person-hour to complete the application. Most of this time is invested by a professor or other senior staff person.</w:t>
      </w:r>
      <w:r w:rsidR="00C363D5">
        <w:rPr>
          <w:rFonts w:ascii="Times New Roman" w:hAnsi="Times New Roman" w:cs="Times New Roman"/>
          <w:sz w:val="24"/>
        </w:rPr>
        <w:t xml:space="preserve"> </w:t>
      </w:r>
      <w:r>
        <w:rPr>
          <w:rFonts w:ascii="Times New Roman" w:hAnsi="Times New Roman" w:cs="Times New Roman"/>
          <w:sz w:val="24"/>
        </w:rPr>
        <w:t>Average hourly rate is assumed to be $</w:t>
      </w:r>
      <w:r w:rsidR="00C363D5">
        <w:rPr>
          <w:rFonts w:ascii="Times New Roman" w:hAnsi="Times New Roman" w:cs="Times New Roman"/>
          <w:sz w:val="24"/>
        </w:rPr>
        <w:t>5</w:t>
      </w:r>
      <w:r w:rsidR="0053339A">
        <w:rPr>
          <w:rFonts w:ascii="Times New Roman" w:hAnsi="Times New Roman" w:cs="Times New Roman"/>
          <w:sz w:val="24"/>
        </w:rPr>
        <w:t>0</w:t>
      </w:r>
      <w:r>
        <w:rPr>
          <w:rFonts w:ascii="Times New Roman" w:hAnsi="Times New Roman" w:cs="Times New Roman"/>
          <w:sz w:val="24"/>
        </w:rPr>
        <w:t>.</w:t>
      </w:r>
      <w:r w:rsidR="00C363D5">
        <w:rPr>
          <w:rFonts w:ascii="Times New Roman" w:hAnsi="Times New Roman" w:cs="Times New Roman"/>
          <w:sz w:val="24"/>
        </w:rPr>
        <w:t xml:space="preserve"> </w:t>
      </w:r>
      <w:r>
        <w:rPr>
          <w:rFonts w:ascii="Times New Roman" w:hAnsi="Times New Roman" w:cs="Times New Roman"/>
          <w:sz w:val="24"/>
        </w:rPr>
        <w:t xml:space="preserve">Each applicant would incur costs equal to </w:t>
      </w:r>
      <w:proofErr w:type="gramStart"/>
      <w:r w:rsidR="00811F26">
        <w:rPr>
          <w:rFonts w:ascii="Times New Roman" w:hAnsi="Times New Roman" w:cs="Times New Roman"/>
          <w:sz w:val="24"/>
        </w:rPr>
        <w:t xml:space="preserve">1 </w:t>
      </w:r>
      <w:r>
        <w:rPr>
          <w:rFonts w:ascii="Times New Roman" w:hAnsi="Times New Roman" w:cs="Times New Roman"/>
          <w:sz w:val="24"/>
        </w:rPr>
        <w:t>hour</w:t>
      </w:r>
      <w:proofErr w:type="gramEnd"/>
      <w:r>
        <w:rPr>
          <w:rFonts w:ascii="Times New Roman" w:hAnsi="Times New Roman" w:cs="Times New Roman"/>
          <w:sz w:val="24"/>
        </w:rPr>
        <w:t xml:space="preserve"> x $</w:t>
      </w:r>
      <w:r w:rsidR="00C363D5">
        <w:rPr>
          <w:rFonts w:ascii="Times New Roman" w:hAnsi="Times New Roman" w:cs="Times New Roman"/>
          <w:sz w:val="24"/>
        </w:rPr>
        <w:t>5</w:t>
      </w:r>
      <w:r>
        <w:rPr>
          <w:rFonts w:ascii="Times New Roman" w:hAnsi="Times New Roman" w:cs="Times New Roman"/>
          <w:sz w:val="24"/>
        </w:rPr>
        <w:t>0 = $</w:t>
      </w:r>
      <w:r w:rsidR="00811F26">
        <w:rPr>
          <w:rFonts w:ascii="Times New Roman" w:hAnsi="Times New Roman" w:cs="Times New Roman"/>
          <w:sz w:val="24"/>
        </w:rPr>
        <w:t>50</w:t>
      </w:r>
      <w:r>
        <w:rPr>
          <w:rFonts w:ascii="Times New Roman" w:hAnsi="Times New Roman" w:cs="Times New Roman"/>
          <w:sz w:val="24"/>
        </w:rPr>
        <w:t>.</w:t>
      </w:r>
      <w:r w:rsidR="00811F26">
        <w:rPr>
          <w:rFonts w:ascii="Times New Roman" w:hAnsi="Times New Roman" w:cs="Times New Roman"/>
          <w:sz w:val="24"/>
        </w:rPr>
        <w:t xml:space="preserve">  </w:t>
      </w:r>
      <w:r>
        <w:rPr>
          <w:rFonts w:ascii="Times New Roman" w:hAnsi="Times New Roman" w:cs="Times New Roman"/>
          <w:sz w:val="24"/>
        </w:rPr>
        <w:t xml:space="preserve">Total costs to applicants, assuming </w:t>
      </w:r>
      <w:r w:rsidR="00670A54">
        <w:rPr>
          <w:rFonts w:ascii="Times New Roman" w:hAnsi="Times New Roman" w:cs="Times New Roman"/>
          <w:sz w:val="24"/>
        </w:rPr>
        <w:t>1</w:t>
      </w:r>
      <w:r w:rsidR="00495A80">
        <w:rPr>
          <w:rFonts w:ascii="Times New Roman" w:hAnsi="Times New Roman" w:cs="Times New Roman"/>
          <w:sz w:val="24"/>
        </w:rPr>
        <w:t>5</w:t>
      </w:r>
      <w:r w:rsidR="00670A54">
        <w:rPr>
          <w:rFonts w:ascii="Times New Roman" w:hAnsi="Times New Roman" w:cs="Times New Roman"/>
          <w:sz w:val="24"/>
        </w:rPr>
        <w:t xml:space="preserve"> </w:t>
      </w:r>
      <w:r>
        <w:rPr>
          <w:rFonts w:ascii="Times New Roman" w:hAnsi="Times New Roman" w:cs="Times New Roman"/>
          <w:sz w:val="24"/>
        </w:rPr>
        <w:t xml:space="preserve">applicants, will equal </w:t>
      </w:r>
      <w:r w:rsidR="00670A54">
        <w:rPr>
          <w:rFonts w:ascii="Times New Roman" w:hAnsi="Times New Roman" w:cs="Times New Roman"/>
          <w:sz w:val="24"/>
        </w:rPr>
        <w:t>1</w:t>
      </w:r>
      <w:r w:rsidR="00495A80">
        <w:rPr>
          <w:rFonts w:ascii="Times New Roman" w:hAnsi="Times New Roman" w:cs="Times New Roman"/>
          <w:sz w:val="24"/>
        </w:rPr>
        <w:t>5</w:t>
      </w:r>
      <w:r w:rsidR="00670A54">
        <w:rPr>
          <w:rFonts w:ascii="Times New Roman" w:hAnsi="Times New Roman" w:cs="Times New Roman"/>
          <w:sz w:val="24"/>
        </w:rPr>
        <w:t xml:space="preserve"> </w:t>
      </w:r>
      <w:r>
        <w:rPr>
          <w:rFonts w:ascii="Times New Roman" w:hAnsi="Times New Roman" w:cs="Times New Roman"/>
          <w:sz w:val="24"/>
        </w:rPr>
        <w:t>x $</w:t>
      </w:r>
      <w:r w:rsidR="00670A54">
        <w:rPr>
          <w:rFonts w:ascii="Times New Roman" w:hAnsi="Times New Roman" w:cs="Times New Roman"/>
          <w:sz w:val="24"/>
        </w:rPr>
        <w:t>50</w:t>
      </w:r>
      <w:r>
        <w:rPr>
          <w:rFonts w:ascii="Times New Roman" w:hAnsi="Times New Roman" w:cs="Times New Roman"/>
          <w:sz w:val="24"/>
        </w:rPr>
        <w:t>= $</w:t>
      </w:r>
      <w:r w:rsidR="00495A80">
        <w:rPr>
          <w:rFonts w:ascii="Times New Roman" w:hAnsi="Times New Roman" w:cs="Times New Roman"/>
          <w:sz w:val="24"/>
        </w:rPr>
        <w:t>75</w:t>
      </w:r>
      <w:r w:rsidR="00670A54">
        <w:rPr>
          <w:rFonts w:ascii="Times New Roman" w:hAnsi="Times New Roman" w:cs="Times New Roman"/>
          <w:sz w:val="24"/>
        </w:rPr>
        <w:t>0</w:t>
      </w:r>
      <w:r w:rsidR="00495A80">
        <w:rPr>
          <w:rFonts w:ascii="Times New Roman" w:hAnsi="Times New Roman" w:cs="Times New Roman"/>
          <w:sz w:val="24"/>
        </w:rPr>
        <w:t>.</w:t>
      </w:r>
    </w:p>
    <w:p w:rsidR="00C717AA" w:rsidRDefault="00C717AA" w14:paraId="2A61B130" w14:textId="77777777">
      <w:pPr>
        <w:rPr>
          <w:rFonts w:ascii="Times New Roman" w:hAnsi="Times New Roman" w:cs="Times New Roman"/>
          <w:b/>
          <w:sz w:val="24"/>
        </w:rPr>
      </w:pPr>
    </w:p>
    <w:p w:rsidR="00670A54" w:rsidRDefault="007571C4" w14:paraId="00D73E21" w14:textId="1DE87609">
      <w:pPr>
        <w:rPr>
          <w:rFonts w:ascii="Times New Roman" w:hAnsi="Times New Roman" w:cs="Times New Roman"/>
          <w:sz w:val="24"/>
        </w:rPr>
      </w:pPr>
      <w:r w:rsidRPr="00F769CF">
        <w:rPr>
          <w:rFonts w:ascii="Times New Roman" w:hAnsi="Times New Roman" w:cs="Times New Roman"/>
          <w:b/>
          <w:sz w:val="24"/>
        </w:rPr>
        <w:t xml:space="preserve">Costs to Awardees. </w:t>
      </w:r>
      <w:r w:rsidR="00670A54">
        <w:rPr>
          <w:rFonts w:ascii="Times New Roman" w:hAnsi="Times New Roman" w:cs="Times New Roman"/>
          <w:sz w:val="24"/>
        </w:rPr>
        <w:t>Each person having access to the data would be required to fill out and notarize an affidavit promising not to disclose the data to third parties.  It is expected that on average there will be three such persons per license, paid on average at a graduate assistant level of $</w:t>
      </w:r>
      <w:r w:rsidR="00F77FE2">
        <w:rPr>
          <w:rFonts w:ascii="Times New Roman" w:hAnsi="Times New Roman" w:cs="Times New Roman"/>
          <w:sz w:val="24"/>
        </w:rPr>
        <w:t>3</w:t>
      </w:r>
      <w:r w:rsidR="00670A54">
        <w:rPr>
          <w:rFonts w:ascii="Times New Roman" w:hAnsi="Times New Roman" w:cs="Times New Roman"/>
          <w:sz w:val="24"/>
        </w:rPr>
        <w:t>0 per hour. Assuming 1</w:t>
      </w:r>
      <w:r w:rsidR="00495A80">
        <w:rPr>
          <w:rFonts w:ascii="Times New Roman" w:hAnsi="Times New Roman" w:cs="Times New Roman"/>
          <w:sz w:val="24"/>
        </w:rPr>
        <w:t>5</w:t>
      </w:r>
      <w:r w:rsidR="00670A54">
        <w:rPr>
          <w:rFonts w:ascii="Times New Roman" w:hAnsi="Times New Roman" w:cs="Times New Roman"/>
          <w:sz w:val="24"/>
        </w:rPr>
        <w:t xml:space="preserve"> awardees per yea</w:t>
      </w:r>
      <w:r w:rsidR="00BF36BC">
        <w:rPr>
          <w:rFonts w:ascii="Times New Roman" w:hAnsi="Times New Roman" w:cs="Times New Roman"/>
          <w:sz w:val="24"/>
        </w:rPr>
        <w:t xml:space="preserve">r, total annual costs would be </w:t>
      </w:r>
      <w:r w:rsidR="00495A80">
        <w:rPr>
          <w:rFonts w:ascii="Times New Roman" w:hAnsi="Times New Roman" w:cs="Times New Roman"/>
          <w:sz w:val="24"/>
        </w:rPr>
        <w:t>45</w:t>
      </w:r>
      <w:r w:rsidR="00670A54">
        <w:rPr>
          <w:rFonts w:ascii="Times New Roman" w:hAnsi="Times New Roman" w:cs="Times New Roman"/>
          <w:sz w:val="24"/>
        </w:rPr>
        <w:t xml:space="preserve"> x $</w:t>
      </w:r>
      <w:r w:rsidR="00CD04C1">
        <w:rPr>
          <w:rFonts w:ascii="Times New Roman" w:hAnsi="Times New Roman" w:cs="Times New Roman"/>
          <w:sz w:val="24"/>
        </w:rPr>
        <w:t>3</w:t>
      </w:r>
      <w:r w:rsidR="00670A54">
        <w:rPr>
          <w:rFonts w:ascii="Times New Roman" w:hAnsi="Times New Roman" w:cs="Times New Roman"/>
          <w:sz w:val="24"/>
        </w:rPr>
        <w:t>0 = $</w:t>
      </w:r>
      <w:r w:rsidR="00CD04C1">
        <w:rPr>
          <w:rFonts w:ascii="Times New Roman" w:hAnsi="Times New Roman" w:cs="Times New Roman"/>
          <w:sz w:val="24"/>
        </w:rPr>
        <w:t>1,35</w:t>
      </w:r>
      <w:r w:rsidR="00670A54">
        <w:rPr>
          <w:rFonts w:ascii="Times New Roman" w:hAnsi="Times New Roman" w:cs="Times New Roman"/>
          <w:sz w:val="24"/>
        </w:rPr>
        <w:t>0.  This cost is listed under “Recordkeeping.”</w:t>
      </w:r>
    </w:p>
    <w:p w:rsidR="00E91685" w:rsidRDefault="00E91685" w14:paraId="5C773A99" w14:textId="77777777">
      <w:pPr>
        <w:rPr>
          <w:rFonts w:ascii="Times New Roman" w:hAnsi="Times New Roman" w:cs="Times New Roman"/>
          <w:sz w:val="24"/>
        </w:rPr>
      </w:pPr>
    </w:p>
    <w:p w:rsidR="00E91685" w:rsidRDefault="00E91685" w14:paraId="650FEBC7" w14:textId="77777777">
      <w:pPr>
        <w:rPr>
          <w:rFonts w:ascii="Times New Roman" w:hAnsi="Times New Roman" w:cs="Times New Roman"/>
          <w:sz w:val="24"/>
        </w:rPr>
      </w:pPr>
      <w:r>
        <w:rPr>
          <w:rFonts w:ascii="Times New Roman" w:hAnsi="Times New Roman" w:cs="Times New Roman"/>
          <w:sz w:val="24"/>
        </w:rPr>
        <w:t xml:space="preserve">This request contains a new requirement for annual review by an information security specialist from the researcher’s home institution on compliance with the data security obligations that the researcher has entered into.  We consider this a more effective guarantee of compliance than the prospect of HUD inspection.  The officer would report annually on the researcher’s compliance in whatever format he or she chose.  HUD does not propose a new form for this report.  This is the new annual </w:t>
      </w:r>
      <w:r w:rsidR="008D0D33">
        <w:rPr>
          <w:rFonts w:ascii="Times New Roman" w:hAnsi="Times New Roman" w:cs="Times New Roman"/>
          <w:sz w:val="24"/>
        </w:rPr>
        <w:t xml:space="preserve">hour </w:t>
      </w:r>
      <w:r>
        <w:rPr>
          <w:rFonts w:ascii="Times New Roman" w:hAnsi="Times New Roman" w:cs="Times New Roman"/>
          <w:sz w:val="24"/>
        </w:rPr>
        <w:t>burden line on the table above.</w:t>
      </w:r>
      <w:r w:rsidR="00D973B2">
        <w:rPr>
          <w:rFonts w:ascii="Times New Roman" w:hAnsi="Times New Roman" w:cs="Times New Roman"/>
          <w:sz w:val="24"/>
        </w:rPr>
        <w:t xml:space="preserve">  The median salary of an information security officer is estimated at $44 per hour, and this reporting burden is estimated at one hour per year per project.</w:t>
      </w:r>
      <w:r>
        <w:rPr>
          <w:rFonts w:ascii="Times New Roman" w:hAnsi="Times New Roman" w:cs="Times New Roman"/>
          <w:sz w:val="24"/>
        </w:rPr>
        <w:t xml:space="preserve">  </w:t>
      </w:r>
      <w:r w:rsidR="00D973B2">
        <w:rPr>
          <w:rFonts w:ascii="Times New Roman" w:hAnsi="Times New Roman" w:cs="Times New Roman"/>
          <w:sz w:val="24"/>
        </w:rPr>
        <w:t>Assuming 40 projects are active at any one time, this annual burden is estimated at $1760.</w:t>
      </w:r>
    </w:p>
    <w:p w:rsidR="00A730AC" w:rsidRDefault="00A730AC" w14:paraId="2ED521B0" w14:textId="77777777">
      <w:pPr>
        <w:rPr>
          <w:rFonts w:ascii="Times New Roman" w:hAnsi="Times New Roman" w:cs="Times New Roman"/>
          <w:sz w:val="24"/>
        </w:rPr>
      </w:pPr>
    </w:p>
    <w:p w:rsidR="00A730AC" w:rsidRDefault="00A730AC" w14:paraId="417A2219" w14:textId="47B3D7F8">
      <w:pPr>
        <w:rPr>
          <w:rFonts w:ascii="Times New Roman" w:hAnsi="Times New Roman" w:cs="Times New Roman"/>
          <w:sz w:val="24"/>
        </w:rPr>
      </w:pPr>
      <w:r>
        <w:rPr>
          <w:rFonts w:ascii="Times New Roman" w:hAnsi="Times New Roman" w:cs="Times New Roman"/>
          <w:sz w:val="24"/>
        </w:rPr>
        <w:t xml:space="preserve">In addition, a data file destruction form (attesting to destruction of all personally identifiable information received from HUD) must be completed at the close of the project.  We have assumed 6 such close-out forms per year, requiring </w:t>
      </w:r>
      <w:r w:rsidR="0034477E">
        <w:rPr>
          <w:rFonts w:ascii="Times New Roman" w:hAnsi="Times New Roman" w:cs="Times New Roman"/>
          <w:sz w:val="24"/>
        </w:rPr>
        <w:t>1</w:t>
      </w:r>
      <w:r>
        <w:rPr>
          <w:rFonts w:ascii="Times New Roman" w:hAnsi="Times New Roman" w:cs="Times New Roman"/>
          <w:sz w:val="24"/>
        </w:rPr>
        <w:t xml:space="preserve"> hour by the project officer, at average hourly rate of $50 per hour.  Total annual costs of the data file destruction form are t</w:t>
      </w:r>
      <w:r w:rsidR="00BF36BC">
        <w:rPr>
          <w:rFonts w:ascii="Times New Roman" w:hAnsi="Times New Roman" w:cs="Times New Roman"/>
          <w:sz w:val="24"/>
        </w:rPr>
        <w:t>herefore estimated to be 6 x 1 x $50 = $300</w:t>
      </w:r>
      <w:r>
        <w:rPr>
          <w:rFonts w:ascii="Times New Roman" w:hAnsi="Times New Roman" w:cs="Times New Roman"/>
          <w:sz w:val="24"/>
        </w:rPr>
        <w:t>.</w:t>
      </w:r>
      <w:r w:rsidR="00FE637E">
        <w:rPr>
          <w:rFonts w:ascii="Times New Roman" w:hAnsi="Times New Roman" w:cs="Times New Roman"/>
          <w:sz w:val="24"/>
        </w:rPr>
        <w:t xml:space="preserve">  This cost is listed under “Final Report.”</w:t>
      </w:r>
    </w:p>
    <w:p w:rsidR="00670A54" w:rsidRDefault="00670A54" w14:paraId="057AE5AA" w14:textId="5BC4C7D0">
      <w:pPr>
        <w:rPr>
          <w:rFonts w:ascii="Times New Roman" w:hAnsi="Times New Roman" w:cs="Times New Roman"/>
          <w:sz w:val="24"/>
        </w:rPr>
      </w:pPr>
    </w:p>
    <w:p w:rsidR="007571C4" w:rsidRDefault="007571C4" w14:paraId="6FBCAD0E" w14:textId="77777777">
      <w:pPr>
        <w:rPr>
          <w:rFonts w:ascii="Times New Roman" w:hAnsi="Times New Roman" w:cs="Times New Roman"/>
          <w:sz w:val="24"/>
        </w:rPr>
      </w:pPr>
    </w:p>
    <w:p w:rsidR="00DF4E4E" w:rsidRDefault="00DF4E4E" w14:paraId="34D2AE27" w14:textId="77777777">
      <w:pPr>
        <w:rPr>
          <w:rFonts w:ascii="Times New Roman" w:hAnsi="Times New Roman" w:cs="Times New Roman"/>
          <w:b/>
          <w:sz w:val="24"/>
        </w:rPr>
      </w:pPr>
    </w:p>
    <w:p w:rsidRPr="00DF4E4E" w:rsidR="00DF4E4E" w:rsidRDefault="00DF4E4E" w14:paraId="0B69BA51" w14:textId="77777777">
      <w:pPr>
        <w:rPr>
          <w:rFonts w:ascii="Times New Roman" w:hAnsi="Times New Roman" w:cs="Times New Roman"/>
          <w:b/>
          <w:sz w:val="24"/>
        </w:rPr>
      </w:pPr>
    </w:p>
    <w:p w:rsidR="00DF4E4E" w:rsidP="00DF4E4E" w:rsidRDefault="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DF4E4E" w:rsidR="00DF4E4E" w:rsidP="00DF4E4E" w:rsidRDefault="00DF4E4E" w14:paraId="121FD98F" w14:textId="77777777">
      <w:pPr>
        <w:tabs>
          <w:tab w:val="left" w:pos="360"/>
        </w:tabs>
        <w:ind w:left="360" w:hanging="360"/>
        <w:rPr>
          <w:rFonts w:ascii="Times New Roman" w:hAnsi="Times New Roman" w:cs="Times New Roman"/>
          <w:b/>
          <w:sz w:val="24"/>
          <w:szCs w:val="24"/>
        </w:rPr>
      </w:pPr>
    </w:p>
    <w:p w:rsidRPr="00DF4E4E" w:rsidR="00DF4E4E" w:rsidP="00DF4E4E" w:rsidRDefault="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DF4E4E">
        <w:rPr>
          <w:rFonts w:ascii="Times New Roman" w:hAnsi="Times New Roman" w:cs="Times New Roman"/>
          <w:b/>
          <w:sz w:val="24"/>
          <w:szCs w:val="24"/>
        </w:rPr>
        <w:t>take into account</w:t>
      </w:r>
      <w:proofErr w:type="gramEnd"/>
      <w:r w:rsidRPr="00DF4E4E">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F4E4E" w:rsidR="00DF4E4E" w:rsidP="00DF4E4E" w:rsidRDefault="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F4E4E" w:rsidR="00DF4E4E" w:rsidP="00DF4E4E" w:rsidRDefault="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F4E4E" w:rsidR="00DF4E4E" w:rsidP="00DF4E4E" w:rsidRDefault="00DF4E4E" w14:paraId="32C154AF" w14:textId="77777777">
      <w:pPr>
        <w:keepLines/>
        <w:tabs>
          <w:tab w:val="left" w:pos="360"/>
          <w:tab w:val="left" w:pos="720"/>
        </w:tabs>
        <w:ind w:left="360"/>
        <w:rPr>
          <w:rFonts w:ascii="Times New Roman" w:hAnsi="Times New Roman" w:cs="Times New Roman"/>
          <w:sz w:val="24"/>
          <w:szCs w:val="24"/>
        </w:rPr>
      </w:pPr>
    </w:p>
    <w:p w:rsidR="00DF4E4E" w:rsidP="00DF4E4E" w:rsidRDefault="00DF4E4E" w14:paraId="3DDA8F9F" w14:textId="77777777">
      <w:pPr>
        <w:keepLines/>
        <w:tabs>
          <w:tab w:val="left" w:pos="480"/>
        </w:tabs>
        <w:spacing w:after="80"/>
        <w:ind w:left="336"/>
        <w:rPr>
          <w:color w:val="000000"/>
          <w:sz w:val="24"/>
          <w:szCs w:val="24"/>
        </w:rPr>
      </w:pPr>
      <w:r w:rsidRPr="00DF4E4E">
        <w:rPr>
          <w:rFonts w:ascii="Times New Roman" w:hAnsi="Times New Roman" w:cs="Times New Roman"/>
          <w:color w:val="000000"/>
          <w:sz w:val="24"/>
          <w:szCs w:val="24"/>
        </w:rPr>
        <w:t>There is no additional total annual cost burden to respondents or record-keepers beyond the labor cost of burden-hours described in item 12 above</w:t>
      </w:r>
      <w:r>
        <w:rPr>
          <w:color w:val="000000"/>
          <w:sz w:val="24"/>
          <w:szCs w:val="24"/>
        </w:rPr>
        <w:t>.</w:t>
      </w:r>
    </w:p>
    <w:p w:rsidR="00DF4E4E" w:rsidP="00DF4E4E" w:rsidRDefault="00DF4E4E" w14:paraId="04C49CA2" w14:textId="77777777">
      <w:pPr>
        <w:keepLines/>
        <w:tabs>
          <w:tab w:val="left" w:pos="360"/>
          <w:tab w:val="left" w:pos="720"/>
        </w:tabs>
        <w:rPr>
          <w:sz w:val="24"/>
          <w:szCs w:val="24"/>
        </w:rPr>
      </w:pPr>
    </w:p>
    <w:p w:rsidRPr="00DF4E4E" w:rsidR="00DF4E4E" w:rsidP="00DF4E4E" w:rsidRDefault="00DF4E4E" w14:paraId="05B9AC7A" w14:textId="77777777">
      <w:pPr>
        <w:keepLines/>
        <w:tabs>
          <w:tab w:val="left" w:pos="360"/>
        </w:tabs>
        <w:spacing w:after="80"/>
        <w:ind w:left="360" w:hanging="360"/>
        <w:rPr>
          <w:rFonts w:ascii="Times New Roman" w:hAnsi="Times New Roman" w:cs="Times New Roman"/>
          <w:b/>
          <w:bCs/>
          <w:sz w:val="24"/>
          <w:szCs w:val="24"/>
        </w:rPr>
      </w:pPr>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F4E4E" w:rsidRDefault="00DF4E4E" w14:paraId="705C1469" w14:textId="77777777">
      <w:pPr>
        <w:rPr>
          <w:rFonts w:ascii="Times New Roman" w:hAnsi="Times New Roman" w:cs="Times New Roman"/>
          <w:b/>
          <w:sz w:val="24"/>
        </w:rPr>
      </w:pPr>
      <w:bookmarkStart w:name="_Hlk30586419" w:id="2"/>
    </w:p>
    <w:p w:rsidR="006108EC" w:rsidP="006108EC" w:rsidRDefault="006108EC" w14:paraId="0276004B" w14:textId="0CD1DAC8">
      <w:pPr>
        <w:ind w:left="360"/>
        <w:rPr>
          <w:rFonts w:ascii="Times New Roman" w:hAnsi="Times New Roman" w:cs="Times New Roman"/>
          <w:sz w:val="24"/>
          <w:szCs w:val="24"/>
        </w:rPr>
      </w:pPr>
      <w:bookmarkStart w:name="_Hlk30586677" w:id="3"/>
      <w:bookmarkStart w:name="_Hlk30588046" w:id="4"/>
      <w:r>
        <w:rPr>
          <w:rFonts w:ascii="Times New Roman" w:hAnsi="Times New Roman" w:cs="Times New Roman"/>
          <w:sz w:val="24"/>
          <w:szCs w:val="24"/>
        </w:rPr>
        <w:t>Estimated annual costs to the Federal government of $959.25 (approximately 15 hours of HUD staff time</w:t>
      </w:r>
      <w:r w:rsidR="0060799C">
        <w:rPr>
          <w:rFonts w:ascii="Times New Roman" w:hAnsi="Times New Roman" w:cs="Times New Roman"/>
          <w:sz w:val="24"/>
          <w:szCs w:val="24"/>
        </w:rPr>
        <w:t>).</w:t>
      </w:r>
    </w:p>
    <w:p w:rsidR="006108EC" w:rsidP="006108EC" w:rsidRDefault="006108EC" w14:paraId="03F5F2E6" w14:textId="77777777">
      <w:pPr>
        <w:ind w:left="360"/>
        <w:rPr>
          <w:rFonts w:ascii="Times New Roman" w:hAnsi="Times New Roman" w:cs="Times New Roman"/>
          <w:sz w:val="24"/>
          <w:szCs w:val="24"/>
        </w:rPr>
      </w:pPr>
    </w:p>
    <w:p w:rsidR="006108EC" w:rsidP="006108EC" w:rsidRDefault="006108EC" w14:paraId="0D741722" w14:textId="77777777">
      <w:pPr>
        <w:ind w:firstLine="360"/>
        <w:rPr>
          <w:rFonts w:ascii="Times New Roman" w:hAnsi="Times New Roman" w:cs="Times New Roman"/>
          <w:sz w:val="24"/>
          <w:szCs w:val="24"/>
        </w:rPr>
      </w:pPr>
      <w:r>
        <w:rPr>
          <w:rFonts w:ascii="Times New Roman" w:hAnsi="Times New Roman" w:cs="Times New Roman"/>
          <w:sz w:val="24"/>
          <w:szCs w:val="24"/>
        </w:rPr>
        <w:t>The data license application is reviewed by 3 different people to establish:</w:t>
      </w:r>
    </w:p>
    <w:p w:rsidR="006108EC" w:rsidP="006108EC" w:rsidRDefault="006108EC" w14:paraId="39A838F4" w14:textId="77777777">
      <w:pPr>
        <w:ind w:firstLine="360"/>
        <w:rPr>
          <w:rFonts w:ascii="Times New Roman" w:hAnsi="Times New Roman" w:cs="Times New Roman"/>
          <w:sz w:val="24"/>
          <w:szCs w:val="24"/>
        </w:rPr>
      </w:pPr>
    </w:p>
    <w:p w:rsidR="006108EC" w:rsidP="006108EC" w:rsidRDefault="006108EC" w14:paraId="059DA96C" w14:textId="77777777">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Applicant proposes data security provisions consistent with HUD regulations.  (20 minutes)</w:t>
      </w:r>
    </w:p>
    <w:p w:rsidR="006108EC" w:rsidP="006108EC" w:rsidRDefault="006108EC" w14:paraId="0C7935A8" w14:textId="77777777">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Applicant presents a plausible policy-relevant scientific hypothesis to be tested.  (20 minutes)</w:t>
      </w:r>
    </w:p>
    <w:p w:rsidR="006108EC" w:rsidP="006108EC" w:rsidRDefault="006108EC" w14:paraId="210C21F5" w14:textId="77777777">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Applicant’s proposal would not unreasonably burden HUD-PD&amp;R resources.  (20 minutes)</w:t>
      </w:r>
    </w:p>
    <w:p w:rsidR="006108EC" w:rsidP="006108EC" w:rsidRDefault="006108EC" w14:paraId="697F891F" w14:textId="77777777">
      <w:pPr>
        <w:ind w:left="360"/>
        <w:rPr>
          <w:rFonts w:ascii="Times New Roman" w:hAnsi="Times New Roman" w:cs="Times New Roman"/>
          <w:sz w:val="24"/>
          <w:szCs w:val="24"/>
        </w:rPr>
      </w:pPr>
      <w:r>
        <w:rPr>
          <w:rFonts w:ascii="Times New Roman" w:hAnsi="Times New Roman" w:cs="Times New Roman"/>
          <w:sz w:val="24"/>
          <w:szCs w:val="24"/>
        </w:rPr>
        <w:lastRenderedPageBreak/>
        <w:t>Application review is typically conducted by GS-14 staff at $63.95 an hour</w:t>
      </w:r>
      <w:r>
        <w:rPr>
          <w:rStyle w:val="CommentReference"/>
          <w:rFonts w:ascii="Times New Roman" w:hAnsi="Times New Roman" w:cs="Times New Roman"/>
          <w:sz w:val="24"/>
          <w:szCs w:val="24"/>
        </w:rPr>
        <w:t>, e</w:t>
      </w:r>
      <w:r>
        <w:rPr>
          <w:rFonts w:ascii="Times New Roman" w:hAnsi="Times New Roman" w:cs="Times New Roman"/>
          <w:sz w:val="24"/>
          <w:szCs w:val="24"/>
        </w:rPr>
        <w:t>quivalent to a GS-14 step 4.</w:t>
      </w:r>
    </w:p>
    <w:p w:rsidR="006108EC" w:rsidP="006108EC" w:rsidRDefault="006108EC" w14:paraId="5CBC5149" w14:textId="77777777">
      <w:pPr>
        <w:ind w:left="360"/>
        <w:rPr>
          <w:rFonts w:ascii="Times New Roman" w:hAnsi="Times New Roman" w:cs="Times New Roman"/>
          <w:sz w:val="24"/>
          <w:szCs w:val="24"/>
        </w:rPr>
      </w:pPr>
    </w:p>
    <w:p w:rsidR="006108EC" w:rsidP="006108EC" w:rsidRDefault="006108EC" w14:paraId="3F87545B" w14:textId="77777777">
      <w:pPr>
        <w:rPr>
          <w:rFonts w:ascii="Times New Roman" w:hAnsi="Times New Roman" w:cs="Times New Roman"/>
          <w:sz w:val="24"/>
          <w:szCs w:val="24"/>
        </w:rPr>
      </w:pPr>
    </w:p>
    <w:tbl>
      <w:tblPr>
        <w:tblW w:w="5786" w:type="dxa"/>
        <w:tblInd w:w="1309" w:type="dxa"/>
        <w:tblCellMar>
          <w:left w:w="0" w:type="dxa"/>
          <w:right w:w="0" w:type="dxa"/>
        </w:tblCellMar>
        <w:tblLook w:val="04A0" w:firstRow="1" w:lastRow="0" w:firstColumn="1" w:lastColumn="0" w:noHBand="0" w:noVBand="1"/>
      </w:tblPr>
      <w:tblGrid>
        <w:gridCol w:w="3000"/>
        <w:gridCol w:w="960"/>
        <w:gridCol w:w="1380"/>
        <w:gridCol w:w="996"/>
      </w:tblGrid>
      <w:tr w:rsidR="006108EC" w:rsidTr="0060799C" w14:paraId="6950E9F8" w14:textId="77777777">
        <w:trPr>
          <w:trHeight w:val="345"/>
        </w:trPr>
        <w:tc>
          <w:tcPr>
            <w:tcW w:w="3000" w:type="dxa"/>
            <w:tcBorders>
              <w:top w:val="single" w:color="auto" w:sz="12" w:space="0"/>
              <w:left w:val="single" w:color="auto" w:sz="12" w:space="0"/>
              <w:bottom w:val="single" w:color="auto" w:sz="12" w:space="0"/>
              <w:right w:val="single" w:color="auto" w:sz="12" w:space="0"/>
            </w:tcBorders>
            <w:noWrap/>
            <w:tcMar>
              <w:top w:w="0" w:type="dxa"/>
              <w:left w:w="108" w:type="dxa"/>
              <w:bottom w:w="0" w:type="dxa"/>
              <w:right w:w="108" w:type="dxa"/>
            </w:tcMar>
            <w:vAlign w:val="bottom"/>
            <w:hideMark/>
          </w:tcPr>
          <w:p w:rsidR="006108EC" w:rsidRDefault="006108EC" w14:paraId="45BC040B"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t>Cost Item</w:t>
            </w:r>
          </w:p>
        </w:tc>
        <w:tc>
          <w:tcPr>
            <w:tcW w:w="960" w:type="dxa"/>
            <w:tcBorders>
              <w:top w:val="single" w:color="auto" w:sz="12" w:space="0"/>
              <w:left w:val="nil"/>
              <w:bottom w:val="single" w:color="auto" w:sz="12" w:space="0"/>
              <w:right w:val="single" w:color="auto" w:sz="12" w:space="0"/>
            </w:tcBorders>
            <w:noWrap/>
            <w:tcMar>
              <w:top w:w="0" w:type="dxa"/>
              <w:left w:w="108" w:type="dxa"/>
              <w:bottom w:w="0" w:type="dxa"/>
              <w:right w:w="108" w:type="dxa"/>
            </w:tcMar>
            <w:vAlign w:val="bottom"/>
            <w:hideMark/>
          </w:tcPr>
          <w:p w:rsidR="006108EC" w:rsidRDefault="006108EC" w14:paraId="58F403CB"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t>Hours</w:t>
            </w:r>
          </w:p>
        </w:tc>
        <w:tc>
          <w:tcPr>
            <w:tcW w:w="1380" w:type="dxa"/>
            <w:tcBorders>
              <w:top w:val="single" w:color="auto" w:sz="12" w:space="0"/>
              <w:left w:val="nil"/>
              <w:bottom w:val="single" w:color="auto" w:sz="12" w:space="0"/>
              <w:right w:val="single" w:color="auto" w:sz="12" w:space="0"/>
            </w:tcBorders>
            <w:noWrap/>
            <w:tcMar>
              <w:top w:w="0" w:type="dxa"/>
              <w:left w:w="108" w:type="dxa"/>
              <w:bottom w:w="0" w:type="dxa"/>
              <w:right w:w="108" w:type="dxa"/>
            </w:tcMar>
            <w:vAlign w:val="bottom"/>
            <w:hideMark/>
          </w:tcPr>
          <w:p w:rsidR="006108EC" w:rsidRDefault="006108EC" w14:paraId="24426EDF"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t>Hourly Rate</w:t>
            </w:r>
          </w:p>
        </w:tc>
        <w:tc>
          <w:tcPr>
            <w:tcW w:w="446" w:type="dxa"/>
            <w:tcBorders>
              <w:top w:val="single" w:color="auto" w:sz="12" w:space="0"/>
              <w:left w:val="nil"/>
              <w:bottom w:val="single" w:color="auto" w:sz="12" w:space="0"/>
              <w:right w:val="single" w:color="auto" w:sz="12" w:space="0"/>
            </w:tcBorders>
            <w:noWrap/>
            <w:tcMar>
              <w:top w:w="0" w:type="dxa"/>
              <w:left w:w="108" w:type="dxa"/>
              <w:bottom w:w="0" w:type="dxa"/>
              <w:right w:w="108" w:type="dxa"/>
            </w:tcMar>
            <w:vAlign w:val="bottom"/>
            <w:hideMark/>
          </w:tcPr>
          <w:p w:rsidR="006108EC" w:rsidRDefault="006108EC" w14:paraId="23A4189C"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t>Annual Cost</w:t>
            </w:r>
          </w:p>
        </w:tc>
      </w:tr>
      <w:tr w:rsidR="0060799C" w:rsidTr="0060799C" w14:paraId="1A393269" w14:textId="77777777">
        <w:trPr>
          <w:trHeight w:val="345"/>
        </w:trPr>
        <w:tc>
          <w:tcPr>
            <w:tcW w:w="3000" w:type="dxa"/>
            <w:tcBorders>
              <w:top w:val="nil"/>
              <w:left w:val="single" w:color="auto" w:sz="12" w:space="0"/>
              <w:bottom w:val="single" w:color="auto" w:sz="12" w:space="0"/>
              <w:right w:val="single" w:color="auto" w:sz="12" w:space="0"/>
            </w:tcBorders>
            <w:noWrap/>
            <w:tcMar>
              <w:top w:w="0" w:type="dxa"/>
              <w:left w:w="108" w:type="dxa"/>
              <w:bottom w:w="0" w:type="dxa"/>
              <w:right w:w="108" w:type="dxa"/>
            </w:tcMar>
            <w:vAlign w:val="bottom"/>
          </w:tcPr>
          <w:p w:rsidR="0060799C" w:rsidRDefault="0060799C" w14:paraId="67B3365D" w14:textId="4FB2549E">
            <w:pPr>
              <w:rPr>
                <w:rFonts w:ascii="Times New Roman" w:hAnsi="Times New Roman" w:cs="Times New Roman"/>
                <w:color w:val="000000"/>
                <w:sz w:val="24"/>
                <w:szCs w:val="24"/>
              </w:rPr>
            </w:pPr>
            <w:r>
              <w:rPr>
                <w:rFonts w:ascii="Times New Roman" w:hAnsi="Times New Roman" w:cs="Times New Roman"/>
                <w:sz w:val="24"/>
                <w:szCs w:val="24"/>
              </w:rPr>
              <w:t>Applicant proposes data security provisions consistent with HUD regulations.</w:t>
            </w:r>
          </w:p>
        </w:tc>
        <w:tc>
          <w:tcPr>
            <w:tcW w:w="96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61397F86" w14:textId="0E0EECE5">
            <w:pPr>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8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75DE2D8A" w14:textId="0FA13C62">
            <w:pPr>
              <w:jc w:val="right"/>
              <w:rPr>
                <w:rFonts w:ascii="Times New Roman" w:hAnsi="Times New Roman" w:cs="Times New Roman"/>
                <w:color w:val="000000"/>
                <w:sz w:val="24"/>
                <w:szCs w:val="24"/>
              </w:rPr>
            </w:pPr>
            <w:r>
              <w:rPr>
                <w:rFonts w:ascii="Times New Roman" w:hAnsi="Times New Roman" w:cs="Times New Roman"/>
                <w:color w:val="000000"/>
                <w:sz w:val="24"/>
                <w:szCs w:val="24"/>
              </w:rPr>
              <w:t>$63.95</w:t>
            </w:r>
          </w:p>
        </w:tc>
        <w:tc>
          <w:tcPr>
            <w:tcW w:w="446"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6785FC9E" w14:textId="4F048BA4">
            <w:pPr>
              <w:jc w:val="right"/>
              <w:rPr>
                <w:rFonts w:ascii="Times New Roman" w:hAnsi="Times New Roman" w:cs="Times New Roman"/>
                <w:color w:val="000000"/>
                <w:sz w:val="24"/>
                <w:szCs w:val="24"/>
              </w:rPr>
            </w:pPr>
            <w:r>
              <w:rPr>
                <w:rFonts w:ascii="Times New Roman" w:hAnsi="Times New Roman" w:cs="Times New Roman"/>
                <w:color w:val="000000"/>
                <w:sz w:val="24"/>
                <w:szCs w:val="24"/>
              </w:rPr>
              <w:t>$319.75</w:t>
            </w:r>
          </w:p>
        </w:tc>
      </w:tr>
      <w:tr w:rsidR="0060799C" w:rsidTr="0060799C" w14:paraId="2B40B3F3" w14:textId="77777777">
        <w:trPr>
          <w:trHeight w:val="345"/>
        </w:trPr>
        <w:tc>
          <w:tcPr>
            <w:tcW w:w="3000" w:type="dxa"/>
            <w:tcBorders>
              <w:top w:val="nil"/>
              <w:left w:val="single" w:color="auto" w:sz="12" w:space="0"/>
              <w:bottom w:val="single" w:color="auto" w:sz="12" w:space="0"/>
              <w:right w:val="single" w:color="auto" w:sz="12" w:space="0"/>
            </w:tcBorders>
            <w:noWrap/>
            <w:tcMar>
              <w:top w:w="0" w:type="dxa"/>
              <w:left w:w="108" w:type="dxa"/>
              <w:bottom w:w="0" w:type="dxa"/>
              <w:right w:w="108" w:type="dxa"/>
            </w:tcMar>
            <w:vAlign w:val="bottom"/>
          </w:tcPr>
          <w:p w:rsidR="0060799C" w:rsidRDefault="0060799C" w14:paraId="2DA7866C" w14:textId="29F924C5">
            <w:pPr>
              <w:rPr>
                <w:rFonts w:ascii="Times New Roman" w:hAnsi="Times New Roman" w:cs="Times New Roman"/>
                <w:color w:val="000000"/>
                <w:sz w:val="24"/>
                <w:szCs w:val="24"/>
              </w:rPr>
            </w:pPr>
            <w:r>
              <w:rPr>
                <w:rFonts w:ascii="Times New Roman" w:hAnsi="Times New Roman" w:cs="Times New Roman"/>
                <w:sz w:val="24"/>
                <w:szCs w:val="24"/>
              </w:rPr>
              <w:t>Applicant presents a plausible policy-relevant scientific hypothesis to be tested.</w:t>
            </w:r>
          </w:p>
        </w:tc>
        <w:tc>
          <w:tcPr>
            <w:tcW w:w="96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0EDCBBDF" w14:textId="338DACC1">
            <w:pPr>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8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45201D4C" w14:textId="37963692">
            <w:pPr>
              <w:jc w:val="right"/>
              <w:rPr>
                <w:rFonts w:ascii="Times New Roman" w:hAnsi="Times New Roman" w:cs="Times New Roman"/>
                <w:color w:val="000000"/>
                <w:sz w:val="24"/>
                <w:szCs w:val="24"/>
              </w:rPr>
            </w:pPr>
            <w:r>
              <w:rPr>
                <w:rFonts w:ascii="Times New Roman" w:hAnsi="Times New Roman" w:cs="Times New Roman"/>
                <w:color w:val="000000"/>
                <w:sz w:val="24"/>
                <w:szCs w:val="24"/>
              </w:rPr>
              <w:t>$63.95</w:t>
            </w:r>
          </w:p>
        </w:tc>
        <w:tc>
          <w:tcPr>
            <w:tcW w:w="446"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7C10CACA" w14:textId="49AA9B80">
            <w:pPr>
              <w:jc w:val="right"/>
              <w:rPr>
                <w:rFonts w:ascii="Times New Roman" w:hAnsi="Times New Roman" w:cs="Times New Roman"/>
                <w:color w:val="000000"/>
                <w:sz w:val="24"/>
                <w:szCs w:val="24"/>
              </w:rPr>
            </w:pPr>
            <w:r>
              <w:rPr>
                <w:rFonts w:ascii="Times New Roman" w:hAnsi="Times New Roman" w:cs="Times New Roman"/>
                <w:color w:val="000000"/>
                <w:sz w:val="24"/>
                <w:szCs w:val="24"/>
              </w:rPr>
              <w:t>$319.75</w:t>
            </w:r>
          </w:p>
        </w:tc>
      </w:tr>
      <w:tr w:rsidR="0060799C" w:rsidTr="0060799C" w14:paraId="74C528BA" w14:textId="77777777">
        <w:trPr>
          <w:trHeight w:val="345"/>
        </w:trPr>
        <w:tc>
          <w:tcPr>
            <w:tcW w:w="3000" w:type="dxa"/>
            <w:tcBorders>
              <w:top w:val="nil"/>
              <w:left w:val="single" w:color="auto" w:sz="12" w:space="0"/>
              <w:bottom w:val="single" w:color="auto" w:sz="12" w:space="0"/>
              <w:right w:val="single" w:color="auto" w:sz="12" w:space="0"/>
            </w:tcBorders>
            <w:noWrap/>
            <w:tcMar>
              <w:top w:w="0" w:type="dxa"/>
              <w:left w:w="108" w:type="dxa"/>
              <w:bottom w:w="0" w:type="dxa"/>
              <w:right w:w="108" w:type="dxa"/>
            </w:tcMar>
            <w:vAlign w:val="bottom"/>
          </w:tcPr>
          <w:p w:rsidR="0060799C" w:rsidRDefault="0060799C" w14:paraId="20EDF0E5" w14:textId="0A4A9C9C">
            <w:pPr>
              <w:rPr>
                <w:rFonts w:ascii="Times New Roman" w:hAnsi="Times New Roman" w:cs="Times New Roman"/>
                <w:color w:val="000000"/>
                <w:sz w:val="24"/>
                <w:szCs w:val="24"/>
              </w:rPr>
            </w:pPr>
            <w:r>
              <w:rPr>
                <w:rFonts w:ascii="Times New Roman" w:hAnsi="Times New Roman" w:cs="Times New Roman"/>
                <w:sz w:val="24"/>
                <w:szCs w:val="24"/>
              </w:rPr>
              <w:t>Applicant’s proposal would not unreasonably burden HUD-PD&amp;R resources. </w:t>
            </w:r>
          </w:p>
        </w:tc>
        <w:tc>
          <w:tcPr>
            <w:tcW w:w="96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633F39C3" w14:textId="5DA9ECB5">
            <w:pPr>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80"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0B97CD01" w14:textId="18B85702">
            <w:pPr>
              <w:jc w:val="right"/>
              <w:rPr>
                <w:rFonts w:ascii="Times New Roman" w:hAnsi="Times New Roman" w:cs="Times New Roman"/>
                <w:color w:val="000000"/>
                <w:sz w:val="24"/>
                <w:szCs w:val="24"/>
              </w:rPr>
            </w:pPr>
            <w:r>
              <w:rPr>
                <w:rFonts w:ascii="Times New Roman" w:hAnsi="Times New Roman" w:cs="Times New Roman"/>
                <w:color w:val="000000"/>
                <w:sz w:val="24"/>
                <w:szCs w:val="24"/>
              </w:rPr>
              <w:t>$63.95</w:t>
            </w:r>
          </w:p>
        </w:tc>
        <w:tc>
          <w:tcPr>
            <w:tcW w:w="446" w:type="dxa"/>
            <w:tcBorders>
              <w:top w:val="nil"/>
              <w:left w:val="nil"/>
              <w:bottom w:val="single" w:color="auto" w:sz="12" w:space="0"/>
              <w:right w:val="single" w:color="auto" w:sz="12" w:space="0"/>
            </w:tcBorders>
            <w:noWrap/>
            <w:tcMar>
              <w:top w:w="0" w:type="dxa"/>
              <w:left w:w="108" w:type="dxa"/>
              <w:bottom w:w="0" w:type="dxa"/>
              <w:right w:w="108" w:type="dxa"/>
            </w:tcMar>
            <w:vAlign w:val="bottom"/>
          </w:tcPr>
          <w:p w:rsidR="0060799C" w:rsidRDefault="0060799C" w14:paraId="59A046B3" w14:textId="12CF7E2E">
            <w:pPr>
              <w:jc w:val="right"/>
              <w:rPr>
                <w:rFonts w:ascii="Times New Roman" w:hAnsi="Times New Roman" w:cs="Times New Roman"/>
                <w:color w:val="000000"/>
                <w:sz w:val="24"/>
                <w:szCs w:val="24"/>
              </w:rPr>
            </w:pPr>
            <w:r>
              <w:rPr>
                <w:rFonts w:ascii="Times New Roman" w:hAnsi="Times New Roman" w:cs="Times New Roman"/>
                <w:color w:val="000000"/>
                <w:sz w:val="24"/>
                <w:szCs w:val="24"/>
              </w:rPr>
              <w:t>$319.75</w:t>
            </w:r>
          </w:p>
        </w:tc>
      </w:tr>
      <w:tr w:rsidR="0060799C" w:rsidTr="0060799C" w14:paraId="79F7F0AC" w14:textId="77777777">
        <w:trPr>
          <w:trHeight w:val="345"/>
        </w:trPr>
        <w:tc>
          <w:tcPr>
            <w:tcW w:w="5786" w:type="dxa"/>
            <w:gridSpan w:val="4"/>
            <w:tcBorders>
              <w:top w:val="nil"/>
              <w:left w:val="single" w:color="auto" w:sz="12" w:space="0"/>
              <w:bottom w:val="single" w:color="auto" w:sz="12" w:space="0"/>
              <w:right w:val="single" w:color="auto" w:sz="12" w:space="0"/>
            </w:tcBorders>
            <w:noWrap/>
            <w:tcMar>
              <w:top w:w="0" w:type="dxa"/>
              <w:left w:w="108" w:type="dxa"/>
              <w:bottom w:w="0" w:type="dxa"/>
              <w:right w:w="108" w:type="dxa"/>
            </w:tcMar>
            <w:vAlign w:val="bottom"/>
          </w:tcPr>
          <w:p w:rsidRPr="0060799C" w:rsidR="0060799C" w:rsidP="0060799C" w:rsidRDefault="0060799C" w14:paraId="2FF58B90" w14:textId="4E51BDA6">
            <w:pPr>
              <w:jc w:val="center"/>
              <w:rPr>
                <w:rFonts w:ascii="Times New Roman" w:hAnsi="Times New Roman" w:cs="Times New Roman"/>
                <w:b/>
                <w:bCs/>
                <w:i/>
                <w:iCs/>
                <w:sz w:val="24"/>
                <w:szCs w:val="24"/>
              </w:rPr>
            </w:pPr>
            <w:r w:rsidRPr="0060799C">
              <w:rPr>
                <w:rFonts w:ascii="Times New Roman" w:hAnsi="Times New Roman" w:cs="Times New Roman"/>
                <w:b/>
                <w:bCs/>
                <w:i/>
                <w:iCs/>
                <w:sz w:val="24"/>
                <w:szCs w:val="24"/>
              </w:rPr>
              <w:t>Total</w:t>
            </w:r>
          </w:p>
        </w:tc>
      </w:tr>
      <w:tr w:rsidR="006108EC" w:rsidTr="0060799C" w14:paraId="29E4E0F3" w14:textId="77777777">
        <w:trPr>
          <w:trHeight w:val="267"/>
        </w:trPr>
        <w:tc>
          <w:tcPr>
            <w:tcW w:w="3000" w:type="dxa"/>
            <w:tcBorders>
              <w:top w:val="nil"/>
              <w:left w:val="single" w:color="auto" w:sz="12" w:space="0"/>
              <w:bottom w:val="single" w:color="auto" w:sz="12" w:space="0"/>
              <w:right w:val="single" w:color="auto" w:sz="12" w:space="0"/>
            </w:tcBorders>
            <w:noWrap/>
            <w:tcMar>
              <w:top w:w="0" w:type="dxa"/>
              <w:left w:w="108" w:type="dxa"/>
              <w:bottom w:w="0" w:type="dxa"/>
              <w:right w:w="108" w:type="dxa"/>
            </w:tcMar>
            <w:vAlign w:val="bottom"/>
            <w:hideMark/>
          </w:tcPr>
          <w:p w:rsidRPr="0060799C" w:rsidR="006108EC" w:rsidRDefault="006108EC" w14:paraId="602CAC01" w14:textId="20544E43">
            <w:pPr>
              <w:rPr>
                <w:rFonts w:ascii="Times New Roman" w:hAnsi="Times New Roman" w:cs="Times New Roman"/>
                <w:b/>
                <w:bCs/>
                <w:i/>
                <w:iCs/>
                <w:sz w:val="24"/>
                <w:szCs w:val="24"/>
              </w:rPr>
            </w:pPr>
            <w:r w:rsidRPr="0060799C">
              <w:rPr>
                <w:rFonts w:ascii="Times New Roman" w:hAnsi="Times New Roman" w:cs="Times New Roman"/>
                <w:b/>
                <w:bCs/>
                <w:i/>
                <w:iCs/>
                <w:sz w:val="24"/>
                <w:szCs w:val="24"/>
              </w:rPr>
              <w:t>Data License Review</w:t>
            </w:r>
            <w:r w:rsidRPr="0060799C" w:rsidR="0060799C">
              <w:rPr>
                <w:rFonts w:ascii="Times New Roman" w:hAnsi="Times New Roman" w:cs="Times New Roman"/>
                <w:b/>
                <w:bCs/>
                <w:i/>
                <w:iCs/>
                <w:sz w:val="24"/>
                <w:szCs w:val="24"/>
              </w:rPr>
              <w:t xml:space="preserve"> </w:t>
            </w:r>
          </w:p>
        </w:tc>
        <w:tc>
          <w:tcPr>
            <w:tcW w:w="960" w:type="dxa"/>
            <w:tcBorders>
              <w:top w:val="nil"/>
              <w:left w:val="nil"/>
              <w:bottom w:val="single" w:color="auto" w:sz="12" w:space="0"/>
              <w:right w:val="single" w:color="auto" w:sz="12" w:space="0"/>
            </w:tcBorders>
            <w:noWrap/>
            <w:tcMar>
              <w:top w:w="0" w:type="dxa"/>
              <w:left w:w="108" w:type="dxa"/>
              <w:bottom w:w="0" w:type="dxa"/>
              <w:right w:w="108" w:type="dxa"/>
            </w:tcMar>
            <w:vAlign w:val="bottom"/>
            <w:hideMark/>
          </w:tcPr>
          <w:p w:rsidRPr="0060799C" w:rsidR="006108EC" w:rsidRDefault="006108EC" w14:paraId="2CCF8532" w14:textId="77777777">
            <w:pPr>
              <w:jc w:val="right"/>
              <w:rPr>
                <w:rFonts w:ascii="Times New Roman" w:hAnsi="Times New Roman" w:cs="Times New Roman"/>
                <w:b/>
                <w:bCs/>
                <w:i/>
                <w:iCs/>
                <w:sz w:val="24"/>
                <w:szCs w:val="24"/>
              </w:rPr>
            </w:pPr>
            <w:r w:rsidRPr="0060799C">
              <w:rPr>
                <w:rFonts w:ascii="Times New Roman" w:hAnsi="Times New Roman" w:cs="Times New Roman"/>
                <w:b/>
                <w:bCs/>
                <w:i/>
                <w:iCs/>
                <w:sz w:val="24"/>
                <w:szCs w:val="24"/>
              </w:rPr>
              <w:t>15</w:t>
            </w:r>
          </w:p>
        </w:tc>
        <w:tc>
          <w:tcPr>
            <w:tcW w:w="1380" w:type="dxa"/>
            <w:tcBorders>
              <w:top w:val="nil"/>
              <w:left w:val="nil"/>
              <w:bottom w:val="single" w:color="auto" w:sz="12" w:space="0"/>
              <w:right w:val="single" w:color="auto" w:sz="12" w:space="0"/>
            </w:tcBorders>
            <w:noWrap/>
            <w:tcMar>
              <w:top w:w="0" w:type="dxa"/>
              <w:left w:w="108" w:type="dxa"/>
              <w:bottom w:w="0" w:type="dxa"/>
              <w:right w:w="108" w:type="dxa"/>
            </w:tcMar>
            <w:vAlign w:val="bottom"/>
            <w:hideMark/>
          </w:tcPr>
          <w:p w:rsidRPr="0060799C" w:rsidR="006108EC" w:rsidRDefault="006108EC" w14:paraId="3035990B" w14:textId="77777777">
            <w:pPr>
              <w:jc w:val="right"/>
              <w:rPr>
                <w:rFonts w:ascii="Times New Roman" w:hAnsi="Times New Roman" w:cs="Times New Roman"/>
                <w:b/>
                <w:bCs/>
                <w:i/>
                <w:iCs/>
                <w:sz w:val="24"/>
                <w:szCs w:val="24"/>
              </w:rPr>
            </w:pPr>
            <w:r w:rsidRPr="0060799C">
              <w:rPr>
                <w:rFonts w:ascii="Times New Roman" w:hAnsi="Times New Roman" w:cs="Times New Roman"/>
                <w:b/>
                <w:bCs/>
                <w:i/>
                <w:iCs/>
                <w:sz w:val="24"/>
                <w:szCs w:val="24"/>
              </w:rPr>
              <w:t xml:space="preserve">$63.95 </w:t>
            </w:r>
          </w:p>
        </w:tc>
        <w:tc>
          <w:tcPr>
            <w:tcW w:w="446" w:type="dxa"/>
            <w:tcBorders>
              <w:top w:val="nil"/>
              <w:left w:val="nil"/>
              <w:bottom w:val="single" w:color="auto" w:sz="12" w:space="0"/>
              <w:right w:val="single" w:color="auto" w:sz="12" w:space="0"/>
            </w:tcBorders>
            <w:noWrap/>
            <w:tcMar>
              <w:top w:w="0" w:type="dxa"/>
              <w:left w:w="108" w:type="dxa"/>
              <w:bottom w:w="0" w:type="dxa"/>
              <w:right w:w="108" w:type="dxa"/>
            </w:tcMar>
            <w:vAlign w:val="bottom"/>
            <w:hideMark/>
          </w:tcPr>
          <w:p w:rsidRPr="0060799C" w:rsidR="006108EC" w:rsidRDefault="006108EC" w14:paraId="133D1896" w14:textId="77777777">
            <w:pPr>
              <w:jc w:val="right"/>
              <w:rPr>
                <w:rFonts w:ascii="Times New Roman" w:hAnsi="Times New Roman" w:cs="Times New Roman"/>
                <w:b/>
                <w:bCs/>
                <w:i/>
                <w:iCs/>
                <w:sz w:val="24"/>
                <w:szCs w:val="24"/>
              </w:rPr>
            </w:pPr>
            <w:r w:rsidRPr="0060799C">
              <w:rPr>
                <w:rFonts w:ascii="Times New Roman" w:hAnsi="Times New Roman" w:cs="Times New Roman"/>
                <w:b/>
                <w:bCs/>
                <w:i/>
                <w:iCs/>
                <w:sz w:val="24"/>
                <w:szCs w:val="24"/>
              </w:rPr>
              <w:t xml:space="preserve">$959.25 </w:t>
            </w:r>
          </w:p>
        </w:tc>
      </w:tr>
      <w:bookmarkEnd w:id="3"/>
      <w:tr w:rsidRPr="00083959" w:rsidR="00083959" w:rsidTr="0060799C" w14:paraId="20E7268D" w14:textId="77777777">
        <w:tblPrEx>
          <w:tblCellMar>
            <w:left w:w="108" w:type="dxa"/>
            <w:right w:w="108" w:type="dxa"/>
          </w:tblCellMar>
        </w:tblPrEx>
        <w:trPr>
          <w:trHeight w:val="315"/>
        </w:trPr>
        <w:tc>
          <w:tcPr>
            <w:tcW w:w="3000" w:type="dxa"/>
            <w:tcBorders>
              <w:top w:val="nil"/>
              <w:left w:val="nil"/>
              <w:bottom w:val="nil"/>
              <w:right w:val="nil"/>
            </w:tcBorders>
            <w:shd w:val="clear" w:color="auto" w:fill="auto"/>
            <w:noWrap/>
            <w:vAlign w:val="bottom"/>
            <w:hideMark/>
          </w:tcPr>
          <w:p w:rsidRPr="0060799C" w:rsidR="00083959" w:rsidP="006108EC" w:rsidRDefault="00083959" w14:paraId="12CA0B07" w14:textId="77777777">
            <w:pPr>
              <w:rPr>
                <w:rFonts w:ascii="Times New Roman" w:hAnsi="Times New Roman" w:eastAsia="Times New Roman" w:cs="Times New Roman"/>
                <w:color w:val="000000"/>
                <w:sz w:val="28"/>
                <w:szCs w:val="28"/>
              </w:rPr>
            </w:pPr>
          </w:p>
        </w:tc>
        <w:tc>
          <w:tcPr>
            <w:tcW w:w="960" w:type="dxa"/>
            <w:tcBorders>
              <w:top w:val="nil"/>
              <w:left w:val="nil"/>
              <w:bottom w:val="nil"/>
              <w:right w:val="nil"/>
            </w:tcBorders>
            <w:shd w:val="clear" w:color="auto" w:fill="auto"/>
            <w:noWrap/>
            <w:vAlign w:val="bottom"/>
            <w:hideMark/>
          </w:tcPr>
          <w:p w:rsidRPr="0060799C" w:rsidR="006108EC" w:rsidP="00083959" w:rsidRDefault="006108EC" w14:paraId="5DE9DF5C" w14:textId="77777777">
            <w:pPr>
              <w:rPr>
                <w:rFonts w:ascii="Times New Roman" w:hAnsi="Times New Roman" w:eastAsia="Times New Roman" w:cs="Times New Roman"/>
                <w:sz w:val="28"/>
                <w:szCs w:val="28"/>
              </w:rPr>
            </w:pPr>
          </w:p>
          <w:p w:rsidRPr="0060799C" w:rsidR="006108EC" w:rsidP="00083959" w:rsidRDefault="006108EC" w14:paraId="33A9BF65" w14:textId="77777777">
            <w:pPr>
              <w:rPr>
                <w:rFonts w:ascii="Times New Roman" w:hAnsi="Times New Roman" w:eastAsia="Times New Roman" w:cs="Times New Roman"/>
                <w:sz w:val="28"/>
                <w:szCs w:val="28"/>
              </w:rPr>
            </w:pPr>
          </w:p>
          <w:p w:rsidRPr="0060799C" w:rsidR="006108EC" w:rsidP="00083959" w:rsidRDefault="006108EC" w14:paraId="6C15C203" w14:textId="07110998">
            <w:pPr>
              <w:rPr>
                <w:rFonts w:ascii="Times New Roman" w:hAnsi="Times New Roman" w:eastAsia="Times New Roman" w:cs="Times New Roman"/>
                <w:sz w:val="28"/>
                <w:szCs w:val="28"/>
              </w:rPr>
            </w:pPr>
          </w:p>
        </w:tc>
        <w:tc>
          <w:tcPr>
            <w:tcW w:w="1380" w:type="dxa"/>
            <w:tcBorders>
              <w:top w:val="nil"/>
              <w:left w:val="nil"/>
              <w:bottom w:val="nil"/>
              <w:right w:val="nil"/>
            </w:tcBorders>
            <w:shd w:val="clear" w:color="auto" w:fill="auto"/>
            <w:noWrap/>
            <w:vAlign w:val="bottom"/>
            <w:hideMark/>
          </w:tcPr>
          <w:p w:rsidRPr="0060799C" w:rsidR="00083959" w:rsidP="00083959" w:rsidRDefault="00083959" w14:paraId="19C0EF51" w14:textId="77777777">
            <w:pPr>
              <w:rPr>
                <w:rFonts w:ascii="Times New Roman" w:hAnsi="Times New Roman" w:eastAsia="Times New Roman" w:cs="Times New Roman"/>
                <w:sz w:val="28"/>
                <w:szCs w:val="28"/>
              </w:rPr>
            </w:pPr>
          </w:p>
        </w:tc>
        <w:tc>
          <w:tcPr>
            <w:tcW w:w="446" w:type="dxa"/>
            <w:tcBorders>
              <w:top w:val="nil"/>
              <w:left w:val="nil"/>
              <w:bottom w:val="nil"/>
              <w:right w:val="nil"/>
            </w:tcBorders>
            <w:shd w:val="clear" w:color="auto" w:fill="auto"/>
            <w:noWrap/>
            <w:vAlign w:val="bottom"/>
            <w:hideMark/>
          </w:tcPr>
          <w:p w:rsidRPr="0060799C" w:rsidR="00083959" w:rsidP="00083959" w:rsidRDefault="00083959" w14:paraId="19A9C494" w14:textId="77777777">
            <w:pPr>
              <w:rPr>
                <w:rFonts w:ascii="Times New Roman" w:hAnsi="Times New Roman" w:eastAsia="Times New Roman" w:cs="Times New Roman"/>
                <w:sz w:val="28"/>
                <w:szCs w:val="28"/>
              </w:rPr>
            </w:pPr>
          </w:p>
        </w:tc>
      </w:tr>
    </w:tbl>
    <w:bookmarkEnd w:id="2"/>
    <w:bookmarkEnd w:id="4"/>
    <w:p w:rsidRPr="00343058" w:rsidR="00DF4E4E" w:rsidP="00DF4E4E" w:rsidRDefault="00DF4E4E" w14:paraId="369A7870" w14:textId="32CF1F0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rsidR="00DF4E4E" w:rsidP="00DF4E4E" w:rsidRDefault="00DF4E4E" w14:paraId="4EE6DC4F" w14:textId="77777777">
      <w:pPr>
        <w:keepLines/>
        <w:tabs>
          <w:tab w:val="left" w:pos="360"/>
        </w:tabs>
        <w:spacing w:after="80"/>
        <w:ind w:left="360" w:hanging="360"/>
        <w:rPr>
          <w:sz w:val="24"/>
          <w:szCs w:val="24"/>
        </w:rPr>
      </w:pPr>
    </w:p>
    <w:p w:rsidRPr="00DF4E4E" w:rsidR="00DF4E4E" w:rsidP="00DF4E4E" w:rsidRDefault="00DF4E4E" w14:paraId="28A2BEB9" w14:textId="7B1CA170">
      <w:pPr>
        <w:ind w:firstLine="360"/>
        <w:rPr>
          <w:rFonts w:ascii="Times New Roman" w:hAnsi="Times New Roman" w:cs="Times New Roman"/>
          <w:sz w:val="24"/>
        </w:rPr>
      </w:pPr>
      <w:bookmarkStart w:name="_Hlk12525343" w:id="5"/>
      <w:r w:rsidRPr="00DF4E4E">
        <w:rPr>
          <w:rFonts w:ascii="Times New Roman" w:hAnsi="Times New Roman" w:cs="Times New Roman"/>
          <w:sz w:val="24"/>
          <w:szCs w:val="24"/>
        </w:rPr>
        <w:t xml:space="preserve">There is no change in burden per agency. </w:t>
      </w:r>
      <w:bookmarkEnd w:id="5"/>
      <w:r w:rsidRPr="00DF4E4E">
        <w:rPr>
          <w:rFonts w:ascii="Times New Roman" w:hAnsi="Times New Roman" w:cs="Times New Roman"/>
          <w:sz w:val="24"/>
        </w:rPr>
        <w:t xml:space="preserve">HUD does not propose a new form for this report.  </w:t>
      </w:r>
    </w:p>
    <w:p w:rsidR="00DF4E4E" w:rsidP="00DF4E4E" w:rsidRDefault="00DF4E4E" w14:paraId="41199105" w14:textId="77777777">
      <w:pPr>
        <w:keepLines/>
        <w:tabs>
          <w:tab w:val="left" w:pos="360"/>
          <w:tab w:val="left" w:pos="720"/>
        </w:tabs>
        <w:ind w:left="360"/>
        <w:rPr>
          <w:sz w:val="24"/>
          <w:szCs w:val="24"/>
        </w:rPr>
      </w:pPr>
    </w:p>
    <w:p w:rsidRPr="00343058" w:rsidR="00DF4E4E" w:rsidP="00DF4E4E" w:rsidRDefault="00DF4E4E" w14:paraId="0CDD314E"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E4E" w:rsidRDefault="00DF4E4E" w14:paraId="69CB1B8A" w14:textId="77777777">
      <w:pPr>
        <w:rPr>
          <w:rFonts w:ascii="Times New Roman" w:hAnsi="Times New Roman" w:cs="Times New Roman"/>
          <w:b/>
          <w:sz w:val="24"/>
        </w:rPr>
      </w:pPr>
    </w:p>
    <w:p w:rsidR="00F769CF" w:rsidP="00343058" w:rsidRDefault="00F769CF" w14:paraId="0C6DEDDB" w14:textId="77777777">
      <w:pPr>
        <w:ind w:firstLine="360"/>
        <w:rPr>
          <w:rFonts w:ascii="Times New Roman" w:hAnsi="Times New Roman" w:cs="Times New Roman"/>
          <w:sz w:val="24"/>
        </w:rPr>
      </w:pPr>
      <w:r>
        <w:rPr>
          <w:rFonts w:ascii="Times New Roman" w:hAnsi="Times New Roman" w:cs="Times New Roman"/>
          <w:sz w:val="24"/>
        </w:rPr>
        <w:t>Not applicable</w:t>
      </w:r>
    </w:p>
    <w:p w:rsidR="00343058" w:rsidP="00343058" w:rsidRDefault="00343058" w14:paraId="69CD737B" w14:textId="77777777">
      <w:pPr>
        <w:keepLines/>
        <w:tabs>
          <w:tab w:val="left" w:pos="360"/>
        </w:tabs>
        <w:spacing w:after="80"/>
        <w:ind w:left="360" w:hanging="360"/>
        <w:rPr>
          <w:b/>
          <w:sz w:val="24"/>
          <w:szCs w:val="24"/>
        </w:rPr>
      </w:pPr>
    </w:p>
    <w:p w:rsidRPr="00343058" w:rsidR="00343058" w:rsidP="00343058" w:rsidRDefault="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F769CF" w:rsidRDefault="00F769CF" w14:paraId="7C7D86D3" w14:textId="77777777">
      <w:pPr>
        <w:rPr>
          <w:rFonts w:ascii="Times New Roman" w:hAnsi="Times New Roman" w:cs="Times New Roman"/>
          <w:b/>
          <w:sz w:val="24"/>
        </w:rPr>
      </w:pPr>
    </w:p>
    <w:p w:rsidR="00F769CF" w:rsidP="00343058" w:rsidRDefault="00F769CF" w14:paraId="76AA474F" w14:textId="63DBBEC4">
      <w:pPr>
        <w:ind w:firstLine="360"/>
        <w:rPr>
          <w:rFonts w:ascii="Times New Roman" w:hAnsi="Times New Roman" w:cs="Times New Roman"/>
          <w:sz w:val="24"/>
        </w:rPr>
      </w:pPr>
      <w:r>
        <w:rPr>
          <w:rFonts w:ascii="Times New Roman" w:hAnsi="Times New Roman" w:cs="Times New Roman"/>
          <w:sz w:val="24"/>
        </w:rPr>
        <w:t>Not applicable</w:t>
      </w:r>
    </w:p>
    <w:p w:rsidR="00343058" w:rsidRDefault="00343058" w14:paraId="00324650" w14:textId="77777777">
      <w:pPr>
        <w:rPr>
          <w:rFonts w:ascii="Times New Roman" w:hAnsi="Times New Roman" w:cs="Times New Roman"/>
          <w:sz w:val="24"/>
        </w:rPr>
      </w:pPr>
    </w:p>
    <w:p w:rsidRPr="00343058" w:rsidR="00343058" w:rsidP="00343058" w:rsidRDefault="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F769CF" w:rsidRDefault="00F769CF" w14:paraId="7D7E88DF" w14:textId="77777777">
      <w:pPr>
        <w:rPr>
          <w:rFonts w:ascii="Times New Roman" w:hAnsi="Times New Roman" w:cs="Times New Roman"/>
          <w:sz w:val="24"/>
        </w:rPr>
      </w:pPr>
    </w:p>
    <w:p w:rsidR="00F769CF" w:rsidP="00343058" w:rsidRDefault="00F769CF" w14:paraId="1E40833A" w14:textId="296E9047">
      <w:pPr>
        <w:ind w:firstLine="360"/>
        <w:rPr>
          <w:rFonts w:ascii="Times New Roman" w:hAnsi="Times New Roman" w:cs="Times New Roman"/>
          <w:sz w:val="24"/>
        </w:rPr>
      </w:pPr>
      <w:r>
        <w:rPr>
          <w:rFonts w:ascii="Times New Roman" w:hAnsi="Times New Roman" w:cs="Times New Roman"/>
          <w:sz w:val="24"/>
        </w:rPr>
        <w:t>None</w:t>
      </w:r>
    </w:p>
    <w:p w:rsidR="00DD721C" w:rsidP="00343058" w:rsidRDefault="00DD721C" w14:paraId="11A1C9BD" w14:textId="69C2D18B">
      <w:pPr>
        <w:ind w:firstLine="360"/>
        <w:rPr>
          <w:rFonts w:ascii="Times New Roman" w:hAnsi="Times New Roman" w:cs="Times New Roman"/>
          <w:sz w:val="24"/>
        </w:rPr>
      </w:pPr>
    </w:p>
    <w:p w:rsidR="0060799C" w:rsidP="00343058" w:rsidRDefault="0060799C" w14:paraId="71EDA5BF" w14:textId="77777777">
      <w:pPr>
        <w:ind w:firstLine="360"/>
        <w:rPr>
          <w:rFonts w:ascii="Times New Roman" w:hAnsi="Times New Roman" w:cs="Times New Roman"/>
          <w:sz w:val="24"/>
        </w:rPr>
      </w:pPr>
    </w:p>
    <w:p w:rsidR="00DD721C" w:rsidP="00343058" w:rsidRDefault="00DD721C" w14:paraId="524018C1" w14:textId="77777777">
      <w:pPr>
        <w:ind w:firstLine="360"/>
        <w:rPr>
          <w:rFonts w:ascii="Times New Roman" w:hAnsi="Times New Roman" w:cs="Times New Roman"/>
          <w:sz w:val="24"/>
        </w:rPr>
      </w:pPr>
    </w:p>
    <w:p w:rsidRPr="00DD721C" w:rsidR="00DD721C" w:rsidP="00DD721C" w:rsidRDefault="00DD721C" w14:paraId="6BE20B44" w14:textId="77777777">
      <w:pPr>
        <w:rPr>
          <w:rFonts w:ascii="Times New Roman" w:hAnsi="Times New Roman" w:cs="Times New Roman"/>
          <w:b/>
          <w:bCs/>
          <w:sz w:val="24"/>
        </w:rPr>
      </w:pPr>
      <w:r w:rsidRPr="00DD721C">
        <w:rPr>
          <w:rFonts w:ascii="Times New Roman" w:hAnsi="Times New Roman" w:cs="Times New Roman"/>
          <w:b/>
          <w:bCs/>
          <w:sz w:val="24"/>
        </w:rPr>
        <w:t xml:space="preserve">B. </w:t>
      </w:r>
      <w:r w:rsidRPr="00DD721C">
        <w:rPr>
          <w:rFonts w:ascii="Times New Roman" w:hAnsi="Times New Roman" w:cs="Times New Roman"/>
          <w:b/>
          <w:bCs/>
          <w:sz w:val="24"/>
        </w:rPr>
        <w:tab/>
        <w:t>Collections of Information Employing Statistical Methods</w:t>
      </w:r>
    </w:p>
    <w:p w:rsidRPr="00DD721C" w:rsidR="00DD721C" w:rsidP="00DD721C" w:rsidRDefault="00DD721C" w14:paraId="59D71B60" w14:textId="77777777">
      <w:pPr>
        <w:ind w:firstLine="360"/>
        <w:rPr>
          <w:rFonts w:ascii="Times New Roman" w:hAnsi="Times New Roman" w:cs="Times New Roman"/>
          <w:sz w:val="24"/>
        </w:rPr>
      </w:pPr>
    </w:p>
    <w:p w:rsidR="00DD721C" w:rsidP="00DD721C" w:rsidRDefault="00DD721C" w14:paraId="11A7FF67" w14:textId="2C420C77">
      <w:pPr>
        <w:ind w:firstLine="360"/>
        <w:rPr>
          <w:rFonts w:ascii="Times New Roman" w:hAnsi="Times New Roman" w:cs="Times New Roman"/>
          <w:sz w:val="24"/>
        </w:rPr>
      </w:pPr>
      <w:r w:rsidRPr="00DD721C">
        <w:rPr>
          <w:rFonts w:ascii="Times New Roman" w:hAnsi="Times New Roman" w:cs="Times New Roman"/>
          <w:sz w:val="24"/>
        </w:rPr>
        <w:t>No statistical methods will be used to study applicants for this license</w:t>
      </w:r>
    </w:p>
    <w:sectPr w:rsidR="00DD721C" w:rsidSect="00001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76B0" w14:textId="77777777" w:rsidR="00CA58E6" w:rsidRDefault="00CA58E6" w:rsidP="004A087D">
      <w:r>
        <w:separator/>
      </w:r>
    </w:p>
  </w:endnote>
  <w:endnote w:type="continuationSeparator" w:id="0">
    <w:p w14:paraId="0DEB298E" w14:textId="77777777" w:rsidR="00CA58E6" w:rsidRDefault="00CA58E6" w:rsidP="004A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9441" w14:textId="77777777" w:rsidR="00CA58E6" w:rsidRDefault="00CA58E6" w:rsidP="004A087D">
      <w:r>
        <w:separator/>
      </w:r>
    </w:p>
  </w:footnote>
  <w:footnote w:type="continuationSeparator" w:id="0">
    <w:p w14:paraId="3CAC21A6" w14:textId="77777777" w:rsidR="00CA58E6" w:rsidRDefault="00CA58E6" w:rsidP="004A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12F32170"/>
    <w:multiLevelType w:val="hybridMultilevel"/>
    <w:tmpl w:val="DCA0835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3"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6" w15:restartNumberingAfterBreak="0">
    <w:nsid w:val="4C0A5D0E"/>
    <w:multiLevelType w:val="hybridMultilevel"/>
    <w:tmpl w:val="D8EA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5495D"/>
    <w:multiLevelType w:val="hybridMultilevel"/>
    <w:tmpl w:val="DCA0835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0"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E96B81"/>
    <w:multiLevelType w:val="hybridMultilevel"/>
    <w:tmpl w:val="20802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9"/>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4"/>
  </w:num>
  <w:num w:numId="10">
    <w:abstractNumId w:val="6"/>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16E2F"/>
    <w:rsid w:val="00067C8B"/>
    <w:rsid w:val="00071C60"/>
    <w:rsid w:val="00083959"/>
    <w:rsid w:val="00091EA2"/>
    <w:rsid w:val="000E37D6"/>
    <w:rsid w:val="00121A45"/>
    <w:rsid w:val="00126D14"/>
    <w:rsid w:val="00153D1C"/>
    <w:rsid w:val="0017462A"/>
    <w:rsid w:val="00190969"/>
    <w:rsid w:val="00196D38"/>
    <w:rsid w:val="001A4833"/>
    <w:rsid w:val="001C615C"/>
    <w:rsid w:val="001F1488"/>
    <w:rsid w:val="00205101"/>
    <w:rsid w:val="00212D5B"/>
    <w:rsid w:val="00225624"/>
    <w:rsid w:val="00267E33"/>
    <w:rsid w:val="002718F9"/>
    <w:rsid w:val="002D3FC6"/>
    <w:rsid w:val="002E1145"/>
    <w:rsid w:val="00317DBB"/>
    <w:rsid w:val="00343058"/>
    <w:rsid w:val="0034477E"/>
    <w:rsid w:val="00382BD1"/>
    <w:rsid w:val="003968A0"/>
    <w:rsid w:val="003A1317"/>
    <w:rsid w:val="003A20F9"/>
    <w:rsid w:val="003A7152"/>
    <w:rsid w:val="003B6F8E"/>
    <w:rsid w:val="003E3328"/>
    <w:rsid w:val="00401187"/>
    <w:rsid w:val="00403A87"/>
    <w:rsid w:val="00414AD9"/>
    <w:rsid w:val="00463AA3"/>
    <w:rsid w:val="0049435A"/>
    <w:rsid w:val="00495A80"/>
    <w:rsid w:val="004A087D"/>
    <w:rsid w:val="004C4181"/>
    <w:rsid w:val="004D4123"/>
    <w:rsid w:val="00522CE4"/>
    <w:rsid w:val="0053339A"/>
    <w:rsid w:val="00540003"/>
    <w:rsid w:val="005529B7"/>
    <w:rsid w:val="00554F12"/>
    <w:rsid w:val="00567DE1"/>
    <w:rsid w:val="005C73DA"/>
    <w:rsid w:val="005D7EB2"/>
    <w:rsid w:val="005E5D37"/>
    <w:rsid w:val="005F0C2D"/>
    <w:rsid w:val="0060799B"/>
    <w:rsid w:val="0060799C"/>
    <w:rsid w:val="006108EC"/>
    <w:rsid w:val="00622DB6"/>
    <w:rsid w:val="00670A54"/>
    <w:rsid w:val="00682B0F"/>
    <w:rsid w:val="006D7B71"/>
    <w:rsid w:val="00732286"/>
    <w:rsid w:val="007571C4"/>
    <w:rsid w:val="00765B92"/>
    <w:rsid w:val="00766F57"/>
    <w:rsid w:val="00780ED6"/>
    <w:rsid w:val="007E066A"/>
    <w:rsid w:val="007F3318"/>
    <w:rsid w:val="007F3AD5"/>
    <w:rsid w:val="00800B5F"/>
    <w:rsid w:val="00801740"/>
    <w:rsid w:val="00802EF3"/>
    <w:rsid w:val="008064C8"/>
    <w:rsid w:val="00811F26"/>
    <w:rsid w:val="00823E06"/>
    <w:rsid w:val="00826F59"/>
    <w:rsid w:val="0084344E"/>
    <w:rsid w:val="008863C1"/>
    <w:rsid w:val="008B3623"/>
    <w:rsid w:val="008B40D0"/>
    <w:rsid w:val="008C1214"/>
    <w:rsid w:val="008D0D33"/>
    <w:rsid w:val="00911A79"/>
    <w:rsid w:val="009200AA"/>
    <w:rsid w:val="00941A84"/>
    <w:rsid w:val="009464F7"/>
    <w:rsid w:val="00980B87"/>
    <w:rsid w:val="00986072"/>
    <w:rsid w:val="009D1693"/>
    <w:rsid w:val="009E77FB"/>
    <w:rsid w:val="00A03116"/>
    <w:rsid w:val="00A05C51"/>
    <w:rsid w:val="00A23681"/>
    <w:rsid w:val="00A32332"/>
    <w:rsid w:val="00A37EED"/>
    <w:rsid w:val="00A5682B"/>
    <w:rsid w:val="00A648F6"/>
    <w:rsid w:val="00A6791A"/>
    <w:rsid w:val="00A730AC"/>
    <w:rsid w:val="00A73603"/>
    <w:rsid w:val="00B36236"/>
    <w:rsid w:val="00B43E56"/>
    <w:rsid w:val="00B75DB3"/>
    <w:rsid w:val="00B839F1"/>
    <w:rsid w:val="00B91589"/>
    <w:rsid w:val="00BF36BC"/>
    <w:rsid w:val="00C363D5"/>
    <w:rsid w:val="00C452BF"/>
    <w:rsid w:val="00C5000E"/>
    <w:rsid w:val="00C626EC"/>
    <w:rsid w:val="00C635B8"/>
    <w:rsid w:val="00C6553A"/>
    <w:rsid w:val="00C717AA"/>
    <w:rsid w:val="00C74192"/>
    <w:rsid w:val="00C74306"/>
    <w:rsid w:val="00C75818"/>
    <w:rsid w:val="00C85934"/>
    <w:rsid w:val="00CA58E6"/>
    <w:rsid w:val="00CD04C1"/>
    <w:rsid w:val="00CD63C1"/>
    <w:rsid w:val="00D01E4B"/>
    <w:rsid w:val="00D17173"/>
    <w:rsid w:val="00D52C60"/>
    <w:rsid w:val="00D973B2"/>
    <w:rsid w:val="00DA0038"/>
    <w:rsid w:val="00DD721C"/>
    <w:rsid w:val="00DE354B"/>
    <w:rsid w:val="00DE7BF7"/>
    <w:rsid w:val="00DF4E4E"/>
    <w:rsid w:val="00E07A59"/>
    <w:rsid w:val="00E91685"/>
    <w:rsid w:val="00E92A90"/>
    <w:rsid w:val="00ED3F03"/>
    <w:rsid w:val="00EF042D"/>
    <w:rsid w:val="00EF227E"/>
    <w:rsid w:val="00EF6EDB"/>
    <w:rsid w:val="00F609C4"/>
    <w:rsid w:val="00F653F5"/>
    <w:rsid w:val="00F769CF"/>
    <w:rsid w:val="00F77FE2"/>
    <w:rsid w:val="00F8330D"/>
    <w:rsid w:val="00FE1050"/>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styleId="Header">
    <w:name w:val="header"/>
    <w:basedOn w:val="Normal"/>
    <w:link w:val="HeaderChar"/>
    <w:uiPriority w:val="99"/>
    <w:unhideWhenUsed/>
    <w:rsid w:val="004A087D"/>
    <w:pPr>
      <w:tabs>
        <w:tab w:val="center" w:pos="4680"/>
        <w:tab w:val="right" w:pos="9360"/>
      </w:tabs>
    </w:pPr>
  </w:style>
  <w:style w:type="character" w:customStyle="1" w:styleId="HeaderChar">
    <w:name w:val="Header Char"/>
    <w:basedOn w:val="DefaultParagraphFont"/>
    <w:link w:val="Header"/>
    <w:uiPriority w:val="99"/>
    <w:rsid w:val="004A087D"/>
  </w:style>
  <w:style w:type="paragraph" w:styleId="Footer">
    <w:name w:val="footer"/>
    <w:basedOn w:val="Normal"/>
    <w:link w:val="FooterChar"/>
    <w:uiPriority w:val="99"/>
    <w:unhideWhenUsed/>
    <w:rsid w:val="004A087D"/>
    <w:pPr>
      <w:tabs>
        <w:tab w:val="center" w:pos="4680"/>
        <w:tab w:val="right" w:pos="9360"/>
      </w:tabs>
    </w:pPr>
  </w:style>
  <w:style w:type="character" w:customStyle="1" w:styleId="FooterChar">
    <w:name w:val="Footer Char"/>
    <w:basedOn w:val="DefaultParagraphFont"/>
    <w:link w:val="Footer"/>
    <w:uiPriority w:val="99"/>
    <w:rsid w:val="004A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44643332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689529420">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33911826">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BD5C-EC10-414A-A2CE-7E1612C5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2020-01-23T16:04:00Z</dcterms:created>
  <dcterms:modified xsi:type="dcterms:W3CDTF">2020-01-23T16:04:00Z</dcterms:modified>
</cp:coreProperties>
</file>