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B28EF" w14:textId="77777777" w:rsidR="00FA5243" w:rsidRDefault="0025093A" w:rsidP="0025093A">
      <w:pPr>
        <w:jc w:val="center"/>
        <w:rPr>
          <w:b/>
        </w:rPr>
      </w:pPr>
      <w:bookmarkStart w:id="0" w:name="_GoBack"/>
      <w:bookmarkEnd w:id="0"/>
      <w:r>
        <w:rPr>
          <w:b/>
        </w:rPr>
        <w:t>NARRATIVE SUPPORTING STATEMENT</w:t>
      </w:r>
    </w:p>
    <w:p w14:paraId="370E556E" w14:textId="77777777" w:rsidR="0025093A" w:rsidRDefault="0025093A" w:rsidP="0025093A">
      <w:pPr>
        <w:jc w:val="center"/>
        <w:rPr>
          <w:b/>
        </w:rPr>
      </w:pPr>
      <w:r>
        <w:rPr>
          <w:b/>
        </w:rPr>
        <w:t>FOR 46 CFR PART 5</w:t>
      </w:r>
      <w:r w:rsidR="00E030A0">
        <w:rPr>
          <w:b/>
        </w:rPr>
        <w:t>15</w:t>
      </w:r>
    </w:p>
    <w:p w14:paraId="09DAA37E" w14:textId="77777777" w:rsidR="0025093A" w:rsidRDefault="0025093A" w:rsidP="0025093A"/>
    <w:p w14:paraId="23BED0E6" w14:textId="77777777" w:rsidR="0025093A" w:rsidRDefault="0025093A" w:rsidP="0025093A"/>
    <w:p w14:paraId="6A60BCE7" w14:textId="77777777" w:rsidR="0025093A" w:rsidRDefault="0025093A" w:rsidP="00B14F6C">
      <w:pPr>
        <w:rPr>
          <w:b/>
        </w:rPr>
      </w:pPr>
      <w:r w:rsidRPr="001D5B6E">
        <w:rPr>
          <w:b/>
        </w:rPr>
        <w:t>A.</w:t>
      </w:r>
      <w:r w:rsidRPr="001D5B6E">
        <w:rPr>
          <w:b/>
        </w:rPr>
        <w:tab/>
        <w:t>Justification</w:t>
      </w:r>
    </w:p>
    <w:p w14:paraId="02B6B4D6" w14:textId="30BD79E7" w:rsidR="008F1B55" w:rsidRDefault="008F1B55" w:rsidP="00B14F6C">
      <w:pPr>
        <w:rPr>
          <w:b/>
        </w:rPr>
      </w:pPr>
    </w:p>
    <w:p w14:paraId="70E74EF8" w14:textId="77777777" w:rsidR="008F1B55" w:rsidRDefault="008F1B55" w:rsidP="00B14F6C"/>
    <w:p w14:paraId="4A5EC522" w14:textId="362FBFF7" w:rsidR="008F1B55" w:rsidRPr="001D5B6E" w:rsidRDefault="008F1B55" w:rsidP="00B14F6C">
      <w:pPr>
        <w:pStyle w:val="Default"/>
        <w:rPr>
          <w:b/>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1C3BD059" w14:textId="77777777" w:rsidR="0025093A" w:rsidRDefault="0025093A" w:rsidP="00B14F6C"/>
    <w:p w14:paraId="563AF7D3" w14:textId="6E49E224" w:rsidR="0025093A" w:rsidRDefault="00962A16" w:rsidP="00B14F6C">
      <w:pPr>
        <w:ind w:firstLine="720"/>
      </w:pPr>
      <w:r>
        <w:t>Section 19 of the Shipping Act of 1984</w:t>
      </w:r>
      <w:r w:rsidR="0081604C">
        <w:t xml:space="preserve"> (Shipping Act)</w:t>
      </w:r>
      <w:r>
        <w:t>, as modified by Public Law 105-258 (The Ocean Shipping Reform Act of 1998)</w:t>
      </w:r>
      <w:r w:rsidR="00E178CC">
        <w:t xml:space="preserve"> </w:t>
      </w:r>
      <w:r>
        <w:t>and Section 424 of Public Law 105-383 (The Coast Guard Authorization Act of 1998), require</w:t>
      </w:r>
      <w:r w:rsidR="00E4293E">
        <w:t>s</w:t>
      </w:r>
      <w:r>
        <w:t xml:space="preserve"> that all ocean transportation intermediaries (OTIs) in the United States be licensed by the Commission</w:t>
      </w:r>
      <w:r w:rsidR="00E178CC">
        <w:t>,</w:t>
      </w:r>
      <w:r w:rsidR="00FC0405">
        <w:t xml:space="preserve"> and provide </w:t>
      </w:r>
      <w:r w:rsidR="0042726F">
        <w:t xml:space="preserve">a bond, proof of insurance or other surety. </w:t>
      </w:r>
      <w:r w:rsidR="00E71313">
        <w:t xml:space="preserve">Licensed non-vessel-operating common carriers (NVOCCs) must also publish a tariff of their rates and charges. </w:t>
      </w:r>
      <w:r w:rsidR="00B36EDE">
        <w:t>These requirements are now codified in positive law at 46 U.S.C. §§ 40901-40904</w:t>
      </w:r>
      <w:r w:rsidR="00986193">
        <w:t xml:space="preserve">.  </w:t>
      </w:r>
      <w:r w:rsidR="00D4417B">
        <w:t xml:space="preserve">NVOCCs </w:t>
      </w:r>
      <w:r w:rsidR="0042726F">
        <w:t xml:space="preserve">that are not “in the United States” </w:t>
      </w:r>
      <w:r w:rsidR="00E71313">
        <w:t xml:space="preserve">and not licensed </w:t>
      </w:r>
      <w:r w:rsidR="00983417">
        <w:t xml:space="preserve">must </w:t>
      </w:r>
      <w:r w:rsidR="0042726F">
        <w:t>publish a tariff</w:t>
      </w:r>
      <w:r w:rsidR="0042726F" w:rsidRPr="0042726F">
        <w:t xml:space="preserve"> </w:t>
      </w:r>
      <w:r w:rsidR="0042726F">
        <w:t xml:space="preserve">and provide a bond, proof of insurance or other surety.  </w:t>
      </w:r>
      <w:r>
        <w:t xml:space="preserve">These requirements are implemented in </w:t>
      </w:r>
      <w:r w:rsidR="00242C7A">
        <w:t xml:space="preserve">Commission </w:t>
      </w:r>
      <w:r>
        <w:t xml:space="preserve">regulations contained in 46 CFR </w:t>
      </w:r>
      <w:r w:rsidR="0095422A">
        <w:t>p</w:t>
      </w:r>
      <w:r>
        <w:t xml:space="preserve">art 515.  </w:t>
      </w:r>
    </w:p>
    <w:p w14:paraId="33671502" w14:textId="54BD2990" w:rsidR="00877DB5" w:rsidRDefault="00877DB5" w:rsidP="00B14F6C"/>
    <w:p w14:paraId="0145ED94" w14:textId="0DE41C1D" w:rsidR="008F1B55" w:rsidRDefault="008F1B55" w:rsidP="00B14F6C"/>
    <w:p w14:paraId="5FE54986" w14:textId="77777777" w:rsidR="008F1B55" w:rsidRPr="00B772FD" w:rsidRDefault="008F1B55" w:rsidP="00B14F6C">
      <w:pPr>
        <w:autoSpaceDE w:val="0"/>
        <w:autoSpaceDN w:val="0"/>
        <w:adjustRightInd w:val="0"/>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14:paraId="29B1C6CF" w14:textId="77777777" w:rsidR="008F1B55" w:rsidRDefault="008F1B55" w:rsidP="00B14F6C"/>
    <w:p w14:paraId="149DAE8B" w14:textId="237580DB" w:rsidR="00F076DA" w:rsidRDefault="001D5B6E" w:rsidP="00B14F6C">
      <w:r>
        <w:tab/>
      </w:r>
      <w:r w:rsidR="00D648B6">
        <w:t xml:space="preserve">Information obtained under part </w:t>
      </w:r>
      <w:r w:rsidR="00E840CE">
        <w:t xml:space="preserve">515 </w:t>
      </w:r>
      <w:r w:rsidR="00D648B6">
        <w:t>and</w:t>
      </w:r>
      <w:r w:rsidR="00E840CE">
        <w:t xml:space="preserve"> the</w:t>
      </w:r>
      <w:r w:rsidR="00F559ED">
        <w:t xml:space="preserve"> </w:t>
      </w:r>
      <w:r w:rsidR="00F06B21">
        <w:t xml:space="preserve">financial responsibility </w:t>
      </w:r>
      <w:r w:rsidR="00F559ED">
        <w:t>Forms</w:t>
      </w:r>
      <w:r w:rsidR="00D648B6">
        <w:t xml:space="preserve"> </w:t>
      </w:r>
      <w:r w:rsidR="001713F6">
        <w:t>is</w:t>
      </w:r>
      <w:r w:rsidR="00F559ED">
        <w:t xml:space="preserve"> </w:t>
      </w:r>
      <w:r w:rsidR="00D648B6">
        <w:t xml:space="preserve">used </w:t>
      </w:r>
      <w:r w:rsidR="001713F6">
        <w:t>for</w:t>
      </w:r>
      <w:r w:rsidR="00F559ED">
        <w:t xml:space="preserve"> the Commission’s oversight of OTIs with respect to the </w:t>
      </w:r>
      <w:r w:rsidR="003026BF">
        <w:t>finding that an applicant, or existing licensee is qualified for licensing or continues to meet the regulatory requirements of an OTI and to adequately protect the public by ensuring that OTIs have obtained acceptable evidence of financial responsibility as required by section 19 of the Shipping Act.</w:t>
      </w:r>
    </w:p>
    <w:p w14:paraId="5F30D14A" w14:textId="77777777" w:rsidR="003A1FF5" w:rsidRDefault="003A1FF5" w:rsidP="00B14F6C"/>
    <w:p w14:paraId="32A9EC81" w14:textId="77777777" w:rsidR="008F1B55" w:rsidRDefault="008F1B55" w:rsidP="00B14F6C"/>
    <w:p w14:paraId="0B5C3123" w14:textId="77777777" w:rsidR="008F1B55" w:rsidRDefault="008F1B55" w:rsidP="00B14F6C">
      <w:pPr>
        <w:autoSpaceDE w:val="0"/>
        <w:autoSpaceDN w:val="0"/>
        <w:adjustRightInd w:val="0"/>
        <w:rPr>
          <w:rFonts w:eastAsia="Calibri"/>
          <w:b/>
          <w:bCs/>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486C2E3A" w14:textId="77777777" w:rsidR="008F1B55" w:rsidRDefault="008F1B55" w:rsidP="00B14F6C">
      <w:pPr>
        <w:autoSpaceDE w:val="0"/>
        <w:autoSpaceDN w:val="0"/>
        <w:adjustRightInd w:val="0"/>
        <w:rPr>
          <w:rFonts w:eastAsia="Calibri"/>
          <w:b/>
          <w:bCs/>
          <w:color w:val="000000"/>
        </w:rPr>
      </w:pPr>
    </w:p>
    <w:p w14:paraId="71C0E073" w14:textId="611DEE40" w:rsidR="00CE76C8" w:rsidRDefault="00CE76C8" w:rsidP="00B14F6C">
      <w:pPr>
        <w:autoSpaceDE w:val="0"/>
        <w:autoSpaceDN w:val="0"/>
        <w:adjustRightInd w:val="0"/>
        <w:rPr>
          <w:rFonts w:eastAsia="Calibri"/>
          <w:bCs/>
          <w:color w:val="000000"/>
        </w:rPr>
      </w:pPr>
      <w:r>
        <w:rPr>
          <w:rFonts w:eastAsia="Calibri"/>
          <w:b/>
          <w:bCs/>
          <w:color w:val="000000"/>
        </w:rPr>
        <w:tab/>
      </w:r>
      <w:r w:rsidR="00565DF4">
        <w:rPr>
          <w:rFonts w:eastAsia="Calibri"/>
          <w:bCs/>
          <w:color w:val="000000"/>
        </w:rPr>
        <w:t>Information is collecte</w:t>
      </w:r>
      <w:r w:rsidR="00AA6731">
        <w:rPr>
          <w:rFonts w:eastAsia="Calibri"/>
          <w:bCs/>
          <w:color w:val="000000"/>
        </w:rPr>
        <w:t>d via an online portal or submitted electronically when applicants apply for a license or submit a registration, complete the triennial renewal, or when existing licensees or registrants change information in their previously submitted application forms.</w:t>
      </w:r>
    </w:p>
    <w:p w14:paraId="544A02F6" w14:textId="09227254" w:rsidR="00AA6731" w:rsidRDefault="00AA6731" w:rsidP="00B14F6C">
      <w:pPr>
        <w:autoSpaceDE w:val="0"/>
        <w:autoSpaceDN w:val="0"/>
        <w:adjustRightInd w:val="0"/>
        <w:rPr>
          <w:rFonts w:eastAsia="Calibri"/>
          <w:bCs/>
          <w:color w:val="000000"/>
        </w:rPr>
      </w:pPr>
    </w:p>
    <w:p w14:paraId="0988B485" w14:textId="5C82080A" w:rsidR="0004274A" w:rsidRDefault="0004274A" w:rsidP="00B14F6C">
      <w:pPr>
        <w:autoSpaceDE w:val="0"/>
        <w:autoSpaceDN w:val="0"/>
        <w:adjustRightInd w:val="0"/>
        <w:rPr>
          <w:rFonts w:eastAsia="Calibri"/>
          <w:bCs/>
          <w:color w:val="000000"/>
        </w:rPr>
      </w:pPr>
    </w:p>
    <w:p w14:paraId="037B4A8B" w14:textId="77777777" w:rsidR="0004274A" w:rsidRDefault="0004274A" w:rsidP="00B14F6C">
      <w:pPr>
        <w:autoSpaceDE w:val="0"/>
        <w:autoSpaceDN w:val="0"/>
        <w:adjustRightInd w:val="0"/>
        <w:rPr>
          <w:rFonts w:eastAsia="Calibri"/>
          <w:bCs/>
          <w:color w:val="000000"/>
        </w:rPr>
      </w:pPr>
    </w:p>
    <w:p w14:paraId="76F046E2" w14:textId="77777777" w:rsidR="00CE76C8" w:rsidRPr="00CE76C8" w:rsidRDefault="00CE76C8" w:rsidP="00B14F6C">
      <w:pPr>
        <w:autoSpaceDE w:val="0"/>
        <w:autoSpaceDN w:val="0"/>
        <w:adjustRightInd w:val="0"/>
        <w:rPr>
          <w:rFonts w:eastAsia="Calibri"/>
          <w:bCs/>
          <w:color w:val="000000"/>
        </w:rPr>
      </w:pPr>
    </w:p>
    <w:p w14:paraId="30FAA11A" w14:textId="77777777" w:rsidR="008F1B55" w:rsidRDefault="008F1B55" w:rsidP="00B14F6C">
      <w:pPr>
        <w:autoSpaceDE w:val="0"/>
        <w:autoSpaceDN w:val="0"/>
        <w:adjustRightInd w:val="0"/>
        <w:rPr>
          <w:rFonts w:eastAsia="Calibri"/>
          <w:b/>
          <w:bCs/>
          <w:color w:val="000000"/>
        </w:rPr>
      </w:pPr>
    </w:p>
    <w:p w14:paraId="2D96B898" w14:textId="77777777" w:rsidR="008F1B55" w:rsidRDefault="008F1B55" w:rsidP="00B14F6C">
      <w:r w:rsidRPr="006B6A52">
        <w:rPr>
          <w:b/>
          <w:bCs/>
        </w:rPr>
        <w:lastRenderedPageBreak/>
        <w:t xml:space="preserve">4. </w:t>
      </w:r>
      <w:r>
        <w:rPr>
          <w:b/>
          <w:bCs/>
        </w:rPr>
        <w:tab/>
      </w:r>
      <w:r w:rsidRPr="006B6A52">
        <w:rPr>
          <w:b/>
          <w:bCs/>
        </w:rPr>
        <w:t>Describe efforts to identify duplication</w:t>
      </w:r>
      <w:r>
        <w:t>.</w:t>
      </w:r>
    </w:p>
    <w:p w14:paraId="0A347DC8" w14:textId="77777777" w:rsidR="008F1B55" w:rsidRDefault="008F1B55" w:rsidP="00B14F6C"/>
    <w:p w14:paraId="1D36A439" w14:textId="1A7092AA" w:rsidR="00E326E3" w:rsidRDefault="00E326E3" w:rsidP="00B14F6C">
      <w:pPr>
        <w:ind w:firstLine="720"/>
      </w:pPr>
      <w:r>
        <w:t xml:space="preserve">The information requested </w:t>
      </w:r>
      <w:r w:rsidR="00D0134D">
        <w:t xml:space="preserve">by the Commission is </w:t>
      </w:r>
      <w:r w:rsidR="000D1698">
        <w:t>necessary</w:t>
      </w:r>
      <w:r w:rsidR="00D0134D">
        <w:t xml:space="preserve"> to the </w:t>
      </w:r>
      <w:r w:rsidR="00E4293E">
        <w:t>agency’s</w:t>
      </w:r>
      <w:r w:rsidR="00D0134D">
        <w:t xml:space="preserve"> licensing </w:t>
      </w:r>
      <w:r w:rsidR="0004274A">
        <w:t xml:space="preserve">and registration </w:t>
      </w:r>
      <w:r w:rsidR="00D0134D">
        <w:t>process</w:t>
      </w:r>
      <w:r w:rsidR="000D1698">
        <w:t>,</w:t>
      </w:r>
      <w:r w:rsidR="0004274A">
        <w:t xml:space="preserve"> </w:t>
      </w:r>
      <w:r w:rsidR="000D1698">
        <w:t>and does not duplicate any information that would normally be collected elsewhere.</w:t>
      </w:r>
    </w:p>
    <w:p w14:paraId="5446CEBC" w14:textId="77777777" w:rsidR="000D1698" w:rsidRDefault="000D1698" w:rsidP="00B14F6C"/>
    <w:p w14:paraId="7A9D8AD1" w14:textId="77777777" w:rsidR="008F1B55" w:rsidRPr="00B772FD" w:rsidRDefault="008F1B55" w:rsidP="00B14F6C">
      <w:pPr>
        <w:autoSpaceDE w:val="0"/>
        <w:autoSpaceDN w:val="0"/>
        <w:adjustRightInd w:val="0"/>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14:paraId="0971700B" w14:textId="77777777" w:rsidR="008F1B55" w:rsidRDefault="008F1B55" w:rsidP="00B14F6C"/>
    <w:p w14:paraId="0232B71B" w14:textId="09131A82" w:rsidR="008F1B55" w:rsidRDefault="00E326E3" w:rsidP="00B14F6C">
      <w:r>
        <w:tab/>
      </w:r>
      <w:r w:rsidR="00EC4088" w:rsidRPr="00E94B93">
        <w:t>Th</w:t>
      </w:r>
      <w:r w:rsidR="002E4A48">
        <w:t>is</w:t>
      </w:r>
      <w:r w:rsidR="0052771C" w:rsidRPr="00E94B93">
        <w:t xml:space="preserve"> collection of information </w:t>
      </w:r>
      <w:r w:rsidR="002E4A48">
        <w:t>d</w:t>
      </w:r>
      <w:r w:rsidR="00EC4088" w:rsidRPr="00E94B93">
        <w:t xml:space="preserve">oes not have a significant economic impact on a substantial number of small entities.  </w:t>
      </w:r>
    </w:p>
    <w:p w14:paraId="7D1C72FB" w14:textId="77777777" w:rsidR="008F1B55" w:rsidRDefault="008F1B55" w:rsidP="00B14F6C"/>
    <w:p w14:paraId="08F92004" w14:textId="77777777" w:rsidR="008F1B55" w:rsidRDefault="008F1B55" w:rsidP="00B14F6C">
      <w:pPr>
        <w:ind w:firstLine="720"/>
      </w:pPr>
    </w:p>
    <w:p w14:paraId="4FC03F0A" w14:textId="77777777" w:rsidR="008F1B55" w:rsidRPr="00B772FD" w:rsidRDefault="008F1B55" w:rsidP="00B14F6C">
      <w:pPr>
        <w:autoSpaceDE w:val="0"/>
        <w:autoSpaceDN w:val="0"/>
        <w:adjustRightInd w:val="0"/>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14:paraId="5104A08B" w14:textId="77777777" w:rsidR="008F1B55" w:rsidRDefault="008F1B55" w:rsidP="00B14F6C">
      <w:pPr>
        <w:ind w:firstLine="720"/>
      </w:pPr>
    </w:p>
    <w:p w14:paraId="2DD908D2" w14:textId="6365FD2B" w:rsidR="00E326E3" w:rsidRDefault="00B34D16" w:rsidP="00B14F6C">
      <w:pPr>
        <w:ind w:firstLine="720"/>
      </w:pPr>
      <w:r>
        <w:t xml:space="preserve"> </w:t>
      </w:r>
      <w:r w:rsidR="003800D0">
        <w:t xml:space="preserve">If the information were not collected, the Commission would not have information upon which to support a finding that an applicant, or existing licensee, is qualified </w:t>
      </w:r>
      <w:r w:rsidR="003A36A4">
        <w:t xml:space="preserve">(or continues to be qualified) </w:t>
      </w:r>
      <w:r w:rsidR="003800D0">
        <w:t xml:space="preserve">for licensing or </w:t>
      </w:r>
      <w:r w:rsidR="000C464A">
        <w:t>otherwise</w:t>
      </w:r>
      <w:r w:rsidR="003800D0">
        <w:t xml:space="preserve"> meet</w:t>
      </w:r>
      <w:r w:rsidR="000C464A">
        <w:t>s the OTI regulatory</w:t>
      </w:r>
      <w:r w:rsidR="00A24A37">
        <w:t xml:space="preserve"> requirements</w:t>
      </w:r>
      <w:r w:rsidR="003800D0">
        <w:t xml:space="preserve">.  Failure to collect this information would also prevent the Commission from adequately protecting the public by ensuring that OTIs have obtained acceptable evidence of financial responsibility as required by section 19 of the Shipping Act.  Therefore, the Commission would be unable to fulfill its statutory mandate.  </w:t>
      </w:r>
    </w:p>
    <w:p w14:paraId="4BFE1679" w14:textId="77777777" w:rsidR="008F1B55" w:rsidRDefault="008F1B55" w:rsidP="00B14F6C">
      <w:pPr>
        <w:ind w:firstLine="720"/>
      </w:pPr>
    </w:p>
    <w:p w14:paraId="5D5BF179" w14:textId="77777777" w:rsidR="008F1B55" w:rsidRDefault="008F1B55" w:rsidP="00B14F6C">
      <w:pPr>
        <w:ind w:firstLine="720"/>
      </w:pPr>
    </w:p>
    <w:p w14:paraId="07831D0C" w14:textId="77777777" w:rsidR="008F1B55" w:rsidRDefault="008F1B55" w:rsidP="00B14F6C">
      <w:pPr>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7B12A1C5" w14:textId="77777777" w:rsidR="008F1B55" w:rsidRDefault="008F1B55" w:rsidP="00B14F6C"/>
    <w:p w14:paraId="14D500F9" w14:textId="7E8ABB07" w:rsidR="008F1B55" w:rsidRDefault="008F1B55" w:rsidP="00B14F6C">
      <w:pPr>
        <w:ind w:firstLine="720"/>
      </w:pPr>
      <w:r>
        <w:t xml:space="preserve">This information collection does not (1) require OTI respondents to report information to the agency more often than every 3 years; </w:t>
      </w:r>
      <w:r w:rsidRPr="00365098">
        <w:t xml:space="preserve">(2) require respondents to prepare a written response to a collection of information in fewer than </w:t>
      </w:r>
      <w:r w:rsidR="00050BE3">
        <w:t>100 days</w:t>
      </w:r>
      <w:r w:rsidRPr="00365098">
        <w:t xml:space="preserve"> after receipt of it;</w:t>
      </w:r>
      <w:r>
        <w:t xml:space="preserve"> (3) require respondents to </w:t>
      </w:r>
      <w:r>
        <w:lastRenderedPageBreak/>
        <w:t xml:space="preserve">submit more than an original and two copies of any document; (4) include confidentiality pledges; or (5) require respondents to submit proprietary information without </w:t>
      </w:r>
      <w:r w:rsidR="005514CE">
        <w:t xml:space="preserve">the </w:t>
      </w:r>
      <w:r w:rsidR="00894C23">
        <w:t>Commission</w:t>
      </w:r>
      <w:r w:rsidR="005514CE">
        <w:t xml:space="preserve"> </w:t>
      </w:r>
      <w:r>
        <w:t xml:space="preserve">protecting such information to the full extent of the law. The </w:t>
      </w:r>
      <w:r w:rsidR="00335FFA">
        <w:t>Commission</w:t>
      </w:r>
      <w:r>
        <w:t xml:space="preserve"> is actively pursuing IT solutions that will facilitate secure, automated filing of OTI licensing and renewal data.  Existing 46 CFR 515.33 requires that certain records be kept for five years.  This requirement is consistent with the statute of limitations period for civil penalty cases, and is consistent with the requirements contained in section 13 of the Shipping Act of 1984 (46 U.S.C. 41109).  Any confidential information required under this collection (such as Social Security Numbers</w:t>
      </w:r>
      <w:r w:rsidR="00F80A38">
        <w:t>)</w:t>
      </w:r>
      <w:r>
        <w:t xml:space="preserve"> is protected by the Privacy Act and by security and privacy policies developed by the bureau responsible for this collection.</w:t>
      </w:r>
    </w:p>
    <w:p w14:paraId="22107134" w14:textId="77777777" w:rsidR="008F1B55" w:rsidRDefault="008F1B55" w:rsidP="00B14F6C">
      <w:pPr>
        <w:ind w:firstLine="720"/>
      </w:pPr>
    </w:p>
    <w:p w14:paraId="6BD38C1D" w14:textId="77777777" w:rsidR="008F1B55" w:rsidRDefault="008F1B55" w:rsidP="00B14F6C">
      <w:pPr>
        <w:ind w:firstLine="720"/>
      </w:pPr>
    </w:p>
    <w:p w14:paraId="72245221" w14:textId="77777777" w:rsidR="008F1B55" w:rsidRPr="00B772FD" w:rsidRDefault="008F1B55" w:rsidP="00B14F6C">
      <w:pPr>
        <w:autoSpaceDE w:val="0"/>
        <w:autoSpaceDN w:val="0"/>
        <w:adjustRightInd w:val="0"/>
        <w:rPr>
          <w:rFonts w:eastAsia="Calibri"/>
          <w:b/>
          <w:bCs/>
          <w:color w:val="000000"/>
        </w:rPr>
      </w:pPr>
      <w:r w:rsidRPr="00B772FD">
        <w:rPr>
          <w:rFonts w:eastAsia="Calibri"/>
          <w:b/>
          <w:bCs/>
          <w:color w:val="000000"/>
        </w:rPr>
        <w:t xml:space="preserve">8. </w:t>
      </w:r>
      <w:r w:rsidRPr="00B772FD">
        <w:rPr>
          <w:rFonts w:eastAsia="Calibri"/>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67781DF4" w14:textId="77777777" w:rsidR="008F1B55" w:rsidRDefault="008F1B55" w:rsidP="00B14F6C">
      <w:pPr>
        <w:ind w:firstLine="720"/>
      </w:pPr>
    </w:p>
    <w:p w14:paraId="60CF78A7" w14:textId="2FF388DF" w:rsidR="008F1B55" w:rsidRDefault="008F1B55" w:rsidP="00B14F6C">
      <w:pPr>
        <w:ind w:firstLine="720"/>
      </w:pPr>
      <w:r>
        <w:t xml:space="preserve">The 60-day Federal Register Notice regarding this </w:t>
      </w:r>
      <w:r w:rsidR="004E5162">
        <w:t>reinstatement</w:t>
      </w:r>
      <w:r>
        <w:t xml:space="preserve"> was published </w:t>
      </w:r>
      <w:r w:rsidR="005657D9">
        <w:t xml:space="preserve">May 31, </w:t>
      </w:r>
      <w:r w:rsidR="002E4A48">
        <w:t xml:space="preserve">2019 at 84 FR </w:t>
      </w:r>
      <w:r w:rsidR="004E5162">
        <w:t>25274</w:t>
      </w:r>
      <w:r>
        <w:t xml:space="preserve">.  </w:t>
      </w:r>
    </w:p>
    <w:p w14:paraId="7057826D" w14:textId="77777777" w:rsidR="008F1B55" w:rsidRDefault="008F1B55" w:rsidP="00B14F6C">
      <w:pPr>
        <w:ind w:firstLine="720"/>
      </w:pPr>
    </w:p>
    <w:p w14:paraId="2818A453" w14:textId="77777777" w:rsidR="008F1B55" w:rsidRPr="00B772FD" w:rsidRDefault="008F1B55" w:rsidP="00B14F6C">
      <w:pPr>
        <w:pStyle w:val="Default"/>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14:paraId="58087AB9" w14:textId="77777777" w:rsidR="008F1B55" w:rsidRDefault="008F1B55" w:rsidP="00B14F6C">
      <w:pPr>
        <w:ind w:firstLine="720"/>
      </w:pPr>
    </w:p>
    <w:p w14:paraId="404AE54D" w14:textId="5F71F2C2" w:rsidR="00E326E3" w:rsidRDefault="00E326E3" w:rsidP="00B14F6C">
      <w:pPr>
        <w:ind w:firstLine="720"/>
      </w:pPr>
      <w:r>
        <w:t>Not applicable</w:t>
      </w:r>
      <w:r w:rsidR="00BC3FA1">
        <w:t xml:space="preserve"> – The Commission does not provide any payments or gifts to respondents.  </w:t>
      </w:r>
    </w:p>
    <w:p w14:paraId="365469F7" w14:textId="77777777" w:rsidR="008F1B55" w:rsidRDefault="008F1B55" w:rsidP="00B14F6C">
      <w:pPr>
        <w:ind w:firstLine="720"/>
      </w:pPr>
    </w:p>
    <w:p w14:paraId="401FA309" w14:textId="77777777" w:rsidR="008F1B55" w:rsidRDefault="008F1B55" w:rsidP="00B14F6C">
      <w:pPr>
        <w:ind w:firstLine="720"/>
      </w:pPr>
    </w:p>
    <w:p w14:paraId="2F20BF3A" w14:textId="77777777" w:rsidR="003A1FF5" w:rsidRPr="00B772FD" w:rsidRDefault="003A1FF5" w:rsidP="00B14F6C">
      <w:pPr>
        <w:autoSpaceDE w:val="0"/>
        <w:autoSpaceDN w:val="0"/>
        <w:adjustRightInd w:val="0"/>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14:paraId="144B8D79" w14:textId="77777777" w:rsidR="00E326E3" w:rsidRDefault="00E326E3" w:rsidP="00B14F6C"/>
    <w:p w14:paraId="317F0DE9" w14:textId="18D801EF" w:rsidR="00A149E4" w:rsidRDefault="00A149E4" w:rsidP="00B14F6C">
      <w:pPr>
        <w:ind w:firstLine="720"/>
      </w:pPr>
      <w:r>
        <w:t xml:space="preserve">The information </w:t>
      </w:r>
      <w:r w:rsidR="005E7863">
        <w:t xml:space="preserve">submitted </w:t>
      </w:r>
      <w:r>
        <w:t xml:space="preserve">by </w:t>
      </w:r>
      <w:r w:rsidR="005E7863">
        <w:t xml:space="preserve">OTIs </w:t>
      </w:r>
      <w:r>
        <w:t xml:space="preserve">is subject to the </w:t>
      </w:r>
      <w:r w:rsidR="00F80A38">
        <w:t>protections from disclosure</w:t>
      </w:r>
      <w:r>
        <w:t xml:space="preserve"> of the Freedom of Information Act and the Privacy Act.  </w:t>
      </w:r>
      <w:r w:rsidR="0063383A">
        <w:t xml:space="preserve">The bureau involved in this collection of information also has strict policies in place regarding the handling of confidential or sensitive information.  </w:t>
      </w:r>
    </w:p>
    <w:p w14:paraId="6508D99E" w14:textId="77777777" w:rsidR="003A1FF5" w:rsidRDefault="003A1FF5" w:rsidP="00B14F6C">
      <w:pPr>
        <w:ind w:firstLine="720"/>
      </w:pPr>
    </w:p>
    <w:p w14:paraId="3C7837D6" w14:textId="77777777" w:rsidR="003A1FF5" w:rsidRDefault="003A1FF5" w:rsidP="00B14F6C">
      <w:pPr>
        <w:autoSpaceDE w:val="0"/>
        <w:autoSpaceDN w:val="0"/>
        <w:adjustRightInd w:val="0"/>
        <w:rPr>
          <w:rFonts w:eastAsia="Calibri"/>
          <w:b/>
          <w:bCs/>
          <w:color w:val="000000"/>
        </w:rPr>
      </w:pPr>
    </w:p>
    <w:p w14:paraId="6945F942" w14:textId="77777777" w:rsidR="003A1FF5" w:rsidRPr="00B772FD" w:rsidRDefault="003A1FF5" w:rsidP="00B14F6C">
      <w:pPr>
        <w:autoSpaceDE w:val="0"/>
        <w:autoSpaceDN w:val="0"/>
        <w:adjustRightInd w:val="0"/>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1B8DAB19" w14:textId="77777777" w:rsidR="003A1FF5" w:rsidRDefault="003A1FF5" w:rsidP="00B14F6C">
      <w:pPr>
        <w:ind w:firstLine="720"/>
      </w:pPr>
    </w:p>
    <w:p w14:paraId="6C22EFCA" w14:textId="76AAD603" w:rsidR="00E326E3" w:rsidRDefault="00521B0F" w:rsidP="00B14F6C">
      <w:pPr>
        <w:ind w:firstLine="720"/>
      </w:pPr>
      <w:r>
        <w:t xml:space="preserve">The Commission considers </w:t>
      </w:r>
      <w:r w:rsidR="0055226A">
        <w:t>certain</w:t>
      </w:r>
      <w:r>
        <w:t xml:space="preserve"> information </w:t>
      </w:r>
      <w:r w:rsidR="008C12DC">
        <w:t xml:space="preserve">in Form FMC-18 </w:t>
      </w:r>
      <w:r>
        <w:t xml:space="preserve">necessary because </w:t>
      </w:r>
      <w:r w:rsidR="00CC7C1E">
        <w:t xml:space="preserve">the </w:t>
      </w:r>
      <w:r w:rsidR="008C12DC">
        <w:t xml:space="preserve">Commission is determining character and experience to represent others in </w:t>
      </w:r>
      <w:r>
        <w:t xml:space="preserve">fiduciary </w:t>
      </w:r>
      <w:r w:rsidR="00672738">
        <w:t xml:space="preserve">capacities </w:t>
      </w:r>
      <w:r w:rsidR="00986193">
        <w:t>or assuming responsibility for the safe transportation of cargo</w:t>
      </w:r>
      <w:r>
        <w:t xml:space="preserve">.  There are no questions of a sensitive nature in Forms FMC-48, </w:t>
      </w:r>
      <w:r w:rsidR="00637F2D">
        <w:t xml:space="preserve">48A, </w:t>
      </w:r>
      <w:r w:rsidR="00B34D16">
        <w:t xml:space="preserve">67, 68, </w:t>
      </w:r>
      <w:r w:rsidR="00637F2D">
        <w:t xml:space="preserve">69 or </w:t>
      </w:r>
      <w:r>
        <w:t>69</w:t>
      </w:r>
      <w:r w:rsidR="00637F2D">
        <w:t>A</w:t>
      </w:r>
      <w:r w:rsidR="00672738">
        <w:t>.</w:t>
      </w:r>
    </w:p>
    <w:p w14:paraId="39B89282" w14:textId="77777777" w:rsidR="003A1FF5" w:rsidRDefault="003A1FF5" w:rsidP="00B14F6C">
      <w:pPr>
        <w:ind w:firstLine="720"/>
      </w:pPr>
    </w:p>
    <w:p w14:paraId="0E5D907F" w14:textId="77777777" w:rsidR="003A1FF5" w:rsidRDefault="003A1FF5" w:rsidP="00B14F6C">
      <w:pPr>
        <w:ind w:firstLine="720"/>
      </w:pPr>
    </w:p>
    <w:p w14:paraId="795EB910" w14:textId="3D21B0E0" w:rsidR="003A1FF5" w:rsidRDefault="003A1FF5" w:rsidP="00A30B6C">
      <w:pPr>
        <w:autoSpaceDE w:val="0"/>
        <w:autoSpaceDN w:val="0"/>
        <w:adjustRightInd w:val="0"/>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13560A80" w14:textId="77777777" w:rsidR="00E326E3" w:rsidRDefault="00E326E3" w:rsidP="00B14F6C"/>
    <w:p w14:paraId="73321952" w14:textId="1F82C506" w:rsidR="00A30B6C" w:rsidRDefault="00A30B6C" w:rsidP="00A30B6C">
      <w:pPr>
        <w:ind w:firstLine="720"/>
      </w:pPr>
      <w:r>
        <w:t xml:space="preserve">There is currently an estimated universe of </w:t>
      </w:r>
      <w:r w:rsidRPr="00A9340B">
        <w:t>approximately 6,000</w:t>
      </w:r>
      <w:r>
        <w:t xml:space="preserve"> OTIs under 46 CFR </w:t>
      </w:r>
      <w:r w:rsidR="00C12862">
        <w:t xml:space="preserve">part </w:t>
      </w:r>
      <w:r>
        <w:t xml:space="preserve">515.  The Commission estimates that this collection of information imposes, in varying degrees, a reporting burden to the entire respondent universe.  The burden is calculated on the estimated amount of time necessary to comply with various requirements of 46 CFR </w:t>
      </w:r>
      <w:r w:rsidR="00C12862">
        <w:t xml:space="preserve">part </w:t>
      </w:r>
      <w:r>
        <w:t xml:space="preserve">515, as set forth in the Attachment to this document.  The Attachment shows the breakdown of the estimated burden of </w:t>
      </w:r>
      <w:r>
        <w:rPr>
          <w:b/>
        </w:rPr>
        <w:t>3,9</w:t>
      </w:r>
      <w:r w:rsidR="00621F25">
        <w:rPr>
          <w:b/>
        </w:rPr>
        <w:t>18</w:t>
      </w:r>
      <w:r w:rsidRPr="00C77E63">
        <w:rPr>
          <w:b/>
        </w:rPr>
        <w:t xml:space="preserve"> </w:t>
      </w:r>
      <w:r>
        <w:t xml:space="preserve">hours for respondents to comply with 46 CFR </w:t>
      </w:r>
      <w:r w:rsidR="00C12862">
        <w:t xml:space="preserve">part </w:t>
      </w:r>
      <w:r>
        <w:t xml:space="preserve">515.  </w:t>
      </w:r>
    </w:p>
    <w:p w14:paraId="64025FE3" w14:textId="77777777" w:rsidR="00A30B6C" w:rsidRDefault="00A30B6C" w:rsidP="00A30B6C">
      <w:pPr>
        <w:ind w:firstLine="720"/>
      </w:pPr>
    </w:p>
    <w:p w14:paraId="4A258678" w14:textId="48FCED9A" w:rsidR="00A30B6C" w:rsidRDefault="00A30B6C" w:rsidP="00A30B6C">
      <w:pPr>
        <w:ind w:firstLine="720"/>
      </w:pPr>
      <w:r>
        <w:t xml:space="preserve">The annual cost to respondents is estimated at </w:t>
      </w:r>
      <w:r>
        <w:rPr>
          <w:b/>
        </w:rPr>
        <w:t>$37</w:t>
      </w:r>
      <w:r w:rsidR="00946286">
        <w:rPr>
          <w:b/>
        </w:rPr>
        <w:t>0</w:t>
      </w:r>
      <w:r>
        <w:rPr>
          <w:b/>
        </w:rPr>
        <w:t>,</w:t>
      </w:r>
      <w:r w:rsidR="00680B84">
        <w:rPr>
          <w:b/>
        </w:rPr>
        <w:t>503</w:t>
      </w:r>
      <w:r>
        <w:t>.  This cost has been calculated in consideration of the time to gather information and furnish it to the Commission, as well as comply with the requirements of 46 CFR</w:t>
      </w:r>
      <w:r w:rsidR="00680B84">
        <w:t xml:space="preserve"> part</w:t>
      </w:r>
      <w:r>
        <w:t xml:space="preserve"> 515.  It also includes clerical time, as well as overhead and operational expenses.  No time is allocated for disclosure, as there are no disclosure requirements involved in this collection.</w:t>
      </w:r>
      <w:r w:rsidR="00E210F4">
        <w:t xml:space="preserve">  </w:t>
      </w:r>
    </w:p>
    <w:p w14:paraId="1CA47EDD" w14:textId="77777777" w:rsidR="00A30B6C" w:rsidRDefault="00A30B6C" w:rsidP="00A30B6C">
      <w:pPr>
        <w:ind w:firstLine="720"/>
      </w:pPr>
    </w:p>
    <w:p w14:paraId="13C25067" w14:textId="77777777" w:rsidR="00203504" w:rsidRDefault="00A30B6C" w:rsidP="00203504">
      <w:pPr>
        <w:ind w:firstLine="720"/>
      </w:pPr>
      <w:r>
        <w:t>We estimate that the response time to file these forms, including the time to gather the documents necessary to fill in the form, varies from 1 hour to a maximum of 5 hours; on average it is estimated that it takes 2 hours to complete the form. The triennial renewal takes between 3 minutes and 15 minutes; on average it is estimated that the renewal takes 10 minutes. The time to complete a financial responsibility form averages 20 minutes.</w:t>
      </w:r>
      <w:r w:rsidR="00E210F4">
        <w:t xml:space="preserve"> </w:t>
      </w:r>
      <w:r w:rsidR="00203504">
        <w:t>The time to complete FMC-65 registration averages 15 minutes.</w:t>
      </w:r>
    </w:p>
    <w:p w14:paraId="364C74C3" w14:textId="3F5C798C" w:rsidR="00B57DCC" w:rsidRDefault="00B57DCC" w:rsidP="00A30B6C">
      <w:pPr>
        <w:ind w:firstLine="720"/>
      </w:pPr>
    </w:p>
    <w:p w14:paraId="76433578" w14:textId="77777777" w:rsidR="00A30B6C" w:rsidRDefault="00A30B6C" w:rsidP="00A30B6C">
      <w:pPr>
        <w:ind w:firstLine="720"/>
      </w:pPr>
    </w:p>
    <w:p w14:paraId="18796911" w14:textId="27213D9E" w:rsidR="003A1FF5" w:rsidRDefault="003A1FF5" w:rsidP="00B14F6C">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04C0675A" w14:textId="77777777" w:rsidR="003A1FF5" w:rsidRPr="006B4064" w:rsidRDefault="003A1FF5" w:rsidP="00B14F6C">
      <w:pPr>
        <w:autoSpaceDE w:val="0"/>
        <w:autoSpaceDN w:val="0"/>
        <w:adjustRightInd w:val="0"/>
        <w:rPr>
          <w:b/>
          <w:bCs/>
        </w:rPr>
      </w:pPr>
    </w:p>
    <w:p w14:paraId="6449A7AF" w14:textId="77777777" w:rsidR="003A1FF5" w:rsidRPr="006B4064" w:rsidRDefault="003A1FF5" w:rsidP="00B14F6C">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8B2C30E" w14:textId="77777777" w:rsidR="003A1FF5" w:rsidRDefault="003A1FF5" w:rsidP="00B14F6C">
      <w:pPr>
        <w:autoSpaceDE w:val="0"/>
        <w:autoSpaceDN w:val="0"/>
        <w:adjustRightInd w:val="0"/>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CF1F228" w14:textId="77777777" w:rsidR="003A1FF5" w:rsidRDefault="003A1FF5" w:rsidP="00B14F6C">
      <w:pPr>
        <w:autoSpaceDE w:val="0"/>
        <w:autoSpaceDN w:val="0"/>
        <w:adjustRightInd w:val="0"/>
        <w:rPr>
          <w:b/>
          <w:bCs/>
        </w:rPr>
      </w:pPr>
    </w:p>
    <w:p w14:paraId="68E3F552" w14:textId="77777777" w:rsidR="003A1FF5" w:rsidRDefault="003A1FF5" w:rsidP="00B14F6C">
      <w:pPr>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C473052" w14:textId="77777777" w:rsidR="003A1FF5" w:rsidRDefault="003A1FF5" w:rsidP="00B14F6C">
      <w:pPr>
        <w:rPr>
          <w:b/>
          <w:bCs/>
        </w:rPr>
      </w:pPr>
    </w:p>
    <w:p w14:paraId="2E283E53" w14:textId="77777777" w:rsidR="00C96645" w:rsidRDefault="00B64471" w:rsidP="00B14F6C">
      <w:pPr>
        <w:ind w:firstLine="720"/>
      </w:pPr>
      <w:r>
        <w:t xml:space="preserve">There are no additional cost burdens to respondents or recordkeepers other than those reported in item 12.  </w:t>
      </w:r>
    </w:p>
    <w:p w14:paraId="15F9E37E" w14:textId="77777777" w:rsidR="00D95ED9" w:rsidRDefault="00D95ED9" w:rsidP="00B14F6C">
      <w:pPr>
        <w:ind w:firstLine="720"/>
      </w:pPr>
    </w:p>
    <w:p w14:paraId="155196CD" w14:textId="77777777" w:rsidR="003A1FF5" w:rsidRDefault="003A1FF5" w:rsidP="00B14F6C">
      <w:pPr>
        <w:rPr>
          <w:b/>
          <w:bCs/>
        </w:rPr>
      </w:pPr>
      <w:r w:rsidRPr="006B6A52">
        <w:rPr>
          <w:b/>
          <w:bCs/>
        </w:rPr>
        <w:t xml:space="preserve">14. </w:t>
      </w:r>
      <w:r>
        <w:rPr>
          <w:b/>
          <w:bCs/>
        </w:rPr>
        <w:tab/>
      </w:r>
      <w:r w:rsidRPr="006B6A52">
        <w:rPr>
          <w:b/>
          <w:bCs/>
        </w:rPr>
        <w:t xml:space="preserve">Provide estimates of annualized cost to the Federal government. </w:t>
      </w:r>
    </w:p>
    <w:p w14:paraId="58EBB5B1" w14:textId="77777777" w:rsidR="00650CCA" w:rsidRDefault="00650CCA" w:rsidP="00B14F6C"/>
    <w:p w14:paraId="3DDB65E1" w14:textId="77777777" w:rsidR="00C109E7" w:rsidRDefault="00C109E7" w:rsidP="00C109E7">
      <w:pPr>
        <w:ind w:firstLine="720"/>
      </w:pPr>
      <w:r>
        <w:t xml:space="preserve">The cost to the Federal Government for the Commission to carry out this collection of information is estimated to be </w:t>
      </w:r>
      <w:r w:rsidRPr="000C1E6A">
        <w:rPr>
          <w:b/>
          <w:bCs/>
        </w:rPr>
        <w:t>$</w:t>
      </w:r>
      <w:r>
        <w:rPr>
          <w:b/>
          <w:bCs/>
        </w:rPr>
        <w:t>1,720,339</w:t>
      </w:r>
      <w:r>
        <w:t xml:space="preserve">.  This includes overhead and benefits, and is based on a burden of </w:t>
      </w:r>
      <w:r>
        <w:rPr>
          <w:b/>
          <w:bCs/>
        </w:rPr>
        <w:t>18,513</w:t>
      </w:r>
      <w:r>
        <w:t xml:space="preserve"> person-hours.  </w:t>
      </w:r>
    </w:p>
    <w:p w14:paraId="24E032FF" w14:textId="77777777" w:rsidR="00C109E7" w:rsidRDefault="00C109E7" w:rsidP="00C109E7">
      <w:pPr>
        <w:ind w:firstLine="720"/>
      </w:pPr>
    </w:p>
    <w:p w14:paraId="410DE836" w14:textId="77777777" w:rsidR="003A1FF5" w:rsidRPr="00B772FD" w:rsidRDefault="003A1FF5" w:rsidP="00B14F6C">
      <w:pPr>
        <w:autoSpaceDE w:val="0"/>
        <w:autoSpaceDN w:val="0"/>
        <w:adjustRightInd w:val="0"/>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14:paraId="356CEEEF" w14:textId="77777777" w:rsidR="003A1FF5" w:rsidRDefault="003A1FF5" w:rsidP="00B14F6C">
      <w:pPr>
        <w:ind w:firstLine="720"/>
      </w:pPr>
    </w:p>
    <w:p w14:paraId="4F47C191" w14:textId="22218856" w:rsidR="00072B9D" w:rsidRDefault="00E13670" w:rsidP="00B14F6C">
      <w:pPr>
        <w:ind w:firstLine="720"/>
      </w:pPr>
      <w:r>
        <w:t xml:space="preserve">The proposed changes to the collection reflect proposed changes to Part 515 in a recent rulemaking, which include: (a) removing optional paper license application process and related reference to fee amounts; (b) clarifying language specifying who can be the Qualifying Individual in a partnership between entities other than individuals; (c) updating description of processes regarding renewals, bonds, and terminations; (d) expanding the types of applications subject to direct Commission review to include applicants employing the same officers, managers, or members of an OTI whose license was revoked or denied within the previous three years; (e) clarifying that sureties provide the organization number of OTIs with claim details for registered NVOCCs; (f) adding the submission of Form FMC-1 prior to being licensed; and (g) deleting reference to availability of the Regulated Person’s Index (RPI) upon request. </w:t>
      </w:r>
      <w:r w:rsidR="00046769">
        <w:t>There has been a 38 percent increase in the number of Federal government person-hours from FY2014 to FY2018 due to a 20 percent increase in the number of licenses issued, a 12.5 percent higher volume of applications, a more thorough analysis of applicants, and the commencement of registration and license renewals in 2016 and 2017.</w:t>
      </w:r>
    </w:p>
    <w:p w14:paraId="4EEF3879" w14:textId="77777777" w:rsidR="00072B9D" w:rsidRDefault="00072B9D" w:rsidP="00B14F6C">
      <w:pPr>
        <w:ind w:firstLine="720"/>
      </w:pPr>
    </w:p>
    <w:p w14:paraId="3BC7BE82" w14:textId="3CF5B0BE" w:rsidR="003A1FF5" w:rsidRDefault="003A1FF5" w:rsidP="00B14F6C">
      <w:pPr>
        <w:ind w:firstLine="720"/>
      </w:pPr>
    </w:p>
    <w:p w14:paraId="388A4B1B" w14:textId="2C701BBC" w:rsidR="00535042" w:rsidRDefault="00535042" w:rsidP="00B14F6C">
      <w:pPr>
        <w:ind w:firstLine="720"/>
      </w:pPr>
    </w:p>
    <w:p w14:paraId="63E4B55D" w14:textId="580EA838" w:rsidR="00535042" w:rsidRDefault="00535042" w:rsidP="00B14F6C">
      <w:pPr>
        <w:ind w:firstLine="720"/>
      </w:pPr>
    </w:p>
    <w:p w14:paraId="45585AB7" w14:textId="77777777" w:rsidR="00535042" w:rsidRDefault="00535042" w:rsidP="00B14F6C">
      <w:pPr>
        <w:ind w:firstLine="720"/>
      </w:pPr>
    </w:p>
    <w:p w14:paraId="5FA9F806" w14:textId="77777777" w:rsidR="003A1FF5" w:rsidRDefault="003A1FF5" w:rsidP="00B14F6C">
      <w:pPr>
        <w:rPr>
          <w:b/>
          <w:bCs/>
        </w:rPr>
      </w:pPr>
      <w:r w:rsidRPr="006B6A52">
        <w:rPr>
          <w:b/>
          <w:bCs/>
        </w:rPr>
        <w:t xml:space="preserve">16. </w:t>
      </w:r>
      <w:r>
        <w:rPr>
          <w:b/>
          <w:bCs/>
        </w:rPr>
        <w:tab/>
      </w:r>
      <w:r w:rsidRPr="006B6A52">
        <w:rPr>
          <w:b/>
          <w:bCs/>
        </w:rPr>
        <w:t>For collections whose results will be published, outline the plans for tabulation and publication.</w:t>
      </w:r>
    </w:p>
    <w:p w14:paraId="51C1048C" w14:textId="77777777" w:rsidR="003F7497" w:rsidRDefault="003F7497" w:rsidP="00B14F6C"/>
    <w:p w14:paraId="7F9F8B45" w14:textId="59DBDADB" w:rsidR="003A1FF5" w:rsidRDefault="003A1FF5" w:rsidP="00B14F6C">
      <w:pPr>
        <w:ind w:firstLine="720"/>
      </w:pPr>
      <w:r w:rsidRPr="00770F8D">
        <w:t>The Commission does not intend to publish any information collected under this regulation.</w:t>
      </w:r>
    </w:p>
    <w:p w14:paraId="1B424EF5" w14:textId="77777777" w:rsidR="003A1FF5" w:rsidRDefault="003A1FF5" w:rsidP="00B14F6C">
      <w:pPr>
        <w:ind w:firstLine="720"/>
      </w:pPr>
    </w:p>
    <w:p w14:paraId="295B41D6" w14:textId="77777777" w:rsidR="00650CCA" w:rsidRDefault="00650CCA" w:rsidP="00B14F6C"/>
    <w:p w14:paraId="012CE0A1" w14:textId="77777777" w:rsidR="003A1FF5" w:rsidRPr="00B772FD" w:rsidRDefault="003A1FF5" w:rsidP="00B14F6C">
      <w:pPr>
        <w:autoSpaceDE w:val="0"/>
        <w:autoSpaceDN w:val="0"/>
        <w:adjustRightInd w:val="0"/>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14:paraId="31B224C1" w14:textId="77777777" w:rsidR="003A1FF5" w:rsidRDefault="003A1FF5" w:rsidP="00B14F6C"/>
    <w:p w14:paraId="4423FBC9" w14:textId="0146FC1B" w:rsidR="003A1FF5" w:rsidRDefault="003A1FF5" w:rsidP="00B14F6C">
      <w:r>
        <w:tab/>
      </w:r>
      <w:r w:rsidRPr="00770F8D">
        <w:t>The Commission is not seeking approval to exclude the display of the expiration date for OMB approval of this information collection.</w:t>
      </w:r>
    </w:p>
    <w:p w14:paraId="2CC6AA56" w14:textId="77777777" w:rsidR="003A1FF5" w:rsidRPr="00770F8D" w:rsidRDefault="003A1FF5" w:rsidP="00B14F6C"/>
    <w:p w14:paraId="7BCB8FDE" w14:textId="77777777" w:rsidR="00650CCA" w:rsidRDefault="00650CCA" w:rsidP="00B14F6C"/>
    <w:p w14:paraId="2040E0C9" w14:textId="77777777" w:rsidR="003A1FF5" w:rsidRPr="00B772FD" w:rsidRDefault="003A1FF5" w:rsidP="00B14F6C">
      <w:pPr>
        <w:autoSpaceDE w:val="0"/>
        <w:autoSpaceDN w:val="0"/>
        <w:adjustRightInd w:val="0"/>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14:paraId="73FC4BD1" w14:textId="77777777" w:rsidR="003A1FF5" w:rsidRDefault="003A1FF5" w:rsidP="00B14F6C"/>
    <w:p w14:paraId="30F59819" w14:textId="77777777" w:rsidR="003A1FF5" w:rsidRPr="00770F8D" w:rsidRDefault="003A1FF5" w:rsidP="00B14F6C">
      <w:r>
        <w:tab/>
      </w:r>
      <w:r w:rsidRPr="00770F8D">
        <w:t xml:space="preserve">The Commission proposes no exception to the certification statement identified on OMB form 83-I.  </w:t>
      </w:r>
    </w:p>
    <w:p w14:paraId="03CB4B58" w14:textId="77777777" w:rsidR="00650CCA" w:rsidRDefault="00650CCA" w:rsidP="00B14F6C"/>
    <w:p w14:paraId="29162D50" w14:textId="77777777" w:rsidR="00650CCA" w:rsidRDefault="00650CCA" w:rsidP="00B14F6C">
      <w:r>
        <w:rPr>
          <w:b/>
        </w:rPr>
        <w:t>B.</w:t>
      </w:r>
      <w:r>
        <w:rPr>
          <w:b/>
        </w:rPr>
        <w:tab/>
        <w:t>Collections of Information Employing Statistical Methods</w:t>
      </w:r>
    </w:p>
    <w:p w14:paraId="52D50E55" w14:textId="77777777" w:rsidR="00650CCA" w:rsidRDefault="00650CCA" w:rsidP="00B14F6C"/>
    <w:p w14:paraId="5293BC87" w14:textId="762DC246" w:rsidR="00650CCA" w:rsidRDefault="00650CCA" w:rsidP="00B14F6C">
      <w:r>
        <w:tab/>
        <w:t>This collection of information does not employ statistical methods.</w:t>
      </w:r>
    </w:p>
    <w:p w14:paraId="5482ED4A" w14:textId="3DD62572" w:rsidR="00847DF6" w:rsidRDefault="00847DF6" w:rsidP="00B14F6C"/>
    <w:p w14:paraId="5B676007" w14:textId="27DBCFAD" w:rsidR="00847DF6" w:rsidRDefault="00847DF6" w:rsidP="00B14F6C"/>
    <w:p w14:paraId="36BADF3D" w14:textId="3A12F443" w:rsidR="00847DF6" w:rsidRDefault="00847DF6" w:rsidP="00B14F6C"/>
    <w:p w14:paraId="043184A9" w14:textId="7ABB0475" w:rsidR="00847DF6" w:rsidRDefault="00847DF6" w:rsidP="00B14F6C"/>
    <w:p w14:paraId="73A6FE21" w14:textId="68701B1E" w:rsidR="00847DF6" w:rsidRDefault="00847DF6" w:rsidP="00B14F6C"/>
    <w:p w14:paraId="2FCD33BA" w14:textId="6E463AA3" w:rsidR="00847DF6" w:rsidRDefault="00847DF6" w:rsidP="00B14F6C"/>
    <w:p w14:paraId="174477C7" w14:textId="38B3CACF" w:rsidR="00847DF6" w:rsidRDefault="00847DF6" w:rsidP="00B14F6C"/>
    <w:p w14:paraId="647845E8" w14:textId="751EC5E5" w:rsidR="00847DF6" w:rsidRDefault="00847DF6" w:rsidP="00B14F6C"/>
    <w:p w14:paraId="389AE29F" w14:textId="28F4AE20" w:rsidR="00847DF6" w:rsidRDefault="00847DF6" w:rsidP="00B14F6C"/>
    <w:p w14:paraId="4DC8DC96" w14:textId="2DC353F7" w:rsidR="00847DF6" w:rsidRDefault="00847DF6" w:rsidP="00B14F6C"/>
    <w:p w14:paraId="3978ECAB" w14:textId="6F1C2FF7" w:rsidR="00847DF6" w:rsidRDefault="00847DF6" w:rsidP="00B14F6C"/>
    <w:p w14:paraId="2768FA63" w14:textId="015A71EC" w:rsidR="00847DF6" w:rsidRDefault="00847DF6" w:rsidP="00B14F6C"/>
    <w:p w14:paraId="05D128EE" w14:textId="441BDCCC" w:rsidR="00847DF6" w:rsidRDefault="00847DF6" w:rsidP="00B14F6C"/>
    <w:p w14:paraId="7BF25521" w14:textId="1AB8DDD5" w:rsidR="00847DF6" w:rsidRDefault="00847DF6" w:rsidP="00B14F6C"/>
    <w:p w14:paraId="4122FE2F" w14:textId="767E27B0" w:rsidR="00847DF6" w:rsidRDefault="00847DF6" w:rsidP="00B14F6C"/>
    <w:p w14:paraId="60C58A3D" w14:textId="15553761" w:rsidR="00847DF6" w:rsidRDefault="00847DF6" w:rsidP="00B14F6C"/>
    <w:p w14:paraId="013A4954" w14:textId="341BBAC3" w:rsidR="00847DF6" w:rsidRDefault="00847DF6" w:rsidP="00B14F6C"/>
    <w:p w14:paraId="26D89ADE" w14:textId="5EB9F553" w:rsidR="00847DF6" w:rsidRDefault="00847DF6" w:rsidP="00B14F6C"/>
    <w:p w14:paraId="1F055BF7" w14:textId="31ED05E5" w:rsidR="00847DF6" w:rsidRPr="00847DF6" w:rsidRDefault="00847DF6" w:rsidP="00B14F6C">
      <w:pPr>
        <w:rPr>
          <w:i/>
          <w:iCs/>
        </w:rPr>
      </w:pPr>
      <w:r w:rsidRPr="00847DF6">
        <w:rPr>
          <w:i/>
          <w:iCs/>
        </w:rPr>
        <w:t>Uploaded into ROCIS: September 26, 2019</w:t>
      </w:r>
    </w:p>
    <w:p w14:paraId="42C3EA48" w14:textId="77777777" w:rsidR="00387B76" w:rsidRPr="003865CF" w:rsidRDefault="00C64691" w:rsidP="00387B76">
      <w:pPr>
        <w:rPr>
          <w:b/>
        </w:rPr>
      </w:pPr>
      <w:r>
        <w:br w:type="page"/>
      </w:r>
      <w:r w:rsidR="00387B76">
        <w:rPr>
          <w:b/>
        </w:rPr>
        <w:t>ATTACHMENT</w:t>
      </w:r>
    </w:p>
    <w:p w14:paraId="70FFAE03" w14:textId="77777777" w:rsidR="00387B76" w:rsidRDefault="00387B76" w:rsidP="00387B76">
      <w:pPr>
        <w:jc w:val="center"/>
        <w:rPr>
          <w:b/>
          <w:sz w:val="28"/>
          <w:szCs w:val="28"/>
        </w:rPr>
      </w:pPr>
    </w:p>
    <w:p w14:paraId="1BC38B79" w14:textId="77777777" w:rsidR="00387B76" w:rsidRPr="00F42D1E" w:rsidRDefault="00387B76" w:rsidP="00387B76">
      <w:pPr>
        <w:jc w:val="center"/>
        <w:rPr>
          <w:b/>
          <w:sz w:val="28"/>
          <w:szCs w:val="28"/>
        </w:rPr>
      </w:pPr>
      <w:r w:rsidRPr="00F42D1E">
        <w:rPr>
          <w:b/>
          <w:sz w:val="28"/>
          <w:szCs w:val="28"/>
        </w:rPr>
        <w:t>INDUSTRY BURDEN FOR PART 515 FORMS</w:t>
      </w:r>
    </w:p>
    <w:p w14:paraId="37CA6777" w14:textId="77777777" w:rsidR="00387B76" w:rsidRDefault="00387B76" w:rsidP="00387B76"/>
    <w:tbl>
      <w:tblPr>
        <w:tblStyle w:val="TableGrid"/>
        <w:tblW w:w="10368" w:type="dxa"/>
        <w:tblLayout w:type="fixed"/>
        <w:tblLook w:val="01E0" w:firstRow="1" w:lastRow="1" w:firstColumn="1" w:lastColumn="1" w:noHBand="0" w:noVBand="0"/>
      </w:tblPr>
      <w:tblGrid>
        <w:gridCol w:w="2268"/>
        <w:gridCol w:w="1530"/>
        <w:gridCol w:w="1515"/>
        <w:gridCol w:w="1635"/>
        <w:gridCol w:w="1620"/>
        <w:gridCol w:w="1800"/>
      </w:tblGrid>
      <w:tr w:rsidR="00387B76" w:rsidRPr="00C77E63" w14:paraId="483CF7A7" w14:textId="77777777" w:rsidTr="000C1E6A">
        <w:tc>
          <w:tcPr>
            <w:tcW w:w="2268" w:type="dxa"/>
          </w:tcPr>
          <w:p w14:paraId="6AF01725" w14:textId="77777777" w:rsidR="00387B76" w:rsidRPr="00C77E63" w:rsidRDefault="00387B76" w:rsidP="000C1E6A">
            <w:pPr>
              <w:rPr>
                <w:b/>
              </w:rPr>
            </w:pPr>
            <w:r w:rsidRPr="00C77E63">
              <w:rPr>
                <w:b/>
              </w:rPr>
              <w:t>Requirement</w:t>
            </w:r>
          </w:p>
        </w:tc>
        <w:tc>
          <w:tcPr>
            <w:tcW w:w="1530" w:type="dxa"/>
          </w:tcPr>
          <w:p w14:paraId="17B4DB42" w14:textId="77777777" w:rsidR="00387B76" w:rsidRPr="00C77E63" w:rsidRDefault="00387B76" w:rsidP="000C1E6A">
            <w:pPr>
              <w:rPr>
                <w:b/>
              </w:rPr>
            </w:pPr>
            <w:r w:rsidRPr="00C77E63">
              <w:rPr>
                <w:b/>
              </w:rPr>
              <w:t>Respondents</w:t>
            </w:r>
          </w:p>
          <w:p w14:paraId="104C2D59" w14:textId="77777777" w:rsidR="00387B76" w:rsidRPr="00C77E63" w:rsidRDefault="00387B76" w:rsidP="000C1E6A">
            <w:pPr>
              <w:rPr>
                <w:b/>
              </w:rPr>
            </w:pPr>
            <w:r w:rsidRPr="00C77E63">
              <w:rPr>
                <w:b/>
              </w:rPr>
              <w:t>(See Note 1)</w:t>
            </w:r>
          </w:p>
        </w:tc>
        <w:tc>
          <w:tcPr>
            <w:tcW w:w="1515" w:type="dxa"/>
          </w:tcPr>
          <w:p w14:paraId="557475EA" w14:textId="77777777" w:rsidR="00387B76" w:rsidRPr="00C77E63" w:rsidRDefault="00387B76" w:rsidP="000C1E6A">
            <w:pPr>
              <w:rPr>
                <w:b/>
              </w:rPr>
            </w:pPr>
            <w:r w:rsidRPr="00C77E63">
              <w:rPr>
                <w:b/>
              </w:rPr>
              <w:t>Annual Instances</w:t>
            </w:r>
          </w:p>
        </w:tc>
        <w:tc>
          <w:tcPr>
            <w:tcW w:w="1635" w:type="dxa"/>
          </w:tcPr>
          <w:p w14:paraId="6FDC6FE4" w14:textId="77777777" w:rsidR="00387B76" w:rsidRPr="00C77E63" w:rsidRDefault="00387B76" w:rsidP="000C1E6A">
            <w:pPr>
              <w:rPr>
                <w:b/>
              </w:rPr>
            </w:pPr>
            <w:r w:rsidRPr="00C77E63">
              <w:rPr>
                <w:b/>
              </w:rPr>
              <w:t>Average Person-hours Per Response (See Note 2)</w:t>
            </w:r>
          </w:p>
        </w:tc>
        <w:tc>
          <w:tcPr>
            <w:tcW w:w="1620" w:type="dxa"/>
          </w:tcPr>
          <w:p w14:paraId="76BD6E84" w14:textId="77777777" w:rsidR="00387B76" w:rsidRPr="00C77E63" w:rsidRDefault="00387B76" w:rsidP="000C1E6A">
            <w:pPr>
              <w:rPr>
                <w:b/>
              </w:rPr>
            </w:pPr>
            <w:r w:rsidRPr="00C77E63">
              <w:rPr>
                <w:b/>
              </w:rPr>
              <w:t>Total Person-hours</w:t>
            </w:r>
          </w:p>
        </w:tc>
        <w:tc>
          <w:tcPr>
            <w:tcW w:w="1800" w:type="dxa"/>
          </w:tcPr>
          <w:p w14:paraId="5C45C559" w14:textId="77777777" w:rsidR="00387B76" w:rsidRPr="00C77E63" w:rsidRDefault="00387B76" w:rsidP="000C1E6A">
            <w:pPr>
              <w:rPr>
                <w:b/>
              </w:rPr>
            </w:pPr>
            <w:r w:rsidRPr="00C77E63">
              <w:rPr>
                <w:b/>
              </w:rPr>
              <w:t>Frequency</w:t>
            </w:r>
          </w:p>
          <w:p w14:paraId="7BB0C9DC" w14:textId="77777777" w:rsidR="00387B76" w:rsidRPr="00C77E63" w:rsidRDefault="00387B76" w:rsidP="000C1E6A">
            <w:pPr>
              <w:rPr>
                <w:b/>
              </w:rPr>
            </w:pPr>
            <w:r w:rsidRPr="00C77E63">
              <w:rPr>
                <w:b/>
              </w:rPr>
              <w:t xml:space="preserve">(See Note </w:t>
            </w:r>
            <w:r>
              <w:rPr>
                <w:b/>
              </w:rPr>
              <w:t>7</w:t>
            </w:r>
            <w:r w:rsidRPr="00C77E63">
              <w:rPr>
                <w:b/>
              </w:rPr>
              <w:t xml:space="preserve">) </w:t>
            </w:r>
          </w:p>
        </w:tc>
      </w:tr>
      <w:tr w:rsidR="00387B76" w:rsidRPr="00C77E63" w14:paraId="4401320B" w14:textId="77777777" w:rsidTr="000C1E6A">
        <w:tc>
          <w:tcPr>
            <w:tcW w:w="2268" w:type="dxa"/>
          </w:tcPr>
          <w:p w14:paraId="65F5AFE3" w14:textId="77777777" w:rsidR="00387B76" w:rsidRPr="00C77E63" w:rsidRDefault="00387B76" w:rsidP="000C1E6A">
            <w:pPr>
              <w:rPr>
                <w:b/>
              </w:rPr>
            </w:pPr>
            <w:r>
              <w:rPr>
                <w:b/>
              </w:rPr>
              <w:t>OTI</w:t>
            </w:r>
            <w:r w:rsidRPr="00C77E63">
              <w:rPr>
                <w:b/>
              </w:rPr>
              <w:t xml:space="preserve"> Licensing:</w:t>
            </w:r>
          </w:p>
          <w:p w14:paraId="1D6978B9" w14:textId="77777777" w:rsidR="00387B76" w:rsidRPr="00C77E63" w:rsidRDefault="00387B76" w:rsidP="000C1E6A">
            <w:r w:rsidRPr="00C77E63">
              <w:rPr>
                <w:b/>
              </w:rPr>
              <w:t>46 CFR 515.12</w:t>
            </w:r>
          </w:p>
        </w:tc>
        <w:tc>
          <w:tcPr>
            <w:tcW w:w="1530" w:type="dxa"/>
          </w:tcPr>
          <w:p w14:paraId="72492234" w14:textId="77777777" w:rsidR="00387B76" w:rsidRPr="00C77E63" w:rsidRDefault="00387B76" w:rsidP="000C1E6A"/>
        </w:tc>
        <w:tc>
          <w:tcPr>
            <w:tcW w:w="1515" w:type="dxa"/>
          </w:tcPr>
          <w:p w14:paraId="7AB20C4A" w14:textId="77777777" w:rsidR="00387B76" w:rsidRPr="00C77E63" w:rsidRDefault="00387B76" w:rsidP="000C1E6A"/>
        </w:tc>
        <w:tc>
          <w:tcPr>
            <w:tcW w:w="1635" w:type="dxa"/>
          </w:tcPr>
          <w:p w14:paraId="1B8E6633" w14:textId="77777777" w:rsidR="00387B76" w:rsidRPr="00C77E63" w:rsidRDefault="00387B76" w:rsidP="000C1E6A"/>
        </w:tc>
        <w:tc>
          <w:tcPr>
            <w:tcW w:w="1620" w:type="dxa"/>
          </w:tcPr>
          <w:p w14:paraId="40F37AFC" w14:textId="77777777" w:rsidR="00387B76" w:rsidRPr="00C77E63" w:rsidRDefault="00387B76" w:rsidP="000C1E6A"/>
        </w:tc>
        <w:tc>
          <w:tcPr>
            <w:tcW w:w="1800" w:type="dxa"/>
          </w:tcPr>
          <w:p w14:paraId="57C1E1D3" w14:textId="77777777" w:rsidR="00387B76" w:rsidRPr="00C77E63" w:rsidRDefault="00387B76" w:rsidP="000C1E6A">
            <w:pPr>
              <w:rPr>
                <w:b/>
              </w:rPr>
            </w:pPr>
          </w:p>
        </w:tc>
      </w:tr>
      <w:tr w:rsidR="00387B76" w:rsidRPr="00C77E63" w14:paraId="47CDB005" w14:textId="77777777" w:rsidTr="000C1E6A">
        <w:tc>
          <w:tcPr>
            <w:tcW w:w="2268" w:type="dxa"/>
          </w:tcPr>
          <w:p w14:paraId="7CE9BA64" w14:textId="77777777" w:rsidR="00387B76" w:rsidRPr="00C77E63" w:rsidRDefault="00387B76" w:rsidP="000C1E6A"/>
        </w:tc>
        <w:tc>
          <w:tcPr>
            <w:tcW w:w="1530" w:type="dxa"/>
          </w:tcPr>
          <w:p w14:paraId="2DA08BD6" w14:textId="77777777" w:rsidR="00387B76" w:rsidRPr="00C77E63" w:rsidRDefault="00387B76" w:rsidP="000C1E6A"/>
        </w:tc>
        <w:tc>
          <w:tcPr>
            <w:tcW w:w="1515" w:type="dxa"/>
          </w:tcPr>
          <w:p w14:paraId="03214DD0" w14:textId="77777777" w:rsidR="00387B76" w:rsidRPr="00C77E63" w:rsidRDefault="00387B76" w:rsidP="000C1E6A"/>
        </w:tc>
        <w:tc>
          <w:tcPr>
            <w:tcW w:w="1635" w:type="dxa"/>
          </w:tcPr>
          <w:p w14:paraId="2FB2D977" w14:textId="77777777" w:rsidR="00387B76" w:rsidRPr="00C77E63" w:rsidRDefault="00387B76" w:rsidP="000C1E6A"/>
        </w:tc>
        <w:tc>
          <w:tcPr>
            <w:tcW w:w="1620" w:type="dxa"/>
          </w:tcPr>
          <w:p w14:paraId="7B4D66D9" w14:textId="77777777" w:rsidR="00387B76" w:rsidRPr="00C77E63" w:rsidRDefault="00387B76" w:rsidP="000C1E6A"/>
        </w:tc>
        <w:tc>
          <w:tcPr>
            <w:tcW w:w="1800" w:type="dxa"/>
          </w:tcPr>
          <w:p w14:paraId="636F81A6" w14:textId="77777777" w:rsidR="00387B76" w:rsidRPr="00C77E63" w:rsidRDefault="00387B76" w:rsidP="000C1E6A">
            <w:pPr>
              <w:rPr>
                <w:b/>
              </w:rPr>
            </w:pPr>
          </w:p>
        </w:tc>
      </w:tr>
      <w:tr w:rsidR="00387B76" w:rsidRPr="00C77E63" w14:paraId="758F8AAB" w14:textId="77777777" w:rsidTr="000C1E6A">
        <w:tc>
          <w:tcPr>
            <w:tcW w:w="2268" w:type="dxa"/>
          </w:tcPr>
          <w:p w14:paraId="38E68D2E" w14:textId="77777777" w:rsidR="00387B76" w:rsidRPr="00C77E63" w:rsidRDefault="00387B76" w:rsidP="000C1E6A">
            <w:r w:rsidRPr="00C77E63">
              <w:t>FMC-18 electronic form (new/amended)</w:t>
            </w:r>
          </w:p>
        </w:tc>
        <w:tc>
          <w:tcPr>
            <w:tcW w:w="1530" w:type="dxa"/>
          </w:tcPr>
          <w:p w14:paraId="7FC2DD9F" w14:textId="77777777" w:rsidR="00387B76" w:rsidRPr="00C77E63" w:rsidRDefault="00387B76" w:rsidP="000C1E6A"/>
        </w:tc>
        <w:tc>
          <w:tcPr>
            <w:tcW w:w="1515" w:type="dxa"/>
          </w:tcPr>
          <w:p w14:paraId="71BD1AA3" w14:textId="77777777" w:rsidR="00387B76" w:rsidRPr="00C77E63" w:rsidRDefault="00387B76" w:rsidP="000C1E6A">
            <w:r>
              <w:t>800</w:t>
            </w:r>
          </w:p>
        </w:tc>
        <w:tc>
          <w:tcPr>
            <w:tcW w:w="1635" w:type="dxa"/>
          </w:tcPr>
          <w:p w14:paraId="7EB3E568" w14:textId="77777777" w:rsidR="00387B76" w:rsidRPr="00C77E63" w:rsidRDefault="00387B76" w:rsidP="000C1E6A">
            <w:r w:rsidRPr="00C77E63">
              <w:t>2 (see Note 3)</w:t>
            </w:r>
          </w:p>
        </w:tc>
        <w:tc>
          <w:tcPr>
            <w:tcW w:w="1620" w:type="dxa"/>
          </w:tcPr>
          <w:p w14:paraId="5674D345" w14:textId="77777777" w:rsidR="00387B76" w:rsidRPr="00C77E63" w:rsidRDefault="00387B76" w:rsidP="000C1E6A">
            <w:r>
              <w:t>1600</w:t>
            </w:r>
            <w:r w:rsidRPr="00C77E63">
              <w:t xml:space="preserve"> hours</w:t>
            </w:r>
          </w:p>
        </w:tc>
        <w:tc>
          <w:tcPr>
            <w:tcW w:w="1800" w:type="dxa"/>
          </w:tcPr>
          <w:p w14:paraId="5AD9EE15" w14:textId="77777777" w:rsidR="00387B76" w:rsidRPr="00C77E63" w:rsidRDefault="00387B76" w:rsidP="000C1E6A">
            <w:pPr>
              <w:rPr>
                <w:b/>
              </w:rPr>
            </w:pPr>
          </w:p>
        </w:tc>
      </w:tr>
      <w:tr w:rsidR="00387B76" w:rsidRPr="00C77E63" w14:paraId="101CA7D0" w14:textId="77777777" w:rsidTr="000C1E6A">
        <w:tc>
          <w:tcPr>
            <w:tcW w:w="2268" w:type="dxa"/>
          </w:tcPr>
          <w:p w14:paraId="1EC7C9AB" w14:textId="77777777" w:rsidR="00387B76" w:rsidRPr="00702B3B" w:rsidRDefault="00387B76" w:rsidP="000C1E6A">
            <w:r>
              <w:t>OTI</w:t>
            </w:r>
            <w:r w:rsidRPr="00702B3B">
              <w:t xml:space="preserve"> License Renewal</w:t>
            </w:r>
          </w:p>
        </w:tc>
        <w:tc>
          <w:tcPr>
            <w:tcW w:w="1530" w:type="dxa"/>
          </w:tcPr>
          <w:p w14:paraId="71906F39" w14:textId="77777777" w:rsidR="00387B76" w:rsidRPr="00C77E63" w:rsidRDefault="00387B76" w:rsidP="000C1E6A"/>
        </w:tc>
        <w:tc>
          <w:tcPr>
            <w:tcW w:w="1515" w:type="dxa"/>
          </w:tcPr>
          <w:p w14:paraId="4D07D032" w14:textId="77777777" w:rsidR="00387B76" w:rsidRPr="00C77E63" w:rsidRDefault="00387B76" w:rsidP="000C1E6A">
            <w:r>
              <w:t>1,600</w:t>
            </w:r>
          </w:p>
        </w:tc>
        <w:tc>
          <w:tcPr>
            <w:tcW w:w="1635" w:type="dxa"/>
          </w:tcPr>
          <w:p w14:paraId="3FCAFCFC" w14:textId="77777777" w:rsidR="00387B76" w:rsidRDefault="00387B76" w:rsidP="000C1E6A">
            <w:r>
              <w:t>10 minutes</w:t>
            </w:r>
          </w:p>
          <w:p w14:paraId="69581BD2" w14:textId="77777777" w:rsidR="00387B76" w:rsidRPr="00C77E63" w:rsidRDefault="00387B76" w:rsidP="000C1E6A">
            <w:r>
              <w:t>(see Note 4)</w:t>
            </w:r>
          </w:p>
        </w:tc>
        <w:tc>
          <w:tcPr>
            <w:tcW w:w="1620" w:type="dxa"/>
          </w:tcPr>
          <w:p w14:paraId="7430440B" w14:textId="77777777" w:rsidR="00387B76" w:rsidRDefault="00387B76" w:rsidP="000C1E6A">
            <w:r>
              <w:t>267 hours</w:t>
            </w:r>
          </w:p>
          <w:p w14:paraId="7AAF4464" w14:textId="77777777" w:rsidR="00387B76" w:rsidRPr="00C77E63" w:rsidRDefault="00387B76" w:rsidP="000C1E6A"/>
        </w:tc>
        <w:tc>
          <w:tcPr>
            <w:tcW w:w="1800" w:type="dxa"/>
          </w:tcPr>
          <w:p w14:paraId="30DFADD6" w14:textId="77777777" w:rsidR="00387B76" w:rsidRPr="00C77E63" w:rsidRDefault="00387B76" w:rsidP="000C1E6A">
            <w:pPr>
              <w:rPr>
                <w:b/>
              </w:rPr>
            </w:pPr>
          </w:p>
        </w:tc>
      </w:tr>
      <w:tr w:rsidR="00387B76" w:rsidRPr="00C77E63" w14:paraId="2D746BC4" w14:textId="77777777" w:rsidTr="000C1E6A">
        <w:tc>
          <w:tcPr>
            <w:tcW w:w="2268" w:type="dxa"/>
          </w:tcPr>
          <w:p w14:paraId="365E8B76" w14:textId="77777777" w:rsidR="00387B76" w:rsidRPr="00702B3B" w:rsidRDefault="00387B76" w:rsidP="000C1E6A">
            <w:pPr>
              <w:rPr>
                <w:b/>
              </w:rPr>
            </w:pPr>
            <w:r w:rsidRPr="00702B3B">
              <w:rPr>
                <w:b/>
              </w:rPr>
              <w:t xml:space="preserve">Financial Responsibility: </w:t>
            </w:r>
          </w:p>
          <w:p w14:paraId="641910D8" w14:textId="77777777" w:rsidR="00387B76" w:rsidRPr="00C77E63" w:rsidRDefault="00387B76" w:rsidP="000C1E6A">
            <w:r w:rsidRPr="00702B3B">
              <w:rPr>
                <w:b/>
              </w:rPr>
              <w:t>46 CFR 515.22</w:t>
            </w:r>
          </w:p>
        </w:tc>
        <w:tc>
          <w:tcPr>
            <w:tcW w:w="1530" w:type="dxa"/>
          </w:tcPr>
          <w:p w14:paraId="30A82CA6" w14:textId="77777777" w:rsidR="00387B76" w:rsidRPr="00C77E63" w:rsidRDefault="00387B76" w:rsidP="000C1E6A"/>
        </w:tc>
        <w:tc>
          <w:tcPr>
            <w:tcW w:w="1515" w:type="dxa"/>
          </w:tcPr>
          <w:p w14:paraId="3EC5B1A6" w14:textId="77777777" w:rsidR="00387B76" w:rsidRPr="00C77E63" w:rsidRDefault="00387B76" w:rsidP="000C1E6A"/>
        </w:tc>
        <w:tc>
          <w:tcPr>
            <w:tcW w:w="1635" w:type="dxa"/>
          </w:tcPr>
          <w:p w14:paraId="413D02E0" w14:textId="77777777" w:rsidR="00387B76" w:rsidRPr="00C77E63" w:rsidRDefault="00387B76" w:rsidP="000C1E6A"/>
        </w:tc>
        <w:tc>
          <w:tcPr>
            <w:tcW w:w="1620" w:type="dxa"/>
          </w:tcPr>
          <w:p w14:paraId="5CA40F7C" w14:textId="77777777" w:rsidR="00387B76" w:rsidRPr="00C77E63" w:rsidRDefault="00387B76" w:rsidP="000C1E6A"/>
        </w:tc>
        <w:tc>
          <w:tcPr>
            <w:tcW w:w="1800" w:type="dxa"/>
          </w:tcPr>
          <w:p w14:paraId="1CF2E629" w14:textId="77777777" w:rsidR="00387B76" w:rsidRPr="00C77E63" w:rsidRDefault="00387B76" w:rsidP="000C1E6A">
            <w:pPr>
              <w:rPr>
                <w:b/>
              </w:rPr>
            </w:pPr>
          </w:p>
        </w:tc>
      </w:tr>
      <w:tr w:rsidR="00387B76" w:rsidRPr="00C77E63" w14:paraId="4A10E698" w14:textId="77777777" w:rsidTr="000C1E6A">
        <w:tc>
          <w:tcPr>
            <w:tcW w:w="2268" w:type="dxa"/>
          </w:tcPr>
          <w:p w14:paraId="665712DF" w14:textId="77777777" w:rsidR="00387B76" w:rsidRPr="00C77E63" w:rsidRDefault="00387B76" w:rsidP="000C1E6A">
            <w:r w:rsidRPr="00C77E63">
              <w:t>FMC-48 - OTI Bond (new/amended)</w:t>
            </w:r>
          </w:p>
        </w:tc>
        <w:tc>
          <w:tcPr>
            <w:tcW w:w="1530" w:type="dxa"/>
          </w:tcPr>
          <w:p w14:paraId="357BD898" w14:textId="77777777" w:rsidR="00387B76" w:rsidRPr="00C77E63" w:rsidRDefault="00387B76" w:rsidP="000C1E6A"/>
        </w:tc>
        <w:tc>
          <w:tcPr>
            <w:tcW w:w="1515" w:type="dxa"/>
          </w:tcPr>
          <w:p w14:paraId="6B31020D" w14:textId="77777777" w:rsidR="00387B76" w:rsidRPr="00C77E63" w:rsidRDefault="00387B76" w:rsidP="000C1E6A">
            <w:r>
              <w:t>5,550</w:t>
            </w:r>
          </w:p>
          <w:p w14:paraId="5228ADD3" w14:textId="77777777" w:rsidR="00387B76" w:rsidRPr="00C77E63" w:rsidRDefault="00387B76" w:rsidP="000C1E6A">
            <w:r w:rsidRPr="00C77E63">
              <w:t xml:space="preserve">(see Note </w:t>
            </w:r>
            <w:r>
              <w:t>5</w:t>
            </w:r>
            <w:r w:rsidRPr="00C77E63">
              <w:t>)</w:t>
            </w:r>
          </w:p>
        </w:tc>
        <w:tc>
          <w:tcPr>
            <w:tcW w:w="1635" w:type="dxa"/>
          </w:tcPr>
          <w:p w14:paraId="7DA1504A" w14:textId="77777777" w:rsidR="00387B76" w:rsidRPr="00C77E63" w:rsidRDefault="00387B76" w:rsidP="000C1E6A">
            <w:r w:rsidRPr="00C77E63">
              <w:t>20 minutes</w:t>
            </w:r>
          </w:p>
          <w:p w14:paraId="30922284" w14:textId="77777777" w:rsidR="00387B76" w:rsidRPr="00C77E63" w:rsidRDefault="00387B76" w:rsidP="000C1E6A">
            <w:r w:rsidRPr="00C77E63">
              <w:t xml:space="preserve">(see Note </w:t>
            </w:r>
            <w:r>
              <w:t>6</w:t>
            </w:r>
            <w:r w:rsidRPr="00C77E63">
              <w:t>)</w:t>
            </w:r>
          </w:p>
        </w:tc>
        <w:tc>
          <w:tcPr>
            <w:tcW w:w="1620" w:type="dxa"/>
          </w:tcPr>
          <w:p w14:paraId="7142F0B3" w14:textId="435D0084" w:rsidR="00387B76" w:rsidRPr="00C77E63" w:rsidRDefault="00387B76" w:rsidP="000C1E6A">
            <w:r>
              <w:t>18</w:t>
            </w:r>
            <w:r w:rsidR="002A1DEB">
              <w:t>50</w:t>
            </w:r>
            <w:r w:rsidRPr="00C77E63">
              <w:t xml:space="preserve"> hours</w:t>
            </w:r>
          </w:p>
        </w:tc>
        <w:tc>
          <w:tcPr>
            <w:tcW w:w="1800" w:type="dxa"/>
          </w:tcPr>
          <w:p w14:paraId="3018FF8F" w14:textId="77777777" w:rsidR="00387B76" w:rsidRPr="00C77E63" w:rsidRDefault="00387B76" w:rsidP="000C1E6A">
            <w:pPr>
              <w:rPr>
                <w:b/>
              </w:rPr>
            </w:pPr>
          </w:p>
        </w:tc>
      </w:tr>
      <w:tr w:rsidR="00387B76" w:rsidRPr="00C77E63" w14:paraId="7959F247" w14:textId="77777777" w:rsidTr="000C1E6A">
        <w:tc>
          <w:tcPr>
            <w:tcW w:w="2268" w:type="dxa"/>
          </w:tcPr>
          <w:p w14:paraId="056B204D" w14:textId="77777777" w:rsidR="00387B76" w:rsidRPr="00C77E63" w:rsidRDefault="00387B76" w:rsidP="000C1E6A">
            <w:r w:rsidRPr="00C77E63">
              <w:t>FMC-67 - Insurance</w:t>
            </w:r>
          </w:p>
        </w:tc>
        <w:tc>
          <w:tcPr>
            <w:tcW w:w="1530" w:type="dxa"/>
          </w:tcPr>
          <w:p w14:paraId="79C2DD98" w14:textId="77777777" w:rsidR="00387B76" w:rsidRPr="00C77E63" w:rsidRDefault="00387B76" w:rsidP="000C1E6A"/>
        </w:tc>
        <w:tc>
          <w:tcPr>
            <w:tcW w:w="1515" w:type="dxa"/>
          </w:tcPr>
          <w:p w14:paraId="43BC1631" w14:textId="77777777" w:rsidR="00387B76" w:rsidRPr="00C77E63" w:rsidRDefault="00387B76" w:rsidP="000C1E6A">
            <w:r w:rsidRPr="00C77E63">
              <w:t>0</w:t>
            </w:r>
          </w:p>
        </w:tc>
        <w:tc>
          <w:tcPr>
            <w:tcW w:w="1635" w:type="dxa"/>
          </w:tcPr>
          <w:p w14:paraId="21AC26F3" w14:textId="77777777" w:rsidR="00387B76" w:rsidRPr="00C77E63" w:rsidRDefault="00387B76" w:rsidP="000C1E6A">
            <w:r w:rsidRPr="00C77E63">
              <w:t>0</w:t>
            </w:r>
          </w:p>
        </w:tc>
        <w:tc>
          <w:tcPr>
            <w:tcW w:w="1620" w:type="dxa"/>
          </w:tcPr>
          <w:p w14:paraId="645F0740" w14:textId="77777777" w:rsidR="00387B76" w:rsidRPr="00C77E63" w:rsidRDefault="00387B76" w:rsidP="000C1E6A">
            <w:r w:rsidRPr="00C77E63">
              <w:t>0</w:t>
            </w:r>
          </w:p>
        </w:tc>
        <w:tc>
          <w:tcPr>
            <w:tcW w:w="1800" w:type="dxa"/>
          </w:tcPr>
          <w:p w14:paraId="2CA60D53" w14:textId="77777777" w:rsidR="00387B76" w:rsidRPr="00C77E63" w:rsidRDefault="00387B76" w:rsidP="000C1E6A">
            <w:pPr>
              <w:rPr>
                <w:b/>
              </w:rPr>
            </w:pPr>
          </w:p>
        </w:tc>
      </w:tr>
      <w:tr w:rsidR="00387B76" w:rsidRPr="00C77E63" w14:paraId="27FD6F4C" w14:textId="77777777" w:rsidTr="000C1E6A">
        <w:tc>
          <w:tcPr>
            <w:tcW w:w="2268" w:type="dxa"/>
          </w:tcPr>
          <w:p w14:paraId="0AB098CA" w14:textId="77777777" w:rsidR="00387B76" w:rsidRPr="00C77E63" w:rsidRDefault="00387B76" w:rsidP="000C1E6A">
            <w:r w:rsidRPr="00C77E63">
              <w:t>FMC-68 - Guaranty</w:t>
            </w:r>
          </w:p>
        </w:tc>
        <w:tc>
          <w:tcPr>
            <w:tcW w:w="1530" w:type="dxa"/>
          </w:tcPr>
          <w:p w14:paraId="33E22EC3" w14:textId="77777777" w:rsidR="00387B76" w:rsidRPr="00C77E63" w:rsidRDefault="00387B76" w:rsidP="000C1E6A"/>
        </w:tc>
        <w:tc>
          <w:tcPr>
            <w:tcW w:w="1515" w:type="dxa"/>
          </w:tcPr>
          <w:p w14:paraId="0728BD38" w14:textId="77777777" w:rsidR="00387B76" w:rsidRPr="00C77E63" w:rsidRDefault="00387B76" w:rsidP="000C1E6A">
            <w:r w:rsidRPr="00C77E63">
              <w:t>0</w:t>
            </w:r>
          </w:p>
        </w:tc>
        <w:tc>
          <w:tcPr>
            <w:tcW w:w="1635" w:type="dxa"/>
          </w:tcPr>
          <w:p w14:paraId="40EFC0AB" w14:textId="77777777" w:rsidR="00387B76" w:rsidRPr="00C77E63" w:rsidRDefault="00387B76" w:rsidP="000C1E6A">
            <w:r w:rsidRPr="00C77E63">
              <w:t>0</w:t>
            </w:r>
          </w:p>
        </w:tc>
        <w:tc>
          <w:tcPr>
            <w:tcW w:w="1620" w:type="dxa"/>
          </w:tcPr>
          <w:p w14:paraId="48BF4A38" w14:textId="77777777" w:rsidR="00387B76" w:rsidRPr="00C77E63" w:rsidRDefault="00387B76" w:rsidP="000C1E6A">
            <w:r w:rsidRPr="00C77E63">
              <w:t>0</w:t>
            </w:r>
          </w:p>
        </w:tc>
        <w:tc>
          <w:tcPr>
            <w:tcW w:w="1800" w:type="dxa"/>
          </w:tcPr>
          <w:p w14:paraId="6D8F27F9" w14:textId="77777777" w:rsidR="00387B76" w:rsidRPr="00C77E63" w:rsidRDefault="00387B76" w:rsidP="000C1E6A">
            <w:pPr>
              <w:rPr>
                <w:b/>
              </w:rPr>
            </w:pPr>
          </w:p>
        </w:tc>
      </w:tr>
      <w:tr w:rsidR="00387B76" w:rsidRPr="00C77E63" w14:paraId="4BCC5EEA" w14:textId="77777777" w:rsidTr="000C1E6A">
        <w:tc>
          <w:tcPr>
            <w:tcW w:w="2268" w:type="dxa"/>
          </w:tcPr>
          <w:p w14:paraId="40A3898E" w14:textId="77777777" w:rsidR="00387B76" w:rsidRPr="00C77E63" w:rsidRDefault="00387B76" w:rsidP="000C1E6A">
            <w:r w:rsidRPr="00C77E63">
              <w:t>FMC-69 Group Bond (new/amended)</w:t>
            </w:r>
          </w:p>
        </w:tc>
        <w:tc>
          <w:tcPr>
            <w:tcW w:w="1530" w:type="dxa"/>
          </w:tcPr>
          <w:p w14:paraId="5CE0E959" w14:textId="77777777" w:rsidR="00387B76" w:rsidRPr="00C77E63" w:rsidRDefault="00387B76" w:rsidP="000C1E6A"/>
        </w:tc>
        <w:tc>
          <w:tcPr>
            <w:tcW w:w="1515" w:type="dxa"/>
          </w:tcPr>
          <w:p w14:paraId="3B64D03A" w14:textId="77777777" w:rsidR="00387B76" w:rsidRPr="00C77E63" w:rsidRDefault="00387B76" w:rsidP="000C1E6A">
            <w:r w:rsidRPr="00C77E63">
              <w:t>64</w:t>
            </w:r>
          </w:p>
        </w:tc>
        <w:tc>
          <w:tcPr>
            <w:tcW w:w="1635" w:type="dxa"/>
          </w:tcPr>
          <w:p w14:paraId="25951332" w14:textId="77777777" w:rsidR="00387B76" w:rsidRPr="00C77E63" w:rsidRDefault="00387B76" w:rsidP="000C1E6A">
            <w:r w:rsidRPr="00C77E63">
              <w:t>20 minutes</w:t>
            </w:r>
          </w:p>
          <w:p w14:paraId="630E1BA3" w14:textId="77777777" w:rsidR="00387B76" w:rsidRPr="00C77E63" w:rsidRDefault="00387B76" w:rsidP="000C1E6A">
            <w:r w:rsidRPr="00C77E63">
              <w:t xml:space="preserve">(see Note </w:t>
            </w:r>
            <w:r>
              <w:t>6</w:t>
            </w:r>
            <w:r w:rsidRPr="00C77E63">
              <w:t>)</w:t>
            </w:r>
          </w:p>
        </w:tc>
        <w:tc>
          <w:tcPr>
            <w:tcW w:w="1620" w:type="dxa"/>
          </w:tcPr>
          <w:p w14:paraId="2F471814" w14:textId="77777777" w:rsidR="00387B76" w:rsidRPr="00C77E63" w:rsidRDefault="00387B76" w:rsidP="000C1E6A">
            <w:r w:rsidRPr="00C77E63">
              <w:t>21 hours</w:t>
            </w:r>
          </w:p>
        </w:tc>
        <w:tc>
          <w:tcPr>
            <w:tcW w:w="1800" w:type="dxa"/>
          </w:tcPr>
          <w:p w14:paraId="55738544" w14:textId="77777777" w:rsidR="00387B76" w:rsidRPr="00C77E63" w:rsidRDefault="00387B76" w:rsidP="000C1E6A">
            <w:pPr>
              <w:rPr>
                <w:b/>
              </w:rPr>
            </w:pPr>
          </w:p>
        </w:tc>
      </w:tr>
      <w:tr w:rsidR="00387B76" w:rsidRPr="00C77E63" w14:paraId="08418990" w14:textId="77777777" w:rsidTr="000C1E6A">
        <w:tc>
          <w:tcPr>
            <w:tcW w:w="2268" w:type="dxa"/>
          </w:tcPr>
          <w:p w14:paraId="7A620F58" w14:textId="77777777" w:rsidR="00387B76" w:rsidRPr="00C77E63" w:rsidRDefault="00387B76" w:rsidP="000C1E6A">
            <w:pPr>
              <w:rPr>
                <w:b/>
              </w:rPr>
            </w:pPr>
            <w:r w:rsidRPr="00C77E63">
              <w:rPr>
                <w:b/>
              </w:rPr>
              <w:t>Financial Responsibility:</w:t>
            </w:r>
          </w:p>
          <w:p w14:paraId="1EF3A918" w14:textId="77777777" w:rsidR="00387B76" w:rsidRPr="00C77E63" w:rsidRDefault="00387B76" w:rsidP="000C1E6A">
            <w:pPr>
              <w:rPr>
                <w:b/>
              </w:rPr>
            </w:pPr>
            <w:r w:rsidRPr="00C77E63">
              <w:rPr>
                <w:b/>
              </w:rPr>
              <w:t>46 CFR 515.25</w:t>
            </w:r>
          </w:p>
        </w:tc>
        <w:tc>
          <w:tcPr>
            <w:tcW w:w="1530" w:type="dxa"/>
          </w:tcPr>
          <w:p w14:paraId="04AAB698" w14:textId="77777777" w:rsidR="00387B76" w:rsidRPr="00C77E63" w:rsidRDefault="00387B76" w:rsidP="000C1E6A"/>
        </w:tc>
        <w:tc>
          <w:tcPr>
            <w:tcW w:w="1515" w:type="dxa"/>
          </w:tcPr>
          <w:p w14:paraId="242B9387" w14:textId="77777777" w:rsidR="00387B76" w:rsidRPr="00C77E63" w:rsidRDefault="00387B76" w:rsidP="000C1E6A"/>
        </w:tc>
        <w:tc>
          <w:tcPr>
            <w:tcW w:w="1635" w:type="dxa"/>
          </w:tcPr>
          <w:p w14:paraId="36C75F43" w14:textId="77777777" w:rsidR="00387B76" w:rsidRPr="00C77E63" w:rsidRDefault="00387B76" w:rsidP="000C1E6A"/>
        </w:tc>
        <w:tc>
          <w:tcPr>
            <w:tcW w:w="1620" w:type="dxa"/>
          </w:tcPr>
          <w:p w14:paraId="199E502E" w14:textId="77777777" w:rsidR="00387B76" w:rsidRPr="00C77E63" w:rsidRDefault="00387B76" w:rsidP="000C1E6A"/>
        </w:tc>
        <w:tc>
          <w:tcPr>
            <w:tcW w:w="1800" w:type="dxa"/>
          </w:tcPr>
          <w:p w14:paraId="6976A915" w14:textId="77777777" w:rsidR="00387B76" w:rsidRPr="00C77E63" w:rsidRDefault="00387B76" w:rsidP="000C1E6A">
            <w:pPr>
              <w:rPr>
                <w:b/>
              </w:rPr>
            </w:pPr>
          </w:p>
        </w:tc>
      </w:tr>
      <w:tr w:rsidR="00387B76" w:rsidRPr="00C77E63" w14:paraId="5D4889E4" w14:textId="77777777" w:rsidTr="000C1E6A">
        <w:tc>
          <w:tcPr>
            <w:tcW w:w="2268" w:type="dxa"/>
          </w:tcPr>
          <w:p w14:paraId="55470140" w14:textId="77777777" w:rsidR="00387B76" w:rsidRPr="00C77E63" w:rsidRDefault="00387B76" w:rsidP="000C1E6A">
            <w:r w:rsidRPr="00C77E63">
              <w:t>FMC-48A Optional Rider</w:t>
            </w:r>
          </w:p>
        </w:tc>
        <w:tc>
          <w:tcPr>
            <w:tcW w:w="1530" w:type="dxa"/>
          </w:tcPr>
          <w:p w14:paraId="2007C6F9" w14:textId="77777777" w:rsidR="00387B76" w:rsidRPr="00C77E63" w:rsidRDefault="00387B76" w:rsidP="000C1E6A"/>
        </w:tc>
        <w:tc>
          <w:tcPr>
            <w:tcW w:w="1515" w:type="dxa"/>
          </w:tcPr>
          <w:p w14:paraId="65690650" w14:textId="77777777" w:rsidR="00387B76" w:rsidRPr="00C77E63" w:rsidRDefault="00387B76" w:rsidP="000C1E6A">
            <w:r w:rsidRPr="00C77E63">
              <w:t>13</w:t>
            </w:r>
          </w:p>
        </w:tc>
        <w:tc>
          <w:tcPr>
            <w:tcW w:w="1635" w:type="dxa"/>
          </w:tcPr>
          <w:p w14:paraId="09240C53" w14:textId="77777777" w:rsidR="00387B76" w:rsidRPr="00C77E63" w:rsidRDefault="00387B76" w:rsidP="000C1E6A">
            <w:r w:rsidRPr="00C77E63">
              <w:t>20 minutes</w:t>
            </w:r>
          </w:p>
          <w:p w14:paraId="46F976C9" w14:textId="77777777" w:rsidR="00387B76" w:rsidRPr="00C77E63" w:rsidRDefault="00387B76" w:rsidP="000C1E6A">
            <w:r w:rsidRPr="00C77E63">
              <w:t xml:space="preserve">(see note </w:t>
            </w:r>
            <w:r>
              <w:t>6</w:t>
            </w:r>
            <w:r w:rsidRPr="00C77E63">
              <w:t>)</w:t>
            </w:r>
          </w:p>
        </w:tc>
        <w:tc>
          <w:tcPr>
            <w:tcW w:w="1620" w:type="dxa"/>
          </w:tcPr>
          <w:p w14:paraId="6B4EE46B" w14:textId="77777777" w:rsidR="00387B76" w:rsidRPr="00C77E63" w:rsidRDefault="00387B76" w:rsidP="000C1E6A">
            <w:r w:rsidRPr="00C77E63">
              <w:t>4 hours</w:t>
            </w:r>
          </w:p>
        </w:tc>
        <w:tc>
          <w:tcPr>
            <w:tcW w:w="1800" w:type="dxa"/>
          </w:tcPr>
          <w:p w14:paraId="4C9DD02F" w14:textId="77777777" w:rsidR="00387B76" w:rsidRPr="00C77E63" w:rsidRDefault="00387B76" w:rsidP="000C1E6A">
            <w:pPr>
              <w:rPr>
                <w:b/>
              </w:rPr>
            </w:pPr>
          </w:p>
        </w:tc>
      </w:tr>
      <w:tr w:rsidR="00387B76" w:rsidRPr="00C77E63" w14:paraId="651B1D12" w14:textId="77777777" w:rsidTr="000C1E6A">
        <w:tc>
          <w:tcPr>
            <w:tcW w:w="2268" w:type="dxa"/>
          </w:tcPr>
          <w:p w14:paraId="42DEE278" w14:textId="77777777" w:rsidR="00387B76" w:rsidRPr="00C77E63" w:rsidRDefault="00387B76" w:rsidP="000C1E6A">
            <w:r w:rsidRPr="00C77E63">
              <w:t>FMC 69A Optional Group Rider</w:t>
            </w:r>
          </w:p>
        </w:tc>
        <w:tc>
          <w:tcPr>
            <w:tcW w:w="1530" w:type="dxa"/>
          </w:tcPr>
          <w:p w14:paraId="7BA2EBFC" w14:textId="77777777" w:rsidR="00387B76" w:rsidRPr="00C77E63" w:rsidRDefault="00387B76" w:rsidP="000C1E6A"/>
        </w:tc>
        <w:tc>
          <w:tcPr>
            <w:tcW w:w="1515" w:type="dxa"/>
          </w:tcPr>
          <w:p w14:paraId="34440CF2" w14:textId="77777777" w:rsidR="00387B76" w:rsidRPr="00C77E63" w:rsidRDefault="00387B76" w:rsidP="000C1E6A">
            <w:r w:rsidRPr="00C77E63">
              <w:t>2</w:t>
            </w:r>
          </w:p>
        </w:tc>
        <w:tc>
          <w:tcPr>
            <w:tcW w:w="1635" w:type="dxa"/>
          </w:tcPr>
          <w:p w14:paraId="31B1770F" w14:textId="77777777" w:rsidR="00387B76" w:rsidRPr="00C77E63" w:rsidRDefault="00387B76" w:rsidP="000C1E6A">
            <w:r w:rsidRPr="00C77E63">
              <w:t>20 minutes</w:t>
            </w:r>
          </w:p>
        </w:tc>
        <w:tc>
          <w:tcPr>
            <w:tcW w:w="1620" w:type="dxa"/>
          </w:tcPr>
          <w:p w14:paraId="00313772" w14:textId="77777777" w:rsidR="00387B76" w:rsidRPr="00C77E63" w:rsidRDefault="00387B76" w:rsidP="000C1E6A">
            <w:r w:rsidRPr="00C77E63">
              <w:t>40 minutes</w:t>
            </w:r>
          </w:p>
        </w:tc>
        <w:tc>
          <w:tcPr>
            <w:tcW w:w="1800" w:type="dxa"/>
          </w:tcPr>
          <w:p w14:paraId="7B28BE58" w14:textId="77777777" w:rsidR="00387B76" w:rsidRPr="00C77E63" w:rsidRDefault="00387B76" w:rsidP="000C1E6A">
            <w:pPr>
              <w:rPr>
                <w:b/>
              </w:rPr>
            </w:pPr>
          </w:p>
        </w:tc>
      </w:tr>
      <w:tr w:rsidR="00387B76" w:rsidRPr="00C77E63" w14:paraId="0135C39C" w14:textId="77777777" w:rsidTr="000C1E6A">
        <w:tc>
          <w:tcPr>
            <w:tcW w:w="2268" w:type="dxa"/>
          </w:tcPr>
          <w:p w14:paraId="5C37215D" w14:textId="77777777" w:rsidR="00387B76" w:rsidRDefault="00387B76" w:rsidP="000C1E6A">
            <w:r w:rsidRPr="00C77E63">
              <w:t>FMC-65</w:t>
            </w:r>
            <w:r>
              <w:t xml:space="preserve"> registration</w:t>
            </w:r>
          </w:p>
          <w:p w14:paraId="4A07E738" w14:textId="77777777" w:rsidR="00387B76" w:rsidRPr="00C77E63" w:rsidRDefault="00387B76" w:rsidP="000C1E6A">
            <w:r>
              <w:t>FMC-65 Renewal</w:t>
            </w:r>
          </w:p>
        </w:tc>
        <w:tc>
          <w:tcPr>
            <w:tcW w:w="1530" w:type="dxa"/>
          </w:tcPr>
          <w:p w14:paraId="2C3E218B" w14:textId="77777777" w:rsidR="00387B76" w:rsidRPr="00C77E63" w:rsidRDefault="00387B76" w:rsidP="000C1E6A"/>
        </w:tc>
        <w:tc>
          <w:tcPr>
            <w:tcW w:w="1515" w:type="dxa"/>
          </w:tcPr>
          <w:p w14:paraId="66998EEF" w14:textId="77777777" w:rsidR="00387B76" w:rsidRDefault="00387B76" w:rsidP="000C1E6A">
            <w:r>
              <w:t>150</w:t>
            </w:r>
          </w:p>
          <w:p w14:paraId="2C0D64EE" w14:textId="77777777" w:rsidR="00387B76" w:rsidRPr="00C77E63" w:rsidRDefault="00387B76" w:rsidP="000C1E6A">
            <w:r>
              <w:t>550</w:t>
            </w:r>
          </w:p>
        </w:tc>
        <w:tc>
          <w:tcPr>
            <w:tcW w:w="1635" w:type="dxa"/>
          </w:tcPr>
          <w:p w14:paraId="18E5CCD7" w14:textId="77777777" w:rsidR="00387B76" w:rsidRDefault="00387B76" w:rsidP="000C1E6A">
            <w:r>
              <w:t>15</w:t>
            </w:r>
            <w:r w:rsidRPr="00C77E63">
              <w:t xml:space="preserve"> minutes</w:t>
            </w:r>
          </w:p>
          <w:p w14:paraId="42F0076E" w14:textId="77777777" w:rsidR="00387B76" w:rsidRPr="00C77E63" w:rsidRDefault="00387B76" w:rsidP="000C1E6A">
            <w:r>
              <w:t>15 minutes</w:t>
            </w:r>
          </w:p>
        </w:tc>
        <w:tc>
          <w:tcPr>
            <w:tcW w:w="1620" w:type="dxa"/>
          </w:tcPr>
          <w:p w14:paraId="0D59F110" w14:textId="77777777" w:rsidR="00387B76" w:rsidRDefault="00387B76" w:rsidP="000C1E6A">
            <w:r>
              <w:t>38 hours</w:t>
            </w:r>
          </w:p>
          <w:p w14:paraId="4E81AE15" w14:textId="77777777" w:rsidR="00387B76" w:rsidRPr="00C77E63" w:rsidRDefault="00387B76" w:rsidP="000C1E6A">
            <w:r>
              <w:t>138 hours</w:t>
            </w:r>
          </w:p>
        </w:tc>
        <w:tc>
          <w:tcPr>
            <w:tcW w:w="1800" w:type="dxa"/>
          </w:tcPr>
          <w:p w14:paraId="6000291A" w14:textId="77777777" w:rsidR="00387B76" w:rsidRPr="00C77E63" w:rsidRDefault="00387B76" w:rsidP="000C1E6A">
            <w:pPr>
              <w:rPr>
                <w:b/>
              </w:rPr>
            </w:pPr>
          </w:p>
        </w:tc>
      </w:tr>
      <w:tr w:rsidR="00387B76" w:rsidRPr="00C77E63" w14:paraId="2676E0E3" w14:textId="77777777" w:rsidTr="000C1E6A">
        <w:tc>
          <w:tcPr>
            <w:tcW w:w="2268" w:type="dxa"/>
          </w:tcPr>
          <w:p w14:paraId="069DE023" w14:textId="77777777" w:rsidR="00387B76" w:rsidRPr="00C77E63" w:rsidRDefault="00387B76" w:rsidP="000C1E6A">
            <w:pPr>
              <w:rPr>
                <w:b/>
              </w:rPr>
            </w:pPr>
            <w:r w:rsidRPr="00C77E63">
              <w:rPr>
                <w:b/>
              </w:rPr>
              <w:t>GRAND TOTAL</w:t>
            </w:r>
          </w:p>
        </w:tc>
        <w:tc>
          <w:tcPr>
            <w:tcW w:w="1530" w:type="dxa"/>
          </w:tcPr>
          <w:p w14:paraId="71AC557C" w14:textId="77777777" w:rsidR="00387B76" w:rsidRPr="00C77E63" w:rsidRDefault="00387B76" w:rsidP="000C1E6A">
            <w:pPr>
              <w:rPr>
                <w:b/>
              </w:rPr>
            </w:pPr>
          </w:p>
        </w:tc>
        <w:tc>
          <w:tcPr>
            <w:tcW w:w="1515" w:type="dxa"/>
          </w:tcPr>
          <w:p w14:paraId="7B587947" w14:textId="7AA8B36E" w:rsidR="00387B76" w:rsidRPr="00C77E63" w:rsidRDefault="00387B76" w:rsidP="000C1E6A">
            <w:pPr>
              <w:rPr>
                <w:b/>
              </w:rPr>
            </w:pPr>
            <w:r>
              <w:rPr>
                <w:b/>
              </w:rPr>
              <w:t>8,</w:t>
            </w:r>
            <w:r w:rsidR="00162D7D">
              <w:rPr>
                <w:b/>
              </w:rPr>
              <w:t>729</w:t>
            </w:r>
          </w:p>
        </w:tc>
        <w:tc>
          <w:tcPr>
            <w:tcW w:w="1635" w:type="dxa"/>
          </w:tcPr>
          <w:p w14:paraId="0C3183B8" w14:textId="77777777" w:rsidR="00387B76" w:rsidRPr="00C77E63" w:rsidRDefault="00387B76" w:rsidP="000C1E6A">
            <w:pPr>
              <w:rPr>
                <w:b/>
              </w:rPr>
            </w:pPr>
          </w:p>
        </w:tc>
        <w:tc>
          <w:tcPr>
            <w:tcW w:w="1620" w:type="dxa"/>
          </w:tcPr>
          <w:p w14:paraId="6296E51C" w14:textId="0C3E567E" w:rsidR="00387B76" w:rsidRPr="00C77E63" w:rsidRDefault="00387B76" w:rsidP="000C1E6A">
            <w:pPr>
              <w:rPr>
                <w:b/>
              </w:rPr>
            </w:pPr>
            <w:r>
              <w:rPr>
                <w:b/>
              </w:rPr>
              <w:t>3,9</w:t>
            </w:r>
            <w:r w:rsidR="00313713">
              <w:rPr>
                <w:b/>
              </w:rPr>
              <w:t>18</w:t>
            </w:r>
            <w:r w:rsidRPr="00C77E63">
              <w:rPr>
                <w:b/>
              </w:rPr>
              <w:t xml:space="preserve"> hours </w:t>
            </w:r>
          </w:p>
        </w:tc>
        <w:tc>
          <w:tcPr>
            <w:tcW w:w="1800" w:type="dxa"/>
          </w:tcPr>
          <w:p w14:paraId="51E05703" w14:textId="77777777" w:rsidR="00387B76" w:rsidRPr="00C77E63" w:rsidRDefault="00387B76" w:rsidP="000C1E6A">
            <w:pPr>
              <w:rPr>
                <w:b/>
              </w:rPr>
            </w:pPr>
          </w:p>
        </w:tc>
      </w:tr>
    </w:tbl>
    <w:p w14:paraId="399E334A" w14:textId="77777777" w:rsidR="00387B76" w:rsidRPr="00C77E63" w:rsidRDefault="00387B76" w:rsidP="00387B76"/>
    <w:p w14:paraId="05227B06" w14:textId="77777777" w:rsidR="00387B76" w:rsidRPr="00C77E63" w:rsidRDefault="00387B76" w:rsidP="00387B76">
      <w:pPr>
        <w:pStyle w:val="FootnoteText"/>
        <w:rPr>
          <w:sz w:val="24"/>
          <w:szCs w:val="24"/>
        </w:rPr>
      </w:pPr>
      <w:r w:rsidRPr="00C77E63">
        <w:rPr>
          <w:sz w:val="24"/>
          <w:szCs w:val="24"/>
        </w:rPr>
        <w:t xml:space="preserve">Note 1 -  The total respondent universe is estimated at </w:t>
      </w:r>
      <w:r>
        <w:rPr>
          <w:sz w:val="24"/>
          <w:szCs w:val="24"/>
        </w:rPr>
        <w:t>6,475</w:t>
      </w:r>
      <w:r w:rsidRPr="00C77E63">
        <w:rPr>
          <w:b/>
          <w:sz w:val="24"/>
          <w:szCs w:val="24"/>
        </w:rPr>
        <w:t xml:space="preserve"> </w:t>
      </w:r>
      <w:r w:rsidRPr="00C77E63">
        <w:rPr>
          <w:sz w:val="24"/>
          <w:szCs w:val="24"/>
        </w:rPr>
        <w:t>(Estimated Total of OTIs at end of FY 201</w:t>
      </w:r>
      <w:r>
        <w:rPr>
          <w:sz w:val="24"/>
          <w:szCs w:val="24"/>
        </w:rPr>
        <w:t>8</w:t>
      </w:r>
      <w:r w:rsidRPr="00C77E63">
        <w:rPr>
          <w:sz w:val="24"/>
          <w:szCs w:val="24"/>
        </w:rPr>
        <w:t xml:space="preserve">. </w:t>
      </w:r>
    </w:p>
    <w:p w14:paraId="16D64031" w14:textId="77777777" w:rsidR="00387B76" w:rsidRPr="00C77E63" w:rsidRDefault="00387B76" w:rsidP="00387B76"/>
    <w:p w14:paraId="34695551" w14:textId="77777777" w:rsidR="00387B76" w:rsidRPr="00C77E63" w:rsidRDefault="00387B76" w:rsidP="00387B76">
      <w:r w:rsidRPr="00C77E63">
        <w:t>Note 2 - For each entry in this column, the average industry person-hours must be subdivided into 3 categories, as follows:</w:t>
      </w:r>
    </w:p>
    <w:p w14:paraId="47FAE323" w14:textId="77777777" w:rsidR="00387B76" w:rsidRPr="00C77E63" w:rsidRDefault="00387B76" w:rsidP="00387B76">
      <w:r w:rsidRPr="00C77E63">
        <w:tab/>
        <w:t>Recordkeeping (collecting documents);</w:t>
      </w:r>
    </w:p>
    <w:p w14:paraId="7EE87FF7" w14:textId="77777777" w:rsidR="00387B76" w:rsidRPr="00C77E63" w:rsidRDefault="00387B76" w:rsidP="00387B76">
      <w:r w:rsidRPr="00C77E63">
        <w:tab/>
        <w:t>Reporting (completing form); and</w:t>
      </w:r>
    </w:p>
    <w:p w14:paraId="38822729" w14:textId="77777777" w:rsidR="00387B76" w:rsidRPr="00C77E63" w:rsidRDefault="00387B76" w:rsidP="00387B76">
      <w:pPr>
        <w:ind w:firstLine="720"/>
      </w:pPr>
      <w:r w:rsidRPr="00C77E63">
        <w:t>Disclosure (to 3</w:t>
      </w:r>
      <w:r w:rsidRPr="00C77E63">
        <w:rPr>
          <w:vertAlign w:val="superscript"/>
        </w:rPr>
        <w:t>rd</w:t>
      </w:r>
      <w:r w:rsidRPr="00C77E63">
        <w:t xml:space="preserve"> parties, if any).</w:t>
      </w:r>
    </w:p>
    <w:p w14:paraId="74251041" w14:textId="77777777" w:rsidR="00387B76" w:rsidRPr="00C77E63" w:rsidRDefault="00387B76" w:rsidP="00387B76">
      <w:pPr>
        <w:ind w:left="300"/>
      </w:pPr>
      <w:r w:rsidRPr="00C77E63">
        <w:t>Example:  FMC-18 paper form - 2 hours total consisting of: recordkeeping - 30 minutes; reporting - 1 hour 30 minutes; disclosure - 0 minutes.</w:t>
      </w:r>
    </w:p>
    <w:p w14:paraId="4CED8EF0" w14:textId="77777777" w:rsidR="00387B76" w:rsidRPr="00C77E63" w:rsidRDefault="00387B76" w:rsidP="00387B76"/>
    <w:p w14:paraId="50917ACF" w14:textId="77777777" w:rsidR="00387B76" w:rsidRPr="00C77E63" w:rsidRDefault="00387B76" w:rsidP="00387B76">
      <w:pPr>
        <w:pStyle w:val="FootnoteText"/>
        <w:rPr>
          <w:sz w:val="24"/>
          <w:szCs w:val="24"/>
        </w:rPr>
      </w:pPr>
      <w:r w:rsidRPr="00C77E63">
        <w:rPr>
          <w:sz w:val="24"/>
          <w:szCs w:val="24"/>
        </w:rPr>
        <w:t>Note 3 - Response time varies from 1 hour to a maximum of 5 hours.  On average, it is estimated that it would take 2 hours to complete an application.  The estimated average time of 2 hours is allocated as: recordkeeping - 30 minutes; reporting - 1 hour 30 minutes; and disclosure - 0 minutes.</w:t>
      </w:r>
    </w:p>
    <w:p w14:paraId="78212712" w14:textId="77777777" w:rsidR="00387B76" w:rsidRPr="00C77E63" w:rsidRDefault="00387B76" w:rsidP="00387B76">
      <w:pPr>
        <w:pStyle w:val="FootnoteText"/>
        <w:rPr>
          <w:sz w:val="24"/>
          <w:szCs w:val="24"/>
        </w:rPr>
      </w:pPr>
    </w:p>
    <w:p w14:paraId="2AE4CF82" w14:textId="77777777" w:rsidR="00387B76" w:rsidRDefault="00387B76" w:rsidP="00387B76">
      <w:pPr>
        <w:pStyle w:val="FootnoteText"/>
        <w:rPr>
          <w:sz w:val="24"/>
          <w:szCs w:val="24"/>
        </w:rPr>
      </w:pPr>
      <w:r>
        <w:rPr>
          <w:sz w:val="24"/>
          <w:szCs w:val="24"/>
        </w:rPr>
        <w:t xml:space="preserve">Note 4 – Response time to complete a renewal varies from 3 minutes to 15 minutes.  On average it is estimated that it would take 10 minutes to complete a renewal. </w:t>
      </w:r>
    </w:p>
    <w:p w14:paraId="26F96C58" w14:textId="77777777" w:rsidR="00387B76" w:rsidRDefault="00387B76" w:rsidP="00387B76">
      <w:pPr>
        <w:pStyle w:val="FootnoteText"/>
        <w:rPr>
          <w:sz w:val="24"/>
          <w:szCs w:val="24"/>
        </w:rPr>
      </w:pPr>
    </w:p>
    <w:p w14:paraId="49BE35B3" w14:textId="77777777" w:rsidR="00387B76" w:rsidRPr="00C77E63" w:rsidRDefault="00387B76" w:rsidP="00387B76">
      <w:pPr>
        <w:pStyle w:val="FootnoteText"/>
        <w:rPr>
          <w:sz w:val="24"/>
          <w:szCs w:val="24"/>
        </w:rPr>
      </w:pPr>
      <w:r w:rsidRPr="00C77E63">
        <w:rPr>
          <w:sz w:val="24"/>
          <w:szCs w:val="24"/>
        </w:rPr>
        <w:t xml:space="preserve">Note </w:t>
      </w:r>
      <w:r>
        <w:rPr>
          <w:sz w:val="24"/>
          <w:szCs w:val="24"/>
        </w:rPr>
        <w:t>5</w:t>
      </w:r>
      <w:r w:rsidRPr="00C77E63">
        <w:rPr>
          <w:sz w:val="24"/>
          <w:szCs w:val="24"/>
        </w:rPr>
        <w:t xml:space="preserve"> - This figure reflects the </w:t>
      </w:r>
      <w:r>
        <w:rPr>
          <w:sz w:val="24"/>
          <w:szCs w:val="24"/>
        </w:rPr>
        <w:t xml:space="preserve">approximate </w:t>
      </w:r>
      <w:r w:rsidRPr="00C77E63">
        <w:rPr>
          <w:sz w:val="24"/>
          <w:szCs w:val="24"/>
        </w:rPr>
        <w:t xml:space="preserve">number of annual changes made to the Proof of Financial Responsibility, including terminations, by freight forwarders and NVOCCs. </w:t>
      </w:r>
    </w:p>
    <w:p w14:paraId="211EE3AE" w14:textId="77777777" w:rsidR="00387B76" w:rsidRPr="00C77E63" w:rsidRDefault="00387B76" w:rsidP="00387B76"/>
    <w:p w14:paraId="391140E9" w14:textId="77777777" w:rsidR="00387B76" w:rsidRPr="00C77E63" w:rsidRDefault="00387B76" w:rsidP="00387B76">
      <w:pPr>
        <w:pStyle w:val="FootnoteText"/>
        <w:rPr>
          <w:sz w:val="24"/>
          <w:szCs w:val="24"/>
        </w:rPr>
      </w:pPr>
      <w:r w:rsidRPr="00C77E63">
        <w:rPr>
          <w:sz w:val="24"/>
          <w:szCs w:val="24"/>
        </w:rPr>
        <w:t xml:space="preserve">Note </w:t>
      </w:r>
      <w:r>
        <w:rPr>
          <w:sz w:val="24"/>
          <w:szCs w:val="24"/>
        </w:rPr>
        <w:t>6</w:t>
      </w:r>
      <w:r w:rsidRPr="00C77E63">
        <w:rPr>
          <w:sz w:val="24"/>
          <w:szCs w:val="24"/>
        </w:rPr>
        <w:t xml:space="preserve"> - The estimated time of 20 minutes is allocated as: recordkeeping - 10 minutes; reporting - 10 minutes; and disclosure - 0 minutes.</w:t>
      </w:r>
    </w:p>
    <w:p w14:paraId="65F3F50C" w14:textId="77777777" w:rsidR="00387B76" w:rsidRPr="00C77E63" w:rsidRDefault="00387B76" w:rsidP="00387B76">
      <w:pPr>
        <w:pStyle w:val="FootnoteText"/>
        <w:rPr>
          <w:sz w:val="24"/>
          <w:szCs w:val="24"/>
        </w:rPr>
      </w:pPr>
    </w:p>
    <w:p w14:paraId="5B0CB55C" w14:textId="77777777" w:rsidR="00387B76" w:rsidRPr="00C77E63" w:rsidRDefault="00387B76" w:rsidP="00387B76">
      <w:pPr>
        <w:pStyle w:val="FootnoteText"/>
        <w:rPr>
          <w:sz w:val="24"/>
          <w:szCs w:val="24"/>
        </w:rPr>
      </w:pPr>
      <w:r w:rsidRPr="00C77E63">
        <w:rPr>
          <w:sz w:val="24"/>
          <w:szCs w:val="24"/>
        </w:rPr>
        <w:t xml:space="preserve">Note </w:t>
      </w:r>
      <w:r>
        <w:rPr>
          <w:sz w:val="24"/>
          <w:szCs w:val="24"/>
        </w:rPr>
        <w:t>7</w:t>
      </w:r>
      <w:r w:rsidRPr="00C77E63">
        <w:rPr>
          <w:sz w:val="24"/>
          <w:szCs w:val="24"/>
        </w:rPr>
        <w:t xml:space="preserve"> - Biennially, decade, monthly, once, semi-annually, annually, daily, hourly, on occasion, quarterly, or weekly</w:t>
      </w:r>
    </w:p>
    <w:p w14:paraId="119668C2" w14:textId="77777777" w:rsidR="00387B76" w:rsidRPr="00C77E63" w:rsidRDefault="00387B76" w:rsidP="00387B76">
      <w:pPr>
        <w:jc w:val="center"/>
        <w:rPr>
          <w:b/>
        </w:rPr>
      </w:pPr>
    </w:p>
    <w:p w14:paraId="523DA840" w14:textId="77777777" w:rsidR="00387B76" w:rsidRDefault="00387B76" w:rsidP="00387B76">
      <w:pPr>
        <w:jc w:val="center"/>
        <w:rPr>
          <w:b/>
        </w:rPr>
      </w:pPr>
    </w:p>
    <w:p w14:paraId="226C8DEC" w14:textId="77777777" w:rsidR="00387B76" w:rsidRDefault="00387B76" w:rsidP="00387B76">
      <w:pPr>
        <w:jc w:val="center"/>
      </w:pPr>
      <w:r>
        <w:rPr>
          <w:b/>
        </w:rPr>
        <w:t>Estimated Burden and Costs, Including Overhead, to Respondents</w:t>
      </w:r>
    </w:p>
    <w:p w14:paraId="398D5513" w14:textId="77777777" w:rsidR="00387B76" w:rsidRDefault="00387B76" w:rsidP="00387B76">
      <w:pPr>
        <w:jc w:val="both"/>
      </w:pPr>
    </w:p>
    <w:p w14:paraId="7E059889" w14:textId="1309793A" w:rsidR="00387B76" w:rsidRDefault="00387B76" w:rsidP="00387B76">
      <w:pPr>
        <w:jc w:val="both"/>
      </w:pPr>
      <w:r>
        <w:t>1,600 person-hours (Form FMC-18) + 1,8</w:t>
      </w:r>
      <w:r w:rsidR="00F6087B">
        <w:t>50</w:t>
      </w:r>
      <w:r>
        <w:t xml:space="preserve"> person-hours (Form FMC-48) +4 person-hours (Form FMC-48A) + 21 person-hours (Form FMC-69) + 176 person-hours (Form FMC 65 New/Renewal) + 267 person-hours (License Renewal) = 3,9</w:t>
      </w:r>
      <w:r w:rsidR="0088728A">
        <w:t>18</w:t>
      </w:r>
      <w:r>
        <w:t xml:space="preserve"> total person-hours</w:t>
      </w:r>
    </w:p>
    <w:p w14:paraId="37B9A96B" w14:textId="77777777" w:rsidR="00387B76" w:rsidRDefault="00387B76" w:rsidP="00387B76">
      <w:pPr>
        <w:jc w:val="both"/>
      </w:pPr>
    </w:p>
    <w:p w14:paraId="68A54C34" w14:textId="70295D96" w:rsidR="00387B76" w:rsidRDefault="00387B76" w:rsidP="00387B76">
      <w:pPr>
        <w:jc w:val="both"/>
      </w:pPr>
      <w:r>
        <w:t>75% Transportation Manager (2</w:t>
      </w:r>
      <w:r w:rsidR="0088728A">
        <w:t>,938</w:t>
      </w:r>
      <w:r>
        <w:t xml:space="preserve"> hours)</w:t>
      </w:r>
    </w:p>
    <w:p w14:paraId="28695B08" w14:textId="182574BC" w:rsidR="00387B76" w:rsidRDefault="00387B76" w:rsidP="00387B76">
      <w:pPr>
        <w:jc w:val="both"/>
      </w:pPr>
      <w:r>
        <w:t>25% Clerical  (98</w:t>
      </w:r>
      <w:r w:rsidR="00F93255">
        <w:t>0</w:t>
      </w:r>
      <w:r>
        <w:t xml:space="preserve"> hours)</w:t>
      </w:r>
    </w:p>
    <w:p w14:paraId="6CD60A36" w14:textId="77777777" w:rsidR="00387B76" w:rsidRDefault="00387B76" w:rsidP="00387B76">
      <w:pPr>
        <w:jc w:val="both"/>
      </w:pPr>
    </w:p>
    <w:p w14:paraId="6A529E52" w14:textId="77777777" w:rsidR="00387B76" w:rsidRDefault="00387B76" w:rsidP="00387B76">
      <w:pPr>
        <w:jc w:val="both"/>
      </w:pPr>
      <w:r>
        <w:t xml:space="preserve">The annual salary calculations have been formulated using the Federal Government’s </w:t>
      </w:r>
      <w:r w:rsidRPr="00A041F4">
        <w:t>20</w:t>
      </w:r>
      <w:r>
        <w:t xml:space="preserve">18 salary table (overhead of 109.70% has been added to the basic salary).  The salary for the transportation manager was calculated using the salary of a GS 13/5 Senior Transportation Specialist, and the salary for the clerical employee was calculated using the salary of a GS 6/5 Program Assistant. </w:t>
      </w:r>
    </w:p>
    <w:p w14:paraId="7E908E6C" w14:textId="77777777" w:rsidR="00387B76" w:rsidRDefault="00387B76" w:rsidP="00387B76">
      <w:pPr>
        <w:jc w:val="both"/>
      </w:pPr>
    </w:p>
    <w:p w14:paraId="0AB4AEE3" w14:textId="77777777" w:rsidR="00387B76" w:rsidRDefault="00387B76" w:rsidP="00387B76">
      <w:pPr>
        <w:jc w:val="both"/>
      </w:pPr>
      <w:r>
        <w:t>Formula:  Annual salary/2087 + overhead rate = adjusted annual salary</w:t>
      </w:r>
    </w:p>
    <w:p w14:paraId="50A5F270" w14:textId="77777777" w:rsidR="00387B76" w:rsidRDefault="00387B76" w:rsidP="00387B76">
      <w:pPr>
        <w:jc w:val="both"/>
      </w:pPr>
    </w:p>
    <w:p w14:paraId="09528077" w14:textId="77777777" w:rsidR="00387B76" w:rsidRPr="00A041F4" w:rsidRDefault="00387B76" w:rsidP="00387B76">
      <w:pPr>
        <w:jc w:val="both"/>
      </w:pPr>
      <w:r w:rsidRPr="00A041F4">
        <w:t>$</w:t>
      </w:r>
      <w:r>
        <w:t>109,900/2087 = $52.65</w:t>
      </w:r>
      <w:r w:rsidRPr="00A041F4">
        <w:t xml:space="preserve"> + </w:t>
      </w:r>
      <w:r>
        <w:t>109.70%</w:t>
      </w:r>
      <w:r w:rsidRPr="00A041F4">
        <w:t xml:space="preserve"> = $</w:t>
      </w:r>
      <w:r>
        <w:t>110.40 = Transportation Manager adj</w:t>
      </w:r>
      <w:r w:rsidRPr="00A041F4">
        <w:t>usted hourly salary</w:t>
      </w:r>
    </w:p>
    <w:p w14:paraId="3D171D89" w14:textId="77777777" w:rsidR="00387B76" w:rsidRPr="00A041F4" w:rsidRDefault="00387B76" w:rsidP="00387B76">
      <w:pPr>
        <w:jc w:val="both"/>
      </w:pPr>
    </w:p>
    <w:p w14:paraId="3AD4F579" w14:textId="7A8C42B5" w:rsidR="00387B76" w:rsidRPr="00A041F4" w:rsidRDefault="00387B76" w:rsidP="00387B76">
      <w:pPr>
        <w:jc w:val="both"/>
      </w:pPr>
      <w:r w:rsidRPr="00A041F4">
        <w:t>$</w:t>
      </w:r>
      <w:r>
        <w:t>46,882/2087 = $22.46</w:t>
      </w:r>
      <w:r w:rsidRPr="00A041F4">
        <w:t xml:space="preserve"> + </w:t>
      </w:r>
      <w:r>
        <w:t>109.70%</w:t>
      </w:r>
      <w:r w:rsidRPr="00A041F4">
        <w:t xml:space="preserve"> = $</w:t>
      </w:r>
      <w:r>
        <w:t>47.09</w:t>
      </w:r>
      <w:r w:rsidRPr="00A041F4">
        <w:t xml:space="preserve"> = </w:t>
      </w:r>
      <w:r>
        <w:t>Clerical</w:t>
      </w:r>
      <w:r w:rsidRPr="00A041F4">
        <w:t xml:space="preserve"> </w:t>
      </w:r>
      <w:r w:rsidR="00F93255">
        <w:t xml:space="preserve">employee </w:t>
      </w:r>
      <w:r w:rsidRPr="00A041F4">
        <w:t>adjusted hourly salary</w:t>
      </w:r>
    </w:p>
    <w:p w14:paraId="16DA0198" w14:textId="77777777" w:rsidR="00387B76" w:rsidRDefault="00387B76" w:rsidP="00387B76">
      <w:pPr>
        <w:jc w:val="both"/>
        <w:rPr>
          <w:b/>
        </w:rPr>
      </w:pPr>
    </w:p>
    <w:tbl>
      <w:tblPr>
        <w:tblStyle w:val="TableGrid"/>
        <w:tblW w:w="0" w:type="auto"/>
        <w:tblLook w:val="01E0" w:firstRow="1" w:lastRow="1" w:firstColumn="1" w:lastColumn="1" w:noHBand="0" w:noVBand="0"/>
      </w:tblPr>
      <w:tblGrid>
        <w:gridCol w:w="2394"/>
        <w:gridCol w:w="2394"/>
        <w:gridCol w:w="2394"/>
        <w:gridCol w:w="2394"/>
      </w:tblGrid>
      <w:tr w:rsidR="00387B76" w14:paraId="530987E0" w14:textId="77777777" w:rsidTr="000C1E6A">
        <w:tc>
          <w:tcPr>
            <w:tcW w:w="2394" w:type="dxa"/>
          </w:tcPr>
          <w:p w14:paraId="447BE781" w14:textId="77777777" w:rsidR="00387B76" w:rsidRDefault="00387B76" w:rsidP="000C1E6A">
            <w:pPr>
              <w:jc w:val="both"/>
              <w:rPr>
                <w:b/>
              </w:rPr>
            </w:pPr>
            <w:r>
              <w:rPr>
                <w:b/>
              </w:rPr>
              <w:t>Employee</w:t>
            </w:r>
          </w:p>
        </w:tc>
        <w:tc>
          <w:tcPr>
            <w:tcW w:w="2394" w:type="dxa"/>
          </w:tcPr>
          <w:p w14:paraId="606D1E0C" w14:textId="77777777" w:rsidR="00387B76" w:rsidRDefault="00387B76" w:rsidP="000C1E6A">
            <w:pPr>
              <w:jc w:val="both"/>
              <w:rPr>
                <w:b/>
              </w:rPr>
            </w:pPr>
            <w:r>
              <w:rPr>
                <w:b/>
              </w:rPr>
              <w:t>Hourly Salary</w:t>
            </w:r>
          </w:p>
        </w:tc>
        <w:tc>
          <w:tcPr>
            <w:tcW w:w="2394" w:type="dxa"/>
          </w:tcPr>
          <w:p w14:paraId="55269890" w14:textId="77777777" w:rsidR="00387B76" w:rsidRDefault="00387B76" w:rsidP="000C1E6A">
            <w:pPr>
              <w:jc w:val="both"/>
              <w:rPr>
                <w:b/>
              </w:rPr>
            </w:pPr>
            <w:r>
              <w:rPr>
                <w:b/>
              </w:rPr>
              <w:t>Number of Hours</w:t>
            </w:r>
          </w:p>
        </w:tc>
        <w:tc>
          <w:tcPr>
            <w:tcW w:w="2394" w:type="dxa"/>
          </w:tcPr>
          <w:p w14:paraId="44B79CDC" w14:textId="77777777" w:rsidR="00387B76" w:rsidRDefault="00387B76" w:rsidP="000C1E6A">
            <w:pPr>
              <w:jc w:val="both"/>
              <w:rPr>
                <w:b/>
              </w:rPr>
            </w:pPr>
            <w:r>
              <w:rPr>
                <w:b/>
              </w:rPr>
              <w:t>Total</w:t>
            </w:r>
          </w:p>
        </w:tc>
      </w:tr>
      <w:tr w:rsidR="00387B76" w14:paraId="60F7DEE6" w14:textId="77777777" w:rsidTr="000C1E6A">
        <w:tc>
          <w:tcPr>
            <w:tcW w:w="2394" w:type="dxa"/>
          </w:tcPr>
          <w:p w14:paraId="2FAE820E" w14:textId="77777777" w:rsidR="00387B76" w:rsidRPr="0023396A" w:rsidRDefault="00387B76" w:rsidP="000C1E6A">
            <w:pPr>
              <w:jc w:val="both"/>
            </w:pPr>
            <w:r>
              <w:t>Transportation Manager</w:t>
            </w:r>
          </w:p>
        </w:tc>
        <w:tc>
          <w:tcPr>
            <w:tcW w:w="2394" w:type="dxa"/>
          </w:tcPr>
          <w:p w14:paraId="54C01938" w14:textId="77777777" w:rsidR="00387B76" w:rsidRPr="0023396A" w:rsidRDefault="00387B76" w:rsidP="000C1E6A">
            <w:pPr>
              <w:jc w:val="both"/>
            </w:pPr>
            <w:r>
              <w:t>110.40</w:t>
            </w:r>
          </w:p>
        </w:tc>
        <w:tc>
          <w:tcPr>
            <w:tcW w:w="2394" w:type="dxa"/>
          </w:tcPr>
          <w:p w14:paraId="689453C8" w14:textId="77FE9983" w:rsidR="00387B76" w:rsidRPr="0023396A" w:rsidRDefault="00387B76" w:rsidP="000C1E6A">
            <w:pPr>
              <w:jc w:val="both"/>
            </w:pPr>
            <w:r>
              <w:t>2,9</w:t>
            </w:r>
            <w:r w:rsidR="00F93255">
              <w:t>38</w:t>
            </w:r>
          </w:p>
        </w:tc>
        <w:tc>
          <w:tcPr>
            <w:tcW w:w="2394" w:type="dxa"/>
          </w:tcPr>
          <w:p w14:paraId="1D5F02B7" w14:textId="545663F1" w:rsidR="00387B76" w:rsidRPr="0023396A" w:rsidRDefault="00387B76" w:rsidP="000C1E6A">
            <w:pPr>
              <w:jc w:val="both"/>
            </w:pPr>
            <w:r>
              <w:t>32</w:t>
            </w:r>
            <w:r w:rsidR="00F93255">
              <w:t>4</w:t>
            </w:r>
            <w:r>
              <w:t>,</w:t>
            </w:r>
            <w:r w:rsidR="00130391">
              <w:t>355</w:t>
            </w:r>
          </w:p>
        </w:tc>
      </w:tr>
      <w:tr w:rsidR="00387B76" w14:paraId="2AC3E8A6" w14:textId="77777777" w:rsidTr="000C1E6A">
        <w:tc>
          <w:tcPr>
            <w:tcW w:w="2394" w:type="dxa"/>
          </w:tcPr>
          <w:p w14:paraId="202F1524" w14:textId="77777777" w:rsidR="00387B76" w:rsidRPr="0023396A" w:rsidRDefault="00387B76" w:rsidP="000C1E6A">
            <w:pPr>
              <w:jc w:val="both"/>
            </w:pPr>
            <w:r>
              <w:t>Clerical</w:t>
            </w:r>
          </w:p>
        </w:tc>
        <w:tc>
          <w:tcPr>
            <w:tcW w:w="2394" w:type="dxa"/>
          </w:tcPr>
          <w:p w14:paraId="494ADC05" w14:textId="77777777" w:rsidR="00387B76" w:rsidRPr="0023396A" w:rsidRDefault="00387B76" w:rsidP="000C1E6A">
            <w:pPr>
              <w:jc w:val="both"/>
            </w:pPr>
            <w:r>
              <w:t>47.09</w:t>
            </w:r>
          </w:p>
        </w:tc>
        <w:tc>
          <w:tcPr>
            <w:tcW w:w="2394" w:type="dxa"/>
          </w:tcPr>
          <w:p w14:paraId="57E792C4" w14:textId="218D89AB" w:rsidR="00387B76" w:rsidRPr="0023396A" w:rsidRDefault="00387B76" w:rsidP="000C1E6A">
            <w:pPr>
              <w:jc w:val="both"/>
            </w:pPr>
            <w:r>
              <w:t>98</w:t>
            </w:r>
            <w:r w:rsidR="00F93255">
              <w:t>0</w:t>
            </w:r>
          </w:p>
        </w:tc>
        <w:tc>
          <w:tcPr>
            <w:tcW w:w="2394" w:type="dxa"/>
          </w:tcPr>
          <w:p w14:paraId="69F65912" w14:textId="24F9C9B6" w:rsidR="00387B76" w:rsidRPr="0023396A" w:rsidRDefault="00387B76" w:rsidP="000C1E6A">
            <w:pPr>
              <w:jc w:val="both"/>
            </w:pPr>
            <w:r>
              <w:t>46,</w:t>
            </w:r>
            <w:r w:rsidR="00130391">
              <w:t>148</w:t>
            </w:r>
          </w:p>
        </w:tc>
      </w:tr>
      <w:tr w:rsidR="00387B76" w14:paraId="0DE431BC" w14:textId="77777777" w:rsidTr="000C1E6A">
        <w:tc>
          <w:tcPr>
            <w:tcW w:w="2394" w:type="dxa"/>
          </w:tcPr>
          <w:p w14:paraId="38C0EB5E" w14:textId="77777777" w:rsidR="00387B76" w:rsidRPr="0023396A" w:rsidRDefault="00387B76" w:rsidP="000C1E6A">
            <w:pPr>
              <w:jc w:val="both"/>
              <w:rPr>
                <w:b/>
              </w:rPr>
            </w:pPr>
            <w:r>
              <w:rPr>
                <w:b/>
              </w:rPr>
              <w:t>TOTALS</w:t>
            </w:r>
          </w:p>
        </w:tc>
        <w:tc>
          <w:tcPr>
            <w:tcW w:w="2394" w:type="dxa"/>
          </w:tcPr>
          <w:p w14:paraId="5C123E6D" w14:textId="77777777" w:rsidR="00387B76" w:rsidRDefault="00387B76" w:rsidP="000C1E6A">
            <w:pPr>
              <w:jc w:val="both"/>
              <w:rPr>
                <w:b/>
              </w:rPr>
            </w:pPr>
          </w:p>
        </w:tc>
        <w:tc>
          <w:tcPr>
            <w:tcW w:w="2394" w:type="dxa"/>
          </w:tcPr>
          <w:p w14:paraId="42F1CE2A" w14:textId="428D4514" w:rsidR="00387B76" w:rsidRDefault="00387B76" w:rsidP="000C1E6A">
            <w:pPr>
              <w:jc w:val="both"/>
              <w:rPr>
                <w:b/>
              </w:rPr>
            </w:pPr>
            <w:r>
              <w:rPr>
                <w:b/>
              </w:rPr>
              <w:t>3,9</w:t>
            </w:r>
            <w:r w:rsidR="00F93255">
              <w:rPr>
                <w:b/>
              </w:rPr>
              <w:t>18</w:t>
            </w:r>
          </w:p>
        </w:tc>
        <w:tc>
          <w:tcPr>
            <w:tcW w:w="2394" w:type="dxa"/>
          </w:tcPr>
          <w:p w14:paraId="517EF0AE" w14:textId="2BACBF65" w:rsidR="00387B76" w:rsidRDefault="00387B76" w:rsidP="000C1E6A">
            <w:pPr>
              <w:jc w:val="both"/>
              <w:rPr>
                <w:b/>
              </w:rPr>
            </w:pPr>
            <w:r>
              <w:rPr>
                <w:b/>
              </w:rPr>
              <w:t>37</w:t>
            </w:r>
            <w:r w:rsidR="00946286">
              <w:rPr>
                <w:b/>
              </w:rPr>
              <w:t>0</w:t>
            </w:r>
            <w:r>
              <w:rPr>
                <w:b/>
              </w:rPr>
              <w:t>,</w:t>
            </w:r>
            <w:r w:rsidR="00130391">
              <w:rPr>
                <w:b/>
              </w:rPr>
              <w:t>503</w:t>
            </w:r>
          </w:p>
        </w:tc>
      </w:tr>
    </w:tbl>
    <w:p w14:paraId="0654A9B4" w14:textId="77777777" w:rsidR="00387B76" w:rsidRDefault="00387B76" w:rsidP="00387B76">
      <w:pPr>
        <w:jc w:val="both"/>
        <w:rPr>
          <w:b/>
        </w:rPr>
      </w:pPr>
    </w:p>
    <w:p w14:paraId="3295118C" w14:textId="77777777" w:rsidR="00FC433F" w:rsidRDefault="00FC433F" w:rsidP="00FC433F">
      <w:pPr>
        <w:rPr>
          <w:b/>
          <w:bCs/>
        </w:rPr>
      </w:pPr>
    </w:p>
    <w:p w14:paraId="00326AD0" w14:textId="1CD8572D" w:rsidR="00FC433F" w:rsidRPr="00AF4910" w:rsidRDefault="00FC433F" w:rsidP="00FC433F">
      <w:pPr>
        <w:rPr>
          <w:b/>
          <w:bCs/>
        </w:rPr>
      </w:pPr>
      <w:r w:rsidRPr="00AF4910">
        <w:rPr>
          <w:b/>
          <w:bCs/>
        </w:rPr>
        <w:t xml:space="preserve">ATTACHMENT </w:t>
      </w:r>
    </w:p>
    <w:p w14:paraId="78FF1EE7" w14:textId="293866A9" w:rsidR="00387B76" w:rsidRDefault="00FC433F" w:rsidP="00FC433F">
      <w:pPr>
        <w:jc w:val="center"/>
      </w:pPr>
      <w:r w:rsidRPr="00714F2A">
        <w:rPr>
          <w:b/>
          <w:bCs/>
          <w:sz w:val="28"/>
          <w:szCs w:val="28"/>
        </w:rPr>
        <w:t>COST TO THE FEDERAL GOVERNMENT</w:t>
      </w:r>
    </w:p>
    <w:p w14:paraId="41D0A197" w14:textId="24C3DAB5" w:rsidR="003865CF" w:rsidRDefault="00C30E7E" w:rsidP="00387B76">
      <w:r w:rsidRPr="003515BC">
        <w:rPr>
          <w:noProof/>
        </w:rPr>
        <w:drawing>
          <wp:inline distT="0" distB="0" distL="0" distR="0" wp14:anchorId="08AA174B" wp14:editId="69E3FE02">
            <wp:extent cx="5943600" cy="7676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76515"/>
                    </a:xfrm>
                    <a:prstGeom prst="rect">
                      <a:avLst/>
                    </a:prstGeom>
                    <a:noFill/>
                    <a:ln>
                      <a:noFill/>
                    </a:ln>
                  </pic:spPr>
                </pic:pic>
              </a:graphicData>
            </a:graphic>
          </wp:inline>
        </w:drawing>
      </w:r>
    </w:p>
    <w:sectPr w:rsidR="003865CF" w:rsidSect="00250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E20B8" w14:textId="77777777" w:rsidR="004C05C3" w:rsidRDefault="004C05C3">
      <w:r>
        <w:separator/>
      </w:r>
    </w:p>
  </w:endnote>
  <w:endnote w:type="continuationSeparator" w:id="0">
    <w:p w14:paraId="6701CEEE" w14:textId="77777777" w:rsidR="004C05C3" w:rsidRDefault="004C05C3">
      <w:r>
        <w:continuationSeparator/>
      </w:r>
    </w:p>
  </w:endnote>
  <w:endnote w:type="continuationNotice" w:id="1">
    <w:p w14:paraId="1B601924" w14:textId="77777777" w:rsidR="004C05C3" w:rsidRDefault="004C0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7448" w14:textId="77777777" w:rsidR="004C05C3" w:rsidRDefault="004C05C3">
      <w:r>
        <w:separator/>
      </w:r>
    </w:p>
  </w:footnote>
  <w:footnote w:type="continuationSeparator" w:id="0">
    <w:p w14:paraId="0820B29C" w14:textId="77777777" w:rsidR="004C05C3" w:rsidRDefault="004C05C3">
      <w:r>
        <w:continuationSeparator/>
      </w:r>
    </w:p>
  </w:footnote>
  <w:footnote w:type="continuationNotice" w:id="1">
    <w:p w14:paraId="25248A83" w14:textId="77777777" w:rsidR="004C05C3" w:rsidRDefault="004C05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31A"/>
    <w:multiLevelType w:val="hybridMultilevel"/>
    <w:tmpl w:val="5C7A3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3A"/>
    <w:rsid w:val="000063C0"/>
    <w:rsid w:val="000140BB"/>
    <w:rsid w:val="00015813"/>
    <w:rsid w:val="0001611B"/>
    <w:rsid w:val="000220BB"/>
    <w:rsid w:val="00022F84"/>
    <w:rsid w:val="00023D8B"/>
    <w:rsid w:val="00036441"/>
    <w:rsid w:val="0004274A"/>
    <w:rsid w:val="00043E4B"/>
    <w:rsid w:val="00046769"/>
    <w:rsid w:val="00050BE3"/>
    <w:rsid w:val="00055B38"/>
    <w:rsid w:val="00055BAB"/>
    <w:rsid w:val="00056C5B"/>
    <w:rsid w:val="00057C2E"/>
    <w:rsid w:val="00072B9D"/>
    <w:rsid w:val="00075530"/>
    <w:rsid w:val="000804EB"/>
    <w:rsid w:val="0008233F"/>
    <w:rsid w:val="0008309C"/>
    <w:rsid w:val="00083572"/>
    <w:rsid w:val="00087398"/>
    <w:rsid w:val="00092B2D"/>
    <w:rsid w:val="00097A39"/>
    <w:rsid w:val="000B421B"/>
    <w:rsid w:val="000B5A13"/>
    <w:rsid w:val="000C464A"/>
    <w:rsid w:val="000D1698"/>
    <w:rsid w:val="000D7265"/>
    <w:rsid w:val="000E3307"/>
    <w:rsid w:val="000E5AE6"/>
    <w:rsid w:val="000F086A"/>
    <w:rsid w:val="000F4505"/>
    <w:rsid w:val="00101DAD"/>
    <w:rsid w:val="00103160"/>
    <w:rsid w:val="00103EFD"/>
    <w:rsid w:val="001138E6"/>
    <w:rsid w:val="00123569"/>
    <w:rsid w:val="0012448C"/>
    <w:rsid w:val="00127FF6"/>
    <w:rsid w:val="00130009"/>
    <w:rsid w:val="00130391"/>
    <w:rsid w:val="00162D7D"/>
    <w:rsid w:val="00167C88"/>
    <w:rsid w:val="001713F6"/>
    <w:rsid w:val="0018386A"/>
    <w:rsid w:val="00183CC1"/>
    <w:rsid w:val="00187D30"/>
    <w:rsid w:val="001962FC"/>
    <w:rsid w:val="001A16B2"/>
    <w:rsid w:val="001A695F"/>
    <w:rsid w:val="001B33A8"/>
    <w:rsid w:val="001B3710"/>
    <w:rsid w:val="001B5C9D"/>
    <w:rsid w:val="001C6559"/>
    <w:rsid w:val="001C6F4F"/>
    <w:rsid w:val="001D0B23"/>
    <w:rsid w:val="001D5B6E"/>
    <w:rsid w:val="001D75FC"/>
    <w:rsid w:val="001E0F44"/>
    <w:rsid w:val="001F191B"/>
    <w:rsid w:val="00203504"/>
    <w:rsid w:val="00210902"/>
    <w:rsid w:val="00217E0A"/>
    <w:rsid w:val="0022150E"/>
    <w:rsid w:val="002242F1"/>
    <w:rsid w:val="00224D96"/>
    <w:rsid w:val="00242C7A"/>
    <w:rsid w:val="002433D0"/>
    <w:rsid w:val="00244CED"/>
    <w:rsid w:val="00250315"/>
    <w:rsid w:val="0025093A"/>
    <w:rsid w:val="0025300D"/>
    <w:rsid w:val="0026754A"/>
    <w:rsid w:val="00273822"/>
    <w:rsid w:val="00285A16"/>
    <w:rsid w:val="002863D2"/>
    <w:rsid w:val="00292776"/>
    <w:rsid w:val="002A1DEB"/>
    <w:rsid w:val="002B0DB6"/>
    <w:rsid w:val="002B59C0"/>
    <w:rsid w:val="002B5E31"/>
    <w:rsid w:val="002C1BCB"/>
    <w:rsid w:val="002D3898"/>
    <w:rsid w:val="002E4A48"/>
    <w:rsid w:val="002F2895"/>
    <w:rsid w:val="002F52BA"/>
    <w:rsid w:val="003026BF"/>
    <w:rsid w:val="00311174"/>
    <w:rsid w:val="003116AF"/>
    <w:rsid w:val="00313713"/>
    <w:rsid w:val="00330A00"/>
    <w:rsid w:val="00335FFA"/>
    <w:rsid w:val="003469EC"/>
    <w:rsid w:val="00352292"/>
    <w:rsid w:val="00365098"/>
    <w:rsid w:val="00366378"/>
    <w:rsid w:val="00380070"/>
    <w:rsid w:val="003800D0"/>
    <w:rsid w:val="00380BF5"/>
    <w:rsid w:val="003821B5"/>
    <w:rsid w:val="003865CF"/>
    <w:rsid w:val="00386662"/>
    <w:rsid w:val="00387B76"/>
    <w:rsid w:val="00392538"/>
    <w:rsid w:val="003A1FF5"/>
    <w:rsid w:val="003A36A4"/>
    <w:rsid w:val="003A58E8"/>
    <w:rsid w:val="003B0F7C"/>
    <w:rsid w:val="003B26A6"/>
    <w:rsid w:val="003B520C"/>
    <w:rsid w:val="003B55AD"/>
    <w:rsid w:val="003C7A61"/>
    <w:rsid w:val="003E1A58"/>
    <w:rsid w:val="003E2AEB"/>
    <w:rsid w:val="003E3B48"/>
    <w:rsid w:val="003E40CC"/>
    <w:rsid w:val="003E5DFC"/>
    <w:rsid w:val="003E6ECE"/>
    <w:rsid w:val="003E7AA8"/>
    <w:rsid w:val="003F198D"/>
    <w:rsid w:val="003F2966"/>
    <w:rsid w:val="003F7497"/>
    <w:rsid w:val="003F75D0"/>
    <w:rsid w:val="00401E54"/>
    <w:rsid w:val="00415949"/>
    <w:rsid w:val="00424D1F"/>
    <w:rsid w:val="00426E5C"/>
    <w:rsid w:val="0042726F"/>
    <w:rsid w:val="00431734"/>
    <w:rsid w:val="004369DB"/>
    <w:rsid w:val="00441F95"/>
    <w:rsid w:val="004602DB"/>
    <w:rsid w:val="004631A8"/>
    <w:rsid w:val="004641EE"/>
    <w:rsid w:val="00471DCB"/>
    <w:rsid w:val="00476DEA"/>
    <w:rsid w:val="00483B0E"/>
    <w:rsid w:val="00494471"/>
    <w:rsid w:val="004B5CF4"/>
    <w:rsid w:val="004C05C3"/>
    <w:rsid w:val="004D1791"/>
    <w:rsid w:val="004D1B5E"/>
    <w:rsid w:val="004D2715"/>
    <w:rsid w:val="004E1702"/>
    <w:rsid w:val="004E5162"/>
    <w:rsid w:val="004F5A0D"/>
    <w:rsid w:val="00501AAB"/>
    <w:rsid w:val="0051659F"/>
    <w:rsid w:val="00521B0F"/>
    <w:rsid w:val="0052771C"/>
    <w:rsid w:val="00535042"/>
    <w:rsid w:val="0053620E"/>
    <w:rsid w:val="00536780"/>
    <w:rsid w:val="00541241"/>
    <w:rsid w:val="005514CE"/>
    <w:rsid w:val="0055226A"/>
    <w:rsid w:val="00557DB4"/>
    <w:rsid w:val="005657D9"/>
    <w:rsid w:val="00565DF4"/>
    <w:rsid w:val="005666EB"/>
    <w:rsid w:val="00571F81"/>
    <w:rsid w:val="00580F98"/>
    <w:rsid w:val="005920F2"/>
    <w:rsid w:val="005A3CCC"/>
    <w:rsid w:val="005B071B"/>
    <w:rsid w:val="005B60FD"/>
    <w:rsid w:val="005C18D2"/>
    <w:rsid w:val="005C45AB"/>
    <w:rsid w:val="005C59FB"/>
    <w:rsid w:val="005D458D"/>
    <w:rsid w:val="005E3250"/>
    <w:rsid w:val="005E537F"/>
    <w:rsid w:val="005E7863"/>
    <w:rsid w:val="006013E4"/>
    <w:rsid w:val="00601D5A"/>
    <w:rsid w:val="0061326C"/>
    <w:rsid w:val="00616418"/>
    <w:rsid w:val="00621F25"/>
    <w:rsid w:val="0063039A"/>
    <w:rsid w:val="00632031"/>
    <w:rsid w:val="0063383A"/>
    <w:rsid w:val="00637F2D"/>
    <w:rsid w:val="00645B3D"/>
    <w:rsid w:val="00650CCA"/>
    <w:rsid w:val="0065678A"/>
    <w:rsid w:val="00657F19"/>
    <w:rsid w:val="00667C0B"/>
    <w:rsid w:val="00672738"/>
    <w:rsid w:val="00680B84"/>
    <w:rsid w:val="00681467"/>
    <w:rsid w:val="00682AB8"/>
    <w:rsid w:val="00683E17"/>
    <w:rsid w:val="00685FBC"/>
    <w:rsid w:val="006867FE"/>
    <w:rsid w:val="006A04BD"/>
    <w:rsid w:val="006B0076"/>
    <w:rsid w:val="006C2A47"/>
    <w:rsid w:val="006C36B9"/>
    <w:rsid w:val="006D19DE"/>
    <w:rsid w:val="006D225D"/>
    <w:rsid w:val="006F3672"/>
    <w:rsid w:val="00702B3B"/>
    <w:rsid w:val="00706AA5"/>
    <w:rsid w:val="00715E2E"/>
    <w:rsid w:val="007417EE"/>
    <w:rsid w:val="00742D07"/>
    <w:rsid w:val="0074454A"/>
    <w:rsid w:val="00745DEF"/>
    <w:rsid w:val="00761429"/>
    <w:rsid w:val="00766B82"/>
    <w:rsid w:val="00773710"/>
    <w:rsid w:val="00777AF0"/>
    <w:rsid w:val="007856E3"/>
    <w:rsid w:val="00790062"/>
    <w:rsid w:val="007B396A"/>
    <w:rsid w:val="007B47A3"/>
    <w:rsid w:val="007C3E92"/>
    <w:rsid w:val="007C5FFF"/>
    <w:rsid w:val="007D2CE6"/>
    <w:rsid w:val="007D3EFB"/>
    <w:rsid w:val="007D4C91"/>
    <w:rsid w:val="007E745B"/>
    <w:rsid w:val="007F1D26"/>
    <w:rsid w:val="007F28F5"/>
    <w:rsid w:val="007F749A"/>
    <w:rsid w:val="0081604C"/>
    <w:rsid w:val="00821C2E"/>
    <w:rsid w:val="008249F5"/>
    <w:rsid w:val="00825690"/>
    <w:rsid w:val="008317B9"/>
    <w:rsid w:val="00833071"/>
    <w:rsid w:val="0084463F"/>
    <w:rsid w:val="00847DF6"/>
    <w:rsid w:val="00862DEE"/>
    <w:rsid w:val="00865B59"/>
    <w:rsid w:val="00875692"/>
    <w:rsid w:val="00877DB5"/>
    <w:rsid w:val="0088728A"/>
    <w:rsid w:val="00894C23"/>
    <w:rsid w:val="008961EE"/>
    <w:rsid w:val="00896308"/>
    <w:rsid w:val="008B03F4"/>
    <w:rsid w:val="008B0ED5"/>
    <w:rsid w:val="008C01D4"/>
    <w:rsid w:val="008C078B"/>
    <w:rsid w:val="008C12DC"/>
    <w:rsid w:val="008F1B55"/>
    <w:rsid w:val="008F2889"/>
    <w:rsid w:val="008F7D7E"/>
    <w:rsid w:val="00901927"/>
    <w:rsid w:val="00910430"/>
    <w:rsid w:val="00923A1C"/>
    <w:rsid w:val="00924408"/>
    <w:rsid w:val="00934A2A"/>
    <w:rsid w:val="00937A5C"/>
    <w:rsid w:val="009459CA"/>
    <w:rsid w:val="00946286"/>
    <w:rsid w:val="00953F03"/>
    <w:rsid w:val="0095422A"/>
    <w:rsid w:val="00960A9B"/>
    <w:rsid w:val="00962A16"/>
    <w:rsid w:val="0096462C"/>
    <w:rsid w:val="009657EF"/>
    <w:rsid w:val="00971025"/>
    <w:rsid w:val="00972178"/>
    <w:rsid w:val="00976AC8"/>
    <w:rsid w:val="00976CFE"/>
    <w:rsid w:val="00983417"/>
    <w:rsid w:val="00986193"/>
    <w:rsid w:val="00987017"/>
    <w:rsid w:val="00993E09"/>
    <w:rsid w:val="009A54B0"/>
    <w:rsid w:val="009A7EDA"/>
    <w:rsid w:val="009B23C5"/>
    <w:rsid w:val="009B51FF"/>
    <w:rsid w:val="009C0301"/>
    <w:rsid w:val="009D5132"/>
    <w:rsid w:val="009D5342"/>
    <w:rsid w:val="009D58CC"/>
    <w:rsid w:val="009E09F8"/>
    <w:rsid w:val="009E58A4"/>
    <w:rsid w:val="009E79EB"/>
    <w:rsid w:val="009F1664"/>
    <w:rsid w:val="00A06810"/>
    <w:rsid w:val="00A127E3"/>
    <w:rsid w:val="00A149E4"/>
    <w:rsid w:val="00A21842"/>
    <w:rsid w:val="00A2289D"/>
    <w:rsid w:val="00A24A37"/>
    <w:rsid w:val="00A257A0"/>
    <w:rsid w:val="00A2633F"/>
    <w:rsid w:val="00A30B6C"/>
    <w:rsid w:val="00A30E71"/>
    <w:rsid w:val="00A45E35"/>
    <w:rsid w:val="00A51068"/>
    <w:rsid w:val="00A614DA"/>
    <w:rsid w:val="00A615AE"/>
    <w:rsid w:val="00A734B7"/>
    <w:rsid w:val="00A736A1"/>
    <w:rsid w:val="00A83888"/>
    <w:rsid w:val="00A9340B"/>
    <w:rsid w:val="00A94DFB"/>
    <w:rsid w:val="00AA168D"/>
    <w:rsid w:val="00AA6731"/>
    <w:rsid w:val="00AA7716"/>
    <w:rsid w:val="00AB0A67"/>
    <w:rsid w:val="00AB40C9"/>
    <w:rsid w:val="00AC7A63"/>
    <w:rsid w:val="00AD011A"/>
    <w:rsid w:val="00AD1B24"/>
    <w:rsid w:val="00AE7B93"/>
    <w:rsid w:val="00B018D1"/>
    <w:rsid w:val="00B074DB"/>
    <w:rsid w:val="00B07C64"/>
    <w:rsid w:val="00B12A92"/>
    <w:rsid w:val="00B12F72"/>
    <w:rsid w:val="00B14F6C"/>
    <w:rsid w:val="00B17257"/>
    <w:rsid w:val="00B313FF"/>
    <w:rsid w:val="00B34D16"/>
    <w:rsid w:val="00B36EDE"/>
    <w:rsid w:val="00B57DCC"/>
    <w:rsid w:val="00B6218D"/>
    <w:rsid w:val="00B642C0"/>
    <w:rsid w:val="00B64471"/>
    <w:rsid w:val="00B73F5D"/>
    <w:rsid w:val="00B80597"/>
    <w:rsid w:val="00B83932"/>
    <w:rsid w:val="00B92408"/>
    <w:rsid w:val="00BC3FA1"/>
    <w:rsid w:val="00BC51DF"/>
    <w:rsid w:val="00BD66B9"/>
    <w:rsid w:val="00BD6DD4"/>
    <w:rsid w:val="00BE1C88"/>
    <w:rsid w:val="00BE6AA8"/>
    <w:rsid w:val="00BE6F47"/>
    <w:rsid w:val="00C109E7"/>
    <w:rsid w:val="00C12862"/>
    <w:rsid w:val="00C15EB8"/>
    <w:rsid w:val="00C30E7E"/>
    <w:rsid w:val="00C343A8"/>
    <w:rsid w:val="00C416B5"/>
    <w:rsid w:val="00C4682B"/>
    <w:rsid w:val="00C50C9B"/>
    <w:rsid w:val="00C600BD"/>
    <w:rsid w:val="00C64691"/>
    <w:rsid w:val="00C74974"/>
    <w:rsid w:val="00C77E63"/>
    <w:rsid w:val="00C840F0"/>
    <w:rsid w:val="00C96645"/>
    <w:rsid w:val="00CA4623"/>
    <w:rsid w:val="00CA6B91"/>
    <w:rsid w:val="00CA6C8D"/>
    <w:rsid w:val="00CC7C1E"/>
    <w:rsid w:val="00CD0CD6"/>
    <w:rsid w:val="00CD7A1A"/>
    <w:rsid w:val="00CE2E44"/>
    <w:rsid w:val="00CE76C8"/>
    <w:rsid w:val="00CF67FE"/>
    <w:rsid w:val="00CF6D2C"/>
    <w:rsid w:val="00D0134D"/>
    <w:rsid w:val="00D15247"/>
    <w:rsid w:val="00D161FA"/>
    <w:rsid w:val="00D24CBD"/>
    <w:rsid w:val="00D35E04"/>
    <w:rsid w:val="00D37519"/>
    <w:rsid w:val="00D4417B"/>
    <w:rsid w:val="00D45D7D"/>
    <w:rsid w:val="00D460F0"/>
    <w:rsid w:val="00D503E4"/>
    <w:rsid w:val="00D53620"/>
    <w:rsid w:val="00D538F0"/>
    <w:rsid w:val="00D54A82"/>
    <w:rsid w:val="00D648B6"/>
    <w:rsid w:val="00D75679"/>
    <w:rsid w:val="00D76C8F"/>
    <w:rsid w:val="00D856DB"/>
    <w:rsid w:val="00D93624"/>
    <w:rsid w:val="00D95ED9"/>
    <w:rsid w:val="00DA3AE3"/>
    <w:rsid w:val="00DA616C"/>
    <w:rsid w:val="00DB4ABA"/>
    <w:rsid w:val="00DB6BDE"/>
    <w:rsid w:val="00DC00AE"/>
    <w:rsid w:val="00DC34DF"/>
    <w:rsid w:val="00DC3AD4"/>
    <w:rsid w:val="00DC4530"/>
    <w:rsid w:val="00DD11EA"/>
    <w:rsid w:val="00DD785F"/>
    <w:rsid w:val="00DE768D"/>
    <w:rsid w:val="00DF0976"/>
    <w:rsid w:val="00DF34EE"/>
    <w:rsid w:val="00E030A0"/>
    <w:rsid w:val="00E13192"/>
    <w:rsid w:val="00E13670"/>
    <w:rsid w:val="00E178CC"/>
    <w:rsid w:val="00E210F4"/>
    <w:rsid w:val="00E326E3"/>
    <w:rsid w:val="00E4293E"/>
    <w:rsid w:val="00E553C4"/>
    <w:rsid w:val="00E71313"/>
    <w:rsid w:val="00E747A2"/>
    <w:rsid w:val="00E75DFA"/>
    <w:rsid w:val="00E840CE"/>
    <w:rsid w:val="00E94B93"/>
    <w:rsid w:val="00EB23E2"/>
    <w:rsid w:val="00EC23C7"/>
    <w:rsid w:val="00EC4088"/>
    <w:rsid w:val="00EE09E0"/>
    <w:rsid w:val="00EE3900"/>
    <w:rsid w:val="00F00D82"/>
    <w:rsid w:val="00F04B44"/>
    <w:rsid w:val="00F060A6"/>
    <w:rsid w:val="00F06B21"/>
    <w:rsid w:val="00F076DA"/>
    <w:rsid w:val="00F21C57"/>
    <w:rsid w:val="00F25E72"/>
    <w:rsid w:val="00F27F9B"/>
    <w:rsid w:val="00F362AD"/>
    <w:rsid w:val="00F402D5"/>
    <w:rsid w:val="00F44C65"/>
    <w:rsid w:val="00F45491"/>
    <w:rsid w:val="00F458E1"/>
    <w:rsid w:val="00F46498"/>
    <w:rsid w:val="00F5534A"/>
    <w:rsid w:val="00F559ED"/>
    <w:rsid w:val="00F6087B"/>
    <w:rsid w:val="00F66FC9"/>
    <w:rsid w:val="00F74EB4"/>
    <w:rsid w:val="00F76E2D"/>
    <w:rsid w:val="00F80A38"/>
    <w:rsid w:val="00F93255"/>
    <w:rsid w:val="00FA107F"/>
    <w:rsid w:val="00FA4440"/>
    <w:rsid w:val="00FA5243"/>
    <w:rsid w:val="00FA7E94"/>
    <w:rsid w:val="00FB333A"/>
    <w:rsid w:val="00FB527B"/>
    <w:rsid w:val="00FC0405"/>
    <w:rsid w:val="00FC2E96"/>
    <w:rsid w:val="00FC433F"/>
    <w:rsid w:val="00FC6AF8"/>
    <w:rsid w:val="00FD1D53"/>
    <w:rsid w:val="00FD3D72"/>
    <w:rsid w:val="00FD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F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9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386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865CF"/>
    <w:rPr>
      <w:sz w:val="20"/>
      <w:szCs w:val="20"/>
    </w:rPr>
  </w:style>
  <w:style w:type="character" w:styleId="FootnoteReference">
    <w:name w:val="footnote reference"/>
    <w:basedOn w:val="DefaultParagraphFont"/>
    <w:semiHidden/>
    <w:rsid w:val="003865CF"/>
    <w:rPr>
      <w:vertAlign w:val="superscript"/>
    </w:rPr>
  </w:style>
  <w:style w:type="paragraph" w:styleId="Header">
    <w:name w:val="header"/>
    <w:basedOn w:val="Normal"/>
    <w:rsid w:val="003865CF"/>
    <w:pPr>
      <w:tabs>
        <w:tab w:val="center" w:pos="4320"/>
        <w:tab w:val="right" w:pos="8640"/>
      </w:tabs>
    </w:pPr>
  </w:style>
  <w:style w:type="paragraph" w:styleId="Footer">
    <w:name w:val="footer"/>
    <w:basedOn w:val="Normal"/>
    <w:rsid w:val="003865CF"/>
    <w:pPr>
      <w:tabs>
        <w:tab w:val="center" w:pos="4320"/>
        <w:tab w:val="right" w:pos="8640"/>
      </w:tabs>
    </w:pPr>
  </w:style>
  <w:style w:type="paragraph" w:styleId="ListParagraph">
    <w:name w:val="List Paragraph"/>
    <w:basedOn w:val="Normal"/>
    <w:uiPriority w:val="34"/>
    <w:qFormat/>
    <w:rsid w:val="00130009"/>
    <w:pPr>
      <w:ind w:left="720"/>
      <w:contextualSpacing/>
    </w:pPr>
  </w:style>
  <w:style w:type="character" w:styleId="CommentReference">
    <w:name w:val="annotation reference"/>
    <w:basedOn w:val="DefaultParagraphFont"/>
    <w:semiHidden/>
    <w:unhideWhenUsed/>
    <w:rsid w:val="00983417"/>
    <w:rPr>
      <w:sz w:val="16"/>
      <w:szCs w:val="16"/>
    </w:rPr>
  </w:style>
  <w:style w:type="paragraph" w:styleId="CommentText">
    <w:name w:val="annotation text"/>
    <w:basedOn w:val="Normal"/>
    <w:link w:val="CommentTextChar"/>
    <w:semiHidden/>
    <w:unhideWhenUsed/>
    <w:rsid w:val="00983417"/>
    <w:rPr>
      <w:sz w:val="20"/>
      <w:szCs w:val="20"/>
    </w:rPr>
  </w:style>
  <w:style w:type="character" w:customStyle="1" w:styleId="CommentTextChar">
    <w:name w:val="Comment Text Char"/>
    <w:basedOn w:val="DefaultParagraphFont"/>
    <w:link w:val="CommentText"/>
    <w:semiHidden/>
    <w:rsid w:val="00983417"/>
  </w:style>
  <w:style w:type="paragraph" w:styleId="CommentSubject">
    <w:name w:val="annotation subject"/>
    <w:basedOn w:val="CommentText"/>
    <w:next w:val="CommentText"/>
    <w:link w:val="CommentSubjectChar"/>
    <w:semiHidden/>
    <w:unhideWhenUsed/>
    <w:rsid w:val="00983417"/>
    <w:rPr>
      <w:b/>
      <w:bCs/>
    </w:rPr>
  </w:style>
  <w:style w:type="character" w:customStyle="1" w:styleId="CommentSubjectChar">
    <w:name w:val="Comment Subject Char"/>
    <w:basedOn w:val="CommentTextChar"/>
    <w:link w:val="CommentSubject"/>
    <w:semiHidden/>
    <w:rsid w:val="00983417"/>
    <w:rPr>
      <w:b/>
      <w:bCs/>
    </w:rPr>
  </w:style>
  <w:style w:type="paragraph" w:customStyle="1" w:styleId="Default">
    <w:name w:val="Default"/>
    <w:rsid w:val="008F1B55"/>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9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386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865CF"/>
    <w:rPr>
      <w:sz w:val="20"/>
      <w:szCs w:val="20"/>
    </w:rPr>
  </w:style>
  <w:style w:type="character" w:styleId="FootnoteReference">
    <w:name w:val="footnote reference"/>
    <w:basedOn w:val="DefaultParagraphFont"/>
    <w:semiHidden/>
    <w:rsid w:val="003865CF"/>
    <w:rPr>
      <w:vertAlign w:val="superscript"/>
    </w:rPr>
  </w:style>
  <w:style w:type="paragraph" w:styleId="Header">
    <w:name w:val="header"/>
    <w:basedOn w:val="Normal"/>
    <w:rsid w:val="003865CF"/>
    <w:pPr>
      <w:tabs>
        <w:tab w:val="center" w:pos="4320"/>
        <w:tab w:val="right" w:pos="8640"/>
      </w:tabs>
    </w:pPr>
  </w:style>
  <w:style w:type="paragraph" w:styleId="Footer">
    <w:name w:val="footer"/>
    <w:basedOn w:val="Normal"/>
    <w:rsid w:val="003865CF"/>
    <w:pPr>
      <w:tabs>
        <w:tab w:val="center" w:pos="4320"/>
        <w:tab w:val="right" w:pos="8640"/>
      </w:tabs>
    </w:pPr>
  </w:style>
  <w:style w:type="paragraph" w:styleId="ListParagraph">
    <w:name w:val="List Paragraph"/>
    <w:basedOn w:val="Normal"/>
    <w:uiPriority w:val="34"/>
    <w:qFormat/>
    <w:rsid w:val="00130009"/>
    <w:pPr>
      <w:ind w:left="720"/>
      <w:contextualSpacing/>
    </w:pPr>
  </w:style>
  <w:style w:type="character" w:styleId="CommentReference">
    <w:name w:val="annotation reference"/>
    <w:basedOn w:val="DefaultParagraphFont"/>
    <w:semiHidden/>
    <w:unhideWhenUsed/>
    <w:rsid w:val="00983417"/>
    <w:rPr>
      <w:sz w:val="16"/>
      <w:szCs w:val="16"/>
    </w:rPr>
  </w:style>
  <w:style w:type="paragraph" w:styleId="CommentText">
    <w:name w:val="annotation text"/>
    <w:basedOn w:val="Normal"/>
    <w:link w:val="CommentTextChar"/>
    <w:semiHidden/>
    <w:unhideWhenUsed/>
    <w:rsid w:val="00983417"/>
    <w:rPr>
      <w:sz w:val="20"/>
      <w:szCs w:val="20"/>
    </w:rPr>
  </w:style>
  <w:style w:type="character" w:customStyle="1" w:styleId="CommentTextChar">
    <w:name w:val="Comment Text Char"/>
    <w:basedOn w:val="DefaultParagraphFont"/>
    <w:link w:val="CommentText"/>
    <w:semiHidden/>
    <w:rsid w:val="00983417"/>
  </w:style>
  <w:style w:type="paragraph" w:styleId="CommentSubject">
    <w:name w:val="annotation subject"/>
    <w:basedOn w:val="CommentText"/>
    <w:next w:val="CommentText"/>
    <w:link w:val="CommentSubjectChar"/>
    <w:semiHidden/>
    <w:unhideWhenUsed/>
    <w:rsid w:val="00983417"/>
    <w:rPr>
      <w:b/>
      <w:bCs/>
    </w:rPr>
  </w:style>
  <w:style w:type="character" w:customStyle="1" w:styleId="CommentSubjectChar">
    <w:name w:val="Comment Subject Char"/>
    <w:basedOn w:val="CommentTextChar"/>
    <w:link w:val="CommentSubject"/>
    <w:semiHidden/>
    <w:rsid w:val="00983417"/>
    <w:rPr>
      <w:b/>
      <w:bCs/>
    </w:rPr>
  </w:style>
  <w:style w:type="paragraph" w:customStyle="1" w:styleId="Default">
    <w:name w:val="Default"/>
    <w:rsid w:val="008F1B5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11" ma:contentTypeDescription="Create a new document." ma:contentTypeScope="" ma:versionID="e4dc782ef8c70bc9e7405844bf637780">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65e1764aa32b4c6ebeaf46c734ec0e28"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C7178-D6BF-41A3-B67E-873247B62A28}">
  <ds:schemaRefs>
    <ds:schemaRef ds:uri="http://schemas.microsoft.com/sharepoint/v3/contenttype/forms"/>
  </ds:schemaRefs>
</ds:datastoreItem>
</file>

<file path=customXml/itemProps2.xml><?xml version="1.0" encoding="utf-8"?>
<ds:datastoreItem xmlns:ds="http://schemas.openxmlformats.org/officeDocument/2006/customXml" ds:itemID="{B7AD517E-46AD-4827-8F3D-1ECF9D01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A6027-8682-44CC-802D-78494BD0487F}">
  <ds:schemaRefs>
    <ds:schemaRef ds:uri="http://schemas.microsoft.com/office/2006/documentManagement/types"/>
    <ds:schemaRef ds:uri="http://purl.org/dc/elements/1.1/"/>
    <ds:schemaRef ds:uri="9e3e7249-015a-4490-b119-4a2f62cd015d"/>
    <ds:schemaRef ds:uri="http://www.w3.org/XML/1998/namespace"/>
    <ds:schemaRef ds:uri="http://schemas.microsoft.com/office/2006/metadata/properties"/>
    <ds:schemaRef ds:uri="7b7a30e3-d3aa-4975-ad0b-b66fab625bdf"/>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18532</CharactersWithSpaces>
  <SharedDoc>false</SharedDoc>
  <HLinks>
    <vt:vector size="12" baseType="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SYSTEM</cp:lastModifiedBy>
  <cp:revision>2</cp:revision>
  <cp:lastPrinted>2019-09-18T17:52:00Z</cp:lastPrinted>
  <dcterms:created xsi:type="dcterms:W3CDTF">2019-09-26T13:21:00Z</dcterms:created>
  <dcterms:modified xsi:type="dcterms:W3CDTF">2019-09-26T13:21:00Z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632900</vt:r8>
  </property>
</Properties>
</file>