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4E" w:rsidRPr="0051524E" w:rsidRDefault="0051524E" w:rsidP="0051524E">
      <w:pPr>
        <w:ind w:left="-360" w:right="-360"/>
        <w:jc w:val="center"/>
        <w:rPr>
          <w:bCs/>
          <w:sz w:val="24"/>
          <w:szCs w:val="24"/>
          <w:lang w:bidi="ar-SA"/>
        </w:rPr>
      </w:pPr>
      <w:bookmarkStart w:id="0" w:name="_GoBack"/>
      <w:bookmarkEnd w:id="0"/>
      <w:r w:rsidRPr="0051524E">
        <w:rPr>
          <w:bCs/>
          <w:sz w:val="24"/>
          <w:szCs w:val="24"/>
          <w:lang w:bidi="ar-SA"/>
        </w:rPr>
        <w:t>National Credit Union Administration</w:t>
      </w:r>
    </w:p>
    <w:p w:rsidR="0051524E" w:rsidRDefault="0051524E" w:rsidP="0051524E">
      <w:pPr>
        <w:ind w:left="-360" w:right="-360"/>
        <w:jc w:val="center"/>
        <w:rPr>
          <w:b/>
          <w:bCs/>
        </w:rPr>
      </w:pPr>
      <w:r w:rsidRPr="00324E0A">
        <w:rPr>
          <w:b/>
          <w:bCs/>
        </w:rPr>
        <w:t>SUPPORTING STATEMENT</w:t>
      </w:r>
    </w:p>
    <w:p w:rsidR="0051524E" w:rsidRDefault="0051524E" w:rsidP="0051524E">
      <w:pPr>
        <w:ind w:right="506"/>
        <w:rPr>
          <w:b/>
          <w:sz w:val="24"/>
        </w:rPr>
      </w:pPr>
    </w:p>
    <w:p w:rsidR="0051524E" w:rsidRPr="0051524E" w:rsidRDefault="002F4B98" w:rsidP="0051524E">
      <w:pPr>
        <w:widowControl/>
        <w:autoSpaceDE/>
        <w:autoSpaceDN/>
        <w:ind w:left="720" w:hanging="720"/>
        <w:jc w:val="center"/>
        <w:rPr>
          <w:bCs/>
          <w:sz w:val="24"/>
          <w:szCs w:val="24"/>
          <w:lang w:bidi="ar-SA"/>
        </w:rPr>
      </w:pPr>
      <w:r w:rsidRPr="0051524E">
        <w:rPr>
          <w:bCs/>
          <w:sz w:val="24"/>
          <w:szCs w:val="24"/>
          <w:lang w:bidi="ar-SA"/>
        </w:rPr>
        <w:t>Production of Non-public Records and Testimony</w:t>
      </w:r>
      <w:r w:rsidR="0051524E" w:rsidRPr="0051524E">
        <w:rPr>
          <w:bCs/>
          <w:sz w:val="24"/>
          <w:szCs w:val="24"/>
          <w:lang w:bidi="ar-SA"/>
        </w:rPr>
        <w:t xml:space="preserve"> </w:t>
      </w:r>
      <w:r w:rsidRPr="0051524E">
        <w:rPr>
          <w:bCs/>
          <w:sz w:val="24"/>
          <w:szCs w:val="24"/>
          <w:lang w:bidi="ar-SA"/>
        </w:rPr>
        <w:t>of Employees in Legal Proceedings (Touhy Request)</w:t>
      </w:r>
      <w:r w:rsidR="0051524E" w:rsidRPr="0051524E">
        <w:rPr>
          <w:bCs/>
          <w:sz w:val="24"/>
          <w:szCs w:val="24"/>
          <w:lang w:bidi="ar-SA"/>
        </w:rPr>
        <w:t>, 12 CFR Part 792 Subpart C</w:t>
      </w:r>
    </w:p>
    <w:p w:rsidR="00B706EA" w:rsidRPr="0051524E" w:rsidRDefault="002F4B98" w:rsidP="0051524E">
      <w:pPr>
        <w:widowControl/>
        <w:autoSpaceDE/>
        <w:autoSpaceDN/>
        <w:ind w:left="720" w:hanging="720"/>
        <w:jc w:val="center"/>
        <w:rPr>
          <w:bCs/>
          <w:sz w:val="24"/>
          <w:szCs w:val="24"/>
          <w:lang w:bidi="ar-SA"/>
        </w:rPr>
      </w:pPr>
      <w:r w:rsidRPr="0051524E">
        <w:rPr>
          <w:bCs/>
          <w:sz w:val="24"/>
          <w:szCs w:val="24"/>
          <w:lang w:bidi="ar-SA"/>
        </w:rPr>
        <w:t>OMB Number 3133-0146</w:t>
      </w:r>
    </w:p>
    <w:p w:rsidR="00B706EA" w:rsidRDefault="00B706EA">
      <w:pPr>
        <w:pStyle w:val="BodyText"/>
        <w:spacing w:before="11"/>
        <w:rPr>
          <w:b/>
          <w:sz w:val="23"/>
        </w:rPr>
      </w:pPr>
    </w:p>
    <w:p w:rsidR="00B706EA" w:rsidRDefault="002F4B98">
      <w:pPr>
        <w:pStyle w:val="ListParagraph"/>
        <w:numPr>
          <w:ilvl w:val="0"/>
          <w:numId w:val="1"/>
        </w:numPr>
        <w:tabs>
          <w:tab w:val="left" w:pos="473"/>
        </w:tabs>
        <w:ind w:hanging="352"/>
        <w:rPr>
          <w:b/>
          <w:sz w:val="24"/>
        </w:rPr>
      </w:pPr>
      <w:r>
        <w:rPr>
          <w:b/>
          <w:sz w:val="24"/>
        </w:rPr>
        <w:t>JUSTIFICATION</w:t>
      </w:r>
    </w:p>
    <w:p w:rsidR="00B706EA" w:rsidRDefault="00B706EA">
      <w:pPr>
        <w:pStyle w:val="BodyText"/>
        <w:rPr>
          <w:b/>
        </w:rPr>
      </w:pPr>
    </w:p>
    <w:p w:rsidR="00B706EA" w:rsidRDefault="002F4B98">
      <w:pPr>
        <w:pStyle w:val="ListParagraph"/>
        <w:numPr>
          <w:ilvl w:val="1"/>
          <w:numId w:val="1"/>
        </w:numPr>
        <w:tabs>
          <w:tab w:val="left" w:pos="420"/>
        </w:tabs>
        <w:rPr>
          <w:b/>
          <w:sz w:val="24"/>
        </w:rPr>
      </w:pPr>
      <w:r>
        <w:rPr>
          <w:b/>
          <w:sz w:val="24"/>
        </w:rPr>
        <w:t xml:space="preserve">Circumstances </w:t>
      </w:r>
      <w:r w:rsidR="008B28DA">
        <w:rPr>
          <w:b/>
          <w:sz w:val="24"/>
        </w:rPr>
        <w:t>that make the collection of information necessary.</w:t>
      </w:r>
    </w:p>
    <w:p w:rsidR="00B706EA" w:rsidRDefault="00B706EA">
      <w:pPr>
        <w:pStyle w:val="BodyText"/>
        <w:spacing w:before="1"/>
        <w:rPr>
          <w:b/>
          <w:sz w:val="27"/>
        </w:rPr>
      </w:pPr>
    </w:p>
    <w:p w:rsidR="00B706EA" w:rsidRPr="0051524E" w:rsidRDefault="002F4B98" w:rsidP="0051524E">
      <w:pPr>
        <w:pStyle w:val="BodyText"/>
        <w:spacing w:before="1" w:line="273" w:lineRule="auto"/>
        <w:ind w:left="420" w:right="168"/>
        <w:rPr>
          <w:bCs/>
          <w:lang w:bidi="ar-SA"/>
        </w:rPr>
      </w:pPr>
      <w:r w:rsidRPr="0051524E">
        <w:rPr>
          <w:bCs/>
          <w:lang w:bidi="ar-SA"/>
        </w:rPr>
        <w:t>12 CFR Part 792, Subpart C, requires anyone req</w:t>
      </w:r>
      <w:r w:rsidR="000F0B44">
        <w:rPr>
          <w:bCs/>
          <w:lang w:bidi="ar-SA"/>
        </w:rPr>
        <w:t xml:space="preserve">uesting NCUA non-public records </w:t>
      </w:r>
      <w:r w:rsidRPr="0051524E">
        <w:rPr>
          <w:bCs/>
          <w:lang w:bidi="ar-SA"/>
        </w:rPr>
        <w:t>for use in legal proceedings, or the testimony of NCUA personnel in legal proceedings to provide NCUA with information regarding the requester’s grounds for the request. This process is also known as a “Touhy Request” (see U.S. ex rel. Touhy v. Ragen, 340 U.S. 462, 71 S.Ct. 416, 95 L.Ed. 417 (1951)). The information collected will help the NCUA decide whether to release non-public records or permit employees to testify in legal proceedings.</w:t>
      </w:r>
    </w:p>
    <w:p w:rsidR="00B706EA" w:rsidRDefault="00B706EA">
      <w:pPr>
        <w:pStyle w:val="BodyText"/>
        <w:spacing w:before="7"/>
        <w:rPr>
          <w:sz w:val="33"/>
        </w:rPr>
      </w:pPr>
    </w:p>
    <w:p w:rsidR="00B706EA" w:rsidRPr="0051524E" w:rsidRDefault="002F4B98" w:rsidP="0051524E">
      <w:pPr>
        <w:pStyle w:val="BodyText"/>
        <w:spacing w:before="1"/>
        <w:ind w:left="420" w:right="133"/>
        <w:jc w:val="both"/>
        <w:rPr>
          <w:bCs/>
          <w:lang w:bidi="ar-SA"/>
        </w:rPr>
      </w:pPr>
      <w:r w:rsidRPr="0051524E">
        <w:rPr>
          <w:bCs/>
          <w:lang w:bidi="ar-SA"/>
        </w:rPr>
        <w:t>NCUA regulations also require an entity or person in possession of NCUA records to notify the NCUA upon receipt of a subpoena for those records. The NCUA requires this notice to protect its records and, when necessary, intervene in litigation or file an objection to the disclosure of its confidential information in the appropriate court or tribunal. Case law establishes the NCUA’s entitlement to receive this notice.</w:t>
      </w:r>
    </w:p>
    <w:p w:rsidR="00B706EA" w:rsidRDefault="00B706EA">
      <w:pPr>
        <w:pStyle w:val="BodyText"/>
        <w:spacing w:before="11"/>
        <w:rPr>
          <w:sz w:val="23"/>
        </w:rPr>
      </w:pPr>
    </w:p>
    <w:p w:rsidR="00B706EA" w:rsidRPr="0051524E" w:rsidRDefault="002F4B98" w:rsidP="0051524E">
      <w:pPr>
        <w:pStyle w:val="BodyText"/>
        <w:ind w:left="420" w:right="138"/>
        <w:jc w:val="both"/>
        <w:rPr>
          <w:bCs/>
          <w:lang w:bidi="ar-SA"/>
        </w:rPr>
      </w:pPr>
      <w:r w:rsidRPr="0051524E">
        <w:rPr>
          <w:bCs/>
          <w:lang w:bidi="ar-SA"/>
        </w:rPr>
        <w:t>The following is a discussion of the NCUA’s basis in statutory and case law for maintaining and, in certain, appropriate circumstances, releasing NCUA non-public records for use in legal proceedings and authorizing testimony of NCUA personnel, and for prescribing its regulatory procedures.</w:t>
      </w:r>
    </w:p>
    <w:p w:rsidR="00B706EA" w:rsidRDefault="00B706EA">
      <w:pPr>
        <w:pStyle w:val="BodyText"/>
      </w:pPr>
    </w:p>
    <w:p w:rsidR="00B706EA" w:rsidRPr="0051524E" w:rsidRDefault="002F4B98" w:rsidP="0051524E">
      <w:pPr>
        <w:pStyle w:val="BodyText"/>
        <w:ind w:left="420" w:right="168"/>
        <w:rPr>
          <w:bCs/>
          <w:lang w:bidi="ar-SA"/>
        </w:rPr>
      </w:pPr>
      <w:r w:rsidRPr="0051524E">
        <w:rPr>
          <w:bCs/>
          <w:lang w:bidi="ar-SA"/>
        </w:rPr>
        <w:t>The NCUA maintains the non-public nature of certain information pursuant to the bank examination exemption of the Freedom of Information Act (FOIA) [5 U.S.C. 522 (b)(8)]; judicial interpretation of the bank examination privilege (</w:t>
      </w:r>
      <w:r w:rsidRPr="0051524E">
        <w:rPr>
          <w:bCs/>
          <w:u w:val="single"/>
          <w:lang w:bidi="ar-SA"/>
        </w:rPr>
        <w:t>see</w:t>
      </w:r>
      <w:r w:rsidRPr="0051524E">
        <w:rPr>
          <w:bCs/>
          <w:lang w:bidi="ar-SA"/>
        </w:rPr>
        <w:t xml:space="preserve"> </w:t>
      </w:r>
      <w:r w:rsidRPr="0051524E">
        <w:rPr>
          <w:bCs/>
          <w:u w:val="single"/>
          <w:lang w:bidi="ar-SA"/>
        </w:rPr>
        <w:t>Schreiber v. Society for Savings Bancorp, Inc.</w:t>
      </w:r>
      <w:r w:rsidRPr="0051524E">
        <w:rPr>
          <w:bCs/>
          <w:lang w:bidi="ar-SA"/>
        </w:rPr>
        <w:t xml:space="preserve">, 11 F.3d 217 (D.C. Cir. 1993); </w:t>
      </w:r>
      <w:r w:rsidRPr="0051524E">
        <w:rPr>
          <w:bCs/>
          <w:u w:val="single"/>
          <w:lang w:bidi="ar-SA"/>
        </w:rPr>
        <w:t>In Re: Subpoena Served Upon the Comptroller of the Currency and the Secretary of the Board of Governors of the Federal Reserve System</w:t>
      </w:r>
      <w:r w:rsidRPr="0051524E">
        <w:rPr>
          <w:bCs/>
          <w:lang w:bidi="ar-SA"/>
        </w:rPr>
        <w:t>, 967 F.2d 630 (D.C. Cir. 1992) (discussing the bank examination privilege, which is analogous to the examination exemption under FOIA); and other agency privileges, such as the deliberative process and attorney-client privileges.</w:t>
      </w:r>
    </w:p>
    <w:p w:rsidR="00B706EA" w:rsidRDefault="00B706EA">
      <w:pPr>
        <w:pStyle w:val="BodyText"/>
      </w:pPr>
    </w:p>
    <w:p w:rsidR="00B706EA" w:rsidRPr="0051524E" w:rsidRDefault="002F4B98" w:rsidP="008B0009">
      <w:pPr>
        <w:pStyle w:val="BodyText"/>
        <w:ind w:left="420" w:right="138"/>
        <w:jc w:val="both"/>
        <w:rPr>
          <w:bCs/>
          <w:lang w:bidi="ar-SA"/>
        </w:rPr>
      </w:pPr>
      <w:r w:rsidRPr="0051524E">
        <w:rPr>
          <w:bCs/>
          <w:lang w:bidi="ar-SA"/>
        </w:rPr>
        <w:t xml:space="preserve">Accordingly, and pursuant to 5 U.S.C. 301, the NCUA has established procedures, in 12 CFR Part 792, Subpart C, for the production of non-public NCUA records for use in legal proceedings and testimony of NCUA personnel in legal proceedings. </w:t>
      </w:r>
      <w:r w:rsidRPr="0051524E">
        <w:rPr>
          <w:bCs/>
          <w:u w:val="single"/>
          <w:lang w:bidi="ar-SA"/>
        </w:rPr>
        <w:t xml:space="preserve">See </w:t>
      </w:r>
      <w:r w:rsidR="0051524E" w:rsidRPr="0051524E">
        <w:rPr>
          <w:bCs/>
          <w:u w:val="single"/>
          <w:lang w:bidi="ar-SA"/>
        </w:rPr>
        <w:t xml:space="preserve">Moore v. </w:t>
      </w:r>
      <w:r w:rsidRPr="0051524E">
        <w:rPr>
          <w:bCs/>
          <w:u w:val="single"/>
          <w:lang w:bidi="ar-SA"/>
        </w:rPr>
        <w:t>Armour Pharmaceutical Co.</w:t>
      </w:r>
      <w:r w:rsidRPr="0051524E">
        <w:rPr>
          <w:bCs/>
          <w:lang w:bidi="ar-SA"/>
        </w:rPr>
        <w:t xml:space="preserve">, 927 F.2d 1194 (11th Cir. 1991). In addition, the regulation ensures that the NCUA will receive notice of requests and subpoenas for non-public NCUA information in possession of third parties as was considered </w:t>
      </w:r>
      <w:r w:rsidRPr="0051524E">
        <w:rPr>
          <w:bCs/>
          <w:lang w:bidi="ar-SA"/>
        </w:rPr>
        <w:lastRenderedPageBreak/>
        <w:t>“advisable if not</w:t>
      </w:r>
      <w:r w:rsidR="008B0009">
        <w:rPr>
          <w:bCs/>
          <w:lang w:bidi="ar-SA"/>
        </w:rPr>
        <w:t xml:space="preserve"> </w:t>
      </w:r>
      <w:r w:rsidRPr="0051524E">
        <w:rPr>
          <w:bCs/>
          <w:lang w:bidi="ar-SA"/>
        </w:rPr>
        <w:t>necessary” by the United States Court of Appeals for the Sixth Circuit in In re Bankers Trust, 61 F.3d 465, 470 (6th Cir. 1995).</w:t>
      </w:r>
    </w:p>
    <w:p w:rsidR="00B706EA" w:rsidRPr="008B0009" w:rsidRDefault="00B706EA">
      <w:pPr>
        <w:pStyle w:val="BodyText"/>
        <w:spacing w:before="8"/>
        <w:rPr>
          <w:bCs/>
          <w:lang w:bidi="ar-SA"/>
        </w:rPr>
      </w:pPr>
    </w:p>
    <w:p w:rsidR="00B706EA" w:rsidRDefault="002F4B98">
      <w:pPr>
        <w:pStyle w:val="Heading1"/>
        <w:numPr>
          <w:ilvl w:val="1"/>
          <w:numId w:val="1"/>
        </w:numPr>
        <w:tabs>
          <w:tab w:val="left" w:pos="420"/>
        </w:tabs>
        <w:spacing w:before="90"/>
      </w:pPr>
      <w:r>
        <w:t xml:space="preserve">Purpose and </w:t>
      </w:r>
      <w:r w:rsidR="008B0009">
        <w:t>u</w:t>
      </w:r>
      <w:r>
        <w:t xml:space="preserve">se of the </w:t>
      </w:r>
      <w:r w:rsidR="008B0009">
        <w:t>i</w:t>
      </w:r>
      <w:r>
        <w:t>nformation</w:t>
      </w:r>
      <w:r>
        <w:rPr>
          <w:spacing w:val="-4"/>
        </w:rPr>
        <w:t xml:space="preserve"> </w:t>
      </w:r>
      <w:r w:rsidR="008B0009">
        <w:t>c</w:t>
      </w:r>
      <w:r>
        <w:t>ollection</w:t>
      </w:r>
      <w:r w:rsidR="008B28DA">
        <w:t>.</w:t>
      </w:r>
    </w:p>
    <w:p w:rsidR="00B706EA" w:rsidRDefault="00B706EA">
      <w:pPr>
        <w:pStyle w:val="BodyText"/>
        <w:spacing w:before="6"/>
        <w:rPr>
          <w:b/>
          <w:sz w:val="23"/>
        </w:rPr>
      </w:pPr>
    </w:p>
    <w:p w:rsidR="00B706EA" w:rsidRPr="008B0009" w:rsidRDefault="002F4B98" w:rsidP="0051524E">
      <w:pPr>
        <w:pStyle w:val="BodyText"/>
        <w:spacing w:before="1"/>
        <w:ind w:left="420"/>
        <w:rPr>
          <w:bCs/>
          <w:lang w:bidi="ar-SA"/>
        </w:rPr>
      </w:pPr>
      <w:r w:rsidRPr="008B0009">
        <w:rPr>
          <w:bCs/>
          <w:lang w:bidi="ar-SA"/>
        </w:rPr>
        <w:t>T</w:t>
      </w:r>
      <w:r w:rsidR="008B0009">
        <w:rPr>
          <w:bCs/>
          <w:lang w:bidi="ar-SA"/>
        </w:rPr>
        <w:t>he NCUA will use the information collection</w:t>
      </w:r>
      <w:r w:rsidRPr="008B0009">
        <w:rPr>
          <w:bCs/>
          <w:lang w:bidi="ar-SA"/>
        </w:rPr>
        <w:t xml:space="preserve"> to process requests for non-public records and testimony</w:t>
      </w:r>
      <w:r w:rsidR="008B0009">
        <w:rPr>
          <w:bCs/>
          <w:lang w:bidi="ar-SA"/>
        </w:rPr>
        <w:t xml:space="preserve"> of NCUA personnel,</w:t>
      </w:r>
      <w:r w:rsidRPr="008B0009">
        <w:rPr>
          <w:bCs/>
          <w:lang w:bidi="ar-SA"/>
        </w:rPr>
        <w:t xml:space="preserve"> and to determine if sufficient grounds exist for NCUA to release the requested records or authorize the requested testimony.</w:t>
      </w:r>
    </w:p>
    <w:p w:rsidR="00B706EA" w:rsidRDefault="00B706EA">
      <w:pPr>
        <w:pStyle w:val="BodyText"/>
        <w:spacing w:before="4"/>
      </w:pPr>
    </w:p>
    <w:p w:rsidR="00B706EA" w:rsidRDefault="008B0009">
      <w:pPr>
        <w:pStyle w:val="Heading1"/>
        <w:numPr>
          <w:ilvl w:val="1"/>
          <w:numId w:val="1"/>
        </w:numPr>
        <w:tabs>
          <w:tab w:val="left" w:pos="420"/>
        </w:tabs>
      </w:pPr>
      <w:r>
        <w:t>Use of</w:t>
      </w:r>
      <w:r w:rsidR="002F4B98">
        <w:t xml:space="preserve"> </w:t>
      </w:r>
      <w:r>
        <w:t>i</w:t>
      </w:r>
      <w:r w:rsidR="002F4B98">
        <w:t>nformation</w:t>
      </w:r>
      <w:r w:rsidR="002F4B98">
        <w:rPr>
          <w:spacing w:val="-1"/>
        </w:rPr>
        <w:t xml:space="preserve"> </w:t>
      </w:r>
      <w:r>
        <w:t>t</w:t>
      </w:r>
      <w:r w:rsidR="002F4B98">
        <w:t>echnology</w:t>
      </w:r>
      <w:r w:rsidR="008B28DA">
        <w:t>.</w:t>
      </w:r>
    </w:p>
    <w:p w:rsidR="00B706EA" w:rsidRDefault="00B706EA">
      <w:pPr>
        <w:pStyle w:val="BodyText"/>
        <w:spacing w:before="7"/>
        <w:rPr>
          <w:b/>
          <w:sz w:val="23"/>
        </w:rPr>
      </w:pPr>
    </w:p>
    <w:p w:rsidR="00B706EA" w:rsidRPr="008B0009" w:rsidRDefault="002F4B98" w:rsidP="008B0009">
      <w:pPr>
        <w:pStyle w:val="BodyText"/>
        <w:spacing w:before="1"/>
        <w:ind w:left="420"/>
        <w:rPr>
          <w:bCs/>
          <w:lang w:bidi="ar-SA"/>
        </w:rPr>
      </w:pPr>
      <w:r w:rsidRPr="008B0009">
        <w:rPr>
          <w:bCs/>
          <w:lang w:bidi="ar-SA"/>
        </w:rPr>
        <w:t>NCUA interprets the governing regulation, 12 CFR 792.45, as permitting the use of email to submit Touhy requests, provided they are properly addressed to the General Counsel or to the Inspector General and received by the respective office within NCUA.</w:t>
      </w:r>
    </w:p>
    <w:p w:rsidR="00B706EA" w:rsidRDefault="00B706EA">
      <w:pPr>
        <w:pStyle w:val="BodyText"/>
        <w:spacing w:before="5"/>
      </w:pPr>
    </w:p>
    <w:p w:rsidR="00B706EA" w:rsidRDefault="002F4B98">
      <w:pPr>
        <w:pStyle w:val="Heading1"/>
        <w:numPr>
          <w:ilvl w:val="1"/>
          <w:numId w:val="1"/>
        </w:numPr>
        <w:tabs>
          <w:tab w:val="left" w:pos="420"/>
        </w:tabs>
      </w:pPr>
      <w:r>
        <w:t>Duplication</w:t>
      </w:r>
      <w:r w:rsidR="008B28DA">
        <w:t xml:space="preserve"> of Information.</w:t>
      </w:r>
    </w:p>
    <w:p w:rsidR="00B706EA" w:rsidRDefault="00B706EA">
      <w:pPr>
        <w:pStyle w:val="BodyText"/>
        <w:spacing w:before="7"/>
        <w:rPr>
          <w:b/>
          <w:sz w:val="23"/>
        </w:rPr>
      </w:pPr>
    </w:p>
    <w:p w:rsidR="00B706EA" w:rsidRPr="008B0009" w:rsidRDefault="002F4B98" w:rsidP="008B0009">
      <w:pPr>
        <w:pStyle w:val="BodyText"/>
        <w:spacing w:before="1"/>
        <w:ind w:left="420"/>
        <w:rPr>
          <w:bCs/>
          <w:lang w:bidi="ar-SA"/>
        </w:rPr>
      </w:pPr>
      <w:r w:rsidRPr="008B0009">
        <w:rPr>
          <w:bCs/>
          <w:lang w:bidi="ar-SA"/>
        </w:rPr>
        <w:t>This information collection does not duplicate any other information already collected.</w:t>
      </w:r>
    </w:p>
    <w:p w:rsidR="00B706EA" w:rsidRDefault="00B706EA">
      <w:pPr>
        <w:pStyle w:val="BodyText"/>
        <w:spacing w:before="4"/>
      </w:pPr>
    </w:p>
    <w:p w:rsidR="00B706EA" w:rsidRDefault="008B28DA">
      <w:pPr>
        <w:pStyle w:val="Heading1"/>
        <w:numPr>
          <w:ilvl w:val="1"/>
          <w:numId w:val="1"/>
        </w:numPr>
        <w:tabs>
          <w:tab w:val="left" w:pos="420"/>
        </w:tabs>
        <w:spacing w:before="1"/>
      </w:pPr>
      <w:r>
        <w:t>Efforts to reduce burden on small entities.</w:t>
      </w:r>
    </w:p>
    <w:p w:rsidR="00B706EA" w:rsidRDefault="00B706EA">
      <w:pPr>
        <w:pStyle w:val="BodyText"/>
        <w:spacing w:before="6"/>
        <w:rPr>
          <w:b/>
          <w:sz w:val="23"/>
        </w:rPr>
      </w:pPr>
    </w:p>
    <w:p w:rsidR="00B706EA" w:rsidRPr="008B0009" w:rsidRDefault="002F4B98" w:rsidP="008B0009">
      <w:pPr>
        <w:pStyle w:val="BodyText"/>
        <w:spacing w:before="1"/>
        <w:ind w:left="420"/>
        <w:rPr>
          <w:bCs/>
          <w:lang w:bidi="ar-SA"/>
        </w:rPr>
      </w:pPr>
      <w:r w:rsidRPr="008B0009">
        <w:rPr>
          <w:bCs/>
          <w:lang w:bidi="ar-SA"/>
        </w:rPr>
        <w:t>The requirement to file a request and the information required in such a request do not vary by the size of the entity making the request. All of the required information is necessary for the NCUA to make a determination whether to provide the requested information or testimony.</w:t>
      </w:r>
    </w:p>
    <w:p w:rsidR="00B706EA" w:rsidRPr="008B0009" w:rsidRDefault="00B706EA" w:rsidP="008B0009">
      <w:pPr>
        <w:pStyle w:val="BodyText"/>
        <w:spacing w:before="1"/>
        <w:ind w:left="420"/>
        <w:rPr>
          <w:bCs/>
          <w:lang w:bidi="ar-SA"/>
        </w:rPr>
      </w:pPr>
    </w:p>
    <w:p w:rsidR="00B706EA" w:rsidRDefault="002F4B98">
      <w:pPr>
        <w:pStyle w:val="Heading1"/>
        <w:numPr>
          <w:ilvl w:val="1"/>
          <w:numId w:val="1"/>
        </w:numPr>
        <w:tabs>
          <w:tab w:val="left" w:pos="420"/>
        </w:tabs>
      </w:pPr>
      <w:r>
        <w:t xml:space="preserve">Consequences of </w:t>
      </w:r>
      <w:r w:rsidR="008B28DA">
        <w:t>n</w:t>
      </w:r>
      <w:r>
        <w:t xml:space="preserve">ot </w:t>
      </w:r>
      <w:r w:rsidR="008B28DA">
        <w:t>c</w:t>
      </w:r>
      <w:r>
        <w:t>onducting</w:t>
      </w:r>
      <w:r>
        <w:rPr>
          <w:spacing w:val="-1"/>
        </w:rPr>
        <w:t xml:space="preserve"> </w:t>
      </w:r>
      <w:r w:rsidR="008B28DA">
        <w:t>c</w:t>
      </w:r>
      <w:r>
        <w:t>ollection</w:t>
      </w:r>
      <w:r w:rsidR="008B28DA">
        <w:t>.</w:t>
      </w:r>
    </w:p>
    <w:p w:rsidR="00B706EA" w:rsidRDefault="00B706EA">
      <w:pPr>
        <w:pStyle w:val="BodyText"/>
        <w:spacing w:before="7"/>
        <w:rPr>
          <w:b/>
          <w:sz w:val="23"/>
        </w:rPr>
      </w:pPr>
    </w:p>
    <w:p w:rsidR="00B706EA" w:rsidRPr="008B0009" w:rsidRDefault="002F4B98" w:rsidP="008B0009">
      <w:pPr>
        <w:pStyle w:val="BodyText"/>
        <w:spacing w:before="1"/>
        <w:ind w:left="420"/>
        <w:rPr>
          <w:bCs/>
          <w:lang w:bidi="ar-SA"/>
        </w:rPr>
      </w:pPr>
      <w:r w:rsidRPr="008B0009">
        <w:rPr>
          <w:bCs/>
          <w:lang w:bidi="ar-SA"/>
        </w:rPr>
        <w:t>The information required by the regulation is necessary for NCUA to make informed decisions regarding the release of non-public information or authorizing the requested testimony. In the absence of this information</w:t>
      </w:r>
      <w:r w:rsidR="008B28DA">
        <w:rPr>
          <w:bCs/>
          <w:lang w:bidi="ar-SA"/>
        </w:rPr>
        <w:t>,</w:t>
      </w:r>
      <w:r w:rsidRPr="008B0009">
        <w:rPr>
          <w:bCs/>
          <w:lang w:bidi="ar-SA"/>
        </w:rPr>
        <w:t xml:space="preserve"> such decisions would run the risk of being made arbitrarily and without full consideration of the potential harm from such disclosures.</w:t>
      </w:r>
    </w:p>
    <w:p w:rsidR="00B706EA" w:rsidRDefault="00B706EA">
      <w:pPr>
        <w:pStyle w:val="BodyText"/>
        <w:spacing w:before="5"/>
      </w:pPr>
    </w:p>
    <w:p w:rsidR="00B706EA" w:rsidRDefault="002F4B98">
      <w:pPr>
        <w:pStyle w:val="Heading1"/>
        <w:numPr>
          <w:ilvl w:val="1"/>
          <w:numId w:val="1"/>
        </w:numPr>
        <w:tabs>
          <w:tab w:val="left" w:pos="420"/>
        </w:tabs>
      </w:pPr>
      <w:r>
        <w:t xml:space="preserve">Inconsistencies with </w:t>
      </w:r>
      <w:r w:rsidR="008B28DA">
        <w:t>g</w:t>
      </w:r>
      <w:r>
        <w:t>uidelines in 5 CFR</w:t>
      </w:r>
      <w:r>
        <w:rPr>
          <w:spacing w:val="-5"/>
        </w:rPr>
        <w:t xml:space="preserve"> </w:t>
      </w:r>
      <w:r>
        <w:t>1320.5(d)(2)</w:t>
      </w:r>
      <w:r w:rsidR="008B28DA">
        <w:t>.</w:t>
      </w:r>
    </w:p>
    <w:p w:rsidR="00B706EA" w:rsidRDefault="00B706EA">
      <w:pPr>
        <w:pStyle w:val="BodyText"/>
        <w:spacing w:before="7"/>
        <w:rPr>
          <w:b/>
          <w:sz w:val="23"/>
        </w:rPr>
      </w:pPr>
    </w:p>
    <w:p w:rsidR="00B706EA" w:rsidRPr="008B0009" w:rsidRDefault="002F4B98" w:rsidP="008B0009">
      <w:pPr>
        <w:pStyle w:val="BodyText"/>
        <w:spacing w:before="1"/>
        <w:ind w:left="420"/>
        <w:rPr>
          <w:bCs/>
          <w:lang w:bidi="ar-SA"/>
        </w:rPr>
      </w:pPr>
      <w:r w:rsidRPr="008B0009">
        <w:rPr>
          <w:bCs/>
          <w:lang w:bidi="ar-SA"/>
        </w:rPr>
        <w:t>None</w:t>
      </w:r>
      <w:r w:rsidR="008B28DA">
        <w:rPr>
          <w:bCs/>
          <w:lang w:bidi="ar-SA"/>
        </w:rPr>
        <w:t>;</w:t>
      </w:r>
      <w:r w:rsidRPr="008B0009">
        <w:rPr>
          <w:bCs/>
          <w:lang w:bidi="ar-SA"/>
        </w:rPr>
        <w:t xml:space="preserve"> the collection is consistent with the guidelines.</w:t>
      </w:r>
    </w:p>
    <w:p w:rsidR="00B706EA" w:rsidRPr="008B0009" w:rsidRDefault="00B706EA" w:rsidP="008B0009">
      <w:pPr>
        <w:pStyle w:val="BodyText"/>
        <w:spacing w:before="1"/>
        <w:ind w:left="420"/>
        <w:rPr>
          <w:bCs/>
          <w:lang w:bidi="ar-SA"/>
        </w:rPr>
      </w:pPr>
    </w:p>
    <w:p w:rsidR="00B706EA" w:rsidRDefault="00385D41">
      <w:pPr>
        <w:pStyle w:val="Heading1"/>
        <w:numPr>
          <w:ilvl w:val="1"/>
          <w:numId w:val="1"/>
        </w:numPr>
        <w:tabs>
          <w:tab w:val="left" w:pos="420"/>
        </w:tabs>
        <w:spacing w:before="1"/>
      </w:pPr>
      <w:r>
        <w:t>Efforts to consult with persons outside the agency.</w:t>
      </w:r>
    </w:p>
    <w:p w:rsidR="00B706EA" w:rsidRDefault="00B706EA">
      <w:pPr>
        <w:pStyle w:val="BodyText"/>
        <w:spacing w:before="6"/>
        <w:rPr>
          <w:b/>
          <w:sz w:val="23"/>
        </w:rPr>
      </w:pPr>
    </w:p>
    <w:p w:rsidR="00B706EA" w:rsidRPr="008B0009" w:rsidRDefault="00385D41" w:rsidP="0051524E">
      <w:pPr>
        <w:pStyle w:val="BodyText"/>
        <w:ind w:left="420" w:right="116"/>
        <w:jc w:val="both"/>
        <w:rPr>
          <w:bCs/>
          <w:lang w:bidi="ar-SA"/>
        </w:rPr>
      </w:pPr>
      <w:r>
        <w:rPr>
          <w:bCs/>
          <w:lang w:bidi="ar-SA"/>
        </w:rPr>
        <w:t xml:space="preserve">A 60-day notice was published in the </w:t>
      </w:r>
      <w:r w:rsidRPr="000F0B44">
        <w:rPr>
          <w:bCs/>
          <w:i/>
          <w:lang w:bidi="ar-SA"/>
        </w:rPr>
        <w:t>Federal Register</w:t>
      </w:r>
      <w:r>
        <w:rPr>
          <w:bCs/>
          <w:i/>
          <w:lang w:bidi="ar-SA"/>
        </w:rPr>
        <w:t xml:space="preserve"> on </w:t>
      </w:r>
      <w:r w:rsidR="00121EA1">
        <w:rPr>
          <w:bCs/>
          <w:lang w:bidi="ar-SA"/>
        </w:rPr>
        <w:t>July 29, 2019 at 82 FR 36625</w:t>
      </w:r>
      <w:r>
        <w:rPr>
          <w:bCs/>
          <w:lang w:bidi="ar-SA"/>
        </w:rPr>
        <w:t>, soliciting comments from the public. No public comments were received in response to this notice</w:t>
      </w:r>
      <w:r w:rsidR="002F4B98" w:rsidRPr="008B0009">
        <w:rPr>
          <w:bCs/>
          <w:lang w:bidi="ar-SA"/>
        </w:rPr>
        <w:t>.</w:t>
      </w:r>
    </w:p>
    <w:p w:rsidR="00B706EA" w:rsidRDefault="00B706EA">
      <w:pPr>
        <w:pStyle w:val="BodyText"/>
        <w:spacing w:before="5"/>
      </w:pPr>
    </w:p>
    <w:p w:rsidR="00B706EA" w:rsidRDefault="002F4B98">
      <w:pPr>
        <w:pStyle w:val="Heading1"/>
        <w:numPr>
          <w:ilvl w:val="1"/>
          <w:numId w:val="1"/>
        </w:numPr>
        <w:tabs>
          <w:tab w:val="left" w:pos="420"/>
        </w:tabs>
      </w:pPr>
      <w:r>
        <w:t>Payment or</w:t>
      </w:r>
      <w:r>
        <w:rPr>
          <w:spacing w:val="-1"/>
        </w:rPr>
        <w:t xml:space="preserve"> </w:t>
      </w:r>
      <w:r w:rsidR="00385D41">
        <w:t>g</w:t>
      </w:r>
      <w:r>
        <w:t>ifts</w:t>
      </w:r>
      <w:r w:rsidR="00385D41">
        <w:t xml:space="preserve"> to respondents</w:t>
      </w:r>
      <w:r>
        <w:t>.</w:t>
      </w:r>
    </w:p>
    <w:p w:rsidR="00B706EA" w:rsidRDefault="00B706EA">
      <w:pPr>
        <w:sectPr w:rsidR="00B706EA" w:rsidSect="000175EB">
          <w:footerReference w:type="default" r:id="rId8"/>
          <w:footerReference w:type="first" r:id="rId9"/>
          <w:pgSz w:w="12240" w:h="15840"/>
          <w:pgMar w:top="1360" w:right="1660" w:bottom="980" w:left="1680" w:header="0" w:footer="794" w:gutter="0"/>
          <w:pgNumType w:start="1"/>
          <w:cols w:space="720"/>
          <w:docGrid w:linePitch="299"/>
        </w:sectPr>
      </w:pPr>
    </w:p>
    <w:p w:rsidR="00B706EA" w:rsidRPr="008B0009" w:rsidRDefault="00385D41" w:rsidP="000F0B44">
      <w:pPr>
        <w:pStyle w:val="BodyText"/>
        <w:spacing w:before="72"/>
        <w:ind w:left="420"/>
        <w:rPr>
          <w:bCs/>
          <w:lang w:bidi="ar-SA"/>
        </w:rPr>
      </w:pPr>
      <w:r>
        <w:rPr>
          <w:bCs/>
          <w:lang w:bidi="ar-SA"/>
        </w:rPr>
        <w:lastRenderedPageBreak/>
        <w:t>There is no intent by NCUA to provide payment or gifts for information collected.</w:t>
      </w:r>
    </w:p>
    <w:p w:rsidR="00B706EA" w:rsidRDefault="00B706EA">
      <w:pPr>
        <w:pStyle w:val="BodyText"/>
        <w:spacing w:before="4"/>
      </w:pPr>
    </w:p>
    <w:p w:rsidR="00B706EA" w:rsidRDefault="00385D41">
      <w:pPr>
        <w:pStyle w:val="Heading1"/>
        <w:numPr>
          <w:ilvl w:val="1"/>
          <w:numId w:val="1"/>
        </w:numPr>
        <w:tabs>
          <w:tab w:val="left" w:pos="540"/>
        </w:tabs>
        <w:ind w:left="540" w:hanging="420"/>
      </w:pPr>
      <w:r>
        <w:t>Assurance of c</w:t>
      </w:r>
      <w:r w:rsidR="002F4B98">
        <w:t>onfidentiality</w:t>
      </w:r>
      <w:r>
        <w:t>.</w:t>
      </w:r>
      <w:r w:rsidR="0051524E">
        <w:t xml:space="preserve"> </w:t>
      </w:r>
    </w:p>
    <w:p w:rsidR="00B706EA" w:rsidRDefault="00B706EA">
      <w:pPr>
        <w:pStyle w:val="BodyText"/>
        <w:spacing w:before="7"/>
        <w:rPr>
          <w:b/>
          <w:sz w:val="23"/>
        </w:rPr>
      </w:pPr>
    </w:p>
    <w:p w:rsidR="00B706EA" w:rsidRPr="008B0009" w:rsidRDefault="002F4B98" w:rsidP="008B0009">
      <w:pPr>
        <w:pStyle w:val="BodyText"/>
        <w:spacing w:before="72"/>
        <w:ind w:left="120" w:firstLine="420"/>
        <w:rPr>
          <w:bCs/>
          <w:lang w:bidi="ar-SA"/>
        </w:rPr>
      </w:pPr>
      <w:r w:rsidRPr="008B0009">
        <w:rPr>
          <w:bCs/>
          <w:lang w:bidi="ar-SA"/>
        </w:rPr>
        <w:t>There are no assurances of confidentiality other than those provided by law.</w:t>
      </w:r>
    </w:p>
    <w:p w:rsidR="00B706EA" w:rsidRDefault="00B706EA">
      <w:pPr>
        <w:pStyle w:val="BodyText"/>
        <w:spacing w:before="5"/>
      </w:pPr>
    </w:p>
    <w:p w:rsidR="00B706EA" w:rsidRDefault="002F4B98">
      <w:pPr>
        <w:pStyle w:val="Heading1"/>
        <w:numPr>
          <w:ilvl w:val="1"/>
          <w:numId w:val="1"/>
        </w:numPr>
        <w:tabs>
          <w:tab w:val="left" w:pos="540"/>
        </w:tabs>
        <w:ind w:left="540" w:hanging="420"/>
      </w:pPr>
      <w:r>
        <w:t xml:space="preserve">Questions of a </w:t>
      </w:r>
      <w:r w:rsidR="00385D41">
        <w:t>s</w:t>
      </w:r>
      <w:r>
        <w:t>ensitive</w:t>
      </w:r>
      <w:r>
        <w:rPr>
          <w:spacing w:val="-4"/>
        </w:rPr>
        <w:t xml:space="preserve"> </w:t>
      </w:r>
      <w:r w:rsidR="00385D41">
        <w:t>n</w:t>
      </w:r>
      <w:r>
        <w:t>ature</w:t>
      </w:r>
      <w:r w:rsidR="00385D41">
        <w:t>.</w:t>
      </w:r>
    </w:p>
    <w:p w:rsidR="00B706EA" w:rsidRDefault="00B706EA">
      <w:pPr>
        <w:pStyle w:val="BodyText"/>
        <w:spacing w:before="7"/>
        <w:rPr>
          <w:b/>
          <w:sz w:val="23"/>
        </w:rPr>
      </w:pPr>
    </w:p>
    <w:p w:rsidR="00B706EA" w:rsidRPr="008B0009" w:rsidRDefault="00385D41" w:rsidP="000F0B44">
      <w:pPr>
        <w:pStyle w:val="BodyText"/>
        <w:spacing w:before="72"/>
        <w:ind w:left="540"/>
        <w:rPr>
          <w:bCs/>
          <w:lang w:bidi="ar-SA"/>
        </w:rPr>
      </w:pPr>
      <w:r>
        <w:rPr>
          <w:bCs/>
          <w:lang w:bidi="ar-SA"/>
        </w:rPr>
        <w:t>No questions of a sensitive nature are asked. Personally Identifiable Information (PII) is not collected.</w:t>
      </w:r>
    </w:p>
    <w:p w:rsidR="00B706EA" w:rsidRDefault="00B706EA">
      <w:pPr>
        <w:pStyle w:val="BodyText"/>
        <w:spacing w:before="4"/>
      </w:pPr>
    </w:p>
    <w:p w:rsidR="00B706EA" w:rsidRDefault="002F4B98">
      <w:pPr>
        <w:pStyle w:val="Heading1"/>
        <w:numPr>
          <w:ilvl w:val="1"/>
          <w:numId w:val="1"/>
        </w:numPr>
        <w:tabs>
          <w:tab w:val="left" w:pos="540"/>
        </w:tabs>
        <w:spacing w:before="1"/>
        <w:ind w:left="540" w:hanging="420"/>
      </w:pPr>
      <w:r>
        <w:t>Burden of Information Collection</w:t>
      </w:r>
    </w:p>
    <w:p w:rsidR="00B706EA" w:rsidRDefault="00B706EA">
      <w:pPr>
        <w:pStyle w:val="BodyText"/>
        <w:spacing w:before="6"/>
        <w:rPr>
          <w:b/>
          <w:sz w:val="23"/>
        </w:rPr>
      </w:pPr>
    </w:p>
    <w:p w:rsidR="007940B4" w:rsidRDefault="002F4B98" w:rsidP="008B0009">
      <w:pPr>
        <w:pStyle w:val="BodyText"/>
        <w:spacing w:before="72"/>
        <w:ind w:left="540"/>
        <w:rPr>
          <w:bCs/>
          <w:lang w:bidi="ar-SA"/>
        </w:rPr>
      </w:pPr>
      <w:r w:rsidRPr="008B0009">
        <w:rPr>
          <w:bCs/>
          <w:lang w:bidi="ar-SA"/>
        </w:rPr>
        <w:t>The NCUA estimates that it take</w:t>
      </w:r>
      <w:r w:rsidR="00547D6D">
        <w:rPr>
          <w:bCs/>
          <w:lang w:bidi="ar-SA"/>
        </w:rPr>
        <w:t>s</w:t>
      </w:r>
      <w:r w:rsidR="000175EB">
        <w:rPr>
          <w:bCs/>
          <w:lang w:bidi="ar-SA"/>
        </w:rPr>
        <w:t xml:space="preserve"> an average of four</w:t>
      </w:r>
      <w:r w:rsidRPr="008B0009">
        <w:rPr>
          <w:bCs/>
          <w:lang w:bidi="ar-SA"/>
        </w:rPr>
        <w:t xml:space="preserve"> hours to prepare a written request. The N</w:t>
      </w:r>
      <w:r w:rsidR="000175EB">
        <w:rPr>
          <w:bCs/>
          <w:lang w:bidi="ar-SA"/>
        </w:rPr>
        <w:t>CUA currently receives approximately</w:t>
      </w:r>
      <w:r w:rsidRPr="008B0009">
        <w:rPr>
          <w:bCs/>
          <w:lang w:bidi="ar-SA"/>
        </w:rPr>
        <w:t xml:space="preserve"> twenty requests per year so the total annual burden i</w:t>
      </w:r>
      <w:r w:rsidR="000175EB">
        <w:rPr>
          <w:bCs/>
          <w:lang w:bidi="ar-SA"/>
        </w:rPr>
        <w:t>s estimated to be no more than 8</w:t>
      </w:r>
      <w:r w:rsidRPr="008B0009">
        <w:rPr>
          <w:bCs/>
          <w:lang w:bidi="ar-SA"/>
        </w:rPr>
        <w:t xml:space="preserve">0 hours. </w:t>
      </w:r>
    </w:p>
    <w:tbl>
      <w:tblPr>
        <w:tblStyle w:val="TableGrid"/>
        <w:tblW w:w="8478" w:type="dxa"/>
        <w:tblInd w:w="540" w:type="dxa"/>
        <w:tblLook w:val="04A0" w:firstRow="1" w:lastRow="0" w:firstColumn="1" w:lastColumn="0" w:noHBand="0" w:noVBand="1"/>
      </w:tblPr>
      <w:tblGrid>
        <w:gridCol w:w="1958"/>
        <w:gridCol w:w="1762"/>
        <w:gridCol w:w="1374"/>
        <w:gridCol w:w="1404"/>
        <w:gridCol w:w="1980"/>
      </w:tblGrid>
      <w:tr w:rsidR="00547D6D" w:rsidTr="000F0B44">
        <w:tc>
          <w:tcPr>
            <w:tcW w:w="1958" w:type="dxa"/>
          </w:tcPr>
          <w:p w:rsidR="00547D6D" w:rsidRPr="000F0B44" w:rsidRDefault="00547D6D" w:rsidP="000F0B44">
            <w:pPr>
              <w:pStyle w:val="BodyText"/>
              <w:spacing w:before="72"/>
              <w:jc w:val="center"/>
              <w:rPr>
                <w:rFonts w:ascii="Arial Narrow" w:hAnsi="Arial Narrow"/>
                <w:bCs/>
                <w:sz w:val="22"/>
                <w:szCs w:val="22"/>
                <w:lang w:bidi="ar-SA"/>
              </w:rPr>
            </w:pPr>
            <w:r w:rsidRPr="000F0B44">
              <w:rPr>
                <w:rFonts w:ascii="Arial Narrow" w:hAnsi="Arial Narrow"/>
                <w:bCs/>
                <w:sz w:val="22"/>
                <w:szCs w:val="22"/>
                <w:lang w:bidi="ar-SA"/>
              </w:rPr>
              <w:t>No. of Respondents</w:t>
            </w:r>
          </w:p>
        </w:tc>
        <w:tc>
          <w:tcPr>
            <w:tcW w:w="1762" w:type="dxa"/>
          </w:tcPr>
          <w:p w:rsidR="00547D6D" w:rsidRPr="000F0B44" w:rsidRDefault="00547D6D" w:rsidP="000F0B44">
            <w:pPr>
              <w:pStyle w:val="BodyText"/>
              <w:spacing w:before="72"/>
              <w:jc w:val="center"/>
              <w:rPr>
                <w:rFonts w:ascii="Arial Narrow" w:hAnsi="Arial Narrow"/>
                <w:bCs/>
                <w:sz w:val="22"/>
                <w:szCs w:val="22"/>
                <w:lang w:bidi="ar-SA"/>
              </w:rPr>
            </w:pPr>
            <w:r w:rsidRPr="000F0B44">
              <w:rPr>
                <w:rFonts w:ascii="Arial Narrow" w:hAnsi="Arial Narrow"/>
                <w:bCs/>
                <w:sz w:val="22"/>
                <w:szCs w:val="22"/>
                <w:lang w:bidi="ar-SA"/>
              </w:rPr>
              <w:t>No. of Responses per Respondent (Frequency)</w:t>
            </w:r>
          </w:p>
        </w:tc>
        <w:tc>
          <w:tcPr>
            <w:tcW w:w="1374" w:type="dxa"/>
          </w:tcPr>
          <w:p w:rsidR="00547D6D" w:rsidRPr="000F0B44" w:rsidRDefault="00547D6D" w:rsidP="000F0B44">
            <w:pPr>
              <w:pStyle w:val="BodyText"/>
              <w:spacing w:before="72"/>
              <w:jc w:val="center"/>
              <w:rPr>
                <w:rFonts w:ascii="Arial Narrow" w:hAnsi="Arial Narrow"/>
                <w:bCs/>
                <w:sz w:val="22"/>
                <w:szCs w:val="22"/>
                <w:lang w:bidi="ar-SA"/>
              </w:rPr>
            </w:pPr>
            <w:r w:rsidRPr="000F0B44">
              <w:rPr>
                <w:rFonts w:ascii="Arial Narrow" w:hAnsi="Arial Narrow"/>
                <w:bCs/>
                <w:sz w:val="22"/>
                <w:szCs w:val="22"/>
                <w:lang w:bidi="ar-SA"/>
              </w:rPr>
              <w:t>Total Annual Response</w:t>
            </w:r>
          </w:p>
        </w:tc>
        <w:tc>
          <w:tcPr>
            <w:tcW w:w="1404" w:type="dxa"/>
          </w:tcPr>
          <w:p w:rsidR="00547D6D" w:rsidRPr="000F0B44" w:rsidRDefault="00547D6D" w:rsidP="000F0B44">
            <w:pPr>
              <w:pStyle w:val="BodyText"/>
              <w:spacing w:before="72"/>
              <w:jc w:val="center"/>
              <w:rPr>
                <w:rFonts w:ascii="Arial Narrow" w:hAnsi="Arial Narrow"/>
                <w:bCs/>
                <w:sz w:val="22"/>
                <w:szCs w:val="22"/>
                <w:lang w:bidi="ar-SA"/>
              </w:rPr>
            </w:pPr>
            <w:r w:rsidRPr="000F0B44">
              <w:rPr>
                <w:rFonts w:ascii="Arial Narrow" w:hAnsi="Arial Narrow"/>
                <w:bCs/>
                <w:sz w:val="22"/>
                <w:szCs w:val="22"/>
                <w:lang w:bidi="ar-SA"/>
              </w:rPr>
              <w:t>Hours per Response</w:t>
            </w:r>
          </w:p>
        </w:tc>
        <w:tc>
          <w:tcPr>
            <w:tcW w:w="1980" w:type="dxa"/>
          </w:tcPr>
          <w:p w:rsidR="00547D6D" w:rsidRPr="000F0B44" w:rsidRDefault="00547D6D" w:rsidP="000F0B44">
            <w:pPr>
              <w:pStyle w:val="BodyText"/>
              <w:spacing w:before="72"/>
              <w:jc w:val="center"/>
              <w:rPr>
                <w:rFonts w:ascii="Arial Narrow" w:hAnsi="Arial Narrow"/>
                <w:bCs/>
                <w:sz w:val="22"/>
                <w:szCs w:val="22"/>
                <w:lang w:bidi="ar-SA"/>
              </w:rPr>
            </w:pPr>
            <w:r w:rsidRPr="000F0B44">
              <w:rPr>
                <w:rFonts w:ascii="Arial Narrow" w:hAnsi="Arial Narrow"/>
                <w:bCs/>
                <w:sz w:val="22"/>
                <w:szCs w:val="22"/>
                <w:lang w:bidi="ar-SA"/>
              </w:rPr>
              <w:t>Total Annual Burden</w:t>
            </w:r>
          </w:p>
        </w:tc>
      </w:tr>
      <w:tr w:rsidR="00547D6D" w:rsidTr="000F0B44">
        <w:tc>
          <w:tcPr>
            <w:tcW w:w="1958" w:type="dxa"/>
          </w:tcPr>
          <w:p w:rsidR="00547D6D" w:rsidRDefault="00547D6D" w:rsidP="000F0B44">
            <w:pPr>
              <w:pStyle w:val="BodyText"/>
              <w:spacing w:before="72"/>
              <w:jc w:val="center"/>
              <w:rPr>
                <w:bCs/>
                <w:lang w:bidi="ar-SA"/>
              </w:rPr>
            </w:pPr>
            <w:r>
              <w:rPr>
                <w:bCs/>
                <w:lang w:bidi="ar-SA"/>
              </w:rPr>
              <w:t>20</w:t>
            </w:r>
          </w:p>
          <w:p w:rsidR="00547D6D" w:rsidRDefault="00547D6D" w:rsidP="008B0009">
            <w:pPr>
              <w:pStyle w:val="BodyText"/>
              <w:spacing w:before="72"/>
              <w:rPr>
                <w:bCs/>
                <w:lang w:bidi="ar-SA"/>
              </w:rPr>
            </w:pPr>
          </w:p>
        </w:tc>
        <w:tc>
          <w:tcPr>
            <w:tcW w:w="1762" w:type="dxa"/>
          </w:tcPr>
          <w:p w:rsidR="00547D6D" w:rsidRDefault="00547D6D" w:rsidP="000F0B44">
            <w:pPr>
              <w:pStyle w:val="BodyText"/>
              <w:spacing w:before="72"/>
              <w:jc w:val="center"/>
              <w:rPr>
                <w:bCs/>
                <w:lang w:bidi="ar-SA"/>
              </w:rPr>
            </w:pPr>
            <w:r>
              <w:rPr>
                <w:bCs/>
                <w:lang w:bidi="ar-SA"/>
              </w:rPr>
              <w:t>1</w:t>
            </w:r>
          </w:p>
        </w:tc>
        <w:tc>
          <w:tcPr>
            <w:tcW w:w="1374" w:type="dxa"/>
          </w:tcPr>
          <w:p w:rsidR="00547D6D" w:rsidRDefault="00547D6D" w:rsidP="000F0B44">
            <w:pPr>
              <w:pStyle w:val="BodyText"/>
              <w:spacing w:before="72"/>
              <w:jc w:val="center"/>
              <w:rPr>
                <w:bCs/>
                <w:lang w:bidi="ar-SA"/>
              </w:rPr>
            </w:pPr>
            <w:r>
              <w:rPr>
                <w:bCs/>
                <w:lang w:bidi="ar-SA"/>
              </w:rPr>
              <w:t>20</w:t>
            </w:r>
          </w:p>
        </w:tc>
        <w:tc>
          <w:tcPr>
            <w:tcW w:w="1404" w:type="dxa"/>
          </w:tcPr>
          <w:p w:rsidR="00547D6D" w:rsidRDefault="004A6E1C" w:rsidP="000F0B44">
            <w:pPr>
              <w:pStyle w:val="BodyText"/>
              <w:spacing w:before="72"/>
              <w:jc w:val="center"/>
              <w:rPr>
                <w:bCs/>
                <w:lang w:bidi="ar-SA"/>
              </w:rPr>
            </w:pPr>
            <w:r>
              <w:rPr>
                <w:bCs/>
                <w:lang w:bidi="ar-SA"/>
              </w:rPr>
              <w:t>4</w:t>
            </w:r>
          </w:p>
        </w:tc>
        <w:tc>
          <w:tcPr>
            <w:tcW w:w="1980" w:type="dxa"/>
          </w:tcPr>
          <w:p w:rsidR="00547D6D" w:rsidRDefault="004A6E1C" w:rsidP="000F0B44">
            <w:pPr>
              <w:pStyle w:val="BodyText"/>
              <w:spacing w:before="72"/>
              <w:jc w:val="center"/>
              <w:rPr>
                <w:bCs/>
                <w:lang w:bidi="ar-SA"/>
              </w:rPr>
            </w:pPr>
            <w:r>
              <w:rPr>
                <w:bCs/>
                <w:lang w:bidi="ar-SA"/>
              </w:rPr>
              <w:t>8</w:t>
            </w:r>
            <w:r w:rsidR="00547D6D">
              <w:rPr>
                <w:bCs/>
                <w:lang w:bidi="ar-SA"/>
              </w:rPr>
              <w:t>0</w:t>
            </w:r>
          </w:p>
        </w:tc>
      </w:tr>
    </w:tbl>
    <w:p w:rsidR="007940B4" w:rsidRPr="008B0009" w:rsidRDefault="000121CC" w:rsidP="008B0009">
      <w:pPr>
        <w:pStyle w:val="BodyText"/>
        <w:spacing w:before="72"/>
        <w:ind w:left="540"/>
        <w:rPr>
          <w:bCs/>
          <w:lang w:bidi="ar-SA"/>
        </w:rPr>
      </w:pPr>
      <w:r>
        <w:rPr>
          <w:bCs/>
          <w:lang w:bidi="ar-SA"/>
        </w:rPr>
        <w:t>Based on a wage rate of $100</w:t>
      </w:r>
      <w:r w:rsidR="00625F8D">
        <w:rPr>
          <w:bCs/>
          <w:lang w:bidi="ar-SA"/>
        </w:rPr>
        <w:t xml:space="preserve"> per hour, the</w:t>
      </w:r>
      <w:r>
        <w:rPr>
          <w:bCs/>
          <w:lang w:bidi="ar-SA"/>
        </w:rPr>
        <w:t xml:space="preserve"> total cost to respondents is $8</w:t>
      </w:r>
      <w:r w:rsidR="00625F8D">
        <w:rPr>
          <w:bCs/>
          <w:lang w:bidi="ar-SA"/>
        </w:rPr>
        <w:t>,000.</w:t>
      </w:r>
    </w:p>
    <w:p w:rsidR="00B706EA" w:rsidRDefault="00B706EA">
      <w:pPr>
        <w:pStyle w:val="BodyText"/>
        <w:spacing w:before="5"/>
      </w:pPr>
    </w:p>
    <w:p w:rsidR="00B706EA" w:rsidRDefault="002F4B98">
      <w:pPr>
        <w:pStyle w:val="Heading1"/>
        <w:numPr>
          <w:ilvl w:val="1"/>
          <w:numId w:val="1"/>
        </w:numPr>
        <w:tabs>
          <w:tab w:val="left" w:pos="540"/>
        </w:tabs>
        <w:ind w:left="540" w:hanging="420"/>
      </w:pPr>
      <w:r>
        <w:t xml:space="preserve">Capital </w:t>
      </w:r>
      <w:r w:rsidR="009F2EC8">
        <w:t>s</w:t>
      </w:r>
      <w:r>
        <w:t>tartup</w:t>
      </w:r>
      <w:r w:rsidR="009F2EC8">
        <w:t xml:space="preserve"> or</w:t>
      </w:r>
      <w:r>
        <w:t xml:space="preserve"> </w:t>
      </w:r>
      <w:r w:rsidR="009F2EC8">
        <w:t>ongoing</w:t>
      </w:r>
      <w:r>
        <w:t xml:space="preserve"> </w:t>
      </w:r>
      <w:r w:rsidR="009F2EC8">
        <w:t>o</w:t>
      </w:r>
      <w:r>
        <w:t xml:space="preserve">peration and </w:t>
      </w:r>
      <w:r w:rsidR="009F2EC8">
        <w:t>m</w:t>
      </w:r>
      <w:r>
        <w:t>aintenance</w:t>
      </w:r>
      <w:r>
        <w:rPr>
          <w:spacing w:val="-4"/>
        </w:rPr>
        <w:t xml:space="preserve"> </w:t>
      </w:r>
      <w:r w:rsidR="009F2EC8">
        <w:t>c</w:t>
      </w:r>
      <w:r>
        <w:t>osts</w:t>
      </w:r>
      <w:r w:rsidR="009F2EC8">
        <w:t>.</w:t>
      </w:r>
    </w:p>
    <w:p w:rsidR="00B706EA" w:rsidRDefault="00B706EA">
      <w:pPr>
        <w:pStyle w:val="BodyText"/>
        <w:spacing w:before="7"/>
        <w:rPr>
          <w:b/>
          <w:sz w:val="23"/>
        </w:rPr>
      </w:pPr>
    </w:p>
    <w:p w:rsidR="00B706EA" w:rsidRDefault="002F4B98" w:rsidP="0051524E">
      <w:pPr>
        <w:pStyle w:val="BodyText"/>
        <w:ind w:left="540" w:right="168"/>
      </w:pPr>
      <w:r>
        <w:t>None</w:t>
      </w:r>
      <w:r w:rsidR="009F2EC8">
        <w:t>;</w:t>
      </w:r>
      <w:r>
        <w:t xml:space="preserve"> requests will only be submitted by parties engaged in litigation. It is anticipated that requestors will not need to make recurring requests. For that reason, requestors should not incur capital, startup or operation and maintenance costs.</w:t>
      </w:r>
    </w:p>
    <w:p w:rsidR="00B706EA" w:rsidRDefault="00B706EA">
      <w:pPr>
        <w:pStyle w:val="BodyText"/>
        <w:spacing w:before="5"/>
      </w:pPr>
    </w:p>
    <w:p w:rsidR="00B706EA" w:rsidRDefault="009F2EC8">
      <w:pPr>
        <w:pStyle w:val="Heading1"/>
        <w:numPr>
          <w:ilvl w:val="1"/>
          <w:numId w:val="1"/>
        </w:numPr>
        <w:tabs>
          <w:tab w:val="left" w:pos="540"/>
        </w:tabs>
        <w:ind w:left="540" w:hanging="420"/>
      </w:pPr>
      <w:r>
        <w:t>Annualized costs to Federal government.</w:t>
      </w:r>
    </w:p>
    <w:p w:rsidR="00B706EA" w:rsidRDefault="00B706EA">
      <w:pPr>
        <w:pStyle w:val="BodyText"/>
        <w:spacing w:before="7"/>
        <w:rPr>
          <w:b/>
          <w:sz w:val="23"/>
        </w:rPr>
      </w:pPr>
    </w:p>
    <w:p w:rsidR="00B706EA" w:rsidRPr="008B0009" w:rsidRDefault="002F4B98" w:rsidP="0051524E">
      <w:pPr>
        <w:pStyle w:val="BodyText"/>
        <w:ind w:left="540" w:right="117"/>
        <w:jc w:val="both"/>
        <w:rPr>
          <w:bCs/>
          <w:lang w:bidi="ar-SA"/>
        </w:rPr>
      </w:pPr>
      <w:r w:rsidRPr="008B0009">
        <w:rPr>
          <w:bCs/>
          <w:lang w:bidi="ar-SA"/>
        </w:rPr>
        <w:t>Each request received results in a review by NCUA of whether it</w:t>
      </w:r>
      <w:r w:rsidR="009F2EC8">
        <w:rPr>
          <w:bCs/>
          <w:lang w:bidi="ar-SA"/>
        </w:rPr>
        <w:t>’s</w:t>
      </w:r>
      <w:r w:rsidRPr="008B0009">
        <w:rPr>
          <w:bCs/>
          <w:lang w:bidi="ar-SA"/>
        </w:rPr>
        <w:t xml:space="preserve"> appropriate to produce the information requested. Documents must be located, reproduced and shared. In some cases in</w:t>
      </w:r>
      <w:r w:rsidR="009F2EC8">
        <w:rPr>
          <w:bCs/>
          <w:lang w:bidi="ar-SA"/>
        </w:rPr>
        <w:t>-</w:t>
      </w:r>
      <w:r w:rsidRPr="008B0009">
        <w:rPr>
          <w:bCs/>
          <w:lang w:bidi="ar-SA"/>
        </w:rPr>
        <w:t>person testimony is required. We conservatively estimate that this takes eight hours per request – 160 hours annually. This results in an estimated annual cost to the Federal Government of $12,800.</w:t>
      </w:r>
    </w:p>
    <w:p w:rsidR="00B706EA" w:rsidRDefault="00B706EA">
      <w:pPr>
        <w:pStyle w:val="BodyText"/>
        <w:spacing w:before="4"/>
      </w:pPr>
    </w:p>
    <w:p w:rsidR="00B706EA" w:rsidRDefault="002F4B98">
      <w:pPr>
        <w:pStyle w:val="Heading1"/>
        <w:numPr>
          <w:ilvl w:val="1"/>
          <w:numId w:val="1"/>
        </w:numPr>
        <w:tabs>
          <w:tab w:val="left" w:pos="540"/>
        </w:tabs>
        <w:spacing w:before="1"/>
        <w:ind w:left="540" w:hanging="420"/>
      </w:pPr>
      <w:r>
        <w:t>Change</w:t>
      </w:r>
      <w:r w:rsidR="009F2EC8">
        <w:t>s</w:t>
      </w:r>
      <w:r>
        <w:t xml:space="preserve"> in</w:t>
      </w:r>
      <w:r>
        <w:rPr>
          <w:spacing w:val="-3"/>
        </w:rPr>
        <w:t xml:space="preserve"> </w:t>
      </w:r>
      <w:r w:rsidR="009F2EC8">
        <w:t>b</w:t>
      </w:r>
      <w:r>
        <w:t>urden</w:t>
      </w:r>
      <w:r w:rsidR="009F2EC8">
        <w:t>.</w:t>
      </w:r>
    </w:p>
    <w:p w:rsidR="00B706EA" w:rsidRDefault="00B706EA">
      <w:pPr>
        <w:pStyle w:val="BodyText"/>
        <w:spacing w:before="6"/>
        <w:rPr>
          <w:b/>
          <w:sz w:val="23"/>
        </w:rPr>
      </w:pPr>
    </w:p>
    <w:p w:rsidR="00B706EA" w:rsidRPr="008B0009" w:rsidRDefault="002F4B98" w:rsidP="0051524E">
      <w:pPr>
        <w:pStyle w:val="BodyText"/>
        <w:ind w:left="119" w:firstLine="421"/>
        <w:rPr>
          <w:bCs/>
          <w:lang w:bidi="ar-SA"/>
        </w:rPr>
      </w:pPr>
      <w:r w:rsidRPr="008B0009">
        <w:rPr>
          <w:bCs/>
          <w:lang w:bidi="ar-SA"/>
        </w:rPr>
        <w:t>This is an extension, without change, to a previously approved collection.</w:t>
      </w:r>
    </w:p>
    <w:p w:rsidR="00B706EA" w:rsidRDefault="00B706EA">
      <w:pPr>
        <w:pStyle w:val="BodyText"/>
        <w:spacing w:before="5"/>
      </w:pPr>
    </w:p>
    <w:p w:rsidR="00B706EA" w:rsidRDefault="002F4B98">
      <w:pPr>
        <w:pStyle w:val="Heading1"/>
        <w:numPr>
          <w:ilvl w:val="1"/>
          <w:numId w:val="1"/>
        </w:numPr>
        <w:tabs>
          <w:tab w:val="left" w:pos="540"/>
        </w:tabs>
        <w:ind w:left="540" w:hanging="420"/>
      </w:pPr>
      <w:r>
        <w:t>Information Collection Planned for Statistical</w:t>
      </w:r>
      <w:r>
        <w:rPr>
          <w:spacing w:val="-4"/>
        </w:rPr>
        <w:t xml:space="preserve"> </w:t>
      </w:r>
      <w:r>
        <w:t>Purposes</w:t>
      </w:r>
    </w:p>
    <w:p w:rsidR="00B706EA" w:rsidRDefault="00B706EA">
      <w:pPr>
        <w:pStyle w:val="BodyText"/>
        <w:spacing w:before="7"/>
        <w:rPr>
          <w:b/>
          <w:sz w:val="23"/>
        </w:rPr>
      </w:pPr>
    </w:p>
    <w:p w:rsidR="00B706EA" w:rsidRDefault="002F4B98" w:rsidP="0051524E">
      <w:pPr>
        <w:pStyle w:val="BodyText"/>
        <w:ind w:left="119" w:firstLine="421"/>
      </w:pPr>
      <w:bookmarkStart w:id="1" w:name="There_are_no_plans_to_publish_results."/>
      <w:bookmarkEnd w:id="1"/>
      <w:r>
        <w:t>There are no plans to publish results.</w:t>
      </w:r>
    </w:p>
    <w:p w:rsidR="00B706EA" w:rsidRDefault="00B706EA">
      <w:pPr>
        <w:pStyle w:val="BodyText"/>
        <w:spacing w:before="5"/>
      </w:pPr>
    </w:p>
    <w:p w:rsidR="00B706EA" w:rsidRDefault="002F4B98">
      <w:pPr>
        <w:pStyle w:val="Heading1"/>
        <w:numPr>
          <w:ilvl w:val="1"/>
          <w:numId w:val="1"/>
        </w:numPr>
        <w:tabs>
          <w:tab w:val="left" w:pos="540"/>
        </w:tabs>
        <w:ind w:left="540" w:hanging="420"/>
      </w:pPr>
      <w:r>
        <w:t>Display of OMB Expiration</w:t>
      </w:r>
      <w:r>
        <w:rPr>
          <w:spacing w:val="-2"/>
        </w:rPr>
        <w:t xml:space="preserve"> </w:t>
      </w:r>
      <w:r>
        <w:t>Date</w:t>
      </w:r>
    </w:p>
    <w:p w:rsidR="00B706EA" w:rsidRDefault="00B706EA">
      <w:pPr>
        <w:pStyle w:val="BodyText"/>
        <w:spacing w:before="6"/>
        <w:rPr>
          <w:b/>
          <w:sz w:val="23"/>
        </w:rPr>
      </w:pPr>
    </w:p>
    <w:p w:rsidR="00B706EA" w:rsidRDefault="002F4B98" w:rsidP="008B0009">
      <w:pPr>
        <w:pStyle w:val="BodyText"/>
        <w:ind w:left="540"/>
      </w:pPr>
      <w:r>
        <w:t xml:space="preserve">There are no traditional collection instruments associated with this collection of information (e.g. forms). The OMB control number and expiration date associated with this PRA submission will be displayed on the Federal government’s electronic PRA docket at </w:t>
      </w:r>
      <w:hyperlink r:id="rId10">
        <w:r>
          <w:t>www.reginfo.gov.</w:t>
        </w:r>
      </w:hyperlink>
    </w:p>
    <w:p w:rsidR="00B706EA" w:rsidRDefault="00B706EA">
      <w:pPr>
        <w:sectPr w:rsidR="00B706EA">
          <w:pgSz w:w="12240" w:h="15840"/>
          <w:pgMar w:top="1360" w:right="1660" w:bottom="980" w:left="1680" w:header="0" w:footer="794" w:gutter="0"/>
          <w:cols w:space="720"/>
        </w:sectPr>
      </w:pPr>
    </w:p>
    <w:p w:rsidR="00B706EA" w:rsidRDefault="002F4B98">
      <w:pPr>
        <w:pStyle w:val="Heading1"/>
        <w:numPr>
          <w:ilvl w:val="1"/>
          <w:numId w:val="1"/>
        </w:numPr>
        <w:tabs>
          <w:tab w:val="left" w:pos="540"/>
        </w:tabs>
        <w:spacing w:before="76"/>
        <w:ind w:left="540" w:hanging="420"/>
      </w:pPr>
      <w:r>
        <w:t>Exceptions to</w:t>
      </w:r>
      <w:r>
        <w:rPr>
          <w:spacing w:val="-1"/>
        </w:rPr>
        <w:t xml:space="preserve"> </w:t>
      </w:r>
      <w:r>
        <w:t>Certification</w:t>
      </w:r>
    </w:p>
    <w:p w:rsidR="00B706EA" w:rsidRDefault="00B706EA">
      <w:pPr>
        <w:pStyle w:val="BodyText"/>
        <w:spacing w:before="7"/>
        <w:rPr>
          <w:b/>
          <w:sz w:val="23"/>
        </w:rPr>
      </w:pPr>
    </w:p>
    <w:p w:rsidR="00B706EA" w:rsidRDefault="002F4B98" w:rsidP="0051524E">
      <w:pPr>
        <w:pStyle w:val="BodyText"/>
        <w:ind w:left="120" w:firstLine="420"/>
      </w:pPr>
      <w:r>
        <w:t>This collection complies with the requirements in 5 CFR 1320.9.</w:t>
      </w:r>
    </w:p>
    <w:p w:rsidR="00B706EA" w:rsidRDefault="00B706EA">
      <w:pPr>
        <w:pStyle w:val="BodyText"/>
        <w:rPr>
          <w:sz w:val="26"/>
        </w:rPr>
      </w:pPr>
    </w:p>
    <w:p w:rsidR="00B706EA" w:rsidRDefault="00B706EA">
      <w:pPr>
        <w:pStyle w:val="BodyText"/>
        <w:rPr>
          <w:sz w:val="22"/>
        </w:rPr>
      </w:pPr>
    </w:p>
    <w:p w:rsidR="00B706EA" w:rsidRDefault="002F4B98">
      <w:pPr>
        <w:pStyle w:val="Heading1"/>
        <w:numPr>
          <w:ilvl w:val="0"/>
          <w:numId w:val="1"/>
        </w:numPr>
        <w:tabs>
          <w:tab w:val="left" w:pos="459"/>
        </w:tabs>
        <w:spacing w:line="244" w:lineRule="auto"/>
        <w:ind w:left="120" w:right="1197" w:firstLine="0"/>
      </w:pPr>
      <w:r>
        <w:t>COLLECTIONS OF INFORMATION EMPLOYING STATISTICAL METHODS</w:t>
      </w:r>
    </w:p>
    <w:p w:rsidR="00B706EA" w:rsidRDefault="00B706EA">
      <w:pPr>
        <w:pStyle w:val="BodyText"/>
        <w:spacing w:before="1"/>
        <w:rPr>
          <w:b/>
          <w:sz w:val="23"/>
        </w:rPr>
      </w:pPr>
    </w:p>
    <w:p w:rsidR="00B706EA" w:rsidRDefault="002F4B98" w:rsidP="0051524E">
      <w:pPr>
        <w:pStyle w:val="BodyText"/>
        <w:ind w:left="120" w:firstLine="600"/>
      </w:pPr>
      <w:r>
        <w:t>This collection does not involve statistical methods.</w:t>
      </w:r>
    </w:p>
    <w:sectPr w:rsidR="00B706EA">
      <w:pgSz w:w="12240" w:h="15840"/>
      <w:pgMar w:top="1360" w:right="1660" w:bottom="980" w:left="1680"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6E" w:rsidRDefault="00537A6E">
      <w:r>
        <w:separator/>
      </w:r>
    </w:p>
  </w:endnote>
  <w:endnote w:type="continuationSeparator" w:id="0">
    <w:p w:rsidR="00537A6E" w:rsidRDefault="0053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30" w:rsidRDefault="00C94630">
    <w:pPr>
      <w:pStyle w:val="Footer"/>
    </w:pPr>
    <w:r>
      <w:t xml:space="preserve">          </w:t>
    </w:r>
  </w:p>
  <w:p w:rsidR="00C94630" w:rsidRDefault="00C94630">
    <w:pPr>
      <w:pStyle w:val="Footer"/>
    </w:pPr>
    <w:r>
      <w:t xml:space="preserve">        </w:t>
    </w:r>
    <w:r w:rsidRPr="00C94630">
      <w:rPr>
        <w:i/>
      </w:rPr>
      <w:t xml:space="preserve">OMB No. 3133-0146; October 2019                                                                                           </w:t>
    </w:r>
    <w:sdt>
      <w:sdtPr>
        <w:id w:val="-18906499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6845">
          <w:rPr>
            <w:noProof/>
          </w:rPr>
          <w:t>1</w:t>
        </w:r>
        <w:r>
          <w:rPr>
            <w:noProof/>
          </w:rPr>
          <w:fldChar w:fldCharType="end"/>
        </w:r>
      </w:sdtContent>
    </w:sdt>
  </w:p>
  <w:p w:rsidR="00B706EA" w:rsidRDefault="00B706EA">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630" w:rsidRDefault="00C94630">
    <w:pPr>
      <w:pStyle w:val="Footer"/>
    </w:pPr>
    <w:r>
      <w:t xml:space="preserve">        </w:t>
    </w:r>
  </w:p>
  <w:p w:rsidR="00C94630" w:rsidRDefault="00C94630">
    <w:pPr>
      <w:pStyle w:val="Footer"/>
    </w:pPr>
    <w:r>
      <w:t xml:space="preserve">       </w:t>
    </w:r>
    <w:r w:rsidRPr="00C94630">
      <w:rPr>
        <w:i/>
      </w:rPr>
      <w:t xml:space="preserve">OMB No. 3133-0146; October 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6E" w:rsidRDefault="00537A6E">
      <w:r>
        <w:separator/>
      </w:r>
    </w:p>
  </w:footnote>
  <w:footnote w:type="continuationSeparator" w:id="0">
    <w:p w:rsidR="00537A6E" w:rsidRDefault="00537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36658"/>
    <w:multiLevelType w:val="hybridMultilevel"/>
    <w:tmpl w:val="2AFEB43A"/>
    <w:lvl w:ilvl="0" w:tplc="A2C4C60A">
      <w:start w:val="1"/>
      <w:numFmt w:val="upperLetter"/>
      <w:lvlText w:val="%1."/>
      <w:lvlJc w:val="left"/>
      <w:pPr>
        <w:ind w:left="472" w:hanging="353"/>
      </w:pPr>
      <w:rPr>
        <w:rFonts w:hint="default"/>
        <w:b/>
        <w:bCs/>
        <w:spacing w:val="-1"/>
        <w:w w:val="99"/>
        <w:lang w:val="en-US" w:eastAsia="en-US" w:bidi="en-US"/>
      </w:rPr>
    </w:lvl>
    <w:lvl w:ilvl="1" w:tplc="EADC90E6">
      <w:start w:val="1"/>
      <w:numFmt w:val="decimal"/>
      <w:lvlText w:val="%2."/>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2" w:tplc="3EA6DA7A">
      <w:numFmt w:val="bullet"/>
      <w:lvlText w:val="•"/>
      <w:lvlJc w:val="left"/>
      <w:pPr>
        <w:ind w:left="1415" w:hanging="300"/>
      </w:pPr>
      <w:rPr>
        <w:rFonts w:hint="default"/>
        <w:lang w:val="en-US" w:eastAsia="en-US" w:bidi="en-US"/>
      </w:rPr>
    </w:lvl>
    <w:lvl w:ilvl="3" w:tplc="0986C586">
      <w:numFmt w:val="bullet"/>
      <w:lvlText w:val="•"/>
      <w:lvlJc w:val="left"/>
      <w:pPr>
        <w:ind w:left="2351" w:hanging="300"/>
      </w:pPr>
      <w:rPr>
        <w:rFonts w:hint="default"/>
        <w:lang w:val="en-US" w:eastAsia="en-US" w:bidi="en-US"/>
      </w:rPr>
    </w:lvl>
    <w:lvl w:ilvl="4" w:tplc="5C7804F8">
      <w:numFmt w:val="bullet"/>
      <w:lvlText w:val="•"/>
      <w:lvlJc w:val="left"/>
      <w:pPr>
        <w:ind w:left="3286" w:hanging="300"/>
      </w:pPr>
      <w:rPr>
        <w:rFonts w:hint="default"/>
        <w:lang w:val="en-US" w:eastAsia="en-US" w:bidi="en-US"/>
      </w:rPr>
    </w:lvl>
    <w:lvl w:ilvl="5" w:tplc="D98C574E">
      <w:numFmt w:val="bullet"/>
      <w:lvlText w:val="•"/>
      <w:lvlJc w:val="left"/>
      <w:pPr>
        <w:ind w:left="4222" w:hanging="300"/>
      </w:pPr>
      <w:rPr>
        <w:rFonts w:hint="default"/>
        <w:lang w:val="en-US" w:eastAsia="en-US" w:bidi="en-US"/>
      </w:rPr>
    </w:lvl>
    <w:lvl w:ilvl="6" w:tplc="AF8E520C">
      <w:numFmt w:val="bullet"/>
      <w:lvlText w:val="•"/>
      <w:lvlJc w:val="left"/>
      <w:pPr>
        <w:ind w:left="5157" w:hanging="300"/>
      </w:pPr>
      <w:rPr>
        <w:rFonts w:hint="default"/>
        <w:lang w:val="en-US" w:eastAsia="en-US" w:bidi="en-US"/>
      </w:rPr>
    </w:lvl>
    <w:lvl w:ilvl="7" w:tplc="20407ADC">
      <w:numFmt w:val="bullet"/>
      <w:lvlText w:val="•"/>
      <w:lvlJc w:val="left"/>
      <w:pPr>
        <w:ind w:left="6093" w:hanging="300"/>
      </w:pPr>
      <w:rPr>
        <w:rFonts w:hint="default"/>
        <w:lang w:val="en-US" w:eastAsia="en-US" w:bidi="en-US"/>
      </w:rPr>
    </w:lvl>
    <w:lvl w:ilvl="8" w:tplc="E09E9580">
      <w:numFmt w:val="bullet"/>
      <w:lvlText w:val="•"/>
      <w:lvlJc w:val="left"/>
      <w:pPr>
        <w:ind w:left="7028" w:hanging="30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B706EA"/>
    <w:rsid w:val="000121CC"/>
    <w:rsid w:val="000175EB"/>
    <w:rsid w:val="000F0B44"/>
    <w:rsid w:val="00121EA1"/>
    <w:rsid w:val="002F4B98"/>
    <w:rsid w:val="00385D41"/>
    <w:rsid w:val="00405B79"/>
    <w:rsid w:val="004A6E1C"/>
    <w:rsid w:val="0051524E"/>
    <w:rsid w:val="00537A6E"/>
    <w:rsid w:val="00547D6D"/>
    <w:rsid w:val="005C6845"/>
    <w:rsid w:val="00625F8D"/>
    <w:rsid w:val="007940B4"/>
    <w:rsid w:val="008B0009"/>
    <w:rsid w:val="008B28DA"/>
    <w:rsid w:val="009F2EC8"/>
    <w:rsid w:val="00B706EA"/>
    <w:rsid w:val="00C9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2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4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85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D41"/>
    <w:rPr>
      <w:rFonts w:ascii="Segoe UI" w:eastAsia="Times New Roman" w:hAnsi="Segoe UI" w:cs="Segoe UI"/>
      <w:sz w:val="18"/>
      <w:szCs w:val="18"/>
      <w:lang w:bidi="en-US"/>
    </w:rPr>
  </w:style>
  <w:style w:type="table" w:styleId="TableGrid">
    <w:name w:val="Table Grid"/>
    <w:basedOn w:val="TableNormal"/>
    <w:uiPriority w:val="39"/>
    <w:rsid w:val="0079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630"/>
    <w:pPr>
      <w:tabs>
        <w:tab w:val="center" w:pos="4680"/>
        <w:tab w:val="right" w:pos="9360"/>
      </w:tabs>
    </w:pPr>
  </w:style>
  <w:style w:type="character" w:customStyle="1" w:styleId="HeaderChar">
    <w:name w:val="Header Char"/>
    <w:basedOn w:val="DefaultParagraphFont"/>
    <w:link w:val="Header"/>
    <w:uiPriority w:val="99"/>
    <w:rsid w:val="00C94630"/>
    <w:rPr>
      <w:rFonts w:ascii="Times New Roman" w:eastAsia="Times New Roman" w:hAnsi="Times New Roman" w:cs="Times New Roman"/>
      <w:lang w:bidi="en-US"/>
    </w:rPr>
  </w:style>
  <w:style w:type="paragraph" w:styleId="Footer">
    <w:name w:val="footer"/>
    <w:basedOn w:val="Normal"/>
    <w:link w:val="FooterChar"/>
    <w:uiPriority w:val="99"/>
    <w:unhideWhenUsed/>
    <w:rsid w:val="00C94630"/>
    <w:pPr>
      <w:tabs>
        <w:tab w:val="center" w:pos="4680"/>
        <w:tab w:val="right" w:pos="9360"/>
      </w:tabs>
    </w:pPr>
  </w:style>
  <w:style w:type="character" w:customStyle="1" w:styleId="FooterChar">
    <w:name w:val="Footer Char"/>
    <w:basedOn w:val="DefaultParagraphFont"/>
    <w:link w:val="Footer"/>
    <w:uiPriority w:val="99"/>
    <w:rsid w:val="00C94630"/>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info.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SYSTEM</cp:lastModifiedBy>
  <cp:revision>2</cp:revision>
  <dcterms:created xsi:type="dcterms:W3CDTF">2019-10-08T16:06:00Z</dcterms:created>
  <dcterms:modified xsi:type="dcterms:W3CDTF">2019-10-08T16:06:00Z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Acrobat PDFMaker 11 for Word</vt:lpwstr>
  </property>
  <property fmtid="{D5CDD505-2E9C-101B-9397-08002B2CF9AE}" pid="4" name="LastSaved">
    <vt:filetime>2019-07-16T00:00:00Z</vt:filetime>
  </property>
</Properties>
</file>