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202" w:rsidRDefault="00306202" w14:paraId="67AA80EE" w14:textId="77777777">
      <w:pPr>
        <w:pStyle w:val="Default"/>
      </w:pPr>
      <w:bookmarkStart w:name="_GoBack" w:id="0"/>
      <w:bookmarkEnd w:id="0"/>
    </w:p>
    <w:p w:rsidR="00306202" w:rsidRDefault="00D059BE" w14:paraId="13212293" w14:textId="77777777">
      <w:pPr>
        <w:pStyle w:val="Default"/>
        <w:rPr>
          <w:sz w:val="23"/>
          <w:szCs w:val="23"/>
        </w:rPr>
      </w:pPr>
      <w:r>
        <w:rPr>
          <w:b/>
          <w:bCs/>
          <w:sz w:val="23"/>
          <w:szCs w:val="23"/>
        </w:rPr>
        <w:t xml:space="preserve">NOTICES </w:t>
      </w:r>
    </w:p>
    <w:p w:rsidR="00306202" w:rsidRDefault="00306202" w14:paraId="79381B65" w14:textId="77777777">
      <w:pPr>
        <w:pStyle w:val="Default"/>
        <w:rPr>
          <w:sz w:val="23"/>
          <w:szCs w:val="23"/>
        </w:rPr>
      </w:pPr>
    </w:p>
    <w:p w:rsidR="00306202" w:rsidRDefault="00D059BE" w14:paraId="787FE228" w14:textId="77777777">
      <w:pPr>
        <w:pStyle w:val="Default"/>
        <w:rPr>
          <w:sz w:val="23"/>
          <w:szCs w:val="23"/>
        </w:rPr>
      </w:pPr>
      <w:r>
        <w:rPr>
          <w:sz w:val="23"/>
          <w:szCs w:val="23"/>
        </w:rPr>
        <w:t xml:space="preserve">Note: This applies to the Nuclear Regulatory Commission (NRC) </w:t>
      </w:r>
    </w:p>
    <w:p w:rsidR="00306202" w:rsidRDefault="00306202" w14:paraId="5D140B18" w14:textId="77777777">
      <w:pPr>
        <w:pStyle w:val="Default"/>
        <w:rPr>
          <w:sz w:val="23"/>
          <w:szCs w:val="23"/>
        </w:rPr>
      </w:pPr>
    </w:p>
    <w:p w:rsidR="00306202" w:rsidRDefault="00D059BE" w14:paraId="64FA8D94" w14:textId="77777777">
      <w:pPr>
        <w:pStyle w:val="BodyText"/>
        <w:tabs>
          <w:tab w:val="left" w:pos="2281"/>
        </w:tabs>
        <w:kinsoku w:val="0"/>
        <w:overflowPunct w:val="0"/>
        <w:ind w:left="0" w:right="194"/>
      </w:pPr>
      <w:r>
        <w:t>To</w:t>
      </w:r>
      <w:r>
        <w:rPr>
          <w:spacing w:val="-7"/>
        </w:rPr>
        <w:t xml:space="preserve"> </w:t>
      </w:r>
      <w:r>
        <w:t>obtain</w:t>
      </w:r>
      <w:r>
        <w:rPr>
          <w:spacing w:val="-7"/>
        </w:rPr>
        <w:t xml:space="preserve"> </w:t>
      </w:r>
      <w:r>
        <w:rPr>
          <w:spacing w:val="-1"/>
        </w:rPr>
        <w:t>the</w:t>
      </w:r>
      <w:r>
        <w:rPr>
          <w:spacing w:val="-6"/>
        </w:rPr>
        <w:t xml:space="preserve"> </w:t>
      </w:r>
      <w:r>
        <w:rPr>
          <w:spacing w:val="-1"/>
        </w:rPr>
        <w:t>essential</w:t>
      </w:r>
      <w:r>
        <w:rPr>
          <w:spacing w:val="-8"/>
        </w:rPr>
        <w:t xml:space="preserve"> </w:t>
      </w:r>
      <w:r>
        <w:t>data</w:t>
      </w:r>
      <w:r>
        <w:rPr>
          <w:spacing w:val="-6"/>
        </w:rPr>
        <w:t xml:space="preserve"> </w:t>
      </w:r>
      <w:r>
        <w:t>from</w:t>
      </w:r>
      <w:r>
        <w:rPr>
          <w:spacing w:val="-7"/>
        </w:rPr>
        <w:t xml:space="preserve"> </w:t>
      </w:r>
      <w:r>
        <w:t>individuals</w:t>
      </w:r>
      <w:r>
        <w:rPr>
          <w:spacing w:val="-6"/>
        </w:rPr>
        <w:t xml:space="preserve"> </w:t>
      </w:r>
      <w:r>
        <w:rPr>
          <w:spacing w:val="-1"/>
        </w:rPr>
        <w:t>necessary</w:t>
      </w:r>
      <w:r>
        <w:rPr>
          <w:spacing w:val="-7"/>
        </w:rPr>
        <w:t xml:space="preserve"> </w:t>
      </w:r>
      <w:r>
        <w:t>to</w:t>
      </w:r>
      <w:r>
        <w:rPr>
          <w:spacing w:val="-6"/>
        </w:rPr>
        <w:t xml:space="preserve"> </w:t>
      </w:r>
      <w:r>
        <w:rPr>
          <w:spacing w:val="-1"/>
        </w:rPr>
        <w:t>determine</w:t>
      </w:r>
      <w:r>
        <w:rPr>
          <w:spacing w:val="-8"/>
        </w:rPr>
        <w:t xml:space="preserve"> </w:t>
      </w:r>
      <w:r>
        <w:t>their</w:t>
      </w:r>
      <w:r>
        <w:rPr>
          <w:spacing w:val="53"/>
          <w:w w:val="99"/>
        </w:rPr>
        <w:t xml:space="preserve"> </w:t>
      </w:r>
      <w:r>
        <w:t>eligibility</w:t>
      </w:r>
      <w:r>
        <w:rPr>
          <w:spacing w:val="-7"/>
        </w:rPr>
        <w:t xml:space="preserve"> </w:t>
      </w:r>
      <w:r>
        <w:t>or</w:t>
      </w:r>
      <w:r>
        <w:rPr>
          <w:spacing w:val="-7"/>
        </w:rPr>
        <w:t xml:space="preserve"> </w:t>
      </w:r>
      <w:r>
        <w:t>continuing</w:t>
      </w:r>
      <w:r>
        <w:rPr>
          <w:spacing w:val="-7"/>
        </w:rPr>
        <w:t xml:space="preserve"> </w:t>
      </w:r>
      <w:r>
        <w:t>eligibility</w:t>
      </w:r>
      <w:r>
        <w:rPr>
          <w:spacing w:val="-6"/>
        </w:rPr>
        <w:t xml:space="preserve"> </w:t>
      </w:r>
      <w:r>
        <w:t>for</w:t>
      </w:r>
      <w:r>
        <w:rPr>
          <w:spacing w:val="-7"/>
        </w:rPr>
        <w:t xml:space="preserve"> </w:t>
      </w:r>
      <w:r>
        <w:t>an</w:t>
      </w:r>
      <w:r>
        <w:rPr>
          <w:spacing w:val="-7"/>
        </w:rPr>
        <w:t xml:space="preserve"> </w:t>
      </w:r>
      <w:r>
        <w:t>NRC</w:t>
      </w:r>
      <w:r>
        <w:rPr>
          <w:spacing w:val="-6"/>
        </w:rPr>
        <w:t xml:space="preserve"> </w:t>
      </w:r>
      <w:r>
        <w:t>access</w:t>
      </w:r>
      <w:r>
        <w:rPr>
          <w:spacing w:val="-7"/>
        </w:rPr>
        <w:t xml:space="preserve"> </w:t>
      </w:r>
      <w:r>
        <w:t>authorization</w:t>
      </w:r>
      <w:r>
        <w:rPr>
          <w:spacing w:val="-7"/>
        </w:rPr>
        <w:t xml:space="preserve"> </w:t>
      </w:r>
      <w:r>
        <w:t>for</w:t>
      </w:r>
      <w:r>
        <w:rPr>
          <w:w w:val="99"/>
        </w:rPr>
        <w:t xml:space="preserve"> </w:t>
      </w:r>
      <w:r>
        <w:t>access</w:t>
      </w:r>
      <w:r>
        <w:rPr>
          <w:spacing w:val="-9"/>
        </w:rPr>
        <w:t xml:space="preserve"> </w:t>
      </w:r>
      <w:r>
        <w:t>to</w:t>
      </w:r>
      <w:r>
        <w:rPr>
          <w:spacing w:val="-8"/>
        </w:rPr>
        <w:t xml:space="preserve"> </w:t>
      </w:r>
      <w:r>
        <w:t>classified</w:t>
      </w:r>
      <w:r>
        <w:rPr>
          <w:spacing w:val="-10"/>
        </w:rPr>
        <w:t xml:space="preserve"> </w:t>
      </w:r>
      <w:r>
        <w:rPr>
          <w:spacing w:val="-1"/>
        </w:rPr>
        <w:t>information and to comply with the</w:t>
      </w:r>
      <w:r>
        <w:rPr>
          <w:spacing w:val="-8"/>
        </w:rPr>
        <w:t xml:space="preserve"> </w:t>
      </w:r>
      <w:r>
        <w:t>their</w:t>
      </w:r>
      <w:r>
        <w:rPr>
          <w:spacing w:val="53"/>
          <w:w w:val="99"/>
        </w:rPr>
        <w:t xml:space="preserve"> </w:t>
      </w:r>
      <w:r>
        <w:t>eligibility</w:t>
      </w:r>
      <w:r>
        <w:rPr>
          <w:spacing w:val="-7"/>
        </w:rPr>
        <w:t xml:space="preserve"> </w:t>
      </w:r>
      <w:r>
        <w:t>or</w:t>
      </w:r>
      <w:r>
        <w:rPr>
          <w:spacing w:val="-7"/>
        </w:rPr>
        <w:t xml:space="preserve"> </w:t>
      </w:r>
      <w:r>
        <w:t>continuing</w:t>
      </w:r>
      <w:r>
        <w:rPr>
          <w:spacing w:val="-7"/>
        </w:rPr>
        <w:t xml:space="preserve"> </w:t>
      </w:r>
      <w:r>
        <w:t>eligibility</w:t>
      </w:r>
      <w:r>
        <w:rPr>
          <w:spacing w:val="-6"/>
        </w:rPr>
        <w:t xml:space="preserve"> </w:t>
      </w:r>
      <w:r>
        <w:t>for</w:t>
      </w:r>
      <w:r>
        <w:rPr>
          <w:spacing w:val="-7"/>
        </w:rPr>
        <w:t xml:space="preserve"> </w:t>
      </w:r>
      <w:r>
        <w:t>an</w:t>
      </w:r>
      <w:r>
        <w:rPr>
          <w:spacing w:val="-7"/>
        </w:rPr>
        <w:t xml:space="preserve"> </w:t>
      </w:r>
      <w:r>
        <w:t>NRC</w:t>
      </w:r>
      <w:r>
        <w:rPr>
          <w:spacing w:val="-6"/>
        </w:rPr>
        <w:t xml:space="preserve"> </w:t>
      </w:r>
      <w:r>
        <w:t>access</w:t>
      </w:r>
      <w:r>
        <w:rPr>
          <w:spacing w:val="-7"/>
        </w:rPr>
        <w:t xml:space="preserve"> </w:t>
      </w:r>
      <w:r>
        <w:t>authorization</w:t>
      </w:r>
      <w:r>
        <w:rPr>
          <w:spacing w:val="-7"/>
        </w:rPr>
        <w:t xml:space="preserve"> </w:t>
      </w:r>
      <w:r>
        <w:t>for</w:t>
      </w:r>
      <w:r>
        <w:rPr>
          <w:w w:val="99"/>
        </w:rPr>
        <w:t xml:space="preserve"> </w:t>
      </w:r>
      <w:r>
        <w:t>access</w:t>
      </w:r>
      <w:r>
        <w:rPr>
          <w:spacing w:val="-9"/>
        </w:rPr>
        <w:t xml:space="preserve"> </w:t>
      </w:r>
      <w:r>
        <w:t>to</w:t>
      </w:r>
      <w:r>
        <w:rPr>
          <w:spacing w:val="-8"/>
        </w:rPr>
        <w:t xml:space="preserve"> </w:t>
      </w:r>
      <w:r>
        <w:t>classified</w:t>
      </w:r>
      <w:r>
        <w:rPr>
          <w:spacing w:val="-10"/>
        </w:rPr>
        <w:t xml:space="preserve"> </w:t>
      </w:r>
      <w:r>
        <w:rPr>
          <w:spacing w:val="-1"/>
        </w:rPr>
        <w:t>information and to comply with the</w:t>
      </w:r>
      <w:r>
        <w:rPr>
          <w:spacing w:val="-8"/>
        </w:rPr>
        <w:t xml:space="preserve"> </w:t>
      </w:r>
      <w:r>
        <w:t>pertinent</w:t>
      </w:r>
      <w:r>
        <w:rPr>
          <w:spacing w:val="-8"/>
        </w:rPr>
        <w:t xml:space="preserve"> </w:t>
      </w:r>
      <w:r>
        <w:rPr>
          <w:spacing w:val="-1"/>
        </w:rPr>
        <w:t>statutes</w:t>
      </w:r>
      <w:r>
        <w:rPr>
          <w:spacing w:val="-8"/>
        </w:rPr>
        <w:t xml:space="preserve"> </w:t>
      </w:r>
      <w:r>
        <w:t>and</w:t>
      </w:r>
      <w:r>
        <w:rPr>
          <w:spacing w:val="-9"/>
        </w:rPr>
        <w:t xml:space="preserve"> </w:t>
      </w:r>
      <w:r>
        <w:t>Executive</w:t>
      </w:r>
      <w:r>
        <w:rPr>
          <w:spacing w:val="-8"/>
        </w:rPr>
        <w:t xml:space="preserve"> </w:t>
      </w:r>
      <w:r>
        <w:t>Orders</w:t>
      </w:r>
      <w:r>
        <w:rPr>
          <w:spacing w:val="-8"/>
        </w:rPr>
        <w:t xml:space="preserve"> </w:t>
      </w:r>
      <w:r>
        <w:t>which</w:t>
      </w:r>
      <w:r>
        <w:rPr>
          <w:spacing w:val="-9"/>
        </w:rPr>
        <w:t xml:space="preserve"> </w:t>
      </w:r>
      <w:r>
        <w:t>authorize</w:t>
      </w:r>
      <w:r>
        <w:rPr>
          <w:spacing w:val="27"/>
          <w:w w:val="99"/>
        </w:rPr>
        <w:t xml:space="preserve"> </w:t>
      </w:r>
      <w:r>
        <w:t>background</w:t>
      </w:r>
      <w:r>
        <w:rPr>
          <w:spacing w:val="-11"/>
        </w:rPr>
        <w:t xml:space="preserve"> </w:t>
      </w:r>
      <w:r>
        <w:rPr>
          <w:spacing w:val="-1"/>
        </w:rPr>
        <w:t>investigations</w:t>
      </w:r>
      <w:r>
        <w:rPr>
          <w:spacing w:val="-9"/>
        </w:rPr>
        <w:t xml:space="preserve"> </w:t>
      </w:r>
      <w:r>
        <w:t>on</w:t>
      </w:r>
      <w:r>
        <w:rPr>
          <w:spacing w:val="-10"/>
        </w:rPr>
        <w:t xml:space="preserve"> </w:t>
      </w:r>
      <w:r>
        <w:t>an</w:t>
      </w:r>
      <w:r>
        <w:rPr>
          <w:spacing w:val="-9"/>
        </w:rPr>
        <w:t xml:space="preserve"> </w:t>
      </w:r>
      <w:r>
        <w:t>individual’s</w:t>
      </w:r>
      <w:r>
        <w:rPr>
          <w:spacing w:val="-10"/>
        </w:rPr>
        <w:t xml:space="preserve"> </w:t>
      </w:r>
      <w:r>
        <w:rPr>
          <w:spacing w:val="-1"/>
        </w:rPr>
        <w:t>character,</w:t>
      </w:r>
      <w:r>
        <w:rPr>
          <w:spacing w:val="-10"/>
        </w:rPr>
        <w:t xml:space="preserve"> </w:t>
      </w:r>
      <w:r>
        <w:rPr>
          <w:spacing w:val="-1"/>
        </w:rPr>
        <w:t>associations,</w:t>
      </w:r>
      <w:r>
        <w:rPr>
          <w:spacing w:val="-9"/>
        </w:rPr>
        <w:t xml:space="preserve"> </w:t>
      </w:r>
      <w:r>
        <w:t>and</w:t>
      </w:r>
      <w:r>
        <w:rPr>
          <w:spacing w:val="67"/>
          <w:w w:val="99"/>
        </w:rPr>
        <w:t xml:space="preserve"> </w:t>
      </w:r>
      <w:r>
        <w:t>loyalty.  The authority for 10 CFR Part 25 is: Atomic Energy Act of 1954, secs. 145, 161, 223, 234 (42 U.S.C. 2165, 2201, 2273, 2282); Energy Reorganization Act of 1974, sec. 201 (42 U.S.C. 5841); 44 U.S.C. 3504 note; E.O. 10865, 25 FR 1583, as amended, 3 CFR, 1959–1963 Comp., p. 398; E.O. 12829, 58 FR 3479, 3 CFR, 1993 Comp., p. 570; E.O. 13526, 75 FR 707, 3 CFR, 2009 Comp., p. 298; E.O. 12968, 60 FR 40245, 3 CFR, 1995 Comp., p. 391.  Section 25.17(f) and Appendix A also issued under 31 U.S.C. 9701; 42 U.S.C. 2214.</w:t>
      </w:r>
    </w:p>
    <w:p w:rsidR="00306202" w:rsidRDefault="00306202" w14:paraId="7B165C40" w14:textId="77777777">
      <w:pPr>
        <w:pStyle w:val="BodyText"/>
        <w:kinsoku w:val="0"/>
        <w:overflowPunct w:val="0"/>
        <w:ind w:left="0"/>
      </w:pPr>
    </w:p>
    <w:p w:rsidR="00306202" w:rsidRDefault="00D059BE" w14:paraId="23DDFC43" w14:textId="77777777">
      <w:pPr>
        <w:pStyle w:val="BodyText"/>
        <w:tabs>
          <w:tab w:val="left" w:pos="2281"/>
        </w:tabs>
        <w:kinsoku w:val="0"/>
        <w:overflowPunct w:val="0"/>
        <w:ind w:left="0" w:right="105"/>
        <w:jc w:val="both"/>
      </w:pPr>
      <w:r>
        <w:t>To</w:t>
      </w:r>
      <w:r>
        <w:rPr>
          <w:spacing w:val="-8"/>
        </w:rPr>
        <w:t xml:space="preserve"> </w:t>
      </w:r>
      <w:r>
        <w:t>obtain</w:t>
      </w:r>
      <w:r>
        <w:rPr>
          <w:spacing w:val="-7"/>
        </w:rPr>
        <w:t xml:space="preserve"> </w:t>
      </w:r>
      <w:r>
        <w:t>essential</w:t>
      </w:r>
      <w:r>
        <w:rPr>
          <w:spacing w:val="-7"/>
        </w:rPr>
        <w:t xml:space="preserve"> </w:t>
      </w:r>
      <w:r>
        <w:t>data</w:t>
      </w:r>
      <w:r>
        <w:rPr>
          <w:spacing w:val="-8"/>
        </w:rPr>
        <w:t xml:space="preserve"> </w:t>
      </w:r>
      <w:r>
        <w:t>describing</w:t>
      </w:r>
      <w:r>
        <w:rPr>
          <w:spacing w:val="-7"/>
        </w:rPr>
        <w:t xml:space="preserve"> </w:t>
      </w:r>
      <w:r>
        <w:rPr>
          <w:spacing w:val="-1"/>
        </w:rPr>
        <w:t>normal</w:t>
      </w:r>
      <w:r>
        <w:rPr>
          <w:spacing w:val="-7"/>
        </w:rPr>
        <w:t xml:space="preserve"> </w:t>
      </w:r>
      <w:r>
        <w:t>operating</w:t>
      </w:r>
      <w:r>
        <w:rPr>
          <w:spacing w:val="-7"/>
        </w:rPr>
        <w:t xml:space="preserve"> </w:t>
      </w:r>
      <w:r>
        <w:rPr>
          <w:spacing w:val="-1"/>
        </w:rPr>
        <w:t>procedures</w:t>
      </w:r>
      <w:r>
        <w:rPr>
          <w:spacing w:val="-7"/>
        </w:rPr>
        <w:t xml:space="preserve"> </w:t>
      </w:r>
      <w:r>
        <w:t>pertinent</w:t>
      </w:r>
      <w:r>
        <w:rPr>
          <w:spacing w:val="28"/>
          <w:w w:val="99"/>
        </w:rPr>
        <w:t xml:space="preserve"> </w:t>
      </w:r>
      <w:r>
        <w:t>to</w:t>
      </w:r>
      <w:r>
        <w:rPr>
          <w:spacing w:val="-6"/>
        </w:rPr>
        <w:t xml:space="preserve"> </w:t>
      </w:r>
      <w:r>
        <w:t>personnel</w:t>
      </w:r>
      <w:r>
        <w:rPr>
          <w:spacing w:val="-6"/>
        </w:rPr>
        <w:t xml:space="preserve"> </w:t>
      </w:r>
      <w:r>
        <w:t>security</w:t>
      </w:r>
      <w:r>
        <w:rPr>
          <w:spacing w:val="-5"/>
        </w:rPr>
        <w:t xml:space="preserve"> </w:t>
      </w:r>
      <w:r>
        <w:rPr>
          <w:spacing w:val="-1"/>
        </w:rPr>
        <w:t>and</w:t>
      </w:r>
      <w:r>
        <w:rPr>
          <w:spacing w:val="-6"/>
        </w:rPr>
        <w:t xml:space="preserve"> </w:t>
      </w:r>
      <w:r>
        <w:t>visitor</w:t>
      </w:r>
      <w:r>
        <w:rPr>
          <w:spacing w:val="-5"/>
        </w:rPr>
        <w:t xml:space="preserve"> </w:t>
      </w:r>
      <w:r>
        <w:rPr>
          <w:spacing w:val="-1"/>
        </w:rPr>
        <w:t>control</w:t>
      </w:r>
      <w:r>
        <w:rPr>
          <w:spacing w:val="-6"/>
        </w:rPr>
        <w:t xml:space="preserve"> </w:t>
      </w:r>
      <w:r>
        <w:t>activities</w:t>
      </w:r>
      <w:r>
        <w:rPr>
          <w:spacing w:val="-6"/>
        </w:rPr>
        <w:t xml:space="preserve"> </w:t>
      </w:r>
      <w:r>
        <w:t>to</w:t>
      </w:r>
      <w:r>
        <w:rPr>
          <w:spacing w:val="-5"/>
        </w:rPr>
        <w:t xml:space="preserve"> </w:t>
      </w:r>
      <w:r>
        <w:t>ensure</w:t>
      </w:r>
      <w:r>
        <w:rPr>
          <w:spacing w:val="-6"/>
        </w:rPr>
        <w:t xml:space="preserve"> </w:t>
      </w:r>
      <w:r>
        <w:rPr>
          <w:spacing w:val="-1"/>
        </w:rPr>
        <w:t>that</w:t>
      </w:r>
      <w:r>
        <w:rPr>
          <w:spacing w:val="-5"/>
        </w:rPr>
        <w:t xml:space="preserve"> </w:t>
      </w:r>
      <w:r>
        <w:t>regulatory</w:t>
      </w:r>
      <w:r>
        <w:rPr>
          <w:spacing w:val="23"/>
          <w:w w:val="99"/>
        </w:rPr>
        <w:t xml:space="preserve"> </w:t>
      </w:r>
      <w:r>
        <w:t>requirements</w:t>
      </w:r>
      <w:r>
        <w:rPr>
          <w:spacing w:val="-8"/>
        </w:rPr>
        <w:t xml:space="preserve"> </w:t>
      </w:r>
      <w:r>
        <w:t>are</w:t>
      </w:r>
      <w:r>
        <w:rPr>
          <w:spacing w:val="-7"/>
        </w:rPr>
        <w:t xml:space="preserve"> </w:t>
      </w:r>
      <w:r>
        <w:t>being</w:t>
      </w:r>
      <w:r>
        <w:rPr>
          <w:spacing w:val="-9"/>
        </w:rPr>
        <w:t xml:space="preserve"> </w:t>
      </w:r>
      <w:r>
        <w:t>met</w:t>
      </w:r>
      <w:r>
        <w:rPr>
          <w:spacing w:val="-7"/>
        </w:rPr>
        <w:t xml:space="preserve"> </w:t>
      </w:r>
      <w:r>
        <w:t>by</w:t>
      </w:r>
      <w:r>
        <w:rPr>
          <w:spacing w:val="-7"/>
        </w:rPr>
        <w:t xml:space="preserve"> </w:t>
      </w:r>
      <w:r>
        <w:t>licensees</w:t>
      </w:r>
      <w:r>
        <w:rPr>
          <w:spacing w:val="-8"/>
        </w:rPr>
        <w:t xml:space="preserve"> </w:t>
      </w:r>
      <w:r>
        <w:t>and</w:t>
      </w:r>
      <w:r>
        <w:rPr>
          <w:spacing w:val="-7"/>
        </w:rPr>
        <w:t xml:space="preserve"> </w:t>
      </w:r>
      <w:r>
        <w:rPr>
          <w:spacing w:val="-1"/>
        </w:rPr>
        <w:t>other</w:t>
      </w:r>
      <w:r>
        <w:rPr>
          <w:spacing w:val="-7"/>
        </w:rPr>
        <w:t xml:space="preserve"> </w:t>
      </w:r>
      <w:r>
        <w:rPr>
          <w:spacing w:val="-1"/>
        </w:rPr>
        <w:t>organizations.</w:t>
      </w:r>
    </w:p>
    <w:p w:rsidR="00306202" w:rsidRDefault="00306202" w14:paraId="1623574E" w14:textId="77777777">
      <w:pPr>
        <w:pStyle w:val="BodyText"/>
        <w:kinsoku w:val="0"/>
        <w:overflowPunct w:val="0"/>
        <w:spacing w:before="3"/>
        <w:ind w:left="0"/>
      </w:pPr>
    </w:p>
    <w:p w:rsidR="00306202" w:rsidRDefault="00D059BE" w14:paraId="64D91151" w14:textId="77777777">
      <w:pPr>
        <w:pStyle w:val="BodyText"/>
        <w:tabs>
          <w:tab w:val="left" w:pos="1880"/>
        </w:tabs>
        <w:kinsoku w:val="0"/>
        <w:overflowPunct w:val="0"/>
        <w:spacing w:before="71"/>
        <w:ind w:left="0" w:right="139"/>
      </w:pPr>
      <w:r>
        <w:t>To</w:t>
      </w:r>
      <w:r>
        <w:rPr>
          <w:spacing w:val="-6"/>
        </w:rPr>
        <w:t xml:space="preserve"> </w:t>
      </w:r>
      <w:r>
        <w:t>obtain</w:t>
      </w:r>
      <w:r>
        <w:rPr>
          <w:spacing w:val="-6"/>
        </w:rPr>
        <w:t xml:space="preserve"> </w:t>
      </w:r>
      <w:r>
        <w:t>essential</w:t>
      </w:r>
      <w:r>
        <w:rPr>
          <w:spacing w:val="-6"/>
        </w:rPr>
        <w:t xml:space="preserve"> </w:t>
      </w:r>
      <w:r>
        <w:t>data</w:t>
      </w:r>
      <w:r>
        <w:rPr>
          <w:spacing w:val="-7"/>
        </w:rPr>
        <w:t xml:space="preserve"> </w:t>
      </w:r>
      <w:r>
        <w:t>which</w:t>
      </w:r>
      <w:r>
        <w:rPr>
          <w:spacing w:val="-6"/>
        </w:rPr>
        <w:t xml:space="preserve"> </w:t>
      </w:r>
      <w:r>
        <w:t>serves</w:t>
      </w:r>
      <w:r>
        <w:rPr>
          <w:spacing w:val="-5"/>
        </w:rPr>
        <w:t xml:space="preserve"> </w:t>
      </w:r>
      <w:r>
        <w:t>as</w:t>
      </w:r>
      <w:r>
        <w:rPr>
          <w:spacing w:val="-6"/>
        </w:rPr>
        <w:t xml:space="preserve"> </w:t>
      </w:r>
      <w:r>
        <w:t>the</w:t>
      </w:r>
      <w:r>
        <w:rPr>
          <w:spacing w:val="-6"/>
        </w:rPr>
        <w:t xml:space="preserve"> </w:t>
      </w:r>
      <w:r>
        <w:t>basis</w:t>
      </w:r>
      <w:r>
        <w:rPr>
          <w:spacing w:val="-6"/>
        </w:rPr>
        <w:t xml:space="preserve"> </w:t>
      </w:r>
      <w:r>
        <w:t>for</w:t>
      </w:r>
      <w:r>
        <w:rPr>
          <w:spacing w:val="-6"/>
        </w:rPr>
        <w:t xml:space="preserve"> </w:t>
      </w:r>
      <w:r>
        <w:t>determining</w:t>
      </w:r>
      <w:r>
        <w:rPr>
          <w:w w:val="99"/>
        </w:rPr>
        <w:t xml:space="preserve"> </w:t>
      </w:r>
      <w:r>
        <w:t>continued</w:t>
      </w:r>
      <w:r>
        <w:rPr>
          <w:spacing w:val="-7"/>
        </w:rPr>
        <w:t xml:space="preserve"> </w:t>
      </w:r>
      <w:r>
        <w:t>eligibility</w:t>
      </w:r>
      <w:r>
        <w:rPr>
          <w:spacing w:val="-7"/>
        </w:rPr>
        <w:t xml:space="preserve"> </w:t>
      </w:r>
      <w:r>
        <w:t>of</w:t>
      </w:r>
      <w:r>
        <w:rPr>
          <w:spacing w:val="-6"/>
        </w:rPr>
        <w:t xml:space="preserve"> </w:t>
      </w:r>
      <w:r>
        <w:t>an</w:t>
      </w:r>
      <w:r>
        <w:rPr>
          <w:spacing w:val="-7"/>
        </w:rPr>
        <w:t xml:space="preserve"> </w:t>
      </w:r>
      <w:r>
        <w:t>individual</w:t>
      </w:r>
      <w:r>
        <w:rPr>
          <w:spacing w:val="-6"/>
        </w:rPr>
        <w:t xml:space="preserve"> </w:t>
      </w:r>
      <w:r>
        <w:t>for</w:t>
      </w:r>
      <w:r>
        <w:rPr>
          <w:spacing w:val="-7"/>
        </w:rPr>
        <w:t xml:space="preserve"> </w:t>
      </w:r>
      <w:r>
        <w:t>an</w:t>
      </w:r>
      <w:r>
        <w:rPr>
          <w:spacing w:val="-7"/>
        </w:rPr>
        <w:t xml:space="preserve"> </w:t>
      </w:r>
      <w:r>
        <w:t>NRC</w:t>
      </w:r>
      <w:r>
        <w:rPr>
          <w:spacing w:val="-6"/>
        </w:rPr>
        <w:t xml:space="preserve"> </w:t>
      </w:r>
      <w:r>
        <w:t>access</w:t>
      </w:r>
      <w:r>
        <w:rPr>
          <w:spacing w:val="-7"/>
        </w:rPr>
        <w:t xml:space="preserve"> </w:t>
      </w:r>
      <w:r>
        <w:rPr>
          <w:spacing w:val="-1"/>
        </w:rPr>
        <w:t>authorization</w:t>
      </w:r>
      <w:r>
        <w:rPr>
          <w:spacing w:val="-6"/>
        </w:rPr>
        <w:t xml:space="preserve"> </w:t>
      </w:r>
      <w:r>
        <w:t>when</w:t>
      </w:r>
      <w:r>
        <w:rPr>
          <w:spacing w:val="24"/>
          <w:w w:val="99"/>
        </w:rPr>
        <w:t xml:space="preserve"> </w:t>
      </w:r>
      <w:r>
        <w:t>occurrences</w:t>
      </w:r>
      <w:r>
        <w:rPr>
          <w:spacing w:val="-7"/>
        </w:rPr>
        <w:t xml:space="preserve"> </w:t>
      </w:r>
      <w:r>
        <w:t>or</w:t>
      </w:r>
      <w:r>
        <w:rPr>
          <w:spacing w:val="-7"/>
        </w:rPr>
        <w:t xml:space="preserve"> </w:t>
      </w:r>
      <w:r>
        <w:t>developments</w:t>
      </w:r>
      <w:r>
        <w:rPr>
          <w:spacing w:val="-7"/>
        </w:rPr>
        <w:t xml:space="preserve"> </w:t>
      </w:r>
      <w:r>
        <w:t>arise</w:t>
      </w:r>
      <w:r>
        <w:rPr>
          <w:spacing w:val="-8"/>
        </w:rPr>
        <w:t xml:space="preserve"> </w:t>
      </w:r>
      <w:r>
        <w:t>which</w:t>
      </w:r>
      <w:r>
        <w:rPr>
          <w:spacing w:val="-7"/>
        </w:rPr>
        <w:t xml:space="preserve"> </w:t>
      </w:r>
      <w:r>
        <w:t>may</w:t>
      </w:r>
      <w:r>
        <w:rPr>
          <w:spacing w:val="-7"/>
        </w:rPr>
        <w:t xml:space="preserve"> </w:t>
      </w:r>
      <w:r>
        <w:t>affect</w:t>
      </w:r>
      <w:r>
        <w:rPr>
          <w:spacing w:val="-7"/>
        </w:rPr>
        <w:t xml:space="preserve"> </w:t>
      </w:r>
      <w:r>
        <w:t>the</w:t>
      </w:r>
      <w:r>
        <w:rPr>
          <w:spacing w:val="-7"/>
        </w:rPr>
        <w:t xml:space="preserve"> </w:t>
      </w:r>
      <w:r>
        <w:t>initial</w:t>
      </w:r>
      <w:r>
        <w:rPr>
          <w:spacing w:val="21"/>
          <w:w w:val="99"/>
        </w:rPr>
        <w:t xml:space="preserve"> </w:t>
      </w:r>
      <w:r>
        <w:t>determination.</w:t>
      </w:r>
    </w:p>
    <w:p w:rsidR="00306202" w:rsidRDefault="00306202" w14:paraId="767A434A" w14:textId="77777777">
      <w:pPr>
        <w:pStyle w:val="Default"/>
        <w:rPr>
          <w:sz w:val="23"/>
          <w:szCs w:val="23"/>
        </w:rPr>
      </w:pPr>
    </w:p>
    <w:p w:rsidR="00306202" w:rsidRDefault="00D059BE" w14:paraId="4B74592E" w14:textId="77777777">
      <w:pPr>
        <w:pStyle w:val="Default"/>
        <w:rPr>
          <w:sz w:val="23"/>
          <w:szCs w:val="23"/>
        </w:rPr>
      </w:pPr>
      <w:r>
        <w:rPr>
          <w:b/>
          <w:bCs/>
          <w:sz w:val="23"/>
          <w:szCs w:val="23"/>
        </w:rPr>
        <w:t xml:space="preserve">BURDEN AND NONDISCRIMINATION STATEMENTS </w:t>
      </w:r>
    </w:p>
    <w:p w:rsidR="00306202" w:rsidRDefault="00306202" w14:paraId="498E17BF" w14:textId="77777777">
      <w:pPr>
        <w:pStyle w:val="Default"/>
        <w:rPr>
          <w:sz w:val="23"/>
          <w:szCs w:val="23"/>
        </w:rPr>
      </w:pPr>
    </w:p>
    <w:p w:rsidR="00306202" w:rsidRDefault="00D059BE" w14:paraId="6B31D2A6" w14:textId="77777777">
      <w:pPr>
        <w:pStyle w:val="Default"/>
        <w:rPr>
          <w:i/>
          <w:iCs/>
          <w:sz w:val="22"/>
          <w:szCs w:val="22"/>
        </w:rPr>
      </w:pPr>
      <w:r>
        <w:rPr>
          <w:i/>
          <w:iCs/>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3150-0046. The time required to complete this information collection is estimated to average 30 minutes per report (total of 101.4 hours).</w:t>
      </w:r>
    </w:p>
    <w:p w:rsidR="00306202" w:rsidRDefault="00306202" w14:paraId="716B2975" w14:textId="77777777">
      <w:pPr>
        <w:pStyle w:val="Default"/>
        <w:rPr>
          <w:i/>
          <w:iCs/>
          <w:sz w:val="22"/>
          <w:szCs w:val="22"/>
        </w:rPr>
      </w:pPr>
    </w:p>
    <w:p w:rsidR="00306202" w:rsidRDefault="00D059BE" w14:paraId="372250C9" w14:textId="77777777">
      <w:pPr>
        <w:pStyle w:val="Default"/>
        <w:rPr>
          <w:i/>
          <w:iCs/>
          <w:sz w:val="22"/>
          <w:szCs w:val="22"/>
        </w:rPr>
      </w:pPr>
      <w:r>
        <w:rPr>
          <w:i/>
          <w:iCs/>
          <w:sz w:val="22"/>
          <w:szCs w:val="22"/>
        </w:rPr>
        <w:t xml:space="preserve">The Nuclear Regulatory Commission (NRC)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NRC’s Clearance Officer 301-415-2084. </w:t>
      </w:r>
    </w:p>
    <w:p w:rsidR="00306202" w:rsidRDefault="00306202" w14:paraId="3A81FC6C" w14:textId="77777777">
      <w:pPr>
        <w:pStyle w:val="Default"/>
        <w:rPr>
          <w:i/>
          <w:iCs/>
          <w:sz w:val="22"/>
          <w:szCs w:val="22"/>
        </w:rPr>
      </w:pPr>
    </w:p>
    <w:p w:rsidR="00306202" w:rsidRDefault="00D059BE" w14:paraId="27BD8710" w14:textId="77777777">
      <w:pPr>
        <w:pStyle w:val="Default"/>
        <w:widowControl w:val="0"/>
        <w:rPr>
          <w:i/>
          <w:iCs/>
          <w:sz w:val="22"/>
          <w:szCs w:val="22"/>
        </w:rPr>
      </w:pPr>
      <w:r>
        <w:rPr>
          <w:i/>
          <w:iCs/>
          <w:sz w:val="22"/>
          <w:szCs w:val="22"/>
        </w:rPr>
        <w:t>To file a complaint of discrimination, write NRC, Office of Small Business and Civil Rights, Outreach and Compliance Coordination Program, mailstop 0-3H8, Rockville, Maryland 20895 or call 301-415-7380 (voice) 301-415-5244 (TDD). NRC is an equal opportunity provider and employer.</w:t>
      </w:r>
      <w:r>
        <w:rPr>
          <w:i/>
          <w:iCs/>
          <w:sz w:val="22"/>
          <w:szCs w:val="22"/>
        </w:rPr>
        <w:br/>
      </w:r>
    </w:p>
    <w:p w:rsidR="00306202" w:rsidRDefault="00D059BE" w14:paraId="2CF343C2" w14:textId="77777777">
      <w:pPr>
        <w:spacing w:line="240" w:lineRule="auto"/>
      </w:pPr>
      <w:r>
        <w:t>The Privacy Act of 1974 (5 U.S.C. 552a) and the Freedom of Information Act (5 U.S.C. 552) govern the confidentiality to be provided for information received by the Nuclear Regulatory Commission. This information is maintained in a system of records designated as NRC-39 and described at 8</w:t>
      </w:r>
      <w:r w:rsidR="00CF5246">
        <w:t>4</w:t>
      </w:r>
      <w:r>
        <w:t xml:space="preserve"> Federal Register </w:t>
      </w:r>
      <w:r w:rsidR="00CF5246">
        <w:t>71568</w:t>
      </w:r>
      <w:r>
        <w:t xml:space="preserve"> (</w:t>
      </w:r>
      <w:r w:rsidR="00CF5246">
        <w:t>December 2</w:t>
      </w:r>
      <w:r>
        <w:t>7, 20</w:t>
      </w:r>
      <w:r w:rsidR="00CF5246">
        <w:t>19</w:t>
      </w:r>
      <w:r>
        <w:t>).</w:t>
      </w:r>
    </w:p>
    <w:sectPr w:rsidR="003062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D437" w14:textId="77777777" w:rsidR="00D059BE" w:rsidRDefault="00D059BE">
      <w:pPr>
        <w:spacing w:after="0" w:line="240" w:lineRule="auto"/>
      </w:pPr>
      <w:r>
        <w:separator/>
      </w:r>
    </w:p>
  </w:endnote>
  <w:endnote w:type="continuationSeparator" w:id="0">
    <w:p w14:paraId="69025A41" w14:textId="77777777" w:rsidR="00D059BE" w:rsidRDefault="00D0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8266" w14:textId="77777777" w:rsidR="00306202" w:rsidRDefault="00306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9D77" w14:textId="77777777" w:rsidR="00306202" w:rsidRDefault="00306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F759" w14:textId="77777777" w:rsidR="00306202" w:rsidRDefault="0030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2670F" w14:textId="77777777" w:rsidR="00D059BE" w:rsidRDefault="00D059BE">
      <w:pPr>
        <w:spacing w:after="0" w:line="240" w:lineRule="auto"/>
      </w:pPr>
      <w:r>
        <w:separator/>
      </w:r>
    </w:p>
  </w:footnote>
  <w:footnote w:type="continuationSeparator" w:id="0">
    <w:p w14:paraId="24900C18" w14:textId="77777777" w:rsidR="00D059BE" w:rsidRDefault="00D05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B4AD" w14:textId="77777777" w:rsidR="00306202" w:rsidRDefault="00306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515B" w14:textId="77777777" w:rsidR="00306202" w:rsidRDefault="00D059BE">
    <w:pPr>
      <w:pStyle w:val="Default"/>
      <w:jc w:val="center"/>
      <w:rPr>
        <w:b/>
        <w:bCs/>
        <w:color w:val="auto"/>
        <w:sz w:val="22"/>
        <w:szCs w:val="22"/>
      </w:rPr>
    </w:pPr>
    <w:r>
      <w:rPr>
        <w:b/>
        <w:bCs/>
        <w:color w:val="auto"/>
        <w:sz w:val="22"/>
        <w:szCs w:val="22"/>
      </w:rPr>
      <w:t>REF:  SF312 - CLASSIFIED INFORMATION NONDISCLOSURE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A187" w14:textId="77777777" w:rsidR="00306202" w:rsidRDefault="00306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1"/>
      <w:numFmt w:val="lowerLetter"/>
      <w:lvlText w:val="%1."/>
      <w:lvlJc w:val="left"/>
      <w:pPr>
        <w:ind w:left="2280" w:hanging="721"/>
      </w:pPr>
      <w:rPr>
        <w:rFonts w:ascii="Arial" w:hAnsi="Arial" w:cs="Arial"/>
        <w:b w:val="0"/>
        <w:bCs w:val="0"/>
        <w:w w:val="99"/>
        <w:sz w:val="22"/>
        <w:szCs w:val="22"/>
      </w:rPr>
    </w:lvl>
    <w:lvl w:ilvl="1">
      <w:numFmt w:val="bullet"/>
      <w:lvlText w:val="•"/>
      <w:lvlJc w:val="left"/>
      <w:pPr>
        <w:ind w:left="3010" w:hanging="721"/>
      </w:pPr>
    </w:lvl>
    <w:lvl w:ilvl="2">
      <w:numFmt w:val="bullet"/>
      <w:lvlText w:val="•"/>
      <w:lvlJc w:val="left"/>
      <w:pPr>
        <w:ind w:left="3740" w:hanging="721"/>
      </w:pPr>
    </w:lvl>
    <w:lvl w:ilvl="3">
      <w:numFmt w:val="bullet"/>
      <w:lvlText w:val="•"/>
      <w:lvlJc w:val="left"/>
      <w:pPr>
        <w:ind w:left="4470" w:hanging="721"/>
      </w:pPr>
    </w:lvl>
    <w:lvl w:ilvl="4">
      <w:numFmt w:val="bullet"/>
      <w:lvlText w:val="•"/>
      <w:lvlJc w:val="left"/>
      <w:pPr>
        <w:ind w:left="5200" w:hanging="721"/>
      </w:pPr>
    </w:lvl>
    <w:lvl w:ilvl="5">
      <w:numFmt w:val="bullet"/>
      <w:lvlText w:val="•"/>
      <w:lvlJc w:val="left"/>
      <w:pPr>
        <w:ind w:left="5930" w:hanging="721"/>
      </w:pPr>
    </w:lvl>
    <w:lvl w:ilvl="6">
      <w:numFmt w:val="bullet"/>
      <w:lvlText w:val="•"/>
      <w:lvlJc w:val="left"/>
      <w:pPr>
        <w:ind w:left="6660" w:hanging="721"/>
      </w:pPr>
    </w:lvl>
    <w:lvl w:ilvl="7">
      <w:numFmt w:val="bullet"/>
      <w:lvlText w:val="•"/>
      <w:lvlJc w:val="left"/>
      <w:pPr>
        <w:ind w:left="7390" w:hanging="721"/>
      </w:pPr>
    </w:lvl>
    <w:lvl w:ilvl="8">
      <w:numFmt w:val="bullet"/>
      <w:lvlText w:val="•"/>
      <w:lvlJc w:val="left"/>
      <w:pPr>
        <w:ind w:left="8120" w:hanging="7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2"/>
    <w:rsid w:val="00236D0D"/>
    <w:rsid w:val="00306202"/>
    <w:rsid w:val="00CF5246"/>
    <w:rsid w:val="00D0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EDAB"/>
  <w15:chartTrackingRefBased/>
  <w15:docId w15:val="{CFE1F318-755B-4D37-A6CD-643A6844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adjustRightInd w:val="0"/>
      <w:spacing w:after="0" w:line="240" w:lineRule="auto"/>
      <w:ind w:left="1160"/>
    </w:pPr>
    <w:rPr>
      <w:rFonts w:eastAsiaTheme="minorEastAsia"/>
    </w:rPr>
  </w:style>
  <w:style w:type="character" w:customStyle="1" w:styleId="BodyTextChar">
    <w:name w:val="Body Text Char"/>
    <w:basedOn w:val="DefaultParagraphFont"/>
    <w:link w:val="BodyText"/>
    <w:uiPriority w:val="1"/>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B15C6-8E57-4B3A-889F-5ED0BE200198}">
  <ds:schemaRefs>
    <ds:schemaRef ds:uri="http://schemas.microsoft.com/sharepoint/v3/contenttype/forms"/>
  </ds:schemaRefs>
</ds:datastoreItem>
</file>

<file path=customXml/itemProps2.xml><?xml version="1.0" encoding="utf-8"?>
<ds:datastoreItem xmlns:ds="http://schemas.openxmlformats.org/officeDocument/2006/customXml" ds:itemID="{E2F2E593-342C-4934-8639-50F225917C83}">
  <ds:schemaRefs>
    <ds:schemaRef ds:uri="http://purl.org/dc/elements/1.1/"/>
    <ds:schemaRef ds:uri="http://schemas.microsoft.com/office/2006/metadata/properties"/>
    <ds:schemaRef ds:uri="http://schemas.microsoft.com/sharepoint/v3"/>
    <ds:schemaRef ds:uri="http://purl.org/dc/terms/"/>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11fd957d-147f-41f6-a058-03b42122ddbc"/>
    <ds:schemaRef ds:uri="http://www.w3.org/XML/1998/namespace"/>
    <ds:schemaRef ds:uri="http://purl.org/dc/dcmitype/"/>
  </ds:schemaRefs>
</ds:datastoreItem>
</file>

<file path=customXml/itemProps3.xml><?xml version="1.0" encoding="utf-8"?>
<ds:datastoreItem xmlns:ds="http://schemas.openxmlformats.org/officeDocument/2006/customXml" ds:itemID="{C206328D-D004-4CB3-8864-12C284E8E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2730</Characters>
  <Application>Microsoft Office Word</Application>
  <DocSecurity>4</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Sally</dc:creator>
  <cp:keywords/>
  <dc:description/>
  <cp:lastModifiedBy>Benney, Kristen</cp:lastModifiedBy>
  <cp:revision>2</cp:revision>
  <dcterms:created xsi:type="dcterms:W3CDTF">2020-08-27T18:55:00Z</dcterms:created>
  <dcterms:modified xsi:type="dcterms:W3CDTF">2020-08-27T18:55:00Z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