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1E3" w:rsidRPr="005771BD" w:rsidRDefault="00D607BB" w:rsidP="00E177C8">
      <w:pPr>
        <w:pStyle w:val="Title"/>
        <w:rPr>
          <w:szCs w:val="24"/>
          <w:u w:val="none"/>
        </w:rPr>
      </w:pPr>
      <w:r w:rsidRPr="005771BD">
        <w:rPr>
          <w:b/>
          <w:bCs/>
          <w:u w:val="none"/>
        </w:rPr>
        <w:t xml:space="preserve">SUPPORTING STATEMENT </w:t>
      </w:r>
      <w:r w:rsidRPr="005771BD">
        <w:rPr>
          <w:b/>
          <w:bCs/>
          <w:u w:val="none"/>
        </w:rPr>
        <w:br/>
        <w:t>for the Paperwork Reduction Act Information Collection Submission for</w:t>
      </w:r>
    </w:p>
    <w:p w:rsidR="00E177C8" w:rsidRPr="005771BD" w:rsidRDefault="00E177C8" w:rsidP="00E177C8">
      <w:pPr>
        <w:pStyle w:val="Title"/>
        <w:rPr>
          <w:b/>
          <w:szCs w:val="24"/>
          <w:u w:val="none"/>
        </w:rPr>
      </w:pPr>
      <w:r w:rsidRPr="005771BD">
        <w:rPr>
          <w:b/>
          <w:szCs w:val="24"/>
          <w:u w:val="none"/>
        </w:rPr>
        <w:t>Rule 17A</w:t>
      </w:r>
      <w:r w:rsidR="000D02A7" w:rsidRPr="005771BD">
        <w:rPr>
          <w:b/>
          <w:szCs w:val="24"/>
          <w:u w:val="none"/>
        </w:rPr>
        <w:t>b2-2</w:t>
      </w:r>
    </w:p>
    <w:p w:rsidR="00E177C8" w:rsidRDefault="00E177C8" w:rsidP="00E177C8">
      <w:pPr>
        <w:jc w:val="center"/>
        <w:rPr>
          <w:sz w:val="24"/>
          <w:szCs w:val="24"/>
        </w:rPr>
      </w:pPr>
    </w:p>
    <w:p w:rsidR="0028178B" w:rsidRPr="00D222FB" w:rsidRDefault="0028178B" w:rsidP="0028178B">
      <w:pPr>
        <w:pStyle w:val="ListParagraph"/>
        <w:numPr>
          <w:ilvl w:val="0"/>
          <w:numId w:val="9"/>
        </w:numPr>
        <w:overflowPunct/>
        <w:autoSpaceDE/>
        <w:autoSpaceDN/>
        <w:adjustRightInd/>
        <w:ind w:left="0"/>
        <w:textAlignment w:val="auto"/>
        <w:rPr>
          <w:b/>
          <w:sz w:val="24"/>
          <w:szCs w:val="24"/>
          <w:u w:val="single"/>
        </w:rPr>
      </w:pPr>
      <w:r w:rsidRPr="00D222FB">
        <w:rPr>
          <w:b/>
          <w:sz w:val="24"/>
          <w:szCs w:val="24"/>
          <w:u w:val="single"/>
        </w:rPr>
        <w:t>JUSTIFICATION</w:t>
      </w:r>
    </w:p>
    <w:p w:rsidR="00476050" w:rsidRPr="00F05037" w:rsidRDefault="00476050" w:rsidP="00E177C8">
      <w:pPr>
        <w:rPr>
          <w:b/>
          <w:sz w:val="24"/>
          <w:szCs w:val="24"/>
          <w:u w:val="single"/>
        </w:rPr>
      </w:pPr>
    </w:p>
    <w:p w:rsidR="00E177C8" w:rsidRPr="00F05037" w:rsidRDefault="00E177C8" w:rsidP="00476050">
      <w:pPr>
        <w:pStyle w:val="ListParagraph"/>
        <w:numPr>
          <w:ilvl w:val="0"/>
          <w:numId w:val="6"/>
        </w:numPr>
        <w:rPr>
          <w:b/>
          <w:sz w:val="24"/>
          <w:szCs w:val="24"/>
        </w:rPr>
      </w:pPr>
      <w:r w:rsidRPr="00F05037">
        <w:rPr>
          <w:b/>
          <w:sz w:val="24"/>
          <w:szCs w:val="24"/>
          <w:u w:val="single"/>
        </w:rPr>
        <w:t>Necessity of Information Collection</w:t>
      </w:r>
    </w:p>
    <w:p w:rsidR="00F745A1" w:rsidRPr="00F05037" w:rsidRDefault="00F745A1" w:rsidP="00F745A1">
      <w:pPr>
        <w:ind w:firstLine="720"/>
        <w:rPr>
          <w:sz w:val="24"/>
          <w:szCs w:val="24"/>
        </w:rPr>
      </w:pPr>
    </w:p>
    <w:p w:rsidR="00E8444E" w:rsidRPr="00F05037" w:rsidRDefault="00E8444E" w:rsidP="00E8444E">
      <w:pPr>
        <w:ind w:left="360" w:firstLine="720"/>
        <w:rPr>
          <w:b/>
          <w:sz w:val="24"/>
          <w:szCs w:val="24"/>
        </w:rPr>
      </w:pPr>
      <w:r w:rsidRPr="00F05037">
        <w:rPr>
          <w:b/>
          <w:sz w:val="24"/>
          <w:szCs w:val="24"/>
        </w:rPr>
        <w:t xml:space="preserve">Legal and Administrative Requirements </w:t>
      </w:r>
    </w:p>
    <w:p w:rsidR="00E8444E" w:rsidRPr="00F05037" w:rsidRDefault="00E8444E" w:rsidP="00E8444E">
      <w:pPr>
        <w:ind w:left="360" w:firstLine="720"/>
        <w:rPr>
          <w:b/>
          <w:sz w:val="24"/>
          <w:szCs w:val="24"/>
        </w:rPr>
      </w:pPr>
    </w:p>
    <w:p w:rsidR="00476050" w:rsidRPr="00F05037" w:rsidRDefault="00476050" w:rsidP="00D172A7">
      <w:pPr>
        <w:pStyle w:val="ListParagraph"/>
        <w:numPr>
          <w:ilvl w:val="2"/>
          <w:numId w:val="9"/>
        </w:numPr>
        <w:rPr>
          <w:sz w:val="24"/>
          <w:szCs w:val="24"/>
          <w:u w:val="single"/>
        </w:rPr>
      </w:pPr>
      <w:r w:rsidRPr="00F05037">
        <w:rPr>
          <w:sz w:val="24"/>
          <w:szCs w:val="24"/>
          <w:u w:val="single"/>
        </w:rPr>
        <w:t xml:space="preserve">Title VII of Dodd-Frank Act  </w:t>
      </w:r>
    </w:p>
    <w:p w:rsidR="00DD31E3" w:rsidRPr="00F05037" w:rsidRDefault="00DD31E3" w:rsidP="00DD31E3">
      <w:pPr>
        <w:ind w:firstLine="720"/>
        <w:rPr>
          <w:sz w:val="24"/>
          <w:szCs w:val="24"/>
        </w:rPr>
      </w:pPr>
    </w:p>
    <w:p w:rsidR="00476050" w:rsidRPr="00F05037" w:rsidRDefault="00476050" w:rsidP="00DD31E3">
      <w:pPr>
        <w:ind w:firstLine="720"/>
        <w:rPr>
          <w:sz w:val="24"/>
          <w:szCs w:val="24"/>
        </w:rPr>
      </w:pPr>
      <w:r w:rsidRPr="00F05037">
        <w:rPr>
          <w:sz w:val="24"/>
          <w:szCs w:val="24"/>
        </w:rPr>
        <w:t xml:space="preserve">Title VII of the </w:t>
      </w:r>
      <w:r w:rsidR="005024F6" w:rsidRPr="00F05037">
        <w:rPr>
          <w:sz w:val="24"/>
          <w:szCs w:val="24"/>
        </w:rPr>
        <w:t xml:space="preserve">Dodd-Frank Wall Street Reform and Consumer Protection Act of 2010 (“Dodd-Frank Act”) </w:t>
      </w:r>
      <w:r w:rsidRPr="00F05037">
        <w:rPr>
          <w:sz w:val="24"/>
          <w:szCs w:val="24"/>
        </w:rPr>
        <w:t xml:space="preserve">added new provisions to the </w:t>
      </w:r>
      <w:r w:rsidR="005024F6" w:rsidRPr="00F05037">
        <w:rPr>
          <w:sz w:val="24"/>
          <w:szCs w:val="24"/>
        </w:rPr>
        <w:t xml:space="preserve">Securities </w:t>
      </w:r>
      <w:r w:rsidRPr="00F05037">
        <w:rPr>
          <w:sz w:val="24"/>
          <w:szCs w:val="24"/>
        </w:rPr>
        <w:t>Exchange Act</w:t>
      </w:r>
      <w:r w:rsidR="005024F6" w:rsidRPr="00F05037">
        <w:rPr>
          <w:sz w:val="24"/>
          <w:szCs w:val="24"/>
        </w:rPr>
        <w:t xml:space="preserve"> of 1934 (“Exchange Act”)</w:t>
      </w:r>
      <w:r w:rsidRPr="00F05037">
        <w:rPr>
          <w:sz w:val="24"/>
          <w:szCs w:val="24"/>
        </w:rPr>
        <w:t xml:space="preserve"> that require clearing agencies that clear security-based swaps (“security-based swap clearing agencies”) to register with the </w:t>
      </w:r>
      <w:r w:rsidR="00CC7172" w:rsidRPr="00F05037">
        <w:rPr>
          <w:sz w:val="24"/>
          <w:szCs w:val="24"/>
        </w:rPr>
        <w:t xml:space="preserve">Securities </w:t>
      </w:r>
      <w:r w:rsidR="00725587">
        <w:rPr>
          <w:sz w:val="24"/>
          <w:szCs w:val="24"/>
        </w:rPr>
        <w:t xml:space="preserve">and </w:t>
      </w:r>
      <w:r w:rsidR="00CC7172" w:rsidRPr="00F05037">
        <w:rPr>
          <w:sz w:val="24"/>
          <w:szCs w:val="24"/>
        </w:rPr>
        <w:t xml:space="preserve">Exchange </w:t>
      </w:r>
      <w:r w:rsidRPr="00F05037">
        <w:rPr>
          <w:sz w:val="24"/>
          <w:szCs w:val="24"/>
        </w:rPr>
        <w:t>Commission</w:t>
      </w:r>
      <w:r w:rsidR="00CC7172" w:rsidRPr="00F05037">
        <w:rPr>
          <w:sz w:val="24"/>
          <w:szCs w:val="24"/>
        </w:rPr>
        <w:t xml:space="preserve"> (“Commission”)</w:t>
      </w:r>
      <w:r w:rsidRPr="00F05037">
        <w:rPr>
          <w:sz w:val="24"/>
          <w:szCs w:val="24"/>
        </w:rPr>
        <w:t xml:space="preserve"> and require the Commission to adopt rules with respect to security-based swap clearing agencies.  </w:t>
      </w:r>
    </w:p>
    <w:p w:rsidR="003E36B0" w:rsidRPr="00F05037" w:rsidRDefault="003E36B0" w:rsidP="00DD31E3">
      <w:pPr>
        <w:ind w:firstLine="720"/>
        <w:rPr>
          <w:sz w:val="24"/>
          <w:szCs w:val="24"/>
        </w:rPr>
      </w:pPr>
    </w:p>
    <w:p w:rsidR="00476050" w:rsidRPr="00F05037" w:rsidRDefault="00476050" w:rsidP="00DD31E3">
      <w:pPr>
        <w:ind w:firstLine="720"/>
        <w:rPr>
          <w:sz w:val="24"/>
          <w:szCs w:val="24"/>
        </w:rPr>
      </w:pPr>
      <w:r w:rsidRPr="00F05037">
        <w:rPr>
          <w:sz w:val="24"/>
          <w:szCs w:val="24"/>
        </w:rPr>
        <w:t>Specifically, new Section 17A(j) of the Exchange Act requires the Commission to adopt rules governing security-based swap clearing agencies.  New Section 17A(i) of the Exchange Act also gives the Commission authority to promulgate rules that establish standards for security-based swap clearing agencies.  Compliance with any such rules is a prerequisite to the registration of a clearing agency with the Commission and is also a condition to the maintenance of that security-based swap clearing agency’s continued registration.</w:t>
      </w:r>
      <w:r w:rsidR="00CC7172" w:rsidRPr="00F05037">
        <w:rPr>
          <w:sz w:val="24"/>
          <w:szCs w:val="24"/>
        </w:rPr>
        <w:t xml:space="preserve">  </w:t>
      </w:r>
    </w:p>
    <w:p w:rsidR="00DD31E3" w:rsidRPr="00F05037" w:rsidRDefault="00DD31E3" w:rsidP="00DD31E3">
      <w:pPr>
        <w:pStyle w:val="NormalWeb"/>
        <w:spacing w:before="0" w:beforeAutospacing="0" w:after="0" w:afterAutospacing="0"/>
        <w:ind w:firstLine="720"/>
        <w:rPr>
          <w:rFonts w:ascii="Times New Roman" w:hAnsi="Times New Roman"/>
          <w:b/>
          <w:sz w:val="24"/>
          <w:szCs w:val="24"/>
        </w:rPr>
      </w:pPr>
    </w:p>
    <w:p w:rsidR="00476050" w:rsidRPr="00F05037" w:rsidRDefault="00476050" w:rsidP="00D172A7">
      <w:pPr>
        <w:pStyle w:val="NormalWeb"/>
        <w:numPr>
          <w:ilvl w:val="2"/>
          <w:numId w:val="9"/>
        </w:numPr>
        <w:spacing w:before="0" w:beforeAutospacing="0" w:after="0" w:afterAutospacing="0"/>
        <w:rPr>
          <w:rFonts w:ascii="Times New Roman" w:hAnsi="Times New Roman"/>
          <w:b/>
          <w:sz w:val="24"/>
          <w:szCs w:val="24"/>
        </w:rPr>
      </w:pPr>
      <w:r w:rsidRPr="00F05037">
        <w:rPr>
          <w:rFonts w:ascii="Times New Roman" w:hAnsi="Times New Roman"/>
          <w:sz w:val="24"/>
          <w:szCs w:val="24"/>
          <w:u w:val="single"/>
        </w:rPr>
        <w:t>Payment, Clearing, and Settlement Supervision Act of 2010</w:t>
      </w:r>
      <w:r w:rsidRPr="00F05037">
        <w:rPr>
          <w:rFonts w:ascii="Times New Roman" w:hAnsi="Times New Roman"/>
          <w:b/>
          <w:sz w:val="24"/>
          <w:szCs w:val="24"/>
        </w:rPr>
        <w:t xml:space="preserve">  </w:t>
      </w:r>
    </w:p>
    <w:p w:rsidR="00DD31E3" w:rsidRPr="00F05037" w:rsidRDefault="00DD31E3" w:rsidP="00DD31E3">
      <w:pPr>
        <w:pStyle w:val="Title"/>
        <w:ind w:firstLine="720"/>
        <w:jc w:val="left"/>
        <w:rPr>
          <w:szCs w:val="24"/>
          <w:u w:val="none"/>
        </w:rPr>
      </w:pPr>
    </w:p>
    <w:p w:rsidR="00476050" w:rsidRPr="00F05037" w:rsidRDefault="00476050" w:rsidP="00DD31E3">
      <w:pPr>
        <w:pStyle w:val="Title"/>
        <w:ind w:firstLine="720"/>
        <w:jc w:val="left"/>
        <w:rPr>
          <w:b/>
          <w:szCs w:val="24"/>
          <w:u w:val="none"/>
        </w:rPr>
      </w:pPr>
      <w:r w:rsidRPr="00F05037">
        <w:rPr>
          <w:szCs w:val="24"/>
          <w:u w:val="none"/>
        </w:rPr>
        <w:t>Title VIII of the Dodd-Frank Act, entitled the Payment, Clearing, and Settlement Supervision Act of 2010 (“Clearing Supervision Act”), establishes an enhanced supervisory and risk control system for systemically important clearing agencies and other financial market utilities (“FMUs”).  It provides that the Commission may prescribe regulations containing risk management standards, taking into consideration relevant international standards and existing prudential requirements, for any designated clearing entities it regulates.</w:t>
      </w:r>
      <w:r w:rsidR="00A9380D" w:rsidRPr="00F05037">
        <w:rPr>
          <w:szCs w:val="24"/>
          <w:u w:val="none"/>
        </w:rPr>
        <w:t xml:space="preserve">  </w:t>
      </w:r>
      <w:r w:rsidR="00940202" w:rsidRPr="008D7AC1">
        <w:rPr>
          <w:szCs w:val="24"/>
          <w:u w:val="none"/>
        </w:rPr>
        <w:t>On July 11, 2011, the FSOC published a final rule concerning its authority to designate</w:t>
      </w:r>
      <w:r w:rsidR="005C51DE" w:rsidRPr="008D7AC1">
        <w:rPr>
          <w:szCs w:val="24"/>
          <w:u w:val="none"/>
        </w:rPr>
        <w:t xml:space="preserve"> FMUs as systemically important and o</w:t>
      </w:r>
      <w:r w:rsidR="00F2279C" w:rsidRPr="008D7AC1">
        <w:rPr>
          <w:szCs w:val="24"/>
          <w:u w:val="none"/>
        </w:rPr>
        <w:t xml:space="preserve">n July 18, 2012, the FSOC designated as systemically important the following registered clearing agencies: </w:t>
      </w:r>
      <w:r w:rsidR="00A042D6" w:rsidRPr="008D7AC1">
        <w:rPr>
          <w:szCs w:val="24"/>
          <w:u w:val="none"/>
        </w:rPr>
        <w:t xml:space="preserve"> </w:t>
      </w:r>
      <w:r w:rsidR="008F05FF">
        <w:rPr>
          <w:szCs w:val="24"/>
          <w:u w:val="none"/>
        </w:rPr>
        <w:t>Chicago Mercantile Exchange (“</w:t>
      </w:r>
      <w:r w:rsidR="008F05FF" w:rsidRPr="008D7AC1">
        <w:rPr>
          <w:szCs w:val="24"/>
          <w:u w:val="none"/>
        </w:rPr>
        <w:t>CME</w:t>
      </w:r>
      <w:r w:rsidR="008F05FF">
        <w:rPr>
          <w:szCs w:val="24"/>
          <w:u w:val="none"/>
        </w:rPr>
        <w:t>”)</w:t>
      </w:r>
      <w:r w:rsidR="00F2279C" w:rsidRPr="008D7AC1">
        <w:rPr>
          <w:szCs w:val="24"/>
          <w:u w:val="none"/>
        </w:rPr>
        <w:t>, The Depository Trust Company (“DTC”), Fixed Income Clearing Corporation (“FICC”), ICE</w:t>
      </w:r>
      <w:r w:rsidR="003B7E39">
        <w:rPr>
          <w:szCs w:val="24"/>
          <w:u w:val="none"/>
        </w:rPr>
        <w:t xml:space="preserve"> Clear Credit</w:t>
      </w:r>
      <w:r w:rsidR="00652F60">
        <w:rPr>
          <w:szCs w:val="24"/>
          <w:u w:val="none"/>
        </w:rPr>
        <w:t xml:space="preserve"> LLC</w:t>
      </w:r>
      <w:r w:rsidR="00F2279C" w:rsidRPr="008D7AC1">
        <w:rPr>
          <w:szCs w:val="24"/>
          <w:u w:val="none"/>
        </w:rPr>
        <w:t>, National Securities Clearing Corporation (“NSCC”), and The Options Clearing Corporation (“OCC”).</w:t>
      </w:r>
      <w:r w:rsidRPr="00F05037">
        <w:rPr>
          <w:szCs w:val="24"/>
          <w:u w:val="none"/>
        </w:rPr>
        <w:t xml:space="preserve">  Congress recognized in the Clearing Supervision Act that the operation of multilateral payment, clearing or settlement activities may reduce risks for clearing participants and the broader financial system, while at the same time creating new risks that require multilateral payment, clearing or settlement activities to be well-designed and operated in a safe and sound manner.  The Clearing Supervision Act is designed, in part, to provide a regulatory framework to help deal with such risk management issues, which is generally consistent with the Exchange Act requirement that clearing agencies be organized in a manner so as to facilitate prompt and accurate clearance and settlement, safeguard securities and funds and protect investors.</w:t>
      </w:r>
      <w:r w:rsidR="002853EA" w:rsidRPr="00F05037">
        <w:rPr>
          <w:szCs w:val="24"/>
          <w:u w:val="none"/>
        </w:rPr>
        <w:t xml:space="preserve">  </w:t>
      </w:r>
      <w:r w:rsidRPr="00F05037">
        <w:rPr>
          <w:szCs w:val="24"/>
          <w:u w:val="none"/>
        </w:rPr>
        <w:t xml:space="preserve">     </w:t>
      </w:r>
    </w:p>
    <w:p w:rsidR="00DD31E3" w:rsidRPr="00F05037" w:rsidRDefault="00DD31E3" w:rsidP="00DD31E3">
      <w:pPr>
        <w:ind w:firstLine="720"/>
        <w:rPr>
          <w:b/>
          <w:sz w:val="24"/>
          <w:szCs w:val="24"/>
        </w:rPr>
      </w:pPr>
    </w:p>
    <w:p w:rsidR="00476050" w:rsidRPr="00F05037" w:rsidRDefault="00476050" w:rsidP="00D172A7">
      <w:pPr>
        <w:pStyle w:val="ListParagraph"/>
        <w:numPr>
          <w:ilvl w:val="2"/>
          <w:numId w:val="9"/>
        </w:numPr>
        <w:rPr>
          <w:sz w:val="24"/>
          <w:szCs w:val="24"/>
          <w:u w:val="single"/>
        </w:rPr>
      </w:pPr>
      <w:r w:rsidRPr="00F05037">
        <w:rPr>
          <w:sz w:val="24"/>
          <w:szCs w:val="24"/>
          <w:u w:val="single"/>
        </w:rPr>
        <w:t xml:space="preserve">Section 17A of Exchange Act </w:t>
      </w:r>
    </w:p>
    <w:p w:rsidR="00DD31E3" w:rsidRPr="00F05037" w:rsidRDefault="00476050" w:rsidP="00DD31E3">
      <w:pPr>
        <w:tabs>
          <w:tab w:val="left" w:pos="720"/>
        </w:tabs>
        <w:rPr>
          <w:sz w:val="24"/>
          <w:szCs w:val="24"/>
        </w:rPr>
      </w:pPr>
      <w:r w:rsidRPr="00F05037">
        <w:rPr>
          <w:sz w:val="24"/>
          <w:szCs w:val="24"/>
        </w:rPr>
        <w:tab/>
      </w:r>
    </w:p>
    <w:p w:rsidR="003243D0" w:rsidRPr="00F05037" w:rsidRDefault="00116384" w:rsidP="00DD31E3">
      <w:pPr>
        <w:tabs>
          <w:tab w:val="left" w:pos="720"/>
        </w:tabs>
        <w:rPr>
          <w:sz w:val="24"/>
          <w:szCs w:val="24"/>
        </w:rPr>
      </w:pPr>
      <w:r w:rsidRPr="00F05037">
        <w:rPr>
          <w:sz w:val="24"/>
          <w:szCs w:val="24"/>
        </w:rPr>
        <w:tab/>
      </w:r>
      <w:r w:rsidR="003243D0">
        <w:rPr>
          <w:sz w:val="24"/>
          <w:szCs w:val="24"/>
        </w:rPr>
        <w:t>In</w:t>
      </w:r>
      <w:r w:rsidR="00476050" w:rsidRPr="00F05037">
        <w:rPr>
          <w:sz w:val="24"/>
          <w:szCs w:val="24"/>
        </w:rPr>
        <w:t xml:space="preserve"> addition to the new authority provided to the Commission under Titles VII and VIII of the Dodd-Frank Act, the Commission has existing authority over clearing agencies under the Exchange Act.  For example, entities are required to register with the Commission pursuant to Section 17A of the Exchange Act and Rule 17Ab2-1 prior to performing the functions of a clearing agency.  Under this registration system, the Commission is not permitted to grant registration unless it determines that the rules and operations of the clearing agency meet the standards set forth in Section 17A.  </w:t>
      </w:r>
      <w:r w:rsidR="00DD31E3" w:rsidRPr="00F05037">
        <w:rPr>
          <w:sz w:val="24"/>
          <w:szCs w:val="24"/>
        </w:rPr>
        <w:t xml:space="preserve">Specifically, Sections 17A(b)(3)(A)-(I) identify determinations that the Commission must make about the rules and structure of a clearing agency prior to granting registration.  </w:t>
      </w:r>
      <w:r w:rsidR="00476050" w:rsidRPr="00F05037">
        <w:rPr>
          <w:sz w:val="24"/>
          <w:szCs w:val="24"/>
        </w:rPr>
        <w:t>If a clearing agency is granted registration, the Commission oversees the clearing agency to facilitate compliance with the Exchange Act through the rule filing process for self-regulatory organizations (“SROs”) and through on-site examinations by Commission staff.  Section 17A also gives the Commission authority to adopt rules for clearing agencies as necessary or appropriate in the public interest, for the protection of investors, or otherwise in furtherance of the purposes of the Exchange Act and prohibits a registered clearing agency from engaging in any activity in contravention of these rules and regulations.</w:t>
      </w:r>
      <w:r w:rsidR="00476050" w:rsidRPr="00F05037">
        <w:rPr>
          <w:rFonts w:ascii="ANAAA A+ New Century Schlbk" w:eastAsia="Calibri" w:hAnsi="ANAAA A+ New Century Schlbk" w:cs="ANAAA A+ New Century Schlbk"/>
          <w:color w:val="000000"/>
          <w:sz w:val="24"/>
          <w:szCs w:val="24"/>
        </w:rPr>
        <w:t xml:space="preserve"> </w:t>
      </w:r>
      <w:r w:rsidR="00476050" w:rsidRPr="00F05037">
        <w:rPr>
          <w:sz w:val="24"/>
          <w:szCs w:val="24"/>
        </w:rPr>
        <w:tab/>
      </w:r>
    </w:p>
    <w:p w:rsidR="00116384" w:rsidRPr="00F05037" w:rsidRDefault="00116384" w:rsidP="00DD31E3">
      <w:pPr>
        <w:tabs>
          <w:tab w:val="left" w:pos="720"/>
        </w:tabs>
        <w:rPr>
          <w:sz w:val="24"/>
          <w:szCs w:val="24"/>
        </w:rPr>
      </w:pPr>
    </w:p>
    <w:p w:rsidR="00582288" w:rsidRPr="00F05037" w:rsidRDefault="00116384" w:rsidP="00B43034">
      <w:pPr>
        <w:pStyle w:val="Default"/>
        <w:rPr>
          <w:b/>
        </w:rPr>
      </w:pPr>
      <w:r w:rsidRPr="00F05037">
        <w:tab/>
      </w:r>
      <w:r w:rsidR="00E23C6B">
        <w:rPr>
          <w:b/>
        </w:rPr>
        <w:t>Rule</w:t>
      </w:r>
      <w:r w:rsidR="00582288" w:rsidRPr="00F05037">
        <w:rPr>
          <w:b/>
        </w:rPr>
        <w:t xml:space="preserve"> Governing </w:t>
      </w:r>
      <w:r w:rsidR="00E23C6B">
        <w:rPr>
          <w:b/>
        </w:rPr>
        <w:t>Determinations Regarding Status as a Covered Clearing Agency</w:t>
      </w:r>
    </w:p>
    <w:p w:rsidR="00582288" w:rsidRPr="00F05037" w:rsidRDefault="00582288" w:rsidP="00F66F8D">
      <w:pPr>
        <w:pStyle w:val="Default"/>
        <w:rPr>
          <w:b/>
        </w:rPr>
      </w:pPr>
      <w:r w:rsidRPr="00F05037">
        <w:rPr>
          <w:b/>
        </w:rPr>
        <w:tab/>
      </w:r>
    </w:p>
    <w:p w:rsidR="006D6865" w:rsidRDefault="007F76E3" w:rsidP="006D2ACD">
      <w:pPr>
        <w:pStyle w:val="Default"/>
        <w:ind w:firstLine="720"/>
      </w:pPr>
      <w:r w:rsidRPr="003D2075">
        <w:t xml:space="preserve">The Commission is </w:t>
      </w:r>
      <w:r w:rsidR="00467736" w:rsidRPr="003D2075">
        <w:t xml:space="preserve">adopting </w:t>
      </w:r>
      <w:r w:rsidR="003D2075">
        <w:t xml:space="preserve">Rule 17Ab2-2 to </w:t>
      </w:r>
      <w:r w:rsidR="001E26FE">
        <w:t xml:space="preserve">establish </w:t>
      </w:r>
      <w:r w:rsidRPr="003D2075">
        <w:t>procedures for the Commission to make a determination, either of its own initiative or upon application by any clearing agency or member o</w:t>
      </w:r>
      <w:r w:rsidRPr="00C701BD">
        <w:t xml:space="preserve">f a clearing agency, </w:t>
      </w:r>
      <w:r w:rsidRPr="003D2075">
        <w:t>whether a covered clearing agency</w:t>
      </w:r>
      <w:r w:rsidR="00467736" w:rsidRPr="003D2075">
        <w:t xml:space="preserve"> is systemically important in multiple jurisdictions</w:t>
      </w:r>
      <w:r w:rsidR="00CB0554" w:rsidRPr="003D2075">
        <w:t xml:space="preserve"> </w:t>
      </w:r>
      <w:r w:rsidR="00467736" w:rsidRPr="003D2075">
        <w:t xml:space="preserve">and procedures to determine, if the Commission deems appropriate, whether any of the </w:t>
      </w:r>
      <w:r w:rsidR="007C4380" w:rsidRPr="003D2075">
        <w:t>activities</w:t>
      </w:r>
      <w:r w:rsidR="00467736" w:rsidRPr="003D2075">
        <w:t xml:space="preserve"> of a clearing agency providing central counterparty services, in addition to clearing agencies registered with the Commission for the purpose of clearing security-based swaps, have a more complex risk profile</w:t>
      </w:r>
      <w:r w:rsidRPr="003D2075">
        <w:t>.</w:t>
      </w:r>
      <w:r w:rsidR="00FF2AFA" w:rsidRPr="003D2075">
        <w:rPr>
          <w:rStyle w:val="FootnoteReference"/>
        </w:rPr>
        <w:footnoteReference w:id="1"/>
      </w:r>
      <w:r w:rsidRPr="003D2075">
        <w:t xml:space="preserve">  </w:t>
      </w:r>
    </w:p>
    <w:p w:rsidR="006D6865" w:rsidRDefault="006D6865" w:rsidP="006D2ACD">
      <w:pPr>
        <w:pStyle w:val="Default"/>
        <w:ind w:firstLine="720"/>
      </w:pPr>
    </w:p>
    <w:p w:rsidR="00B4003B" w:rsidRPr="003D2075" w:rsidRDefault="006D6865" w:rsidP="006D2ACD">
      <w:pPr>
        <w:pStyle w:val="Default"/>
        <w:ind w:firstLine="720"/>
      </w:pPr>
      <w:r>
        <w:t xml:space="preserve">The Commission believes that </w:t>
      </w:r>
      <w:r w:rsidR="003D2075">
        <w:t xml:space="preserve">Rule 17Ab2-2 is a necessary tool to provide transparency in governing determinations regarding a clearing agency’s status as </w:t>
      </w:r>
      <w:r w:rsidR="00946940">
        <w:t>systemically important in multiple jurisdictions or having a complex risk profile</w:t>
      </w:r>
      <w:r w:rsidR="00D073CD">
        <w:t>, and additionally, providing for a process to rescind any determinations made pursuant to the Rule.</w:t>
      </w:r>
      <w:r>
        <w:t xml:space="preserve">  </w:t>
      </w:r>
      <w:r w:rsidR="00F26C7F" w:rsidRPr="003D2075">
        <w:t xml:space="preserve">The Commission </w:t>
      </w:r>
      <w:r>
        <w:t xml:space="preserve">further </w:t>
      </w:r>
      <w:r w:rsidR="00F26C7F" w:rsidRPr="003D2075">
        <w:t xml:space="preserve">believes that </w:t>
      </w:r>
      <w:r w:rsidR="00DF1D0D" w:rsidRPr="003D2075">
        <w:t xml:space="preserve">the Rule </w:t>
      </w:r>
      <w:r w:rsidR="00467736" w:rsidRPr="003D2075">
        <w:t xml:space="preserve">will </w:t>
      </w:r>
      <w:r w:rsidR="00DF1D0D" w:rsidRPr="003D2075">
        <w:t xml:space="preserve">provide the Commission with the flexibility necessary to achieve the goals of Section 17A of the Exchange Act, </w:t>
      </w:r>
      <w:r w:rsidR="00CC3D9C" w:rsidRPr="003D2075">
        <w:t xml:space="preserve">Title VII of the Dodd-Frank Act, and the Clearing Supervision Act, </w:t>
      </w:r>
      <w:r w:rsidR="00330052" w:rsidRPr="003D2075">
        <w:t xml:space="preserve">in light of the ever-changing nature of the U.S. securities markets, including the nature and character of the participants in the market and the products required to be cleared and settled.  </w:t>
      </w:r>
    </w:p>
    <w:p w:rsidR="00455FDC" w:rsidRPr="003D2075" w:rsidRDefault="00455FDC" w:rsidP="006A5033">
      <w:pPr>
        <w:pStyle w:val="Default"/>
      </w:pPr>
    </w:p>
    <w:p w:rsidR="0061766C" w:rsidRPr="003D2075" w:rsidRDefault="009D34C3" w:rsidP="00A72927">
      <w:pPr>
        <w:pStyle w:val="Default"/>
        <w:keepNext/>
        <w:widowControl/>
        <w:rPr>
          <w:spacing w:val="-3"/>
        </w:rPr>
      </w:pPr>
      <w:r w:rsidRPr="003D2075">
        <w:rPr>
          <w:spacing w:val="-3"/>
        </w:rPr>
        <w:tab/>
      </w:r>
      <w:r w:rsidR="0061766C" w:rsidRPr="003D2075">
        <w:rPr>
          <w:spacing w:val="-3"/>
        </w:rPr>
        <w:t xml:space="preserve">There </w:t>
      </w:r>
      <w:r w:rsidRPr="003D2075">
        <w:rPr>
          <w:spacing w:val="-3"/>
        </w:rPr>
        <w:t xml:space="preserve">is </w:t>
      </w:r>
      <w:r w:rsidR="0061766C" w:rsidRPr="003D2075">
        <w:rPr>
          <w:spacing w:val="-3"/>
        </w:rPr>
        <w:t xml:space="preserve">a </w:t>
      </w:r>
      <w:r w:rsidRPr="003D2075">
        <w:rPr>
          <w:spacing w:val="-3"/>
        </w:rPr>
        <w:t>collection</w:t>
      </w:r>
      <w:r w:rsidR="0061766C" w:rsidRPr="003D2075">
        <w:rPr>
          <w:spacing w:val="-3"/>
        </w:rPr>
        <w:t xml:space="preserve"> of information </w:t>
      </w:r>
      <w:r w:rsidR="009C06D0" w:rsidRPr="003D2075">
        <w:rPr>
          <w:spacing w:val="-3"/>
        </w:rPr>
        <w:t>associated with</w:t>
      </w:r>
      <w:r w:rsidR="0061766C" w:rsidRPr="003D2075">
        <w:rPr>
          <w:spacing w:val="-3"/>
        </w:rPr>
        <w:t xml:space="preserve"> Rule</w:t>
      </w:r>
      <w:r w:rsidR="00402126" w:rsidRPr="003D2075">
        <w:rPr>
          <w:spacing w:val="-3"/>
        </w:rPr>
        <w:t xml:space="preserve"> 17A</w:t>
      </w:r>
      <w:r w:rsidRPr="003D2075">
        <w:rPr>
          <w:spacing w:val="-3"/>
        </w:rPr>
        <w:t>b2-2</w:t>
      </w:r>
      <w:r w:rsidR="0061766C" w:rsidRPr="003D2075">
        <w:rPr>
          <w:spacing w:val="-3"/>
        </w:rPr>
        <w:t xml:space="preserve">.  The information collected is necessary to carry out the mandates of the Exchange Act, as amended by the Dodd-Frank Act. </w:t>
      </w:r>
    </w:p>
    <w:p w:rsidR="005302F5" w:rsidRPr="003D2075" w:rsidRDefault="005302F5" w:rsidP="006A5033">
      <w:pPr>
        <w:pStyle w:val="Default"/>
        <w:rPr>
          <w:spacing w:val="-3"/>
        </w:rPr>
      </w:pPr>
    </w:p>
    <w:p w:rsidR="0061766C" w:rsidRPr="003D2075" w:rsidRDefault="0087208F" w:rsidP="006A5033">
      <w:pPr>
        <w:pStyle w:val="Default"/>
      </w:pPr>
      <w:r w:rsidRPr="003D2075">
        <w:tab/>
        <w:t xml:space="preserve">The statutory basis for proposing </w:t>
      </w:r>
      <w:r w:rsidR="0061766C" w:rsidRPr="003D2075">
        <w:t>Rule</w:t>
      </w:r>
      <w:r w:rsidRPr="003D2075">
        <w:t xml:space="preserve"> 17Ab2-2</w:t>
      </w:r>
      <w:r w:rsidR="0061766C" w:rsidRPr="003D2075">
        <w:t xml:space="preserve"> is as follows:</w:t>
      </w:r>
      <w:r w:rsidR="00471C1E" w:rsidRPr="003D2075">
        <w:t xml:space="preserve"> </w:t>
      </w:r>
      <w:r w:rsidR="0090196E" w:rsidRPr="003D2075">
        <w:t xml:space="preserve"> </w:t>
      </w:r>
      <w:r w:rsidR="00471C1E" w:rsidRPr="003D2075">
        <w:rPr>
          <w:spacing w:val="-3"/>
        </w:rPr>
        <w:t>Exchange Act Section</w:t>
      </w:r>
      <w:r w:rsidR="00AB1551" w:rsidRPr="003D2075">
        <w:rPr>
          <w:spacing w:val="-3"/>
        </w:rPr>
        <w:t xml:space="preserve"> </w:t>
      </w:r>
      <w:r w:rsidR="00B336E3" w:rsidRPr="003D2075">
        <w:lastRenderedPageBreak/>
        <w:t>17A</w:t>
      </w:r>
      <w:r w:rsidR="005A39A8" w:rsidRPr="003D2075">
        <w:t xml:space="preserve">, </w:t>
      </w:r>
      <w:proofErr w:type="gramStart"/>
      <w:r w:rsidR="005A39A8" w:rsidRPr="003D2075">
        <w:t>15 U.S.C. 78q-</w:t>
      </w:r>
      <w:r w:rsidR="00B336E3" w:rsidRPr="003D2075">
        <w:t>1,</w:t>
      </w:r>
      <w:proofErr w:type="gramEnd"/>
      <w:r w:rsidR="00B336E3" w:rsidRPr="003D2075">
        <w:t xml:space="preserve"> and Section 805 of the Clearing Supervision Act, 12 U.S.C. 5464</w:t>
      </w:r>
      <w:r w:rsidR="00471C1E" w:rsidRPr="003D2075">
        <w:t xml:space="preserve">. </w:t>
      </w:r>
    </w:p>
    <w:p w:rsidR="00AD5AB6" w:rsidRPr="003D2075" w:rsidRDefault="00116384" w:rsidP="00471C1E">
      <w:pPr>
        <w:tabs>
          <w:tab w:val="left" w:pos="720"/>
        </w:tabs>
        <w:rPr>
          <w:sz w:val="24"/>
          <w:szCs w:val="24"/>
        </w:rPr>
      </w:pPr>
      <w:r w:rsidRPr="003D2075">
        <w:rPr>
          <w:sz w:val="24"/>
          <w:szCs w:val="24"/>
        </w:rPr>
        <w:tab/>
      </w:r>
    </w:p>
    <w:p w:rsidR="009226A3" w:rsidRPr="003D2075" w:rsidRDefault="009226A3" w:rsidP="00F745A1">
      <w:pPr>
        <w:ind w:firstLine="720"/>
        <w:rPr>
          <w:sz w:val="24"/>
          <w:szCs w:val="24"/>
          <w:u w:val="single"/>
        </w:rPr>
      </w:pPr>
      <w:r w:rsidRPr="003D2075">
        <w:rPr>
          <w:b/>
          <w:sz w:val="24"/>
          <w:szCs w:val="24"/>
        </w:rPr>
        <w:t>2.</w:t>
      </w:r>
      <w:r w:rsidRPr="003D2075">
        <w:rPr>
          <w:sz w:val="24"/>
          <w:szCs w:val="24"/>
        </w:rPr>
        <w:tab/>
      </w:r>
      <w:r w:rsidRPr="003D2075">
        <w:rPr>
          <w:b/>
          <w:sz w:val="24"/>
          <w:szCs w:val="24"/>
          <w:u w:val="single"/>
        </w:rPr>
        <w:t xml:space="preserve">Purpose </w:t>
      </w:r>
      <w:r w:rsidR="007B63C8" w:rsidRPr="003D2075">
        <w:rPr>
          <w:b/>
          <w:sz w:val="24"/>
          <w:szCs w:val="24"/>
          <w:u w:val="single"/>
        </w:rPr>
        <w:t>and</w:t>
      </w:r>
      <w:r w:rsidRPr="003D2075">
        <w:rPr>
          <w:b/>
          <w:sz w:val="24"/>
          <w:szCs w:val="24"/>
          <w:u w:val="single"/>
        </w:rPr>
        <w:t xml:space="preserve"> Use of the Information Collection</w:t>
      </w:r>
    </w:p>
    <w:p w:rsidR="007B63C8" w:rsidRPr="003D2075" w:rsidRDefault="007B63C8" w:rsidP="00F745A1">
      <w:pPr>
        <w:ind w:firstLine="720"/>
        <w:rPr>
          <w:sz w:val="24"/>
          <w:szCs w:val="24"/>
        </w:rPr>
      </w:pPr>
    </w:p>
    <w:p w:rsidR="00C9645D" w:rsidRPr="003D2075" w:rsidRDefault="00015B25" w:rsidP="006A5033">
      <w:pPr>
        <w:rPr>
          <w:sz w:val="24"/>
          <w:szCs w:val="24"/>
        </w:rPr>
      </w:pPr>
      <w:r w:rsidRPr="003D2075">
        <w:rPr>
          <w:sz w:val="24"/>
          <w:szCs w:val="24"/>
        </w:rPr>
        <w:tab/>
      </w:r>
      <w:r w:rsidR="00303E49" w:rsidRPr="003D2075">
        <w:rPr>
          <w:sz w:val="24"/>
          <w:szCs w:val="24"/>
        </w:rPr>
        <w:t>Rule 17Ab2-2 establish</w:t>
      </w:r>
      <w:r w:rsidR="00467736" w:rsidRPr="003D2075">
        <w:rPr>
          <w:sz w:val="24"/>
          <w:szCs w:val="24"/>
        </w:rPr>
        <w:t>es</w:t>
      </w:r>
      <w:r w:rsidR="00303E49" w:rsidRPr="003D2075">
        <w:rPr>
          <w:sz w:val="24"/>
          <w:szCs w:val="24"/>
        </w:rPr>
        <w:t xml:space="preserve"> a process for Commission determinations regarding whether a </w:t>
      </w:r>
      <w:r w:rsidR="00467736" w:rsidRPr="003D2075">
        <w:rPr>
          <w:sz w:val="24"/>
          <w:szCs w:val="24"/>
        </w:rPr>
        <w:t xml:space="preserve">covered clearing agency is systemically important in multiple jurisdictions and whether a clearing agency providing central counterparty services </w:t>
      </w:r>
      <w:r w:rsidR="00951B9C">
        <w:rPr>
          <w:sz w:val="24"/>
          <w:szCs w:val="24"/>
        </w:rPr>
        <w:t>has</w:t>
      </w:r>
      <w:r w:rsidR="00951B9C" w:rsidRPr="003D2075">
        <w:rPr>
          <w:sz w:val="24"/>
          <w:szCs w:val="24"/>
        </w:rPr>
        <w:t xml:space="preserve"> </w:t>
      </w:r>
      <w:r w:rsidR="00467736" w:rsidRPr="003D2075">
        <w:rPr>
          <w:sz w:val="24"/>
          <w:szCs w:val="24"/>
        </w:rPr>
        <w:t>a more complex risk profile</w:t>
      </w:r>
      <w:r w:rsidR="00303E49" w:rsidRPr="003D2075">
        <w:rPr>
          <w:sz w:val="24"/>
          <w:szCs w:val="24"/>
        </w:rPr>
        <w:t xml:space="preserve">.  </w:t>
      </w:r>
      <w:r w:rsidR="00BF5E76" w:rsidRPr="003D2075">
        <w:rPr>
          <w:sz w:val="24"/>
          <w:szCs w:val="24"/>
        </w:rPr>
        <w:t xml:space="preserve">Because such determinations may be made </w:t>
      </w:r>
      <w:r w:rsidR="008949ED" w:rsidRPr="003D2075">
        <w:rPr>
          <w:sz w:val="24"/>
          <w:szCs w:val="24"/>
        </w:rPr>
        <w:t xml:space="preserve">upon the request of a clearing agency, respondent clearing agencies would have the burden of preparing </w:t>
      </w:r>
      <w:bookmarkStart w:id="0" w:name="_GoBack"/>
      <w:bookmarkEnd w:id="0"/>
      <w:r w:rsidR="008949ED" w:rsidRPr="003D2075">
        <w:rPr>
          <w:sz w:val="24"/>
          <w:szCs w:val="24"/>
        </w:rPr>
        <w:t xml:space="preserve">such requests for submission to the Commission.  </w:t>
      </w:r>
      <w:r w:rsidR="007C4380" w:rsidRPr="003D2075">
        <w:rPr>
          <w:sz w:val="24"/>
          <w:szCs w:val="24"/>
        </w:rPr>
        <w:t xml:space="preserve">The purpose of the information collection is to enable determinations by the Commission regarding the status of a covered clearing agency or clearing agency providing central counterparty services, as described above.  </w:t>
      </w:r>
      <w:r w:rsidR="00B94AB4" w:rsidRPr="003D2075">
        <w:rPr>
          <w:sz w:val="24"/>
          <w:szCs w:val="24"/>
        </w:rPr>
        <w:t xml:space="preserve">Upon receipt of such a request, the Commission would use the information provided in the submission to make a determination under Rule 17Ab2-2 regarding </w:t>
      </w:r>
      <w:r w:rsidR="00DC4835" w:rsidRPr="003D2075">
        <w:rPr>
          <w:sz w:val="24"/>
          <w:szCs w:val="24"/>
        </w:rPr>
        <w:t xml:space="preserve">a </w:t>
      </w:r>
      <w:r w:rsidR="00467736" w:rsidRPr="003D2075">
        <w:rPr>
          <w:sz w:val="24"/>
          <w:szCs w:val="24"/>
        </w:rPr>
        <w:t xml:space="preserve">covered </w:t>
      </w:r>
      <w:r w:rsidR="00DC4835" w:rsidRPr="003D2075">
        <w:rPr>
          <w:sz w:val="24"/>
          <w:szCs w:val="24"/>
        </w:rPr>
        <w:t xml:space="preserve">clearing agency’s status as </w:t>
      </w:r>
      <w:r w:rsidR="00467736" w:rsidRPr="003D2075">
        <w:rPr>
          <w:sz w:val="24"/>
          <w:szCs w:val="24"/>
        </w:rPr>
        <w:t>systemically important in multiple jurisdictions</w:t>
      </w:r>
      <w:r w:rsidR="008078CF" w:rsidRPr="003D2075">
        <w:rPr>
          <w:sz w:val="24"/>
          <w:szCs w:val="24"/>
        </w:rPr>
        <w:t xml:space="preserve">.  </w:t>
      </w:r>
    </w:p>
    <w:p w:rsidR="005D22C7" w:rsidRPr="003D2075" w:rsidRDefault="005D22C7" w:rsidP="00F745A1">
      <w:pPr>
        <w:ind w:firstLine="720"/>
        <w:rPr>
          <w:sz w:val="24"/>
          <w:szCs w:val="24"/>
        </w:rPr>
      </w:pPr>
    </w:p>
    <w:p w:rsidR="009226A3" w:rsidRPr="003D2075" w:rsidRDefault="009226A3" w:rsidP="00F745A1">
      <w:pPr>
        <w:ind w:firstLine="720"/>
        <w:rPr>
          <w:b/>
          <w:sz w:val="24"/>
          <w:szCs w:val="24"/>
        </w:rPr>
      </w:pPr>
      <w:r w:rsidRPr="003D2075">
        <w:rPr>
          <w:b/>
          <w:sz w:val="24"/>
          <w:szCs w:val="24"/>
        </w:rPr>
        <w:t>3.</w:t>
      </w:r>
      <w:r w:rsidRPr="003D2075">
        <w:rPr>
          <w:b/>
          <w:sz w:val="24"/>
          <w:szCs w:val="24"/>
        </w:rPr>
        <w:tab/>
      </w:r>
      <w:r w:rsidRPr="003D2075">
        <w:rPr>
          <w:b/>
          <w:sz w:val="24"/>
          <w:szCs w:val="24"/>
          <w:u w:val="single"/>
        </w:rPr>
        <w:t>Consideration of Information Technology</w:t>
      </w:r>
    </w:p>
    <w:p w:rsidR="009226A3" w:rsidRPr="003D2075" w:rsidRDefault="009226A3" w:rsidP="00F745A1">
      <w:pPr>
        <w:ind w:firstLine="720"/>
        <w:rPr>
          <w:sz w:val="24"/>
          <w:szCs w:val="24"/>
        </w:rPr>
      </w:pPr>
    </w:p>
    <w:p w:rsidR="00471C1E" w:rsidRPr="003D2075" w:rsidRDefault="00401ABF" w:rsidP="00471C1E">
      <w:pPr>
        <w:ind w:firstLine="720"/>
        <w:rPr>
          <w:sz w:val="24"/>
          <w:szCs w:val="24"/>
        </w:rPr>
      </w:pPr>
      <w:r w:rsidRPr="003D2075">
        <w:rPr>
          <w:sz w:val="24"/>
          <w:szCs w:val="24"/>
        </w:rPr>
        <w:t xml:space="preserve">Rule 17Ab2-2 does not specify the manner in which a registered clearing agency, or a member of a registered clearing agency, is required to submit a request for determination as to the status of the registrant as a covered clearing agency.  </w:t>
      </w:r>
      <w:r w:rsidR="003D0A75" w:rsidRPr="003D2075">
        <w:rPr>
          <w:sz w:val="24"/>
          <w:szCs w:val="24"/>
        </w:rPr>
        <w:t xml:space="preserve">While the Commission </w:t>
      </w:r>
      <w:r w:rsidR="005F2400" w:rsidRPr="003D2075">
        <w:rPr>
          <w:sz w:val="24"/>
          <w:szCs w:val="24"/>
        </w:rPr>
        <w:t>would</w:t>
      </w:r>
      <w:r w:rsidR="003D0A75" w:rsidRPr="003D2075">
        <w:rPr>
          <w:sz w:val="24"/>
          <w:szCs w:val="24"/>
        </w:rPr>
        <w:t xml:space="preserve"> accept</w:t>
      </w:r>
      <w:r w:rsidR="00B12423" w:rsidRPr="003D2075">
        <w:rPr>
          <w:sz w:val="24"/>
          <w:szCs w:val="24"/>
        </w:rPr>
        <w:t xml:space="preserve"> </w:t>
      </w:r>
      <w:r w:rsidR="002D3691" w:rsidRPr="003D2075">
        <w:rPr>
          <w:sz w:val="24"/>
          <w:szCs w:val="24"/>
        </w:rPr>
        <w:t xml:space="preserve">such a request for determination as a paper (hardcopy) document, the Commission </w:t>
      </w:r>
      <w:r w:rsidR="009262A3" w:rsidRPr="003D2075">
        <w:rPr>
          <w:sz w:val="24"/>
          <w:szCs w:val="24"/>
        </w:rPr>
        <w:t xml:space="preserve">believes that clearing agencies would utilize various computer information systems to identify and compile the necessary information and could submit such </w:t>
      </w:r>
      <w:r w:rsidR="00E26320" w:rsidRPr="003D2075">
        <w:rPr>
          <w:sz w:val="24"/>
          <w:szCs w:val="24"/>
        </w:rPr>
        <w:t>an</w:t>
      </w:r>
      <w:r w:rsidR="009262A3" w:rsidRPr="003D2075">
        <w:rPr>
          <w:sz w:val="24"/>
          <w:szCs w:val="24"/>
        </w:rPr>
        <w:t xml:space="preserve"> </w:t>
      </w:r>
      <w:r w:rsidR="005946CC" w:rsidRPr="003D2075">
        <w:rPr>
          <w:sz w:val="24"/>
          <w:szCs w:val="24"/>
        </w:rPr>
        <w:t xml:space="preserve">information and request for </w:t>
      </w:r>
      <w:r w:rsidR="00671E3E" w:rsidRPr="003D2075">
        <w:rPr>
          <w:sz w:val="24"/>
          <w:szCs w:val="24"/>
        </w:rPr>
        <w:t xml:space="preserve">a </w:t>
      </w:r>
      <w:r w:rsidR="005946CC" w:rsidRPr="003D2075">
        <w:rPr>
          <w:sz w:val="24"/>
          <w:szCs w:val="24"/>
        </w:rPr>
        <w:t xml:space="preserve">determination </w:t>
      </w:r>
      <w:r w:rsidR="009262A3" w:rsidRPr="003D2075">
        <w:rPr>
          <w:sz w:val="24"/>
          <w:szCs w:val="24"/>
        </w:rPr>
        <w:t xml:space="preserve">electronically.  </w:t>
      </w:r>
      <w:r w:rsidR="00DC7AE0" w:rsidRPr="003D2075">
        <w:rPr>
          <w:sz w:val="24"/>
          <w:szCs w:val="24"/>
        </w:rPr>
        <w:t xml:space="preserve">  </w:t>
      </w:r>
      <w:r w:rsidR="00E65397" w:rsidRPr="003D2075">
        <w:rPr>
          <w:sz w:val="24"/>
          <w:szCs w:val="24"/>
        </w:rPr>
        <w:t xml:space="preserve">  </w:t>
      </w:r>
    </w:p>
    <w:p w:rsidR="00471C1E" w:rsidRPr="003D2075" w:rsidRDefault="00471C1E" w:rsidP="00F745A1">
      <w:pPr>
        <w:ind w:firstLine="720"/>
        <w:rPr>
          <w:sz w:val="24"/>
          <w:szCs w:val="24"/>
        </w:rPr>
      </w:pPr>
    </w:p>
    <w:p w:rsidR="009226A3" w:rsidRPr="003D2075" w:rsidRDefault="009226A3" w:rsidP="00F745A1">
      <w:pPr>
        <w:ind w:firstLine="720"/>
        <w:rPr>
          <w:b/>
          <w:sz w:val="24"/>
          <w:szCs w:val="24"/>
        </w:rPr>
      </w:pPr>
      <w:r w:rsidRPr="003D2075">
        <w:rPr>
          <w:b/>
          <w:sz w:val="24"/>
          <w:szCs w:val="24"/>
        </w:rPr>
        <w:t>4.</w:t>
      </w:r>
      <w:r w:rsidRPr="003D2075">
        <w:rPr>
          <w:b/>
          <w:sz w:val="24"/>
          <w:szCs w:val="24"/>
        </w:rPr>
        <w:tab/>
      </w:r>
      <w:r w:rsidRPr="003D2075">
        <w:rPr>
          <w:b/>
          <w:sz w:val="24"/>
          <w:szCs w:val="24"/>
          <w:u w:val="single"/>
        </w:rPr>
        <w:t>Duplication</w:t>
      </w:r>
    </w:p>
    <w:p w:rsidR="009226A3" w:rsidRPr="003D2075" w:rsidRDefault="009226A3" w:rsidP="00F745A1">
      <w:pPr>
        <w:ind w:firstLine="720"/>
        <w:rPr>
          <w:sz w:val="24"/>
          <w:szCs w:val="24"/>
        </w:rPr>
      </w:pPr>
    </w:p>
    <w:p w:rsidR="00BF6385" w:rsidRPr="003D2075" w:rsidRDefault="00F95391" w:rsidP="00BF6385">
      <w:pPr>
        <w:ind w:firstLine="720"/>
        <w:rPr>
          <w:sz w:val="24"/>
          <w:szCs w:val="24"/>
        </w:rPr>
      </w:pPr>
      <w:r w:rsidRPr="003D2075">
        <w:rPr>
          <w:sz w:val="24"/>
          <w:szCs w:val="24"/>
        </w:rPr>
        <w:t>Section 712(a</w:t>
      </w:r>
      <w:proofErr w:type="gramStart"/>
      <w:r w:rsidRPr="003D2075">
        <w:rPr>
          <w:sz w:val="24"/>
          <w:szCs w:val="24"/>
        </w:rPr>
        <w:t>)(</w:t>
      </w:r>
      <w:proofErr w:type="gramEnd"/>
      <w:r w:rsidRPr="003D2075">
        <w:rPr>
          <w:sz w:val="24"/>
          <w:szCs w:val="24"/>
        </w:rPr>
        <w:t xml:space="preserve">2) of the Dodd-Frank Act provides that, before commencing any rulemaking regarding, among other things, </w:t>
      </w:r>
      <w:r w:rsidRPr="003D2075">
        <w:rPr>
          <w:rFonts w:ascii="NewCenturySchlbk-Roman" w:eastAsiaTheme="minorHAnsi" w:hAnsi="NewCenturySchlbk-Roman" w:cs="NewCenturySchlbk-Roman"/>
          <w:sz w:val="24"/>
          <w:szCs w:val="24"/>
        </w:rPr>
        <w:t>clearing agencies with regard to security-based swaps</w:t>
      </w:r>
      <w:r w:rsidRPr="003D2075">
        <w:rPr>
          <w:sz w:val="24"/>
          <w:szCs w:val="24"/>
        </w:rPr>
        <w:t xml:space="preserve">, the Commission must consult and coordinate with the Commodity Futures Trading Commission (“CFTC”) and other prudential regulators for the purposes of assuring regulatory consistency and comparability, to the extent possible.  </w:t>
      </w:r>
      <w:r w:rsidR="00BF6385" w:rsidRPr="003D2075">
        <w:rPr>
          <w:sz w:val="24"/>
          <w:szCs w:val="24"/>
        </w:rPr>
        <w:t>The Commission staff and the CFTC staff have consulted and coordinated with one another regarding their respective Commissions’ rules regarding clearing agencies as mandated by the Dodd-Frank Act.  The Commission staff has also consulted and coordinated with other prudential regulators.</w:t>
      </w:r>
      <w:r w:rsidR="003F29CA" w:rsidRPr="003D2075">
        <w:rPr>
          <w:sz w:val="24"/>
          <w:szCs w:val="24"/>
        </w:rPr>
        <w:t xml:space="preserve">  The Rule does not duplicate information required to be collected elsewhere.</w:t>
      </w:r>
    </w:p>
    <w:p w:rsidR="00F95391" w:rsidRPr="003D2075" w:rsidRDefault="00F95391" w:rsidP="00F745A1">
      <w:pPr>
        <w:ind w:firstLine="720"/>
        <w:rPr>
          <w:sz w:val="24"/>
          <w:szCs w:val="24"/>
        </w:rPr>
      </w:pPr>
    </w:p>
    <w:p w:rsidR="009226A3" w:rsidRPr="003D2075" w:rsidRDefault="009226A3" w:rsidP="00F745A1">
      <w:pPr>
        <w:ind w:firstLine="720"/>
        <w:rPr>
          <w:b/>
          <w:sz w:val="24"/>
          <w:szCs w:val="24"/>
        </w:rPr>
      </w:pPr>
      <w:r w:rsidRPr="003D2075">
        <w:rPr>
          <w:b/>
          <w:sz w:val="24"/>
          <w:szCs w:val="24"/>
        </w:rPr>
        <w:t>5.</w:t>
      </w:r>
      <w:r w:rsidRPr="003D2075">
        <w:rPr>
          <w:b/>
          <w:sz w:val="24"/>
          <w:szCs w:val="24"/>
        </w:rPr>
        <w:tab/>
      </w:r>
      <w:r w:rsidRPr="003D2075">
        <w:rPr>
          <w:b/>
          <w:sz w:val="24"/>
          <w:szCs w:val="24"/>
          <w:u w:val="single"/>
        </w:rPr>
        <w:t>Effect on Small Entities</w:t>
      </w:r>
    </w:p>
    <w:p w:rsidR="009226A3" w:rsidRPr="003D2075" w:rsidRDefault="009226A3" w:rsidP="00F745A1">
      <w:pPr>
        <w:ind w:firstLine="720"/>
        <w:rPr>
          <w:sz w:val="24"/>
          <w:szCs w:val="24"/>
        </w:rPr>
      </w:pPr>
    </w:p>
    <w:p w:rsidR="000B56F4" w:rsidRPr="00C701BD" w:rsidRDefault="00416D94" w:rsidP="00F745A1">
      <w:pPr>
        <w:ind w:firstLine="720"/>
        <w:rPr>
          <w:sz w:val="24"/>
          <w:szCs w:val="24"/>
        </w:rPr>
      </w:pPr>
      <w:r w:rsidRPr="003D2075">
        <w:rPr>
          <w:sz w:val="24"/>
          <w:szCs w:val="24"/>
        </w:rPr>
        <w:t>The Rule</w:t>
      </w:r>
      <w:r w:rsidR="00471C1E" w:rsidRPr="003D2075">
        <w:rPr>
          <w:sz w:val="24"/>
          <w:szCs w:val="24"/>
        </w:rPr>
        <w:t xml:space="preserve"> </w:t>
      </w:r>
      <w:r w:rsidR="00C701BD">
        <w:rPr>
          <w:sz w:val="24"/>
          <w:szCs w:val="24"/>
        </w:rPr>
        <w:t>does</w:t>
      </w:r>
      <w:r w:rsidRPr="00C701BD">
        <w:rPr>
          <w:sz w:val="24"/>
          <w:szCs w:val="24"/>
        </w:rPr>
        <w:t xml:space="preserve"> not </w:t>
      </w:r>
      <w:r w:rsidR="00A46D07" w:rsidRPr="00C701BD">
        <w:rPr>
          <w:sz w:val="24"/>
          <w:szCs w:val="24"/>
        </w:rPr>
        <w:t xml:space="preserve">affect any </w:t>
      </w:r>
      <w:r w:rsidRPr="00C701BD">
        <w:rPr>
          <w:sz w:val="24"/>
          <w:szCs w:val="24"/>
        </w:rPr>
        <w:t>small entities.</w:t>
      </w:r>
    </w:p>
    <w:p w:rsidR="000B56F4" w:rsidRPr="003D2075" w:rsidRDefault="000B56F4" w:rsidP="00F745A1">
      <w:pPr>
        <w:ind w:firstLine="720"/>
        <w:rPr>
          <w:sz w:val="24"/>
          <w:szCs w:val="24"/>
        </w:rPr>
      </w:pPr>
    </w:p>
    <w:p w:rsidR="009226A3" w:rsidRPr="003D2075" w:rsidRDefault="009226A3" w:rsidP="00F745A1">
      <w:pPr>
        <w:ind w:firstLine="720"/>
        <w:rPr>
          <w:b/>
          <w:sz w:val="24"/>
          <w:szCs w:val="24"/>
        </w:rPr>
      </w:pPr>
      <w:r w:rsidRPr="003D2075">
        <w:rPr>
          <w:b/>
          <w:sz w:val="24"/>
          <w:szCs w:val="24"/>
        </w:rPr>
        <w:t>6.</w:t>
      </w:r>
      <w:r w:rsidRPr="003D2075">
        <w:rPr>
          <w:b/>
          <w:sz w:val="24"/>
          <w:szCs w:val="24"/>
        </w:rPr>
        <w:tab/>
      </w:r>
      <w:r w:rsidRPr="003D2075">
        <w:rPr>
          <w:b/>
          <w:sz w:val="24"/>
          <w:szCs w:val="24"/>
          <w:u w:val="single"/>
        </w:rPr>
        <w:t>Consequences</w:t>
      </w:r>
      <w:r w:rsidR="000B56F4" w:rsidRPr="003D2075">
        <w:rPr>
          <w:b/>
          <w:sz w:val="24"/>
          <w:szCs w:val="24"/>
          <w:u w:val="single"/>
        </w:rPr>
        <w:t xml:space="preserve"> of Not Conducting</w:t>
      </w:r>
      <w:r w:rsidRPr="003D2075">
        <w:rPr>
          <w:b/>
          <w:sz w:val="24"/>
          <w:szCs w:val="24"/>
          <w:u w:val="single"/>
        </w:rPr>
        <w:t xml:space="preserve"> Collection</w:t>
      </w:r>
    </w:p>
    <w:p w:rsidR="009226A3" w:rsidRPr="003D2075" w:rsidRDefault="009226A3" w:rsidP="00F745A1">
      <w:pPr>
        <w:ind w:firstLine="720"/>
        <w:rPr>
          <w:sz w:val="24"/>
          <w:szCs w:val="24"/>
        </w:rPr>
      </w:pPr>
    </w:p>
    <w:p w:rsidR="005E1B84" w:rsidRPr="003D2075" w:rsidRDefault="00451B91" w:rsidP="00F745A1">
      <w:pPr>
        <w:ind w:firstLine="720"/>
        <w:rPr>
          <w:sz w:val="24"/>
          <w:szCs w:val="24"/>
        </w:rPr>
      </w:pPr>
      <w:r w:rsidRPr="003D2075">
        <w:rPr>
          <w:sz w:val="24"/>
          <w:szCs w:val="24"/>
        </w:rPr>
        <w:t xml:space="preserve">The Dodd-Frank Act enacted sweeping reforms in the financial system, including </w:t>
      </w:r>
      <w:r w:rsidR="005526BD" w:rsidRPr="003D2075">
        <w:rPr>
          <w:sz w:val="24"/>
          <w:szCs w:val="24"/>
        </w:rPr>
        <w:t xml:space="preserve">reforms regarding </w:t>
      </w:r>
      <w:r w:rsidRPr="003D2075">
        <w:rPr>
          <w:sz w:val="24"/>
          <w:szCs w:val="24"/>
        </w:rPr>
        <w:t xml:space="preserve">FMUs such as clearing agencies.  It also charged the Commission with significant </w:t>
      </w:r>
      <w:r w:rsidRPr="003D2075">
        <w:rPr>
          <w:sz w:val="24"/>
          <w:szCs w:val="24"/>
        </w:rPr>
        <w:lastRenderedPageBreak/>
        <w:t xml:space="preserve">duties in carrying out these reforms.  The consequences of not conducting </w:t>
      </w:r>
      <w:r w:rsidR="00752CFF" w:rsidRPr="003D2075">
        <w:rPr>
          <w:sz w:val="24"/>
          <w:szCs w:val="24"/>
        </w:rPr>
        <w:t xml:space="preserve">the </w:t>
      </w:r>
      <w:r w:rsidRPr="003D2075">
        <w:rPr>
          <w:sz w:val="24"/>
          <w:szCs w:val="24"/>
        </w:rPr>
        <w:t xml:space="preserve">collection of information pursuant to the </w:t>
      </w:r>
      <w:r w:rsidR="00471C1E" w:rsidRPr="003D2075">
        <w:rPr>
          <w:sz w:val="24"/>
          <w:szCs w:val="24"/>
        </w:rPr>
        <w:t xml:space="preserve">Rule </w:t>
      </w:r>
      <w:r w:rsidRPr="003D2075">
        <w:rPr>
          <w:sz w:val="24"/>
          <w:szCs w:val="24"/>
        </w:rPr>
        <w:t xml:space="preserve">would significantly </w:t>
      </w:r>
      <w:r w:rsidR="00471C1E" w:rsidRPr="003D2075">
        <w:rPr>
          <w:sz w:val="24"/>
          <w:szCs w:val="24"/>
        </w:rPr>
        <w:t>impair</w:t>
      </w:r>
      <w:r w:rsidRPr="003D2075">
        <w:rPr>
          <w:sz w:val="24"/>
          <w:szCs w:val="24"/>
        </w:rPr>
        <w:t xml:space="preserve"> the Commission’s ability to carry out its statutory obligations un</w:t>
      </w:r>
      <w:r w:rsidR="00471C1E" w:rsidRPr="003D2075">
        <w:rPr>
          <w:sz w:val="24"/>
          <w:szCs w:val="24"/>
        </w:rPr>
        <w:t xml:space="preserve">der the Exchange Act, as amended by </w:t>
      </w:r>
      <w:r w:rsidRPr="003D2075">
        <w:rPr>
          <w:sz w:val="24"/>
          <w:szCs w:val="24"/>
        </w:rPr>
        <w:t>Titles VII and VIII of the Dodd-Frank Act.</w:t>
      </w:r>
    </w:p>
    <w:p w:rsidR="00B556AC" w:rsidRPr="003D2075" w:rsidRDefault="00B556AC" w:rsidP="00F745A1">
      <w:pPr>
        <w:ind w:firstLine="720"/>
        <w:rPr>
          <w:sz w:val="24"/>
          <w:szCs w:val="24"/>
        </w:rPr>
      </w:pPr>
    </w:p>
    <w:p w:rsidR="009226A3" w:rsidRPr="003D2075" w:rsidRDefault="009226A3" w:rsidP="00F745A1">
      <w:pPr>
        <w:ind w:firstLine="720"/>
        <w:rPr>
          <w:b/>
          <w:sz w:val="24"/>
          <w:szCs w:val="24"/>
        </w:rPr>
      </w:pPr>
      <w:r w:rsidRPr="003D2075">
        <w:rPr>
          <w:b/>
          <w:sz w:val="24"/>
          <w:szCs w:val="24"/>
        </w:rPr>
        <w:t>7.</w:t>
      </w:r>
      <w:r w:rsidRPr="003D2075">
        <w:rPr>
          <w:b/>
          <w:sz w:val="24"/>
          <w:szCs w:val="24"/>
        </w:rPr>
        <w:tab/>
      </w:r>
      <w:r w:rsidRPr="003D2075">
        <w:rPr>
          <w:b/>
          <w:sz w:val="24"/>
          <w:szCs w:val="24"/>
          <w:u w:val="single"/>
        </w:rPr>
        <w:t>Inconsistencies with Guidelines i</w:t>
      </w:r>
      <w:r w:rsidR="00AD5A64" w:rsidRPr="003D2075">
        <w:rPr>
          <w:b/>
          <w:sz w:val="24"/>
          <w:szCs w:val="24"/>
          <w:u w:val="single"/>
        </w:rPr>
        <w:t>n 5 CFR 1320.5</w:t>
      </w:r>
      <w:r w:rsidRPr="003D2075">
        <w:rPr>
          <w:b/>
          <w:sz w:val="24"/>
          <w:szCs w:val="24"/>
          <w:u w:val="single"/>
        </w:rPr>
        <w:t>(d</w:t>
      </w:r>
      <w:proofErr w:type="gramStart"/>
      <w:r w:rsidRPr="003D2075">
        <w:rPr>
          <w:b/>
          <w:sz w:val="24"/>
          <w:szCs w:val="24"/>
          <w:u w:val="single"/>
        </w:rPr>
        <w:t>)</w:t>
      </w:r>
      <w:r w:rsidR="00AD5A64" w:rsidRPr="003D2075">
        <w:rPr>
          <w:b/>
          <w:sz w:val="24"/>
          <w:szCs w:val="24"/>
          <w:u w:val="single"/>
        </w:rPr>
        <w:t>(</w:t>
      </w:r>
      <w:proofErr w:type="gramEnd"/>
      <w:r w:rsidR="00AD5A64" w:rsidRPr="003D2075">
        <w:rPr>
          <w:b/>
          <w:sz w:val="24"/>
          <w:szCs w:val="24"/>
          <w:u w:val="single"/>
        </w:rPr>
        <w:t>2)</w:t>
      </w:r>
    </w:p>
    <w:p w:rsidR="009226A3" w:rsidRPr="003D2075" w:rsidRDefault="009226A3" w:rsidP="00F745A1">
      <w:pPr>
        <w:ind w:firstLine="720"/>
        <w:rPr>
          <w:sz w:val="24"/>
          <w:szCs w:val="24"/>
        </w:rPr>
      </w:pPr>
    </w:p>
    <w:p w:rsidR="00451B91" w:rsidRPr="003D2075" w:rsidRDefault="00451B91" w:rsidP="00F745A1">
      <w:pPr>
        <w:ind w:firstLine="720"/>
        <w:rPr>
          <w:sz w:val="24"/>
          <w:szCs w:val="24"/>
        </w:rPr>
      </w:pPr>
      <w:r w:rsidRPr="003D2075">
        <w:rPr>
          <w:sz w:val="24"/>
          <w:szCs w:val="24"/>
        </w:rPr>
        <w:t>The information collection is consistent with the general information collection guidelines imposed for public protection as set forth in 5 CFR 1320.5(d</w:t>
      </w:r>
      <w:proofErr w:type="gramStart"/>
      <w:r w:rsidRPr="003D2075">
        <w:rPr>
          <w:sz w:val="24"/>
          <w:szCs w:val="24"/>
        </w:rPr>
        <w:t>)(</w:t>
      </w:r>
      <w:proofErr w:type="gramEnd"/>
      <w:r w:rsidRPr="003D2075">
        <w:rPr>
          <w:sz w:val="24"/>
          <w:szCs w:val="24"/>
        </w:rPr>
        <w:t>2)</w:t>
      </w:r>
      <w:r w:rsidR="008F05FF" w:rsidRPr="003D2075">
        <w:rPr>
          <w:sz w:val="24"/>
          <w:szCs w:val="24"/>
        </w:rPr>
        <w:t>.</w:t>
      </w:r>
    </w:p>
    <w:p w:rsidR="000B1175" w:rsidRPr="003D2075" w:rsidRDefault="000B1175" w:rsidP="00F745A1">
      <w:pPr>
        <w:ind w:firstLine="720"/>
        <w:rPr>
          <w:sz w:val="24"/>
          <w:szCs w:val="24"/>
        </w:rPr>
      </w:pPr>
    </w:p>
    <w:p w:rsidR="009226A3" w:rsidRPr="003D2075" w:rsidRDefault="009226A3" w:rsidP="009226A3">
      <w:pPr>
        <w:ind w:firstLine="720"/>
        <w:rPr>
          <w:b/>
          <w:sz w:val="24"/>
          <w:szCs w:val="24"/>
        </w:rPr>
      </w:pPr>
      <w:r w:rsidRPr="003D2075">
        <w:rPr>
          <w:b/>
          <w:sz w:val="24"/>
          <w:szCs w:val="24"/>
        </w:rPr>
        <w:t>8.</w:t>
      </w:r>
      <w:r w:rsidRPr="003D2075">
        <w:rPr>
          <w:b/>
          <w:sz w:val="24"/>
          <w:szCs w:val="24"/>
        </w:rPr>
        <w:tab/>
      </w:r>
      <w:r w:rsidRPr="003D2075">
        <w:rPr>
          <w:b/>
          <w:sz w:val="24"/>
          <w:szCs w:val="24"/>
          <w:u w:val="single"/>
        </w:rPr>
        <w:t xml:space="preserve">Consultations </w:t>
      </w:r>
      <w:proofErr w:type="gramStart"/>
      <w:r w:rsidRPr="003D2075">
        <w:rPr>
          <w:b/>
          <w:sz w:val="24"/>
          <w:szCs w:val="24"/>
          <w:u w:val="single"/>
        </w:rPr>
        <w:t>Outside</w:t>
      </w:r>
      <w:proofErr w:type="gramEnd"/>
      <w:r w:rsidRPr="003D2075">
        <w:rPr>
          <w:b/>
          <w:sz w:val="24"/>
          <w:szCs w:val="24"/>
          <w:u w:val="single"/>
        </w:rPr>
        <w:t xml:space="preserve"> the Agency</w:t>
      </w:r>
    </w:p>
    <w:p w:rsidR="009226A3" w:rsidRPr="003D2075" w:rsidRDefault="009226A3" w:rsidP="009226A3">
      <w:pPr>
        <w:ind w:firstLine="720"/>
        <w:rPr>
          <w:sz w:val="24"/>
          <w:szCs w:val="24"/>
        </w:rPr>
      </w:pPr>
    </w:p>
    <w:p w:rsidR="00341A9E" w:rsidRPr="008B2115" w:rsidRDefault="009226A3" w:rsidP="006A5033">
      <w:pPr>
        <w:ind w:firstLine="720"/>
        <w:rPr>
          <w:sz w:val="24"/>
          <w:szCs w:val="24"/>
        </w:rPr>
      </w:pPr>
      <w:r w:rsidRPr="00F05037">
        <w:rPr>
          <w:sz w:val="24"/>
          <w:szCs w:val="24"/>
        </w:rPr>
        <w:t xml:space="preserve"> The Commission has issued </w:t>
      </w:r>
      <w:r w:rsidR="00F66F8D">
        <w:rPr>
          <w:sz w:val="24"/>
          <w:szCs w:val="24"/>
        </w:rPr>
        <w:t xml:space="preserve">a </w:t>
      </w:r>
      <w:r w:rsidRPr="00F05037">
        <w:rPr>
          <w:sz w:val="24"/>
          <w:szCs w:val="24"/>
        </w:rPr>
        <w:t>release soliciting comment on the “collection of information” requirements and associated paperwork burdens.</w:t>
      </w:r>
      <w:r w:rsidR="00A46D07" w:rsidRPr="00F05037">
        <w:rPr>
          <w:rStyle w:val="FootnoteReference"/>
          <w:sz w:val="24"/>
          <w:szCs w:val="24"/>
        </w:rPr>
        <w:footnoteReference w:id="2"/>
      </w:r>
      <w:r w:rsidRPr="00F05037">
        <w:rPr>
          <w:sz w:val="24"/>
          <w:szCs w:val="24"/>
        </w:rPr>
        <w:t xml:space="preserve">  </w:t>
      </w:r>
      <w:r w:rsidR="006725FF" w:rsidRPr="00697946">
        <w:rPr>
          <w:sz w:val="24"/>
          <w:szCs w:val="24"/>
        </w:rPr>
        <w:t xml:space="preserve">Comments </w:t>
      </w:r>
      <w:r w:rsidR="00CA670A" w:rsidRPr="00697946">
        <w:rPr>
          <w:sz w:val="24"/>
          <w:szCs w:val="24"/>
        </w:rPr>
        <w:t xml:space="preserve">for the </w:t>
      </w:r>
      <w:r w:rsidR="001D4731" w:rsidRPr="00697946">
        <w:rPr>
          <w:sz w:val="24"/>
          <w:szCs w:val="24"/>
        </w:rPr>
        <w:t xml:space="preserve">Proposing </w:t>
      </w:r>
      <w:r w:rsidR="001D4731" w:rsidRPr="0093230B">
        <w:rPr>
          <w:sz w:val="24"/>
          <w:szCs w:val="24"/>
        </w:rPr>
        <w:t>R</w:t>
      </w:r>
      <w:r w:rsidR="00CA670A" w:rsidRPr="0093230B">
        <w:rPr>
          <w:sz w:val="24"/>
          <w:szCs w:val="24"/>
        </w:rPr>
        <w:t xml:space="preserve">elease </w:t>
      </w:r>
      <w:r w:rsidR="00D22143">
        <w:rPr>
          <w:sz w:val="24"/>
          <w:szCs w:val="24"/>
        </w:rPr>
        <w:t>were</w:t>
      </w:r>
      <w:r w:rsidR="00A945AA" w:rsidRPr="00D222FB">
        <w:rPr>
          <w:sz w:val="24"/>
          <w:szCs w:val="24"/>
        </w:rPr>
        <w:t xml:space="preserve"> </w:t>
      </w:r>
      <w:r w:rsidR="006725FF" w:rsidRPr="00D222FB">
        <w:rPr>
          <w:sz w:val="24"/>
          <w:szCs w:val="24"/>
        </w:rPr>
        <w:t xml:space="preserve">due by </w:t>
      </w:r>
      <w:r w:rsidR="00314A92">
        <w:rPr>
          <w:sz w:val="24"/>
          <w:szCs w:val="24"/>
        </w:rPr>
        <w:t>May 27, 2014</w:t>
      </w:r>
      <w:r w:rsidR="006725FF" w:rsidRPr="00D222FB">
        <w:rPr>
          <w:sz w:val="24"/>
          <w:szCs w:val="24"/>
        </w:rPr>
        <w:t>.</w:t>
      </w:r>
      <w:r w:rsidR="00467736">
        <w:rPr>
          <w:sz w:val="24"/>
          <w:szCs w:val="24"/>
        </w:rPr>
        <w:t xml:space="preserve">  The Commission did not receive any comments on the “collection of information” requirements or associated paperwork burdens.</w:t>
      </w:r>
      <w:r w:rsidR="00CA670A" w:rsidRPr="00D222FB">
        <w:rPr>
          <w:sz w:val="24"/>
          <w:szCs w:val="24"/>
        </w:rPr>
        <w:t xml:space="preserve">  </w:t>
      </w:r>
      <w:r w:rsidR="00341A9E" w:rsidRPr="008B2115">
        <w:rPr>
          <w:sz w:val="24"/>
          <w:szCs w:val="24"/>
        </w:rPr>
        <w:t xml:space="preserve">  </w:t>
      </w:r>
    </w:p>
    <w:p w:rsidR="0026206B" w:rsidRPr="00F05037" w:rsidRDefault="0026206B" w:rsidP="0026206B">
      <w:pPr>
        <w:pStyle w:val="ListParagraph"/>
        <w:rPr>
          <w:sz w:val="24"/>
          <w:szCs w:val="24"/>
          <w:u w:val="single"/>
        </w:rPr>
      </w:pPr>
    </w:p>
    <w:p w:rsidR="009226A3" w:rsidRPr="0093230B" w:rsidRDefault="009226A3" w:rsidP="009226A3">
      <w:pPr>
        <w:ind w:firstLine="720"/>
        <w:rPr>
          <w:b/>
          <w:sz w:val="24"/>
          <w:szCs w:val="24"/>
        </w:rPr>
      </w:pPr>
      <w:r w:rsidRPr="00697946">
        <w:rPr>
          <w:b/>
          <w:sz w:val="24"/>
          <w:szCs w:val="24"/>
        </w:rPr>
        <w:t>9.</w:t>
      </w:r>
      <w:r w:rsidRPr="00697946">
        <w:rPr>
          <w:b/>
          <w:sz w:val="24"/>
          <w:szCs w:val="24"/>
        </w:rPr>
        <w:tab/>
      </w:r>
      <w:r w:rsidRPr="00697946">
        <w:rPr>
          <w:b/>
          <w:sz w:val="24"/>
          <w:szCs w:val="24"/>
          <w:u w:val="single"/>
        </w:rPr>
        <w:t>Payment or Gift</w:t>
      </w:r>
    </w:p>
    <w:p w:rsidR="000B56F4" w:rsidRPr="0093230B" w:rsidRDefault="000B56F4" w:rsidP="009226A3">
      <w:pPr>
        <w:ind w:firstLine="720"/>
        <w:rPr>
          <w:sz w:val="24"/>
          <w:szCs w:val="24"/>
        </w:rPr>
      </w:pPr>
    </w:p>
    <w:p w:rsidR="000B56F4" w:rsidRPr="0093230B" w:rsidRDefault="000B56F4" w:rsidP="009226A3">
      <w:pPr>
        <w:ind w:firstLine="720"/>
        <w:rPr>
          <w:sz w:val="24"/>
          <w:szCs w:val="24"/>
        </w:rPr>
      </w:pPr>
      <w:r w:rsidRPr="0093230B">
        <w:rPr>
          <w:sz w:val="24"/>
          <w:szCs w:val="24"/>
        </w:rPr>
        <w:t xml:space="preserve">Not applicable. </w:t>
      </w:r>
    </w:p>
    <w:p w:rsidR="009226A3" w:rsidRPr="00D222FB" w:rsidRDefault="009226A3" w:rsidP="009226A3">
      <w:pPr>
        <w:ind w:firstLine="720"/>
        <w:rPr>
          <w:sz w:val="24"/>
          <w:szCs w:val="24"/>
        </w:rPr>
      </w:pPr>
    </w:p>
    <w:p w:rsidR="009226A3" w:rsidRPr="00F05037" w:rsidRDefault="009226A3" w:rsidP="009226A3">
      <w:pPr>
        <w:ind w:firstLine="720"/>
        <w:rPr>
          <w:b/>
          <w:sz w:val="24"/>
          <w:szCs w:val="24"/>
        </w:rPr>
      </w:pPr>
      <w:r w:rsidRPr="00D222FB">
        <w:rPr>
          <w:b/>
          <w:sz w:val="24"/>
          <w:szCs w:val="24"/>
        </w:rPr>
        <w:t>10.</w:t>
      </w:r>
      <w:r w:rsidRPr="00D222FB">
        <w:rPr>
          <w:b/>
          <w:sz w:val="24"/>
          <w:szCs w:val="24"/>
        </w:rPr>
        <w:tab/>
      </w:r>
      <w:r w:rsidRPr="00F05037">
        <w:rPr>
          <w:b/>
          <w:sz w:val="24"/>
          <w:szCs w:val="24"/>
          <w:u w:val="single"/>
        </w:rPr>
        <w:t>Confidentiality</w:t>
      </w:r>
    </w:p>
    <w:p w:rsidR="00F778DF" w:rsidRPr="00F05037" w:rsidRDefault="00F778DF" w:rsidP="00F778DF">
      <w:pPr>
        <w:tabs>
          <w:tab w:val="left" w:pos="1440"/>
          <w:tab w:val="left" w:pos="1800"/>
        </w:tabs>
        <w:ind w:left="720"/>
        <w:rPr>
          <w:b/>
          <w:sz w:val="24"/>
          <w:szCs w:val="24"/>
        </w:rPr>
      </w:pPr>
      <w:r w:rsidRPr="00F05037">
        <w:rPr>
          <w:b/>
          <w:sz w:val="24"/>
          <w:szCs w:val="24"/>
        </w:rPr>
        <w:tab/>
      </w:r>
      <w:r w:rsidRPr="00F05037">
        <w:rPr>
          <w:b/>
          <w:sz w:val="24"/>
          <w:szCs w:val="24"/>
        </w:rPr>
        <w:tab/>
      </w:r>
    </w:p>
    <w:p w:rsidR="00A945AA" w:rsidRPr="006A5033" w:rsidRDefault="006A5033" w:rsidP="006A5033">
      <w:pPr>
        <w:rPr>
          <w:sz w:val="24"/>
          <w:szCs w:val="24"/>
          <w:u w:val="single"/>
        </w:rPr>
      </w:pPr>
      <w:r>
        <w:rPr>
          <w:sz w:val="24"/>
          <w:szCs w:val="24"/>
        </w:rPr>
        <w:tab/>
      </w:r>
      <w:r w:rsidR="00CF4D88">
        <w:rPr>
          <w:sz w:val="24"/>
          <w:szCs w:val="24"/>
        </w:rPr>
        <w:t xml:space="preserve">The Commission staff does not anticipate that it will receive confidential information in </w:t>
      </w:r>
      <w:r w:rsidR="00CE4ED8">
        <w:rPr>
          <w:sz w:val="24"/>
          <w:szCs w:val="24"/>
        </w:rPr>
        <w:t xml:space="preserve">response to this collection of information.  </w:t>
      </w:r>
      <w:r w:rsidR="00B8346D" w:rsidRPr="006A5033">
        <w:rPr>
          <w:sz w:val="24"/>
          <w:szCs w:val="24"/>
        </w:rPr>
        <w:t>To the extent that the Commission receives confidential information pursuant to the collection of information associated with the Rule, the Commission expects such information would be kept confidential, subject to the provisions of applicable law.</w:t>
      </w:r>
      <w:r w:rsidR="00C80E73" w:rsidRPr="004A17D0">
        <w:rPr>
          <w:rStyle w:val="FootnoteReference"/>
          <w:sz w:val="24"/>
          <w:szCs w:val="24"/>
        </w:rPr>
        <w:footnoteReference w:id="3"/>
      </w:r>
      <w:r w:rsidR="00B8346D" w:rsidRPr="004A17D0">
        <w:rPr>
          <w:sz w:val="24"/>
          <w:szCs w:val="24"/>
        </w:rPr>
        <w:t xml:space="preserve"> </w:t>
      </w:r>
    </w:p>
    <w:p w:rsidR="00E003E5" w:rsidRPr="00F05037" w:rsidRDefault="00E003E5" w:rsidP="00F778DF">
      <w:pPr>
        <w:pStyle w:val="ListParagraph"/>
        <w:ind w:left="1440" w:hanging="720"/>
        <w:rPr>
          <w:b/>
          <w:sz w:val="24"/>
          <w:szCs w:val="24"/>
        </w:rPr>
      </w:pPr>
    </w:p>
    <w:p w:rsidR="009226A3" w:rsidRPr="0093230B" w:rsidRDefault="009226A3" w:rsidP="00A72927">
      <w:pPr>
        <w:keepNext/>
        <w:ind w:firstLine="720"/>
        <w:rPr>
          <w:b/>
          <w:sz w:val="24"/>
          <w:szCs w:val="24"/>
        </w:rPr>
      </w:pPr>
      <w:r w:rsidRPr="00697946">
        <w:rPr>
          <w:b/>
          <w:sz w:val="24"/>
          <w:szCs w:val="24"/>
        </w:rPr>
        <w:t>11.</w:t>
      </w:r>
      <w:r w:rsidRPr="00697946">
        <w:rPr>
          <w:b/>
          <w:sz w:val="24"/>
          <w:szCs w:val="24"/>
        </w:rPr>
        <w:tab/>
      </w:r>
      <w:r w:rsidRPr="0093230B">
        <w:rPr>
          <w:b/>
          <w:sz w:val="24"/>
          <w:szCs w:val="24"/>
          <w:u w:val="single"/>
        </w:rPr>
        <w:t>Sensitive Questions</w:t>
      </w:r>
    </w:p>
    <w:p w:rsidR="009226A3" w:rsidRPr="00D222FB" w:rsidRDefault="009226A3" w:rsidP="00A72927">
      <w:pPr>
        <w:keepNext/>
        <w:ind w:firstLine="720"/>
        <w:rPr>
          <w:sz w:val="24"/>
          <w:szCs w:val="24"/>
        </w:rPr>
      </w:pPr>
    </w:p>
    <w:p w:rsidR="009B730E" w:rsidRDefault="009B730E" w:rsidP="00A72927">
      <w:pPr>
        <w:keepNext/>
        <w:ind w:firstLine="720"/>
        <w:rPr>
          <w:sz w:val="24"/>
          <w:szCs w:val="24"/>
        </w:rPr>
      </w:pPr>
      <w:r w:rsidRPr="009B730E">
        <w:rPr>
          <w:sz w:val="24"/>
          <w:szCs w:val="24"/>
        </w:rPr>
        <w:t xml:space="preserve"> </w:t>
      </w:r>
      <w:r>
        <w:rPr>
          <w:sz w:val="24"/>
          <w:szCs w:val="24"/>
        </w:rPr>
        <w:t>The collection of information does not expressly include Personally Identifiable Information (“PII”)</w:t>
      </w:r>
      <w:r w:rsidRPr="00D222FB">
        <w:rPr>
          <w:sz w:val="24"/>
          <w:szCs w:val="24"/>
        </w:rPr>
        <w:t>.</w:t>
      </w:r>
      <w:r>
        <w:rPr>
          <w:sz w:val="24"/>
          <w:szCs w:val="24"/>
        </w:rPr>
        <w:t xml:space="preserve">  At the same time, however, Commission staff understands that there may be instances when certain information (including, but not limited to, a person’s name, email, phone number, or address) could be provided </w:t>
      </w:r>
      <w:r w:rsidR="00DE7EAA">
        <w:rPr>
          <w:sz w:val="24"/>
          <w:szCs w:val="24"/>
        </w:rPr>
        <w:t xml:space="preserve">in an application </w:t>
      </w:r>
      <w:r w:rsidR="00DF58F7">
        <w:rPr>
          <w:sz w:val="24"/>
          <w:szCs w:val="24"/>
        </w:rPr>
        <w:t>seeking</w:t>
      </w:r>
      <w:r w:rsidR="00DE7EAA">
        <w:rPr>
          <w:sz w:val="24"/>
          <w:szCs w:val="24"/>
        </w:rPr>
        <w:t xml:space="preserve"> </w:t>
      </w:r>
      <w:r w:rsidR="004537B7">
        <w:rPr>
          <w:sz w:val="24"/>
          <w:szCs w:val="24"/>
        </w:rPr>
        <w:t>a determination</w:t>
      </w:r>
      <w:r w:rsidR="00DE7EAA">
        <w:rPr>
          <w:sz w:val="24"/>
          <w:szCs w:val="24"/>
        </w:rPr>
        <w:t xml:space="preserve"> by the </w:t>
      </w:r>
      <w:r w:rsidR="00DE7EAA">
        <w:rPr>
          <w:sz w:val="24"/>
          <w:szCs w:val="24"/>
        </w:rPr>
        <w:lastRenderedPageBreak/>
        <w:t>Commission</w:t>
      </w:r>
      <w:r>
        <w:rPr>
          <w:sz w:val="24"/>
          <w:szCs w:val="24"/>
        </w:rPr>
        <w:t xml:space="preserve">.  However, Commission staff does not envision any circumstance in which a social security number would be provided pursuant to any of the collections of information.  </w:t>
      </w:r>
    </w:p>
    <w:p w:rsidR="009B730E" w:rsidRDefault="009B730E" w:rsidP="009B730E">
      <w:pPr>
        <w:ind w:firstLine="720"/>
        <w:rPr>
          <w:sz w:val="24"/>
          <w:szCs w:val="24"/>
        </w:rPr>
      </w:pPr>
    </w:p>
    <w:p w:rsidR="007013DF" w:rsidRPr="00D222FB" w:rsidRDefault="009B730E" w:rsidP="009B730E">
      <w:pPr>
        <w:ind w:firstLine="720"/>
        <w:rPr>
          <w:sz w:val="24"/>
          <w:szCs w:val="24"/>
        </w:rPr>
      </w:pPr>
      <w:r>
        <w:rPr>
          <w:sz w:val="24"/>
          <w:szCs w:val="24"/>
        </w:rPr>
        <w:t>Furthermore, any such information would not be collected, stored, or used by the Commission, nor would it be retrievable on a Commission system or database.  As such, we believe that the treatment of any PII with the collection of information as</w:t>
      </w:r>
      <w:r w:rsidR="00317DC8">
        <w:rPr>
          <w:sz w:val="24"/>
          <w:szCs w:val="24"/>
        </w:rPr>
        <w:t>sociated with the proposed rule</w:t>
      </w:r>
      <w:r>
        <w:rPr>
          <w:sz w:val="24"/>
          <w:szCs w:val="24"/>
        </w:rPr>
        <w:t>, once it is ultimately adopted, is not likely to implicate the Federal Information Security Management Act of 2002 or the Privacy Act of 1974.</w:t>
      </w:r>
    </w:p>
    <w:p w:rsidR="007013DF" w:rsidRPr="00F05037" w:rsidRDefault="007013DF" w:rsidP="009226A3">
      <w:pPr>
        <w:ind w:firstLine="720"/>
        <w:rPr>
          <w:sz w:val="24"/>
          <w:szCs w:val="24"/>
        </w:rPr>
      </w:pPr>
    </w:p>
    <w:p w:rsidR="009226A3" w:rsidRPr="00F05037" w:rsidRDefault="009226A3" w:rsidP="009226A3">
      <w:pPr>
        <w:ind w:firstLine="720"/>
        <w:rPr>
          <w:b/>
          <w:sz w:val="24"/>
          <w:szCs w:val="24"/>
        </w:rPr>
      </w:pPr>
      <w:r w:rsidRPr="00F05037">
        <w:rPr>
          <w:b/>
          <w:sz w:val="24"/>
          <w:szCs w:val="24"/>
        </w:rPr>
        <w:t>12.</w:t>
      </w:r>
      <w:r w:rsidRPr="00F05037">
        <w:rPr>
          <w:b/>
          <w:sz w:val="24"/>
          <w:szCs w:val="24"/>
        </w:rPr>
        <w:tab/>
      </w:r>
      <w:r w:rsidRPr="00F05037">
        <w:rPr>
          <w:b/>
          <w:sz w:val="24"/>
          <w:szCs w:val="24"/>
          <w:u w:val="single"/>
        </w:rPr>
        <w:t>Burden of Information Collection</w:t>
      </w:r>
    </w:p>
    <w:p w:rsidR="00EE2705" w:rsidRDefault="00EE2705" w:rsidP="00516E88">
      <w:pPr>
        <w:ind w:firstLine="720"/>
        <w:rPr>
          <w:color w:val="000000" w:themeColor="text1"/>
          <w:sz w:val="24"/>
          <w:szCs w:val="24"/>
        </w:rPr>
      </w:pPr>
    </w:p>
    <w:p w:rsidR="00DD5A82" w:rsidRDefault="00EE2705" w:rsidP="006A5033">
      <w:pPr>
        <w:rPr>
          <w:color w:val="000000" w:themeColor="text1"/>
          <w:sz w:val="24"/>
          <w:szCs w:val="24"/>
        </w:rPr>
      </w:pPr>
      <w:r>
        <w:rPr>
          <w:color w:val="000000" w:themeColor="text1"/>
          <w:sz w:val="24"/>
          <w:szCs w:val="24"/>
        </w:rPr>
        <w:tab/>
      </w:r>
      <w:r w:rsidR="003B3FEE">
        <w:rPr>
          <w:color w:val="000000" w:themeColor="text1"/>
          <w:sz w:val="24"/>
          <w:szCs w:val="24"/>
        </w:rPr>
        <w:t xml:space="preserve">The Commission believes that </w:t>
      </w:r>
      <w:r w:rsidR="000C036F">
        <w:rPr>
          <w:color w:val="000000" w:themeColor="text1"/>
          <w:sz w:val="24"/>
          <w:szCs w:val="24"/>
        </w:rPr>
        <w:t xml:space="preserve">Rule 17Ab2-2 </w:t>
      </w:r>
      <w:r w:rsidR="00EB6492">
        <w:rPr>
          <w:color w:val="000000" w:themeColor="text1"/>
          <w:sz w:val="24"/>
          <w:szCs w:val="24"/>
        </w:rPr>
        <w:t xml:space="preserve">will </w:t>
      </w:r>
      <w:r w:rsidR="000C036F">
        <w:rPr>
          <w:color w:val="000000" w:themeColor="text1"/>
          <w:sz w:val="24"/>
          <w:szCs w:val="24"/>
        </w:rPr>
        <w:t>impose a PRA burden on registered clearing agencies that seek a determination from the Commission regarding the covered clearing agency</w:t>
      </w:r>
      <w:r w:rsidR="00EB6492">
        <w:rPr>
          <w:color w:val="000000" w:themeColor="text1"/>
          <w:sz w:val="24"/>
          <w:szCs w:val="24"/>
        </w:rPr>
        <w:t>’s status as systemically important in multiple jurisdictions</w:t>
      </w:r>
      <w:r w:rsidR="000C036F">
        <w:rPr>
          <w:color w:val="000000" w:themeColor="text1"/>
          <w:sz w:val="24"/>
          <w:szCs w:val="24"/>
        </w:rPr>
        <w:t xml:space="preserve">.  </w:t>
      </w:r>
      <w:r w:rsidR="00E64C68">
        <w:rPr>
          <w:color w:val="000000" w:themeColor="text1"/>
          <w:sz w:val="24"/>
          <w:szCs w:val="24"/>
        </w:rPr>
        <w:t xml:space="preserve">The Commission estimates that </w:t>
      </w:r>
      <w:r w:rsidR="00D67940">
        <w:rPr>
          <w:color w:val="000000" w:themeColor="text1"/>
          <w:sz w:val="24"/>
          <w:szCs w:val="24"/>
        </w:rPr>
        <w:t xml:space="preserve">two registered clearing </w:t>
      </w:r>
      <w:r w:rsidR="005E3BF8">
        <w:rPr>
          <w:color w:val="000000" w:themeColor="text1"/>
          <w:sz w:val="24"/>
          <w:szCs w:val="24"/>
        </w:rPr>
        <w:t>agencies</w:t>
      </w:r>
      <w:r w:rsidR="00D67940">
        <w:rPr>
          <w:color w:val="000000" w:themeColor="text1"/>
          <w:sz w:val="24"/>
          <w:szCs w:val="24"/>
        </w:rPr>
        <w:t xml:space="preserve"> or their members on their behalf will apply for a Commission determination, or may be subject to a Commission-initiated determination, regarding whether a registered clearing agency is involved in activities with a more complex risk profile or whether a covered clearing agency is systemically important in multiple jurisdictions.  </w:t>
      </w:r>
    </w:p>
    <w:p w:rsidR="00DD5A82" w:rsidRDefault="00DD5A82" w:rsidP="006A5033">
      <w:pPr>
        <w:rPr>
          <w:color w:val="000000" w:themeColor="text1"/>
          <w:sz w:val="24"/>
          <w:szCs w:val="24"/>
        </w:rPr>
      </w:pPr>
    </w:p>
    <w:p w:rsidR="008F05FF" w:rsidRDefault="003C6BD8" w:rsidP="008F05FF">
      <w:pPr>
        <w:ind w:firstLine="720"/>
        <w:rPr>
          <w:color w:val="000000" w:themeColor="text1"/>
          <w:sz w:val="24"/>
          <w:szCs w:val="24"/>
        </w:rPr>
      </w:pPr>
      <w:r>
        <w:rPr>
          <w:color w:val="000000" w:themeColor="text1"/>
          <w:sz w:val="24"/>
          <w:szCs w:val="24"/>
        </w:rPr>
        <w:t xml:space="preserve">The Commission estimates that </w:t>
      </w:r>
      <w:r w:rsidR="006330D5">
        <w:rPr>
          <w:color w:val="000000" w:themeColor="text1"/>
          <w:sz w:val="24"/>
          <w:szCs w:val="24"/>
        </w:rPr>
        <w:t xml:space="preserve">respondent clearing agencies would incur a one-time burden of approximately </w:t>
      </w:r>
      <w:r w:rsidR="00733F73">
        <w:rPr>
          <w:color w:val="000000" w:themeColor="text1"/>
          <w:sz w:val="24"/>
          <w:szCs w:val="24"/>
        </w:rPr>
        <w:t xml:space="preserve">20 </w:t>
      </w:r>
      <w:r w:rsidR="006330D5">
        <w:rPr>
          <w:color w:val="000000" w:themeColor="text1"/>
          <w:sz w:val="24"/>
          <w:szCs w:val="24"/>
        </w:rPr>
        <w:t>hours to draft and review a determination request submitted to the Commission.</w:t>
      </w:r>
      <w:r w:rsidR="00755B67">
        <w:rPr>
          <w:rStyle w:val="FootnoteReference"/>
          <w:color w:val="000000" w:themeColor="text1"/>
          <w:sz w:val="24"/>
          <w:szCs w:val="24"/>
        </w:rPr>
        <w:footnoteReference w:id="4"/>
      </w:r>
      <w:r w:rsidR="0043329A">
        <w:rPr>
          <w:color w:val="000000" w:themeColor="text1"/>
          <w:sz w:val="24"/>
          <w:szCs w:val="24"/>
        </w:rPr>
        <w:t xml:space="preserve"> </w:t>
      </w:r>
      <w:r w:rsidR="008F05FF">
        <w:rPr>
          <w:color w:val="000000" w:themeColor="text1"/>
          <w:sz w:val="24"/>
          <w:szCs w:val="24"/>
        </w:rPr>
        <w:t xml:space="preserve"> </w:t>
      </w:r>
    </w:p>
    <w:p w:rsidR="008F05FF" w:rsidRDefault="008F05FF" w:rsidP="008F05FF">
      <w:pPr>
        <w:ind w:firstLine="720"/>
        <w:rPr>
          <w:color w:val="000000" w:themeColor="text1"/>
          <w:sz w:val="24"/>
          <w:szCs w:val="24"/>
        </w:rPr>
      </w:pPr>
    </w:p>
    <w:p w:rsidR="008F05FF" w:rsidRPr="009739D4" w:rsidRDefault="008F05FF" w:rsidP="008F05FF">
      <w:pPr>
        <w:ind w:firstLine="720"/>
        <w:rPr>
          <w:b/>
          <w:sz w:val="24"/>
          <w:szCs w:val="24"/>
        </w:rPr>
      </w:pPr>
      <w:r w:rsidRPr="009739D4">
        <w:rPr>
          <w:b/>
          <w:color w:val="000000" w:themeColor="text1"/>
          <w:sz w:val="24"/>
          <w:szCs w:val="24"/>
        </w:rPr>
        <w:t xml:space="preserve">In summary, </w:t>
      </w:r>
      <w:r w:rsidRPr="008F05FF">
        <w:rPr>
          <w:b/>
          <w:color w:val="000000" w:themeColor="text1"/>
          <w:sz w:val="24"/>
          <w:szCs w:val="24"/>
        </w:rPr>
        <w:t>t</w:t>
      </w:r>
      <w:r w:rsidRPr="009739D4">
        <w:rPr>
          <w:b/>
          <w:color w:val="000000" w:themeColor="text1"/>
          <w:sz w:val="24"/>
          <w:szCs w:val="24"/>
        </w:rPr>
        <w:t>he</w:t>
      </w:r>
      <w:r w:rsidRPr="008F05FF">
        <w:rPr>
          <w:b/>
          <w:spacing w:val="-3"/>
          <w:sz w:val="24"/>
          <w:szCs w:val="24"/>
        </w:rPr>
        <w:t xml:space="preserve"> Commission estimates that, over a three-year period, the total reporting burden to comply with Rule 17Ab2-2 would be </w:t>
      </w:r>
      <w:r w:rsidR="008D45E9">
        <w:rPr>
          <w:b/>
          <w:spacing w:val="-3"/>
          <w:sz w:val="24"/>
          <w:szCs w:val="24"/>
        </w:rPr>
        <w:t>20</w:t>
      </w:r>
      <w:r w:rsidR="008D45E9" w:rsidRPr="008F05FF">
        <w:rPr>
          <w:b/>
          <w:spacing w:val="-3"/>
          <w:sz w:val="24"/>
          <w:szCs w:val="24"/>
        </w:rPr>
        <w:t xml:space="preserve"> </w:t>
      </w:r>
      <w:r w:rsidRPr="008F05FF">
        <w:rPr>
          <w:b/>
          <w:spacing w:val="-3"/>
          <w:sz w:val="24"/>
          <w:szCs w:val="24"/>
        </w:rPr>
        <w:t xml:space="preserve">hours, or </w:t>
      </w:r>
      <w:r w:rsidR="00924701">
        <w:rPr>
          <w:b/>
          <w:spacing w:val="-3"/>
          <w:sz w:val="24"/>
          <w:szCs w:val="24"/>
        </w:rPr>
        <w:t>6.66</w:t>
      </w:r>
      <w:r w:rsidRPr="008F05FF">
        <w:rPr>
          <w:b/>
          <w:spacing w:val="-3"/>
          <w:sz w:val="24"/>
          <w:szCs w:val="24"/>
        </w:rPr>
        <w:t xml:space="preserve"> hours per year when annualized over three years.</w:t>
      </w:r>
      <w:r w:rsidRPr="008F05FF">
        <w:rPr>
          <w:rStyle w:val="FootnoteReference"/>
          <w:b/>
          <w:color w:val="000000"/>
          <w:sz w:val="24"/>
          <w:szCs w:val="24"/>
        </w:rPr>
        <w:footnoteReference w:id="5"/>
      </w:r>
      <w:r w:rsidRPr="008F05FF">
        <w:rPr>
          <w:b/>
          <w:spacing w:val="-3"/>
          <w:sz w:val="24"/>
          <w:szCs w:val="24"/>
        </w:rPr>
        <w:t xml:space="preserve">  The reporting burden per respondent would be approximately </w:t>
      </w:r>
      <w:r w:rsidR="00924701">
        <w:rPr>
          <w:b/>
          <w:spacing w:val="-3"/>
          <w:sz w:val="24"/>
          <w:szCs w:val="24"/>
        </w:rPr>
        <w:t>10</w:t>
      </w:r>
      <w:r w:rsidRPr="008F05FF">
        <w:rPr>
          <w:b/>
          <w:spacing w:val="-3"/>
          <w:sz w:val="24"/>
          <w:szCs w:val="24"/>
        </w:rPr>
        <w:t xml:space="preserve"> hours, or approximately </w:t>
      </w:r>
      <w:r w:rsidR="00924701">
        <w:rPr>
          <w:b/>
          <w:spacing w:val="-3"/>
          <w:sz w:val="24"/>
          <w:szCs w:val="24"/>
        </w:rPr>
        <w:t>3.33</w:t>
      </w:r>
      <w:r w:rsidRPr="008F05FF">
        <w:rPr>
          <w:b/>
          <w:spacing w:val="-3"/>
          <w:sz w:val="24"/>
          <w:szCs w:val="24"/>
        </w:rPr>
        <w:t xml:space="preserve"> hours per year when annualized over three years.</w:t>
      </w:r>
      <w:r w:rsidRPr="008F05FF">
        <w:rPr>
          <w:rStyle w:val="FootnoteReference"/>
          <w:b/>
          <w:spacing w:val="-3"/>
          <w:sz w:val="24"/>
          <w:szCs w:val="24"/>
        </w:rPr>
        <w:footnoteReference w:id="6"/>
      </w:r>
    </w:p>
    <w:p w:rsidR="006A73A4" w:rsidRPr="00697946" w:rsidRDefault="006A73A4" w:rsidP="009739D4">
      <w:pPr>
        <w:rPr>
          <w:sz w:val="24"/>
          <w:szCs w:val="24"/>
        </w:rPr>
      </w:pPr>
    </w:p>
    <w:p w:rsidR="009226A3" w:rsidRPr="0093230B" w:rsidRDefault="009226A3" w:rsidP="009226A3">
      <w:pPr>
        <w:ind w:firstLine="720"/>
        <w:rPr>
          <w:b/>
          <w:sz w:val="24"/>
          <w:szCs w:val="24"/>
        </w:rPr>
      </w:pPr>
      <w:r w:rsidRPr="0093230B">
        <w:rPr>
          <w:b/>
          <w:sz w:val="24"/>
          <w:szCs w:val="24"/>
        </w:rPr>
        <w:t>13.</w:t>
      </w:r>
      <w:r w:rsidRPr="0093230B">
        <w:rPr>
          <w:b/>
          <w:sz w:val="24"/>
          <w:szCs w:val="24"/>
        </w:rPr>
        <w:tab/>
      </w:r>
      <w:r w:rsidR="00070DF8" w:rsidRPr="0093230B">
        <w:rPr>
          <w:b/>
          <w:sz w:val="24"/>
          <w:szCs w:val="24"/>
          <w:u w:val="single"/>
        </w:rPr>
        <w:t>Costs</w:t>
      </w:r>
      <w:r w:rsidR="004B02BA" w:rsidRPr="0093230B">
        <w:rPr>
          <w:b/>
          <w:sz w:val="24"/>
          <w:szCs w:val="24"/>
          <w:u w:val="single"/>
        </w:rPr>
        <w:t xml:space="preserve"> to Respondents</w:t>
      </w:r>
    </w:p>
    <w:p w:rsidR="00877389" w:rsidRPr="00D222FB" w:rsidRDefault="00877389" w:rsidP="0014629D">
      <w:pPr>
        <w:ind w:firstLine="720"/>
        <w:rPr>
          <w:bCs/>
          <w:color w:val="000000" w:themeColor="text1"/>
          <w:sz w:val="24"/>
          <w:szCs w:val="24"/>
          <w:u w:val="single"/>
        </w:rPr>
      </w:pPr>
    </w:p>
    <w:p w:rsidR="00C869F7" w:rsidRDefault="005D5F60" w:rsidP="009739D4">
      <w:pPr>
        <w:pStyle w:val="FootnoteText"/>
        <w:ind w:firstLine="720"/>
        <w:rPr>
          <w:sz w:val="24"/>
          <w:szCs w:val="24"/>
        </w:rPr>
      </w:pPr>
      <w:r>
        <w:rPr>
          <w:sz w:val="24"/>
          <w:szCs w:val="24"/>
        </w:rPr>
        <w:t xml:space="preserve">Registered clearing agencies seeking a determination from the Commission regarding the clearing agency’s status as </w:t>
      </w:r>
      <w:r w:rsidR="00E344BA">
        <w:rPr>
          <w:sz w:val="24"/>
          <w:szCs w:val="24"/>
        </w:rPr>
        <w:t>systemically important in multiple jurisdictions</w:t>
      </w:r>
      <w:r>
        <w:rPr>
          <w:sz w:val="24"/>
          <w:szCs w:val="24"/>
        </w:rPr>
        <w:t xml:space="preserve"> may require the agency to hire outside counsel.  </w:t>
      </w:r>
      <w:r w:rsidR="00E17491">
        <w:rPr>
          <w:sz w:val="24"/>
          <w:szCs w:val="24"/>
        </w:rPr>
        <w:t>In such instances where a clearing agency seeks the assistance of outside counsel, t</w:t>
      </w:r>
      <w:r w:rsidRPr="00F05037">
        <w:rPr>
          <w:sz w:val="24"/>
          <w:szCs w:val="24"/>
        </w:rPr>
        <w:t>he Commis</w:t>
      </w:r>
      <w:r>
        <w:rPr>
          <w:sz w:val="24"/>
          <w:szCs w:val="24"/>
        </w:rPr>
        <w:t xml:space="preserve">sion estimates that Rule 17Ab2-2 </w:t>
      </w:r>
      <w:r w:rsidRPr="00F05037">
        <w:rPr>
          <w:sz w:val="24"/>
          <w:szCs w:val="24"/>
        </w:rPr>
        <w:t xml:space="preserve">would impose </w:t>
      </w:r>
      <w:r w:rsidR="000823D1">
        <w:rPr>
          <w:sz w:val="24"/>
          <w:szCs w:val="24"/>
        </w:rPr>
        <w:t>a one-time cost</w:t>
      </w:r>
      <w:r w:rsidRPr="00F05037">
        <w:rPr>
          <w:sz w:val="24"/>
          <w:szCs w:val="24"/>
        </w:rPr>
        <w:t xml:space="preserve"> on </w:t>
      </w:r>
      <w:r w:rsidRPr="00F05037">
        <w:rPr>
          <w:sz w:val="24"/>
          <w:szCs w:val="24"/>
        </w:rPr>
        <w:lastRenderedPageBreak/>
        <w:t xml:space="preserve">all respondent </w:t>
      </w:r>
      <w:r>
        <w:rPr>
          <w:sz w:val="24"/>
          <w:szCs w:val="24"/>
        </w:rPr>
        <w:t>clearing agencies.</w:t>
      </w:r>
      <w:r w:rsidR="00EB3131">
        <w:rPr>
          <w:sz w:val="24"/>
          <w:szCs w:val="24"/>
        </w:rPr>
        <w:t xml:space="preserve">  The Commission estimates this one-time cost on all respondents </w:t>
      </w:r>
      <w:r w:rsidR="00D85650">
        <w:rPr>
          <w:sz w:val="24"/>
          <w:szCs w:val="24"/>
        </w:rPr>
        <w:t xml:space="preserve">would </w:t>
      </w:r>
      <w:r w:rsidR="00EB3131">
        <w:rPr>
          <w:sz w:val="24"/>
          <w:szCs w:val="24"/>
        </w:rPr>
        <w:t>total $4,</w:t>
      </w:r>
      <w:r w:rsidR="00420268">
        <w:rPr>
          <w:sz w:val="24"/>
          <w:szCs w:val="24"/>
        </w:rPr>
        <w:t>0</w:t>
      </w:r>
      <w:r w:rsidR="00EB3131">
        <w:rPr>
          <w:sz w:val="24"/>
          <w:szCs w:val="24"/>
        </w:rPr>
        <w:t xml:space="preserve">00. </w:t>
      </w:r>
      <w:r>
        <w:rPr>
          <w:sz w:val="24"/>
          <w:szCs w:val="24"/>
        </w:rPr>
        <w:t xml:space="preserve">  </w:t>
      </w:r>
    </w:p>
    <w:p w:rsidR="000823D1" w:rsidRDefault="005D5F60" w:rsidP="009739D4">
      <w:pPr>
        <w:pStyle w:val="FootnoteText"/>
        <w:ind w:firstLine="720"/>
        <w:rPr>
          <w:sz w:val="24"/>
          <w:szCs w:val="24"/>
        </w:rPr>
      </w:pPr>
      <w:r w:rsidRPr="00F05037">
        <w:rPr>
          <w:sz w:val="24"/>
          <w:szCs w:val="24"/>
        </w:rPr>
        <w:t xml:space="preserve"> </w:t>
      </w:r>
    </w:p>
    <w:p w:rsidR="00C869F7" w:rsidRDefault="000823D1" w:rsidP="009739D4">
      <w:pPr>
        <w:pStyle w:val="FootnoteText"/>
        <w:ind w:firstLine="720"/>
        <w:rPr>
          <w:b/>
          <w:sz w:val="24"/>
          <w:szCs w:val="24"/>
        </w:rPr>
      </w:pPr>
      <w:r w:rsidRPr="009739D4">
        <w:rPr>
          <w:b/>
          <w:sz w:val="24"/>
          <w:szCs w:val="24"/>
        </w:rPr>
        <w:t>In summary, t</w:t>
      </w:r>
      <w:r w:rsidR="005D5F60" w:rsidRPr="009739D4">
        <w:rPr>
          <w:b/>
          <w:sz w:val="24"/>
          <w:szCs w:val="24"/>
        </w:rPr>
        <w:t>he Commission estimates that should respondent clearing agencies decide to hire outside counsel to seek a determination from the Commission in accordance with Rule 17Ab2-2</w:t>
      </w:r>
      <w:r w:rsidRPr="009739D4">
        <w:rPr>
          <w:b/>
          <w:sz w:val="24"/>
          <w:szCs w:val="24"/>
        </w:rPr>
        <w:t>, the</w:t>
      </w:r>
      <w:r w:rsidR="005D5F60" w:rsidRPr="009739D4">
        <w:rPr>
          <w:b/>
          <w:sz w:val="24"/>
          <w:szCs w:val="24"/>
        </w:rPr>
        <w:t xml:space="preserve"> </w:t>
      </w:r>
      <w:r w:rsidRPr="009739D4">
        <w:rPr>
          <w:b/>
          <w:sz w:val="24"/>
          <w:szCs w:val="24"/>
        </w:rPr>
        <w:t xml:space="preserve">one-time </w:t>
      </w:r>
      <w:r w:rsidR="005D5F60" w:rsidRPr="009739D4">
        <w:rPr>
          <w:b/>
          <w:sz w:val="24"/>
          <w:szCs w:val="24"/>
        </w:rPr>
        <w:t>cost associated with hiring outside counsel would be approximately $</w:t>
      </w:r>
      <w:r w:rsidRPr="009739D4">
        <w:rPr>
          <w:b/>
          <w:sz w:val="24"/>
          <w:szCs w:val="24"/>
        </w:rPr>
        <w:t>4,</w:t>
      </w:r>
      <w:r w:rsidR="004742F3">
        <w:rPr>
          <w:b/>
          <w:sz w:val="24"/>
          <w:szCs w:val="24"/>
        </w:rPr>
        <w:t>0</w:t>
      </w:r>
      <w:r w:rsidRPr="009739D4">
        <w:rPr>
          <w:b/>
          <w:sz w:val="24"/>
          <w:szCs w:val="24"/>
        </w:rPr>
        <w:t>00 or $1,</w:t>
      </w:r>
      <w:r w:rsidR="004742F3">
        <w:rPr>
          <w:b/>
          <w:sz w:val="24"/>
          <w:szCs w:val="24"/>
        </w:rPr>
        <w:t>333.33</w:t>
      </w:r>
      <w:r w:rsidR="005D5F60" w:rsidRPr="009739D4">
        <w:rPr>
          <w:b/>
          <w:sz w:val="24"/>
          <w:szCs w:val="24"/>
        </w:rPr>
        <w:t xml:space="preserve"> per year</w:t>
      </w:r>
      <w:r w:rsidRPr="009739D4">
        <w:rPr>
          <w:b/>
          <w:sz w:val="24"/>
          <w:szCs w:val="24"/>
        </w:rPr>
        <w:t xml:space="preserve"> when annualized over three years</w:t>
      </w:r>
      <w:r w:rsidR="005D5F60" w:rsidRPr="009739D4">
        <w:rPr>
          <w:b/>
          <w:sz w:val="24"/>
          <w:szCs w:val="24"/>
        </w:rPr>
        <w:t>.</w:t>
      </w:r>
      <w:r w:rsidR="00C869F7" w:rsidRPr="00E56C9F">
        <w:rPr>
          <w:rStyle w:val="FootnoteReference"/>
          <w:b/>
          <w:sz w:val="24"/>
          <w:szCs w:val="24"/>
        </w:rPr>
        <w:footnoteReference w:id="7"/>
      </w:r>
      <w:r w:rsidRPr="009739D4">
        <w:rPr>
          <w:b/>
          <w:sz w:val="24"/>
          <w:szCs w:val="24"/>
        </w:rPr>
        <w:t xml:space="preserve">  The total labor cost per respondent would be approximately $2,</w:t>
      </w:r>
      <w:r w:rsidR="004742F3">
        <w:rPr>
          <w:b/>
          <w:sz w:val="24"/>
          <w:szCs w:val="24"/>
        </w:rPr>
        <w:t>0</w:t>
      </w:r>
      <w:r w:rsidRPr="009739D4">
        <w:rPr>
          <w:b/>
          <w:sz w:val="24"/>
          <w:szCs w:val="24"/>
        </w:rPr>
        <w:t>00 or $</w:t>
      </w:r>
      <w:r w:rsidR="004742F3">
        <w:rPr>
          <w:b/>
          <w:sz w:val="24"/>
          <w:szCs w:val="24"/>
        </w:rPr>
        <w:t>666.67</w:t>
      </w:r>
      <w:r w:rsidRPr="009739D4">
        <w:rPr>
          <w:b/>
          <w:sz w:val="24"/>
          <w:szCs w:val="24"/>
        </w:rPr>
        <w:t xml:space="preserve"> when annualized over three years.</w:t>
      </w:r>
      <w:r w:rsidR="00C869F7" w:rsidRPr="00C869F7">
        <w:rPr>
          <w:rStyle w:val="FootnoteReference"/>
          <w:b/>
          <w:sz w:val="24"/>
          <w:szCs w:val="24"/>
        </w:rPr>
        <w:t xml:space="preserve"> </w:t>
      </w:r>
      <w:r w:rsidR="00C869F7" w:rsidRPr="00E56C9F">
        <w:rPr>
          <w:rStyle w:val="FootnoteReference"/>
          <w:b/>
          <w:sz w:val="24"/>
          <w:szCs w:val="24"/>
        </w:rPr>
        <w:footnoteReference w:id="8"/>
      </w:r>
    </w:p>
    <w:p w:rsidR="005771BD" w:rsidRDefault="000823D1" w:rsidP="005771BD">
      <w:pPr>
        <w:pStyle w:val="FootnoteText"/>
        <w:spacing w:after="120"/>
        <w:ind w:firstLine="720"/>
        <w:rPr>
          <w:b/>
          <w:sz w:val="24"/>
          <w:szCs w:val="24"/>
        </w:rPr>
      </w:pPr>
      <w:r w:rsidRPr="009739D4">
        <w:rPr>
          <w:b/>
          <w:sz w:val="24"/>
          <w:szCs w:val="24"/>
        </w:rPr>
        <w:t xml:space="preserve">  </w:t>
      </w:r>
    </w:p>
    <w:p w:rsidR="009226A3" w:rsidRPr="00E57C39" w:rsidRDefault="009226A3" w:rsidP="005771BD">
      <w:pPr>
        <w:pStyle w:val="FootnoteText"/>
        <w:spacing w:after="120"/>
        <w:ind w:firstLine="720"/>
        <w:rPr>
          <w:b/>
          <w:sz w:val="24"/>
          <w:szCs w:val="24"/>
        </w:rPr>
      </w:pPr>
      <w:r w:rsidRPr="00697946">
        <w:rPr>
          <w:b/>
          <w:sz w:val="24"/>
          <w:szCs w:val="24"/>
        </w:rPr>
        <w:t>14.</w:t>
      </w:r>
      <w:r w:rsidRPr="00697946">
        <w:rPr>
          <w:b/>
          <w:sz w:val="24"/>
          <w:szCs w:val="24"/>
        </w:rPr>
        <w:tab/>
      </w:r>
      <w:r w:rsidRPr="00697946">
        <w:rPr>
          <w:b/>
          <w:sz w:val="24"/>
          <w:szCs w:val="24"/>
          <w:u w:val="single"/>
        </w:rPr>
        <w:t>Costs to Federal Gover</w:t>
      </w:r>
      <w:r w:rsidRPr="0073062B">
        <w:rPr>
          <w:b/>
          <w:sz w:val="24"/>
          <w:szCs w:val="24"/>
          <w:u w:val="single"/>
        </w:rPr>
        <w:t>nment</w:t>
      </w:r>
    </w:p>
    <w:p w:rsidR="009226A3" w:rsidRPr="0093230B" w:rsidRDefault="009226A3" w:rsidP="009226A3">
      <w:pPr>
        <w:ind w:firstLine="720"/>
        <w:rPr>
          <w:sz w:val="24"/>
          <w:szCs w:val="24"/>
        </w:rPr>
      </w:pPr>
    </w:p>
    <w:p w:rsidR="004116C7" w:rsidRPr="00176E48" w:rsidRDefault="004116C7" w:rsidP="004116C7">
      <w:pPr>
        <w:ind w:firstLine="720"/>
        <w:rPr>
          <w:sz w:val="24"/>
          <w:szCs w:val="24"/>
        </w:rPr>
      </w:pPr>
      <w:r w:rsidRPr="0093230B">
        <w:rPr>
          <w:sz w:val="24"/>
          <w:szCs w:val="24"/>
        </w:rPr>
        <w:t>Not applicable.</w:t>
      </w:r>
    </w:p>
    <w:p w:rsidR="004116C7" w:rsidRPr="00D222FB" w:rsidRDefault="004116C7" w:rsidP="009226A3">
      <w:pPr>
        <w:ind w:firstLine="720"/>
        <w:rPr>
          <w:sz w:val="24"/>
          <w:szCs w:val="24"/>
        </w:rPr>
      </w:pPr>
    </w:p>
    <w:p w:rsidR="009226A3" w:rsidRPr="00D222FB" w:rsidRDefault="009226A3" w:rsidP="009226A3">
      <w:pPr>
        <w:ind w:firstLine="720"/>
        <w:rPr>
          <w:b/>
          <w:sz w:val="24"/>
          <w:szCs w:val="24"/>
        </w:rPr>
      </w:pPr>
      <w:r w:rsidRPr="00D222FB">
        <w:rPr>
          <w:b/>
          <w:sz w:val="24"/>
          <w:szCs w:val="24"/>
        </w:rPr>
        <w:t>15.</w:t>
      </w:r>
      <w:r w:rsidRPr="00D222FB">
        <w:rPr>
          <w:b/>
          <w:sz w:val="24"/>
          <w:szCs w:val="24"/>
        </w:rPr>
        <w:tab/>
      </w:r>
      <w:r w:rsidRPr="00D222FB">
        <w:rPr>
          <w:b/>
          <w:sz w:val="24"/>
          <w:szCs w:val="24"/>
          <w:u w:val="single"/>
        </w:rPr>
        <w:t>Changes in Burden</w:t>
      </w:r>
    </w:p>
    <w:p w:rsidR="009226A3" w:rsidRPr="00F05037" w:rsidRDefault="009226A3" w:rsidP="009226A3">
      <w:pPr>
        <w:ind w:firstLine="720"/>
        <w:rPr>
          <w:sz w:val="24"/>
          <w:szCs w:val="24"/>
        </w:rPr>
      </w:pPr>
    </w:p>
    <w:p w:rsidR="000312B8" w:rsidRPr="00F05037" w:rsidRDefault="00CC0E00" w:rsidP="004423A3">
      <w:pPr>
        <w:pStyle w:val="Default"/>
        <w:ind w:firstLine="720"/>
        <w:rPr>
          <w:color w:val="000000" w:themeColor="text1"/>
        </w:rPr>
      </w:pPr>
      <w:r>
        <w:rPr>
          <w:color w:val="000000" w:themeColor="text1"/>
        </w:rPr>
        <w:t>Not applicable.</w:t>
      </w:r>
      <w:r w:rsidR="008F05FF">
        <w:rPr>
          <w:color w:val="000000" w:themeColor="text1"/>
        </w:rPr>
        <w:t xml:space="preserve">  </w:t>
      </w:r>
      <w:r w:rsidR="004742F3">
        <w:rPr>
          <w:color w:val="000000" w:themeColor="text1"/>
        </w:rPr>
        <w:t>R</w:t>
      </w:r>
      <w:r w:rsidR="008F05FF">
        <w:rPr>
          <w:color w:val="000000" w:themeColor="text1"/>
        </w:rPr>
        <w:t xml:space="preserve">ule 17Ab2-2 is a new rule. </w:t>
      </w:r>
    </w:p>
    <w:p w:rsidR="004116C7" w:rsidRPr="00F05037" w:rsidRDefault="004116C7" w:rsidP="009226A3">
      <w:pPr>
        <w:ind w:firstLine="720"/>
        <w:rPr>
          <w:sz w:val="24"/>
          <w:szCs w:val="24"/>
        </w:rPr>
      </w:pPr>
    </w:p>
    <w:p w:rsidR="009226A3" w:rsidRPr="00F05037" w:rsidRDefault="009226A3" w:rsidP="009226A3">
      <w:pPr>
        <w:ind w:firstLine="720"/>
        <w:rPr>
          <w:b/>
          <w:sz w:val="24"/>
          <w:szCs w:val="24"/>
        </w:rPr>
      </w:pPr>
      <w:r w:rsidRPr="00F05037">
        <w:rPr>
          <w:b/>
          <w:sz w:val="24"/>
          <w:szCs w:val="24"/>
        </w:rPr>
        <w:t>16.</w:t>
      </w:r>
      <w:r w:rsidRPr="00F05037">
        <w:rPr>
          <w:b/>
          <w:sz w:val="24"/>
          <w:szCs w:val="24"/>
        </w:rPr>
        <w:tab/>
      </w:r>
      <w:r w:rsidRPr="00F05037">
        <w:rPr>
          <w:b/>
          <w:sz w:val="24"/>
          <w:szCs w:val="24"/>
          <w:u w:val="single"/>
        </w:rPr>
        <w:t>Information Planned for Statistical Purposes</w:t>
      </w:r>
    </w:p>
    <w:p w:rsidR="0028178B" w:rsidRPr="00F05037" w:rsidRDefault="0028178B" w:rsidP="0028178B">
      <w:pPr>
        <w:ind w:firstLine="720"/>
        <w:rPr>
          <w:sz w:val="24"/>
          <w:szCs w:val="24"/>
        </w:rPr>
      </w:pPr>
    </w:p>
    <w:p w:rsidR="0028178B" w:rsidRPr="00F05037" w:rsidRDefault="0028178B" w:rsidP="0028178B">
      <w:pPr>
        <w:ind w:firstLine="720"/>
        <w:rPr>
          <w:sz w:val="24"/>
          <w:szCs w:val="24"/>
        </w:rPr>
      </w:pPr>
      <w:r w:rsidRPr="00F05037">
        <w:rPr>
          <w:sz w:val="24"/>
          <w:szCs w:val="24"/>
        </w:rPr>
        <w:t>Not applicable.</w:t>
      </w:r>
    </w:p>
    <w:p w:rsidR="009226A3" w:rsidRPr="00F05037" w:rsidRDefault="009226A3" w:rsidP="009226A3">
      <w:pPr>
        <w:ind w:firstLine="720"/>
        <w:rPr>
          <w:sz w:val="24"/>
          <w:szCs w:val="24"/>
        </w:rPr>
      </w:pPr>
    </w:p>
    <w:p w:rsidR="009226A3" w:rsidRPr="00F05037" w:rsidRDefault="009226A3" w:rsidP="009226A3">
      <w:pPr>
        <w:ind w:firstLine="720"/>
        <w:rPr>
          <w:b/>
          <w:sz w:val="24"/>
          <w:szCs w:val="24"/>
        </w:rPr>
      </w:pPr>
      <w:r w:rsidRPr="00F05037">
        <w:rPr>
          <w:b/>
          <w:sz w:val="24"/>
          <w:szCs w:val="24"/>
        </w:rPr>
        <w:t>17.</w:t>
      </w:r>
      <w:r w:rsidRPr="00F05037">
        <w:rPr>
          <w:b/>
          <w:sz w:val="24"/>
          <w:szCs w:val="24"/>
        </w:rPr>
        <w:tab/>
      </w:r>
      <w:r w:rsidR="00C07BF6" w:rsidRPr="00F05037">
        <w:rPr>
          <w:b/>
          <w:sz w:val="24"/>
          <w:szCs w:val="24"/>
          <w:u w:val="single"/>
        </w:rPr>
        <w:t>Display of OMB Approval Date</w:t>
      </w:r>
    </w:p>
    <w:p w:rsidR="004116C7" w:rsidRPr="00F05037" w:rsidRDefault="004116C7" w:rsidP="009226A3">
      <w:pPr>
        <w:ind w:firstLine="720"/>
        <w:rPr>
          <w:sz w:val="24"/>
          <w:szCs w:val="24"/>
        </w:rPr>
      </w:pPr>
    </w:p>
    <w:p w:rsidR="00C07BF6" w:rsidRPr="00F05037" w:rsidRDefault="00F85499" w:rsidP="009226A3">
      <w:pPr>
        <w:ind w:firstLine="720"/>
        <w:rPr>
          <w:sz w:val="24"/>
          <w:szCs w:val="24"/>
        </w:rPr>
      </w:pPr>
      <w:r w:rsidRPr="00F05037">
        <w:rPr>
          <w:sz w:val="24"/>
          <w:szCs w:val="24"/>
        </w:rPr>
        <w:t>The Commission is not seeking approval to not display the OMB approval expiration date.</w:t>
      </w:r>
    </w:p>
    <w:p w:rsidR="004116C7" w:rsidRPr="00F05037" w:rsidRDefault="004116C7" w:rsidP="009226A3">
      <w:pPr>
        <w:ind w:firstLine="720"/>
        <w:rPr>
          <w:sz w:val="24"/>
          <w:szCs w:val="24"/>
        </w:rPr>
      </w:pPr>
    </w:p>
    <w:p w:rsidR="00C07BF6" w:rsidRPr="00F05037" w:rsidRDefault="00C07BF6" w:rsidP="009226A3">
      <w:pPr>
        <w:ind w:firstLine="720"/>
        <w:rPr>
          <w:b/>
          <w:sz w:val="24"/>
          <w:szCs w:val="24"/>
        </w:rPr>
      </w:pPr>
      <w:r w:rsidRPr="00F05037">
        <w:rPr>
          <w:b/>
          <w:sz w:val="24"/>
          <w:szCs w:val="24"/>
        </w:rPr>
        <w:t>18.</w:t>
      </w:r>
      <w:r w:rsidRPr="00F05037">
        <w:rPr>
          <w:b/>
          <w:sz w:val="24"/>
          <w:szCs w:val="24"/>
        </w:rPr>
        <w:tab/>
      </w:r>
      <w:r w:rsidRPr="00F05037">
        <w:rPr>
          <w:b/>
          <w:sz w:val="24"/>
          <w:szCs w:val="24"/>
          <w:u w:val="single"/>
        </w:rPr>
        <w:t>Exceptions to Certification for Paperwork Reduction Act Submissions</w:t>
      </w:r>
    </w:p>
    <w:p w:rsidR="004116C7" w:rsidRPr="00F05037" w:rsidRDefault="004116C7" w:rsidP="004116C7">
      <w:pPr>
        <w:ind w:firstLine="720"/>
        <w:rPr>
          <w:sz w:val="24"/>
          <w:szCs w:val="24"/>
        </w:rPr>
      </w:pPr>
    </w:p>
    <w:p w:rsidR="004116C7" w:rsidRPr="00F05037" w:rsidRDefault="004116C7" w:rsidP="004116C7">
      <w:pPr>
        <w:ind w:firstLine="720"/>
        <w:rPr>
          <w:sz w:val="24"/>
          <w:szCs w:val="24"/>
        </w:rPr>
      </w:pPr>
      <w:r w:rsidRPr="00F05037">
        <w:rPr>
          <w:sz w:val="24"/>
          <w:szCs w:val="24"/>
        </w:rPr>
        <w:t>Not applicable.</w:t>
      </w:r>
    </w:p>
    <w:p w:rsidR="007C06EB" w:rsidRPr="00F05037" w:rsidRDefault="007C06EB" w:rsidP="00C07BF6">
      <w:pPr>
        <w:rPr>
          <w:sz w:val="24"/>
          <w:szCs w:val="24"/>
        </w:rPr>
      </w:pPr>
    </w:p>
    <w:p w:rsidR="00C07BF6" w:rsidRPr="00F05037" w:rsidRDefault="00C07BF6" w:rsidP="00C07BF6">
      <w:pPr>
        <w:rPr>
          <w:b/>
          <w:sz w:val="24"/>
          <w:szCs w:val="24"/>
        </w:rPr>
      </w:pPr>
      <w:r w:rsidRPr="009739D4">
        <w:rPr>
          <w:b/>
          <w:sz w:val="24"/>
          <w:szCs w:val="24"/>
        </w:rPr>
        <w:t>B.</w:t>
      </w:r>
      <w:r w:rsidRPr="00F05037">
        <w:rPr>
          <w:b/>
          <w:sz w:val="24"/>
          <w:szCs w:val="24"/>
        </w:rPr>
        <w:tab/>
      </w:r>
      <w:r w:rsidRPr="00F05037">
        <w:rPr>
          <w:b/>
          <w:sz w:val="24"/>
          <w:szCs w:val="24"/>
          <w:u w:val="single"/>
        </w:rPr>
        <w:t>COLLECTIONS OF INFORMATION EMPLOYING STATISTICAL METHODS</w:t>
      </w:r>
    </w:p>
    <w:p w:rsidR="00C07BF6" w:rsidRPr="00F05037" w:rsidRDefault="00C07BF6" w:rsidP="00C07BF6">
      <w:pPr>
        <w:rPr>
          <w:sz w:val="24"/>
          <w:szCs w:val="24"/>
        </w:rPr>
      </w:pPr>
    </w:p>
    <w:p w:rsidR="00C07BF6" w:rsidRPr="00F05037" w:rsidRDefault="00C07BF6" w:rsidP="00C07BF6">
      <w:pPr>
        <w:rPr>
          <w:sz w:val="24"/>
          <w:szCs w:val="24"/>
        </w:rPr>
      </w:pPr>
      <w:r w:rsidRPr="00F05037">
        <w:rPr>
          <w:sz w:val="24"/>
          <w:szCs w:val="24"/>
        </w:rPr>
        <w:tab/>
        <w:t xml:space="preserve">Not applicable. The collection of information does not employ statistical methods. </w:t>
      </w:r>
    </w:p>
    <w:sectPr w:rsidR="00C07BF6" w:rsidRPr="00F05037" w:rsidSect="00ED7530">
      <w:foot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C12" w:rsidRDefault="005E6C12" w:rsidP="00A2459D">
      <w:r>
        <w:separator/>
      </w:r>
    </w:p>
  </w:endnote>
  <w:endnote w:type="continuationSeparator" w:id="0">
    <w:p w:rsidR="005E6C12" w:rsidRDefault="005E6C12" w:rsidP="00A2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NAAA A+ New Century Schlbk">
    <w:altName w:val="Times New Roman"/>
    <w:charset w:val="00"/>
    <w:family w:val="auto"/>
    <w:pitch w:val="default"/>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609797"/>
      <w:docPartObj>
        <w:docPartGallery w:val="Page Numbers (Bottom of Page)"/>
        <w:docPartUnique/>
      </w:docPartObj>
    </w:sdtPr>
    <w:sdtEndPr/>
    <w:sdtContent>
      <w:p w:rsidR="005E6C12" w:rsidRDefault="005E6C12">
        <w:pPr>
          <w:pStyle w:val="Footer"/>
          <w:jc w:val="center"/>
        </w:pPr>
        <w:r>
          <w:fldChar w:fldCharType="begin"/>
        </w:r>
        <w:r>
          <w:instrText xml:space="preserve"> PAGE   \* MERGEFORMAT </w:instrText>
        </w:r>
        <w:r>
          <w:fldChar w:fldCharType="separate"/>
        </w:r>
        <w:r w:rsidR="00E003FB">
          <w:rPr>
            <w:noProof/>
          </w:rPr>
          <w:t>3</w:t>
        </w:r>
        <w:r>
          <w:rPr>
            <w:noProof/>
          </w:rPr>
          <w:fldChar w:fldCharType="end"/>
        </w:r>
      </w:p>
    </w:sdtContent>
  </w:sdt>
  <w:p w:rsidR="005E6C12" w:rsidRDefault="005E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C12" w:rsidRDefault="005E6C12" w:rsidP="00A2459D">
      <w:r>
        <w:separator/>
      </w:r>
    </w:p>
  </w:footnote>
  <w:footnote w:type="continuationSeparator" w:id="0">
    <w:p w:rsidR="005E6C12" w:rsidRDefault="005E6C12" w:rsidP="00A2459D">
      <w:r>
        <w:continuationSeparator/>
      </w:r>
    </w:p>
  </w:footnote>
  <w:footnote w:id="1">
    <w:p w:rsidR="00FF2AFA" w:rsidRPr="00EE01A4" w:rsidRDefault="00FF2AFA" w:rsidP="00FF2AFA">
      <w:pPr>
        <w:pStyle w:val="FootnoteText"/>
        <w:rPr>
          <w:sz w:val="24"/>
          <w:szCs w:val="24"/>
        </w:rPr>
      </w:pPr>
      <w:r w:rsidRPr="00EE01A4">
        <w:rPr>
          <w:rStyle w:val="FootnoteReference"/>
          <w:sz w:val="24"/>
          <w:szCs w:val="24"/>
        </w:rPr>
        <w:footnoteRef/>
      </w:r>
      <w:r w:rsidRPr="00EE01A4">
        <w:rPr>
          <w:sz w:val="24"/>
          <w:szCs w:val="24"/>
        </w:rPr>
        <w:t xml:space="preserve"> </w:t>
      </w:r>
      <w:r w:rsidRPr="00EE01A4">
        <w:rPr>
          <w:sz w:val="24"/>
          <w:szCs w:val="24"/>
        </w:rPr>
        <w:tab/>
      </w:r>
      <w:r w:rsidRPr="00EE01A4">
        <w:rPr>
          <w:sz w:val="24"/>
          <w:szCs w:val="24"/>
          <w:u w:val="single"/>
        </w:rPr>
        <w:t>See</w:t>
      </w:r>
      <w:r w:rsidRPr="00EE01A4">
        <w:rPr>
          <w:sz w:val="24"/>
          <w:szCs w:val="24"/>
        </w:rPr>
        <w:t xml:space="preserve"> Exchange Act Release 34-71699 (March 12</w:t>
      </w:r>
      <w:r w:rsidR="00CF2189">
        <w:rPr>
          <w:sz w:val="24"/>
          <w:szCs w:val="24"/>
        </w:rPr>
        <w:t>,</w:t>
      </w:r>
      <w:r w:rsidRPr="00EE01A4">
        <w:rPr>
          <w:sz w:val="24"/>
          <w:szCs w:val="24"/>
        </w:rPr>
        <w:t xml:space="preserve"> 2014), 79 FR </w:t>
      </w:r>
      <w:r w:rsidR="009B68FB">
        <w:rPr>
          <w:sz w:val="24"/>
          <w:szCs w:val="24"/>
        </w:rPr>
        <w:t>29507</w:t>
      </w:r>
      <w:r w:rsidRPr="00EE01A4">
        <w:rPr>
          <w:sz w:val="24"/>
          <w:szCs w:val="24"/>
        </w:rPr>
        <w:t xml:space="preserve"> (</w:t>
      </w:r>
      <w:r w:rsidR="009B68FB">
        <w:rPr>
          <w:sz w:val="24"/>
          <w:szCs w:val="24"/>
        </w:rPr>
        <w:t>May 22</w:t>
      </w:r>
      <w:r w:rsidRPr="00EE01A4">
        <w:rPr>
          <w:sz w:val="24"/>
          <w:szCs w:val="24"/>
        </w:rPr>
        <w:t xml:space="preserve">, 2014) </w:t>
      </w:r>
      <w:r w:rsidRPr="00EE01A4">
        <w:rPr>
          <w:sz w:val="24"/>
          <w:szCs w:val="24"/>
        </w:rPr>
        <w:tab/>
        <w:t>(“2014 Proposing Release”), available at</w:t>
      </w:r>
      <w:r w:rsidRPr="00EE01A4">
        <w:rPr>
          <w:rStyle w:val="Hyperlink"/>
          <w:color w:val="auto"/>
          <w:sz w:val="24"/>
          <w:szCs w:val="24"/>
          <w:u w:val="none"/>
        </w:rPr>
        <w:t xml:space="preserve"> </w:t>
      </w:r>
      <w:hyperlink r:id="rId1" w:history="1">
        <w:r w:rsidRPr="00EE01A4">
          <w:rPr>
            <w:rStyle w:val="Hyperlink"/>
            <w:color w:val="auto"/>
            <w:sz w:val="24"/>
            <w:szCs w:val="24"/>
          </w:rPr>
          <w:t>http://www.sec.gov/rules/proposed/2014/34-</w:t>
        </w:r>
      </w:hyperlink>
      <w:r w:rsidRPr="00EE01A4">
        <w:rPr>
          <w:rStyle w:val="Hyperlink"/>
          <w:i/>
          <w:color w:val="auto"/>
          <w:sz w:val="24"/>
          <w:szCs w:val="24"/>
          <w:u w:val="none"/>
        </w:rPr>
        <w:tab/>
      </w:r>
      <w:r w:rsidRPr="00EE01A4">
        <w:rPr>
          <w:rStyle w:val="Hyperlink"/>
          <w:color w:val="auto"/>
          <w:sz w:val="24"/>
          <w:szCs w:val="24"/>
        </w:rPr>
        <w:t>71699.pdf</w:t>
      </w:r>
      <w:r w:rsidRPr="00EE01A4">
        <w:rPr>
          <w:rStyle w:val="Hyperlink"/>
          <w:color w:val="auto"/>
          <w:sz w:val="24"/>
          <w:szCs w:val="24"/>
          <w:u w:val="none"/>
        </w:rPr>
        <w:t xml:space="preserve"> (herein after “2014 Proposing Release”)</w:t>
      </w:r>
      <w:r w:rsidRPr="00EE01A4">
        <w:rPr>
          <w:sz w:val="24"/>
          <w:szCs w:val="24"/>
        </w:rPr>
        <w:t xml:space="preserve">.  </w:t>
      </w:r>
    </w:p>
  </w:footnote>
  <w:footnote w:id="2">
    <w:p w:rsidR="005E6C12" w:rsidRPr="006A5033" w:rsidRDefault="005E6C12" w:rsidP="00432CA2">
      <w:pPr>
        <w:pStyle w:val="FootnoteText"/>
        <w:ind w:left="720" w:hanging="720"/>
        <w:rPr>
          <w:color w:val="000000" w:themeColor="text1"/>
          <w:sz w:val="24"/>
          <w:szCs w:val="24"/>
        </w:rPr>
      </w:pPr>
      <w:r w:rsidRPr="0022090A">
        <w:rPr>
          <w:rStyle w:val="FootnoteReference"/>
          <w:sz w:val="24"/>
          <w:szCs w:val="24"/>
        </w:rPr>
        <w:footnoteRef/>
      </w:r>
      <w:r w:rsidRPr="0022090A">
        <w:rPr>
          <w:sz w:val="24"/>
          <w:szCs w:val="24"/>
        </w:rPr>
        <w:t xml:space="preserve"> </w:t>
      </w:r>
      <w:r w:rsidRPr="0022090A">
        <w:rPr>
          <w:sz w:val="24"/>
          <w:szCs w:val="24"/>
        </w:rPr>
        <w:tab/>
      </w:r>
      <w:r w:rsidRPr="0022090A">
        <w:rPr>
          <w:color w:val="000000" w:themeColor="text1"/>
          <w:sz w:val="24"/>
          <w:szCs w:val="24"/>
          <w:u w:val="single"/>
        </w:rPr>
        <w:t>See</w:t>
      </w:r>
      <w:r w:rsidRPr="0022090A">
        <w:rPr>
          <w:color w:val="000000" w:themeColor="text1"/>
          <w:sz w:val="24"/>
          <w:szCs w:val="24"/>
        </w:rPr>
        <w:t xml:space="preserve"> Exchange Act Release No. 34–71699</w:t>
      </w:r>
      <w:r w:rsidRPr="006A5033">
        <w:rPr>
          <w:color w:val="000000" w:themeColor="text1"/>
          <w:sz w:val="24"/>
          <w:szCs w:val="24"/>
        </w:rPr>
        <w:t xml:space="preserve"> (Mar. 12, 2014), 79 FR 16866 (Mar. 26, 2014) (“Proposing Release”), </w:t>
      </w:r>
      <w:r w:rsidRPr="006A5033">
        <w:rPr>
          <w:color w:val="000000" w:themeColor="text1"/>
          <w:sz w:val="24"/>
          <w:szCs w:val="24"/>
          <w:u w:val="single"/>
        </w:rPr>
        <w:t>available at</w:t>
      </w:r>
      <w:r w:rsidRPr="006A5033">
        <w:rPr>
          <w:sz w:val="24"/>
          <w:szCs w:val="24"/>
        </w:rPr>
        <w:t xml:space="preserve"> </w:t>
      </w:r>
      <w:r w:rsidRPr="00204B32">
        <w:rPr>
          <w:color w:val="000000" w:themeColor="text1"/>
          <w:sz w:val="24"/>
          <w:szCs w:val="24"/>
        </w:rPr>
        <w:t>http://www.sec.gov/rules/proposed/2014/34-71699.pdf</w:t>
      </w:r>
      <w:r w:rsidRPr="006A5033">
        <w:rPr>
          <w:color w:val="000000" w:themeColor="text1"/>
          <w:sz w:val="24"/>
          <w:szCs w:val="24"/>
        </w:rPr>
        <w:t xml:space="preserve">.    </w:t>
      </w:r>
    </w:p>
    <w:p w:rsidR="005E6C12" w:rsidRPr="006A5033" w:rsidRDefault="005E6C12">
      <w:pPr>
        <w:pStyle w:val="FootnoteText"/>
        <w:rPr>
          <w:sz w:val="24"/>
          <w:szCs w:val="24"/>
        </w:rPr>
      </w:pPr>
    </w:p>
  </w:footnote>
  <w:footnote w:id="3">
    <w:p w:rsidR="005E6C12" w:rsidRPr="006A5033" w:rsidRDefault="005E6C12">
      <w:pPr>
        <w:pStyle w:val="FootnoteText"/>
        <w:rPr>
          <w:sz w:val="24"/>
          <w:szCs w:val="24"/>
        </w:rPr>
      </w:pPr>
      <w:r w:rsidRPr="006A5033">
        <w:rPr>
          <w:rStyle w:val="FootnoteReference"/>
          <w:sz w:val="24"/>
          <w:szCs w:val="24"/>
        </w:rPr>
        <w:footnoteRef/>
      </w:r>
      <w:r w:rsidRPr="006A5033">
        <w:rPr>
          <w:sz w:val="24"/>
          <w:szCs w:val="24"/>
        </w:rPr>
        <w:t xml:space="preserve"> </w:t>
      </w:r>
      <w:r w:rsidRPr="006A5033">
        <w:rPr>
          <w:sz w:val="24"/>
          <w:szCs w:val="24"/>
        </w:rPr>
        <w:tab/>
        <w:t xml:space="preserve">See, e.g., 5 U.S.C. 552.  Exemption 4 of the Freedom of Information Act provides an </w:t>
      </w:r>
      <w:r w:rsidRPr="0022090A">
        <w:rPr>
          <w:sz w:val="24"/>
          <w:szCs w:val="24"/>
        </w:rPr>
        <w:tab/>
      </w:r>
      <w:r w:rsidRPr="006A5033">
        <w:rPr>
          <w:sz w:val="24"/>
          <w:szCs w:val="24"/>
        </w:rPr>
        <w:t xml:space="preserve">exemption for trade secrets and commercial or financial information obtained from a </w:t>
      </w:r>
      <w:r w:rsidRPr="0022090A">
        <w:rPr>
          <w:sz w:val="24"/>
          <w:szCs w:val="24"/>
        </w:rPr>
        <w:tab/>
      </w:r>
      <w:r w:rsidRPr="006A5033">
        <w:rPr>
          <w:sz w:val="24"/>
          <w:szCs w:val="24"/>
        </w:rPr>
        <w:t xml:space="preserve">person and privileged or confidential.  See 5 U.S.C. 552(b)(4).  Exemption 8 of the </w:t>
      </w:r>
      <w:r w:rsidRPr="0022090A">
        <w:rPr>
          <w:sz w:val="24"/>
          <w:szCs w:val="24"/>
        </w:rPr>
        <w:tab/>
      </w:r>
      <w:r w:rsidRPr="006A5033">
        <w:rPr>
          <w:sz w:val="24"/>
          <w:szCs w:val="24"/>
        </w:rPr>
        <w:t xml:space="preserve">Freedom of Information Act provides an exemption for matters that are contained in or </w:t>
      </w:r>
      <w:r w:rsidRPr="0022090A">
        <w:rPr>
          <w:sz w:val="24"/>
          <w:szCs w:val="24"/>
        </w:rPr>
        <w:tab/>
      </w:r>
      <w:r w:rsidRPr="006A5033">
        <w:rPr>
          <w:sz w:val="24"/>
          <w:szCs w:val="24"/>
        </w:rPr>
        <w:t xml:space="preserve">related to examination, operating, or condition reports prepared by, on behalf of, or for </w:t>
      </w:r>
      <w:r w:rsidRPr="0022090A">
        <w:rPr>
          <w:sz w:val="24"/>
          <w:szCs w:val="24"/>
        </w:rPr>
        <w:tab/>
      </w:r>
      <w:r w:rsidRPr="006A5033">
        <w:rPr>
          <w:sz w:val="24"/>
          <w:szCs w:val="24"/>
        </w:rPr>
        <w:t xml:space="preserve">the use of an agency responsible for the regulation or supervision of financial institutions.  </w:t>
      </w:r>
      <w:r w:rsidRPr="0022090A">
        <w:rPr>
          <w:sz w:val="24"/>
          <w:szCs w:val="24"/>
        </w:rPr>
        <w:tab/>
      </w:r>
      <w:r w:rsidRPr="006A5033">
        <w:rPr>
          <w:sz w:val="24"/>
          <w:szCs w:val="24"/>
        </w:rPr>
        <w:t>See 5 U.S.C. 552(b)(8).</w:t>
      </w:r>
    </w:p>
  </w:footnote>
  <w:footnote w:id="4">
    <w:p w:rsidR="008F05FF" w:rsidRDefault="00755B67" w:rsidP="008D45E9">
      <w:pPr>
        <w:pStyle w:val="FootnoteText"/>
        <w:ind w:left="720" w:hanging="720"/>
        <w:rPr>
          <w:sz w:val="24"/>
          <w:szCs w:val="24"/>
        </w:rPr>
      </w:pPr>
      <w:r w:rsidRPr="006A5033">
        <w:rPr>
          <w:rStyle w:val="FootnoteReference"/>
          <w:sz w:val="24"/>
          <w:szCs w:val="24"/>
        </w:rPr>
        <w:footnoteRef/>
      </w:r>
      <w:r w:rsidRPr="006A5033">
        <w:rPr>
          <w:sz w:val="24"/>
          <w:szCs w:val="24"/>
        </w:rPr>
        <w:t xml:space="preserve"> </w:t>
      </w:r>
      <w:r w:rsidRPr="006A5033">
        <w:rPr>
          <w:sz w:val="24"/>
          <w:szCs w:val="24"/>
        </w:rPr>
        <w:tab/>
        <w:t xml:space="preserve">This figure was calculated as follows: ((Assistant General Counsel for 2 hours) + (Staff Attorney for </w:t>
      </w:r>
      <w:r w:rsidR="00733F73">
        <w:rPr>
          <w:sz w:val="24"/>
          <w:szCs w:val="24"/>
        </w:rPr>
        <w:t>3</w:t>
      </w:r>
      <w:r w:rsidRPr="006A5033">
        <w:rPr>
          <w:sz w:val="24"/>
          <w:szCs w:val="24"/>
        </w:rPr>
        <w:t xml:space="preserve"> hours)</w:t>
      </w:r>
      <w:r w:rsidR="00733F73">
        <w:rPr>
          <w:sz w:val="24"/>
          <w:szCs w:val="24"/>
        </w:rPr>
        <w:t xml:space="preserve"> + (Outside Counsel for 5 hours))</w:t>
      </w:r>
      <w:r w:rsidRPr="006A5033">
        <w:rPr>
          <w:sz w:val="24"/>
          <w:szCs w:val="24"/>
        </w:rPr>
        <w:t xml:space="preserve">) = </w:t>
      </w:r>
      <w:r w:rsidR="00733F73">
        <w:rPr>
          <w:sz w:val="24"/>
          <w:szCs w:val="24"/>
        </w:rPr>
        <w:t>10</w:t>
      </w:r>
      <w:r w:rsidR="008F05FF" w:rsidRPr="006A5033">
        <w:rPr>
          <w:sz w:val="24"/>
          <w:szCs w:val="24"/>
        </w:rPr>
        <w:t xml:space="preserve"> </w:t>
      </w:r>
      <w:r w:rsidRPr="006A5033">
        <w:rPr>
          <w:sz w:val="24"/>
          <w:szCs w:val="24"/>
        </w:rPr>
        <w:t xml:space="preserve">hours x 2 respondent clearing agencies = </w:t>
      </w:r>
      <w:r w:rsidR="00733F73">
        <w:rPr>
          <w:sz w:val="24"/>
          <w:szCs w:val="24"/>
        </w:rPr>
        <w:t>20</w:t>
      </w:r>
      <w:r w:rsidR="00733F73" w:rsidRPr="006A5033">
        <w:rPr>
          <w:sz w:val="24"/>
          <w:szCs w:val="24"/>
        </w:rPr>
        <w:t xml:space="preserve"> </w:t>
      </w:r>
      <w:r w:rsidRPr="006A5033">
        <w:rPr>
          <w:sz w:val="24"/>
          <w:szCs w:val="24"/>
        </w:rPr>
        <w:t>hours.</w:t>
      </w:r>
      <w:r w:rsidR="00A93EDD" w:rsidRPr="006A5033">
        <w:rPr>
          <w:sz w:val="24"/>
          <w:szCs w:val="24"/>
        </w:rPr>
        <w:tab/>
      </w:r>
      <w:r w:rsidR="000108F8" w:rsidRPr="006A5033">
        <w:rPr>
          <w:sz w:val="24"/>
          <w:szCs w:val="24"/>
        </w:rPr>
        <w:t xml:space="preserve"> </w:t>
      </w:r>
    </w:p>
    <w:p w:rsidR="00A93EDD" w:rsidRPr="006A5033" w:rsidRDefault="000108F8">
      <w:pPr>
        <w:pStyle w:val="FootnoteText"/>
        <w:rPr>
          <w:sz w:val="24"/>
          <w:szCs w:val="24"/>
        </w:rPr>
      </w:pPr>
      <w:r w:rsidRPr="0022090A">
        <w:rPr>
          <w:sz w:val="24"/>
          <w:szCs w:val="24"/>
        </w:rPr>
        <w:t xml:space="preserve"> </w:t>
      </w:r>
    </w:p>
  </w:footnote>
  <w:footnote w:id="5">
    <w:p w:rsidR="008F05FF" w:rsidRDefault="008F05FF" w:rsidP="009739D4">
      <w:pPr>
        <w:pStyle w:val="FootnoteText"/>
        <w:ind w:left="720" w:hanging="720"/>
        <w:rPr>
          <w:sz w:val="24"/>
          <w:szCs w:val="24"/>
        </w:rPr>
      </w:pPr>
      <w:r w:rsidRPr="001D572B">
        <w:rPr>
          <w:rStyle w:val="FootnoteReference"/>
        </w:rPr>
        <w:footnoteRef/>
      </w:r>
      <w:r w:rsidRPr="001D572B">
        <w:t xml:space="preserve"> </w:t>
      </w:r>
      <w:r w:rsidRPr="001D572B">
        <w:tab/>
      </w:r>
      <w:r>
        <w:rPr>
          <w:sz w:val="24"/>
          <w:szCs w:val="24"/>
        </w:rPr>
        <w:t>2</w:t>
      </w:r>
      <w:r w:rsidRPr="00FB279C">
        <w:rPr>
          <w:sz w:val="24"/>
          <w:szCs w:val="24"/>
        </w:rPr>
        <w:t xml:space="preserve"> </w:t>
      </w:r>
      <w:r>
        <w:rPr>
          <w:sz w:val="24"/>
          <w:szCs w:val="24"/>
        </w:rPr>
        <w:t>respondents</w:t>
      </w:r>
      <w:r w:rsidRPr="00FB279C">
        <w:rPr>
          <w:sz w:val="24"/>
          <w:szCs w:val="24"/>
        </w:rPr>
        <w:t xml:space="preserve"> * (</w:t>
      </w:r>
      <w:r w:rsidR="00924701">
        <w:rPr>
          <w:sz w:val="24"/>
          <w:szCs w:val="24"/>
        </w:rPr>
        <w:t>10</w:t>
      </w:r>
      <w:r w:rsidRPr="00FB279C">
        <w:rPr>
          <w:sz w:val="24"/>
          <w:szCs w:val="24"/>
        </w:rPr>
        <w:t xml:space="preserve"> hours (Year 1 burden) + </w:t>
      </w:r>
      <w:r>
        <w:rPr>
          <w:sz w:val="24"/>
          <w:szCs w:val="24"/>
        </w:rPr>
        <w:t>0</w:t>
      </w:r>
      <w:r w:rsidRPr="00FB279C">
        <w:rPr>
          <w:sz w:val="24"/>
          <w:szCs w:val="24"/>
        </w:rPr>
        <w:t xml:space="preserve"> hours (Year 2 burden) + </w:t>
      </w:r>
      <w:r>
        <w:rPr>
          <w:sz w:val="24"/>
          <w:szCs w:val="24"/>
        </w:rPr>
        <w:t>0</w:t>
      </w:r>
      <w:r w:rsidRPr="00FB279C">
        <w:rPr>
          <w:sz w:val="24"/>
          <w:szCs w:val="24"/>
        </w:rPr>
        <w:t xml:space="preserve"> hours (Year 3 burden) = </w:t>
      </w:r>
      <w:r w:rsidR="00924701">
        <w:rPr>
          <w:sz w:val="24"/>
          <w:szCs w:val="24"/>
        </w:rPr>
        <w:t>20</w:t>
      </w:r>
      <w:r w:rsidR="00924701" w:rsidRPr="00FB279C">
        <w:rPr>
          <w:sz w:val="24"/>
          <w:szCs w:val="24"/>
        </w:rPr>
        <w:t xml:space="preserve"> </w:t>
      </w:r>
      <w:r w:rsidRPr="00FB279C">
        <w:rPr>
          <w:sz w:val="24"/>
          <w:szCs w:val="24"/>
        </w:rPr>
        <w:t xml:space="preserve">hours (estimated total burden over 3 years) ÷ 3 years = </w:t>
      </w:r>
      <w:r w:rsidR="00924701">
        <w:rPr>
          <w:sz w:val="24"/>
          <w:szCs w:val="24"/>
        </w:rPr>
        <w:t>6.66</w:t>
      </w:r>
      <w:r w:rsidRPr="00FB279C">
        <w:rPr>
          <w:sz w:val="24"/>
          <w:szCs w:val="24"/>
        </w:rPr>
        <w:t xml:space="preserve"> hours.</w:t>
      </w:r>
      <w:r>
        <w:rPr>
          <w:sz w:val="24"/>
          <w:szCs w:val="24"/>
        </w:rPr>
        <w:t xml:space="preserve">  </w:t>
      </w:r>
    </w:p>
    <w:p w:rsidR="008F05FF" w:rsidRPr="0088441E" w:rsidRDefault="008F05FF" w:rsidP="009739D4">
      <w:pPr>
        <w:pStyle w:val="FootnoteText"/>
        <w:ind w:left="720" w:hanging="720"/>
      </w:pPr>
    </w:p>
  </w:footnote>
  <w:footnote w:id="6">
    <w:p w:rsidR="008F05FF" w:rsidRDefault="008F05FF" w:rsidP="009739D4">
      <w:pPr>
        <w:pStyle w:val="FootnoteText"/>
        <w:ind w:left="720" w:hanging="720"/>
        <w:rPr>
          <w:sz w:val="24"/>
          <w:szCs w:val="24"/>
        </w:rPr>
      </w:pPr>
      <w:r w:rsidRPr="008E17B9">
        <w:rPr>
          <w:rStyle w:val="FootnoteReference"/>
          <w:sz w:val="24"/>
          <w:szCs w:val="24"/>
        </w:rPr>
        <w:footnoteRef/>
      </w:r>
      <w:r w:rsidRPr="008E17B9">
        <w:rPr>
          <w:sz w:val="24"/>
          <w:szCs w:val="24"/>
        </w:rPr>
        <w:t xml:space="preserve"> </w:t>
      </w:r>
      <w:r w:rsidRPr="008E17B9">
        <w:rPr>
          <w:sz w:val="24"/>
          <w:szCs w:val="24"/>
        </w:rPr>
        <w:tab/>
      </w:r>
      <w:r w:rsidR="00924701">
        <w:rPr>
          <w:sz w:val="24"/>
          <w:szCs w:val="24"/>
        </w:rPr>
        <w:t>20</w:t>
      </w:r>
      <w:r w:rsidR="00924701" w:rsidRPr="008E17B9">
        <w:rPr>
          <w:sz w:val="24"/>
          <w:szCs w:val="24"/>
        </w:rPr>
        <w:t xml:space="preserve"> </w:t>
      </w:r>
      <w:r w:rsidRPr="008E17B9">
        <w:rPr>
          <w:sz w:val="24"/>
          <w:szCs w:val="24"/>
        </w:rPr>
        <w:t xml:space="preserve">hours (total burden over three years) ÷ </w:t>
      </w:r>
      <w:r w:rsidR="005D5F60">
        <w:rPr>
          <w:sz w:val="24"/>
          <w:szCs w:val="24"/>
        </w:rPr>
        <w:t>2</w:t>
      </w:r>
      <w:r>
        <w:rPr>
          <w:sz w:val="24"/>
          <w:szCs w:val="24"/>
        </w:rPr>
        <w:t xml:space="preserve"> respondents </w:t>
      </w:r>
      <w:r w:rsidRPr="008E17B9">
        <w:rPr>
          <w:sz w:val="24"/>
          <w:szCs w:val="24"/>
        </w:rPr>
        <w:t xml:space="preserve">= </w:t>
      </w:r>
      <w:r w:rsidR="00924701">
        <w:rPr>
          <w:sz w:val="24"/>
          <w:szCs w:val="24"/>
        </w:rPr>
        <w:t>10</w:t>
      </w:r>
      <w:r w:rsidRPr="001D572B">
        <w:rPr>
          <w:sz w:val="24"/>
          <w:szCs w:val="24"/>
        </w:rPr>
        <w:t xml:space="preserve"> hours (estimated total burden over 3 years) ÷ 3 years = </w:t>
      </w:r>
      <w:r w:rsidR="00924701">
        <w:rPr>
          <w:sz w:val="24"/>
          <w:szCs w:val="24"/>
        </w:rPr>
        <w:t>3.33</w:t>
      </w:r>
      <w:r w:rsidRPr="001D572B">
        <w:rPr>
          <w:sz w:val="24"/>
          <w:szCs w:val="24"/>
        </w:rPr>
        <w:t xml:space="preserve"> hours</w:t>
      </w:r>
      <w:r>
        <w:rPr>
          <w:sz w:val="24"/>
          <w:szCs w:val="24"/>
        </w:rPr>
        <w:t xml:space="preserve">. </w:t>
      </w:r>
    </w:p>
    <w:p w:rsidR="008F05FF" w:rsidRDefault="008F05FF" w:rsidP="009739D4">
      <w:pPr>
        <w:pStyle w:val="FootnoteText"/>
        <w:ind w:left="720" w:hanging="720"/>
      </w:pPr>
    </w:p>
  </w:footnote>
  <w:footnote w:id="7">
    <w:p w:rsidR="00C869F7" w:rsidRDefault="00C869F7" w:rsidP="00C869F7">
      <w:pPr>
        <w:pStyle w:val="CM99"/>
        <w:spacing w:after="120"/>
        <w:ind w:left="720" w:hanging="720"/>
        <w:rPr>
          <w:color w:val="000000"/>
        </w:rPr>
      </w:pPr>
      <w:r w:rsidRPr="001D572B">
        <w:rPr>
          <w:rStyle w:val="FootnoteReference"/>
        </w:rPr>
        <w:footnoteRef/>
      </w:r>
      <w:r w:rsidRPr="001D572B">
        <w:t xml:space="preserve"> </w:t>
      </w:r>
      <w:r w:rsidRPr="001D572B">
        <w:tab/>
      </w:r>
      <w:r w:rsidRPr="001D572B">
        <w:rPr>
          <w:color w:val="000000"/>
        </w:rPr>
        <w:t xml:space="preserve">This figure was calculated as follows: </w:t>
      </w:r>
      <w:r>
        <w:rPr>
          <w:color w:val="000000"/>
        </w:rPr>
        <w:t xml:space="preserve">(Outside Counsel for </w:t>
      </w:r>
      <w:r w:rsidR="004742F3">
        <w:rPr>
          <w:color w:val="000000"/>
        </w:rPr>
        <w:t>5</w:t>
      </w:r>
      <w:r>
        <w:rPr>
          <w:color w:val="000000"/>
        </w:rPr>
        <w:t xml:space="preserve"> hours at $400 per hour) x 2 registered clearing agencies = $4,</w:t>
      </w:r>
      <w:r w:rsidR="004742F3">
        <w:rPr>
          <w:color w:val="000000"/>
        </w:rPr>
        <w:t>0</w:t>
      </w:r>
      <w:r>
        <w:rPr>
          <w:color w:val="000000"/>
        </w:rPr>
        <w:t xml:space="preserve">00 </w:t>
      </w:r>
      <w:r w:rsidRPr="008E17B9">
        <w:t>÷</w:t>
      </w:r>
      <w:r>
        <w:t xml:space="preserve"> 3 years = $1,</w:t>
      </w:r>
      <w:r w:rsidR="004742F3">
        <w:t>333.33</w:t>
      </w:r>
      <w:r>
        <w:t>.</w:t>
      </w:r>
    </w:p>
    <w:p w:rsidR="00C869F7" w:rsidRPr="00024857" w:rsidRDefault="00C869F7" w:rsidP="00C869F7">
      <w:pPr>
        <w:pStyle w:val="Default"/>
      </w:pPr>
    </w:p>
  </w:footnote>
  <w:footnote w:id="8">
    <w:p w:rsidR="00C869F7" w:rsidRDefault="00C869F7" w:rsidP="00C869F7">
      <w:pPr>
        <w:pStyle w:val="CM99"/>
        <w:spacing w:after="120"/>
        <w:ind w:left="720" w:hanging="720"/>
        <w:rPr>
          <w:color w:val="000000"/>
        </w:rPr>
      </w:pPr>
      <w:r w:rsidRPr="001D572B">
        <w:rPr>
          <w:rStyle w:val="FootnoteReference"/>
        </w:rPr>
        <w:footnoteRef/>
      </w:r>
      <w:r w:rsidRPr="001D572B">
        <w:t xml:space="preserve"> </w:t>
      </w:r>
      <w:r w:rsidRPr="001D572B">
        <w:tab/>
      </w:r>
      <w:r>
        <w:rPr>
          <w:color w:val="000000"/>
        </w:rPr>
        <w:t>$4,</w:t>
      </w:r>
      <w:r w:rsidR="004742F3">
        <w:rPr>
          <w:color w:val="000000"/>
        </w:rPr>
        <w:t>0</w:t>
      </w:r>
      <w:r>
        <w:rPr>
          <w:color w:val="000000"/>
        </w:rPr>
        <w:t xml:space="preserve">00 (total labor cost over three years) </w:t>
      </w:r>
      <w:r w:rsidRPr="008E17B9">
        <w:t xml:space="preserve">÷ </w:t>
      </w:r>
      <w:r>
        <w:t xml:space="preserve">2 respondents </w:t>
      </w:r>
      <w:r w:rsidRPr="008E17B9">
        <w:t>=</w:t>
      </w:r>
      <w:r>
        <w:t xml:space="preserve"> $2,</w:t>
      </w:r>
      <w:r w:rsidR="004742F3">
        <w:t>0</w:t>
      </w:r>
      <w:r>
        <w:t xml:space="preserve">00 </w:t>
      </w:r>
      <w:r w:rsidRPr="001D572B">
        <w:t>÷ 3 years =</w:t>
      </w:r>
      <w:r>
        <w:t xml:space="preserve"> $</w:t>
      </w:r>
      <w:r w:rsidR="004742F3">
        <w:t>666.67</w:t>
      </w:r>
      <w:r>
        <w:t>.</w:t>
      </w:r>
    </w:p>
    <w:p w:rsidR="00C869F7" w:rsidRPr="00024857" w:rsidRDefault="00C869F7" w:rsidP="00C869F7">
      <w:pPr>
        <w:pStyle w:val="Defaul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C12" w:rsidRPr="009C5CF6" w:rsidRDefault="005E6C12" w:rsidP="009C5CF6">
    <w:pPr>
      <w:pStyle w:val="Header"/>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9FF"/>
    <w:multiLevelType w:val="hybridMultilevel"/>
    <w:tmpl w:val="262A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20566"/>
    <w:multiLevelType w:val="hybridMultilevel"/>
    <w:tmpl w:val="7F9601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CA54FA7"/>
    <w:multiLevelType w:val="hybridMultilevel"/>
    <w:tmpl w:val="651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95C53"/>
    <w:multiLevelType w:val="hybridMultilevel"/>
    <w:tmpl w:val="41DACF26"/>
    <w:lvl w:ilvl="0" w:tplc="D0D063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DA5D3E"/>
    <w:multiLevelType w:val="hybridMultilevel"/>
    <w:tmpl w:val="7C4C13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C21AD4"/>
    <w:multiLevelType w:val="hybridMultilevel"/>
    <w:tmpl w:val="DDA47F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6944DAC"/>
    <w:multiLevelType w:val="hybridMultilevel"/>
    <w:tmpl w:val="A730789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F7B56A8"/>
    <w:multiLevelType w:val="hybridMultilevel"/>
    <w:tmpl w:val="9CEA3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497713E"/>
    <w:multiLevelType w:val="hybridMultilevel"/>
    <w:tmpl w:val="2C007B0A"/>
    <w:lvl w:ilvl="0" w:tplc="0409000B">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9">
    <w:nsid w:val="25A27C7F"/>
    <w:multiLevelType w:val="hybridMultilevel"/>
    <w:tmpl w:val="2A80E86C"/>
    <w:lvl w:ilvl="0" w:tplc="4748E610">
      <w:start w:val="1"/>
      <w:numFmt w:val="decimal"/>
      <w:lvlText w:val="%1."/>
      <w:lvlJc w:val="left"/>
      <w:pPr>
        <w:ind w:left="1080" w:hanging="360"/>
      </w:pPr>
      <w:rPr>
        <w:rFonts w:hint="default"/>
        <w:u w:val="none"/>
      </w:rPr>
    </w:lvl>
    <w:lvl w:ilvl="1" w:tplc="327E8D32">
      <w:start w:val="1"/>
      <w:numFmt w:val="lowerRoman"/>
      <w:lvlText w:val="(%2)"/>
      <w:lvlJc w:val="left"/>
      <w:pPr>
        <w:ind w:left="2445" w:hanging="100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2949D3"/>
    <w:multiLevelType w:val="hybridMultilevel"/>
    <w:tmpl w:val="E98C41FE"/>
    <w:lvl w:ilvl="0" w:tplc="F6DE60D8">
      <w:start w:val="1"/>
      <w:numFmt w:val="lowerRoman"/>
      <w:lvlText w:val="%1."/>
      <w:lvlJc w:val="left"/>
      <w:pPr>
        <w:ind w:left="1350" w:hanging="360"/>
      </w:pPr>
      <w:rPr>
        <w:rFonts w:hint="default"/>
      </w:rPr>
    </w:lvl>
    <w:lvl w:ilvl="1" w:tplc="F8A8D6EA">
      <w:start w:val="1"/>
      <w:numFmt w:val="lowerLetter"/>
      <w:lvlText w:val="%2."/>
      <w:lvlJc w:val="left"/>
      <w:pPr>
        <w:ind w:left="2340" w:hanging="360"/>
      </w:pPr>
      <w:rPr>
        <w:rFonts w:hint="default"/>
      </w:rPr>
    </w:lvl>
    <w:lvl w:ilvl="2" w:tplc="0409001B">
      <w:start w:val="1"/>
      <w:numFmt w:val="lowerRoman"/>
      <w:lvlText w:val="%3."/>
      <w:lvlJc w:val="right"/>
      <w:pPr>
        <w:ind w:left="12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305857B7"/>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13916ED"/>
    <w:multiLevelType w:val="hybridMultilevel"/>
    <w:tmpl w:val="CF904942"/>
    <w:lvl w:ilvl="0" w:tplc="4076719C">
      <w:start w:val="1"/>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34A65B7"/>
    <w:multiLevelType w:val="hybridMultilevel"/>
    <w:tmpl w:val="C194050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630CDE"/>
    <w:multiLevelType w:val="hybridMultilevel"/>
    <w:tmpl w:val="4C220E54"/>
    <w:lvl w:ilvl="0" w:tplc="9D16CCFA">
      <w:start w:val="1"/>
      <w:numFmt w:val="lowerRoman"/>
      <w:lvlText w:val="%1."/>
      <w:lvlJc w:val="left"/>
      <w:pPr>
        <w:ind w:left="1710" w:hanging="720"/>
      </w:pPr>
      <w:rPr>
        <w:rFonts w:hint="default"/>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B723DC9"/>
    <w:multiLevelType w:val="hybridMultilevel"/>
    <w:tmpl w:val="E61E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C7149C"/>
    <w:multiLevelType w:val="hybridMultilevel"/>
    <w:tmpl w:val="8DE4E1AA"/>
    <w:lvl w:ilvl="0" w:tplc="322AE04E">
      <w:start w:val="1"/>
      <w:numFmt w:val="low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A4F0487"/>
    <w:multiLevelType w:val="hybridMultilevel"/>
    <w:tmpl w:val="9D26314C"/>
    <w:lvl w:ilvl="0" w:tplc="A8344176">
      <w:start w:val="1"/>
      <w:numFmt w:val="upperLetter"/>
      <w:lvlText w:val="%1."/>
      <w:lvlJc w:val="left"/>
      <w:pPr>
        <w:ind w:left="360" w:hanging="360"/>
      </w:pPr>
      <w:rPr>
        <w:rFonts w:hint="default"/>
        <w:u w:val="none"/>
      </w:rPr>
    </w:lvl>
    <w:lvl w:ilvl="1" w:tplc="0409001B">
      <w:start w:val="1"/>
      <w:numFmt w:val="lowerRoman"/>
      <w:lvlText w:val="%2."/>
      <w:lvlJc w:val="right"/>
      <w:pPr>
        <w:ind w:left="1080" w:hanging="360"/>
      </w:pPr>
      <w:rPr>
        <w:b w:val="0"/>
      </w:rPr>
    </w:lvl>
    <w:lvl w:ilvl="2" w:tplc="1DB298C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3B1435"/>
    <w:multiLevelType w:val="hybridMultilevel"/>
    <w:tmpl w:val="F664117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1415F81"/>
    <w:multiLevelType w:val="hybridMultilevel"/>
    <w:tmpl w:val="261A29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E63074"/>
    <w:multiLevelType w:val="hybridMultilevel"/>
    <w:tmpl w:val="2674A0C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424320B"/>
    <w:multiLevelType w:val="hybridMultilevel"/>
    <w:tmpl w:val="DF5080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9D50D6"/>
    <w:multiLevelType w:val="hybridMultilevel"/>
    <w:tmpl w:val="4BAC5E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B645CD8"/>
    <w:multiLevelType w:val="hybridMultilevel"/>
    <w:tmpl w:val="C84204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DBF2A8B"/>
    <w:multiLevelType w:val="hybridMultilevel"/>
    <w:tmpl w:val="1CE832A0"/>
    <w:lvl w:ilvl="0" w:tplc="7D1E532E">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193058B"/>
    <w:multiLevelType w:val="hybridMultilevel"/>
    <w:tmpl w:val="C91E2842"/>
    <w:lvl w:ilvl="0" w:tplc="260016B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F714DE"/>
    <w:multiLevelType w:val="hybridMultilevel"/>
    <w:tmpl w:val="6432645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25D5A9D"/>
    <w:multiLevelType w:val="hybridMultilevel"/>
    <w:tmpl w:val="E384DB9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4CE0F8F"/>
    <w:multiLevelType w:val="hybridMultilevel"/>
    <w:tmpl w:val="35B273AE"/>
    <w:lvl w:ilvl="0" w:tplc="04090001">
      <w:start w:val="1"/>
      <w:numFmt w:val="lowerLetter"/>
      <w:lvlText w:val="%1."/>
      <w:lvlJc w:val="left"/>
      <w:pPr>
        <w:ind w:left="720" w:hanging="360"/>
      </w:pPr>
    </w:lvl>
    <w:lvl w:ilvl="1" w:tplc="E29C2A60">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5997190"/>
    <w:multiLevelType w:val="hybridMultilevel"/>
    <w:tmpl w:val="E572E98E"/>
    <w:lvl w:ilvl="0" w:tplc="04090001">
      <w:start w:val="1"/>
      <w:numFmt w:val="bullet"/>
      <w:lvlText w:val=""/>
      <w:lvlJc w:val="left"/>
      <w:pPr>
        <w:ind w:left="2160" w:hanging="360"/>
      </w:pPr>
      <w:rPr>
        <w:rFonts w:ascii="Wingdings" w:hAnsi="Wingdings"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C46C05"/>
    <w:multiLevelType w:val="hybridMultilevel"/>
    <w:tmpl w:val="165AF240"/>
    <w:lvl w:ilvl="0" w:tplc="04090001">
      <w:start w:val="1"/>
      <w:numFmt w:val="bullet"/>
      <w:lvlText w:val=""/>
      <w:lvlJc w:val="left"/>
      <w:pPr>
        <w:ind w:left="2520" w:hanging="360"/>
      </w:pPr>
      <w:rPr>
        <w:rFonts w:ascii="Symbol" w:hAnsi="Symbol" w:hint="default"/>
      </w:rPr>
    </w:lvl>
    <w:lvl w:ilvl="1" w:tplc="E29C2A60"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nsid w:val="65D03520"/>
    <w:multiLevelType w:val="hybridMultilevel"/>
    <w:tmpl w:val="A72CD076"/>
    <w:lvl w:ilvl="0" w:tplc="56B498C8">
      <w:start w:val="2"/>
      <w:numFmt w:val="low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7A7835"/>
    <w:multiLevelType w:val="hybridMultilevel"/>
    <w:tmpl w:val="17BCCE22"/>
    <w:lvl w:ilvl="0" w:tplc="04090001">
      <w:start w:val="1"/>
      <w:numFmt w:val="upperLetter"/>
      <w:lvlText w:val="%1."/>
      <w:lvlJc w:val="left"/>
      <w:pPr>
        <w:ind w:left="1800" w:hanging="360"/>
      </w:pPr>
      <w:rPr>
        <w:rFonts w:hint="default"/>
      </w:rPr>
    </w:lvl>
    <w:lvl w:ilvl="1" w:tplc="E29C2A60"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3">
    <w:nsid w:val="67FE47FF"/>
    <w:multiLevelType w:val="hybridMultilevel"/>
    <w:tmpl w:val="13D4F6B0"/>
    <w:lvl w:ilvl="0" w:tplc="04090001">
      <w:start w:val="1"/>
      <w:numFmt w:val="bullet"/>
      <w:lvlText w:val=""/>
      <w:lvlJc w:val="left"/>
      <w:pPr>
        <w:ind w:left="2160" w:hanging="360"/>
      </w:pPr>
      <w:rPr>
        <w:rFonts w:ascii="Wingdings" w:hAnsi="Wingdings" w:hint="default"/>
      </w:rPr>
    </w:lvl>
    <w:lvl w:ilvl="1" w:tplc="E29C2A60"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9064B58"/>
    <w:multiLevelType w:val="hybridMultilevel"/>
    <w:tmpl w:val="95CAD828"/>
    <w:lvl w:ilvl="0" w:tplc="98543BF6">
      <w:start w:val="1"/>
      <w:numFmt w:val="lowerRoman"/>
      <w:lvlText w:val="(%1)"/>
      <w:lvlJc w:val="left"/>
      <w:pPr>
        <w:ind w:left="1080" w:hanging="360"/>
      </w:pPr>
      <w:rPr>
        <w:rFonts w:hint="default"/>
      </w:rPr>
    </w:lvl>
    <w:lvl w:ilvl="1" w:tplc="98543BF6">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4A7B16"/>
    <w:multiLevelType w:val="hybridMultilevel"/>
    <w:tmpl w:val="17BCCE22"/>
    <w:lvl w:ilvl="0" w:tplc="04090001">
      <w:start w:val="1"/>
      <w:numFmt w:val="upperLetter"/>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6">
    <w:nsid w:val="720B636F"/>
    <w:multiLevelType w:val="hybridMultilevel"/>
    <w:tmpl w:val="D7A687C8"/>
    <w:lvl w:ilvl="0" w:tplc="0409001B">
      <w:start w:val="1"/>
      <w:numFmt w:val="lowerRoman"/>
      <w:lvlText w:val="%1."/>
      <w:lvlJc w:val="right"/>
      <w:pPr>
        <w:ind w:left="1622" w:hanging="360"/>
      </w:pPr>
      <w:rPr>
        <w:b w:val="0"/>
      </w:r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37">
    <w:nsid w:val="7466421A"/>
    <w:multiLevelType w:val="hybridMultilevel"/>
    <w:tmpl w:val="55784998"/>
    <w:lvl w:ilvl="0" w:tplc="04090001">
      <w:start w:val="1"/>
      <w:numFmt w:val="lowerLetter"/>
      <w:lvlText w:val="%1."/>
      <w:lvlJc w:val="left"/>
      <w:pPr>
        <w:ind w:left="2160" w:hanging="360"/>
      </w:pPr>
    </w:lvl>
    <w:lvl w:ilvl="1" w:tplc="E29C2A60"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38">
    <w:nsid w:val="759C2B4E"/>
    <w:multiLevelType w:val="hybridMultilevel"/>
    <w:tmpl w:val="A0CAD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7B1D2B"/>
    <w:multiLevelType w:val="hybridMultilevel"/>
    <w:tmpl w:val="A23ED45C"/>
    <w:lvl w:ilvl="0" w:tplc="04090001">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0">
    <w:nsid w:val="772B03EA"/>
    <w:multiLevelType w:val="hybridMultilevel"/>
    <w:tmpl w:val="159A3DE2"/>
    <w:lvl w:ilvl="0" w:tplc="04090001">
      <w:start w:val="1"/>
      <w:numFmt w:val="bullet"/>
      <w:lvlText w:val=""/>
      <w:lvlJc w:val="left"/>
      <w:pPr>
        <w:ind w:left="2880" w:hanging="360"/>
      </w:pPr>
      <w:rPr>
        <w:rFonts w:ascii="Wingdings" w:hAnsi="Wingdings" w:hint="default"/>
      </w:rPr>
    </w:lvl>
    <w:lvl w:ilvl="1" w:tplc="E29C2A60"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799E0782"/>
    <w:multiLevelType w:val="hybridMultilevel"/>
    <w:tmpl w:val="E9D665FA"/>
    <w:lvl w:ilvl="0" w:tplc="04090001">
      <w:start w:val="1"/>
      <w:numFmt w:val="bullet"/>
      <w:lvlText w:val=""/>
      <w:lvlJc w:val="left"/>
      <w:pPr>
        <w:ind w:left="2595" w:hanging="360"/>
      </w:pPr>
      <w:rPr>
        <w:rFonts w:ascii="Wingdings" w:hAnsi="Wingdings" w:hint="default"/>
      </w:rPr>
    </w:lvl>
    <w:lvl w:ilvl="1" w:tplc="E29C2A60"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42">
    <w:nsid w:val="7E2A7428"/>
    <w:multiLevelType w:val="hybridMultilevel"/>
    <w:tmpl w:val="E8CC8FF0"/>
    <w:lvl w:ilvl="0" w:tplc="04090001">
      <w:start w:val="1"/>
      <w:numFmt w:val="bullet"/>
      <w:lvlText w:val=""/>
      <w:lvlJc w:val="left"/>
      <w:pPr>
        <w:ind w:left="720" w:hanging="360"/>
      </w:pPr>
      <w:rPr>
        <w:rFonts w:ascii="Symbol" w:hAnsi="Symbol" w:hint="default"/>
      </w:rPr>
    </w:lvl>
    <w:lvl w:ilvl="1" w:tplc="E29C2A60"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AB4141"/>
    <w:multiLevelType w:val="hybridMultilevel"/>
    <w:tmpl w:val="5C7EE1FC"/>
    <w:lvl w:ilvl="0" w:tplc="0409000B">
      <w:start w:val="1"/>
      <w:numFmt w:val="lowerRoman"/>
      <w:lvlText w:val="%1."/>
      <w:lvlJc w:val="left"/>
      <w:pPr>
        <w:ind w:left="1800" w:hanging="720"/>
      </w:pPr>
      <w:rPr>
        <w:rFonts w:hint="default"/>
      </w:rPr>
    </w:lvl>
    <w:lvl w:ilvl="1" w:tplc="E29C2A60"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4">
    <w:nsid w:val="7F566CEC"/>
    <w:multiLevelType w:val="hybridMultilevel"/>
    <w:tmpl w:val="DF508082"/>
    <w:lvl w:ilvl="0" w:tplc="04090001">
      <w:start w:val="1"/>
      <w:numFmt w:val="lowerLetter"/>
      <w:lvlText w:val="%1."/>
      <w:lvlJc w:val="left"/>
      <w:pPr>
        <w:ind w:left="1440" w:hanging="360"/>
      </w:pPr>
    </w:lvl>
    <w:lvl w:ilvl="1" w:tplc="04090003">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35"/>
  </w:num>
  <w:num w:numId="2">
    <w:abstractNumId w:val="32"/>
  </w:num>
  <w:num w:numId="3">
    <w:abstractNumId w:val="12"/>
  </w:num>
  <w:num w:numId="4">
    <w:abstractNumId w:val="11"/>
  </w:num>
  <w:num w:numId="5">
    <w:abstractNumId w:val="22"/>
  </w:num>
  <w:num w:numId="6">
    <w:abstractNumId w:val="9"/>
  </w:num>
  <w:num w:numId="7">
    <w:abstractNumId w:val="24"/>
  </w:num>
  <w:num w:numId="8">
    <w:abstractNumId w:val="16"/>
  </w:num>
  <w:num w:numId="9">
    <w:abstractNumId w:val="17"/>
  </w:num>
  <w:num w:numId="10">
    <w:abstractNumId w:val="14"/>
  </w:num>
  <w:num w:numId="11">
    <w:abstractNumId w:val="10"/>
  </w:num>
  <w:num w:numId="12">
    <w:abstractNumId w:val="43"/>
  </w:num>
  <w:num w:numId="13">
    <w:abstractNumId w:val="39"/>
  </w:num>
  <w:num w:numId="14">
    <w:abstractNumId w:val="37"/>
  </w:num>
  <w:num w:numId="15">
    <w:abstractNumId w:val="25"/>
  </w:num>
  <w:num w:numId="16">
    <w:abstractNumId w:val="28"/>
  </w:num>
  <w:num w:numId="17">
    <w:abstractNumId w:val="3"/>
  </w:num>
  <w:num w:numId="18">
    <w:abstractNumId w:val="19"/>
  </w:num>
  <w:num w:numId="19">
    <w:abstractNumId w:val="44"/>
  </w:num>
  <w:num w:numId="20">
    <w:abstractNumId w:val="21"/>
  </w:num>
  <w:num w:numId="21">
    <w:abstractNumId w:val="13"/>
  </w:num>
  <w:num w:numId="22">
    <w:abstractNumId w:val="1"/>
  </w:num>
  <w:num w:numId="23">
    <w:abstractNumId w:val="20"/>
  </w:num>
  <w:num w:numId="24">
    <w:abstractNumId w:val="29"/>
  </w:num>
  <w:num w:numId="25">
    <w:abstractNumId w:val="5"/>
  </w:num>
  <w:num w:numId="26">
    <w:abstractNumId w:val="23"/>
  </w:num>
  <w:num w:numId="27">
    <w:abstractNumId w:val="2"/>
  </w:num>
  <w:num w:numId="28">
    <w:abstractNumId w:val="18"/>
  </w:num>
  <w:num w:numId="29">
    <w:abstractNumId w:val="40"/>
  </w:num>
  <w:num w:numId="30">
    <w:abstractNumId w:val="41"/>
  </w:num>
  <w:num w:numId="31">
    <w:abstractNumId w:val="15"/>
  </w:num>
  <w:num w:numId="32">
    <w:abstractNumId w:val="27"/>
  </w:num>
  <w:num w:numId="33">
    <w:abstractNumId w:val="38"/>
  </w:num>
  <w:num w:numId="34">
    <w:abstractNumId w:val="4"/>
  </w:num>
  <w:num w:numId="35">
    <w:abstractNumId w:val="7"/>
  </w:num>
  <w:num w:numId="36">
    <w:abstractNumId w:val="6"/>
  </w:num>
  <w:num w:numId="37">
    <w:abstractNumId w:val="26"/>
  </w:num>
  <w:num w:numId="38">
    <w:abstractNumId w:val="30"/>
  </w:num>
  <w:num w:numId="39">
    <w:abstractNumId w:val="33"/>
  </w:num>
  <w:num w:numId="40">
    <w:abstractNumId w:val="42"/>
  </w:num>
  <w:num w:numId="41">
    <w:abstractNumId w:val="8"/>
  </w:num>
  <w:num w:numId="42">
    <w:abstractNumId w:val="0"/>
  </w:num>
  <w:num w:numId="43">
    <w:abstractNumId w:val="36"/>
  </w:num>
  <w:num w:numId="44">
    <w:abstractNumId w:val="3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7C8"/>
    <w:rsid w:val="00001A3F"/>
    <w:rsid w:val="00001D75"/>
    <w:rsid w:val="00002957"/>
    <w:rsid w:val="00002A04"/>
    <w:rsid w:val="00002FE6"/>
    <w:rsid w:val="0000301A"/>
    <w:rsid w:val="000033DD"/>
    <w:rsid w:val="00004271"/>
    <w:rsid w:val="00004D8B"/>
    <w:rsid w:val="00005406"/>
    <w:rsid w:val="00005562"/>
    <w:rsid w:val="00006E7F"/>
    <w:rsid w:val="000103F6"/>
    <w:rsid w:val="000104A7"/>
    <w:rsid w:val="0001077C"/>
    <w:rsid w:val="000108F8"/>
    <w:rsid w:val="00010FD9"/>
    <w:rsid w:val="00011B3D"/>
    <w:rsid w:val="00012166"/>
    <w:rsid w:val="00012A6A"/>
    <w:rsid w:val="000138E7"/>
    <w:rsid w:val="00013CEC"/>
    <w:rsid w:val="000143A3"/>
    <w:rsid w:val="000147FF"/>
    <w:rsid w:val="00015B25"/>
    <w:rsid w:val="0001643D"/>
    <w:rsid w:val="00016860"/>
    <w:rsid w:val="00016A7B"/>
    <w:rsid w:val="0001791B"/>
    <w:rsid w:val="00020DE5"/>
    <w:rsid w:val="0002114F"/>
    <w:rsid w:val="000238AB"/>
    <w:rsid w:val="00025043"/>
    <w:rsid w:val="00027078"/>
    <w:rsid w:val="00027A77"/>
    <w:rsid w:val="00027BF1"/>
    <w:rsid w:val="00030944"/>
    <w:rsid w:val="000312B8"/>
    <w:rsid w:val="0003155A"/>
    <w:rsid w:val="00031ECF"/>
    <w:rsid w:val="00034AA9"/>
    <w:rsid w:val="00034F75"/>
    <w:rsid w:val="000354BE"/>
    <w:rsid w:val="0003609B"/>
    <w:rsid w:val="0003628D"/>
    <w:rsid w:val="0003700E"/>
    <w:rsid w:val="000374BF"/>
    <w:rsid w:val="000403D1"/>
    <w:rsid w:val="00040FF1"/>
    <w:rsid w:val="00041450"/>
    <w:rsid w:val="00041948"/>
    <w:rsid w:val="0004213F"/>
    <w:rsid w:val="00042CFB"/>
    <w:rsid w:val="00042E5C"/>
    <w:rsid w:val="000437B9"/>
    <w:rsid w:val="000437F9"/>
    <w:rsid w:val="000447F7"/>
    <w:rsid w:val="0004483F"/>
    <w:rsid w:val="000448CB"/>
    <w:rsid w:val="00044C96"/>
    <w:rsid w:val="00044DDB"/>
    <w:rsid w:val="0004578C"/>
    <w:rsid w:val="0004649B"/>
    <w:rsid w:val="0004709C"/>
    <w:rsid w:val="00047F21"/>
    <w:rsid w:val="000502B8"/>
    <w:rsid w:val="000509DC"/>
    <w:rsid w:val="00050FCE"/>
    <w:rsid w:val="00051015"/>
    <w:rsid w:val="000520BE"/>
    <w:rsid w:val="00052CF8"/>
    <w:rsid w:val="00052DF5"/>
    <w:rsid w:val="0005471F"/>
    <w:rsid w:val="00054C4F"/>
    <w:rsid w:val="00054D76"/>
    <w:rsid w:val="000553F0"/>
    <w:rsid w:val="000555BF"/>
    <w:rsid w:val="0005654A"/>
    <w:rsid w:val="000579E8"/>
    <w:rsid w:val="0006081A"/>
    <w:rsid w:val="00060E77"/>
    <w:rsid w:val="0006110B"/>
    <w:rsid w:val="000615FD"/>
    <w:rsid w:val="000619E2"/>
    <w:rsid w:val="00061E18"/>
    <w:rsid w:val="000621CC"/>
    <w:rsid w:val="00062D6A"/>
    <w:rsid w:val="00063557"/>
    <w:rsid w:val="0006378C"/>
    <w:rsid w:val="00063832"/>
    <w:rsid w:val="00065396"/>
    <w:rsid w:val="000653E9"/>
    <w:rsid w:val="00065D87"/>
    <w:rsid w:val="00067074"/>
    <w:rsid w:val="000677AC"/>
    <w:rsid w:val="00067B51"/>
    <w:rsid w:val="00067E3F"/>
    <w:rsid w:val="00070DF8"/>
    <w:rsid w:val="00071F0F"/>
    <w:rsid w:val="000720A0"/>
    <w:rsid w:val="000731A2"/>
    <w:rsid w:val="00073B0B"/>
    <w:rsid w:val="00073E9C"/>
    <w:rsid w:val="00073F62"/>
    <w:rsid w:val="00075123"/>
    <w:rsid w:val="00076355"/>
    <w:rsid w:val="000778F5"/>
    <w:rsid w:val="000779F0"/>
    <w:rsid w:val="0008032E"/>
    <w:rsid w:val="000804A4"/>
    <w:rsid w:val="00080532"/>
    <w:rsid w:val="0008079B"/>
    <w:rsid w:val="00080ED4"/>
    <w:rsid w:val="000810FB"/>
    <w:rsid w:val="000816BA"/>
    <w:rsid w:val="000823D1"/>
    <w:rsid w:val="0008322B"/>
    <w:rsid w:val="00083D10"/>
    <w:rsid w:val="000873B2"/>
    <w:rsid w:val="0008782D"/>
    <w:rsid w:val="0009062D"/>
    <w:rsid w:val="00091AEB"/>
    <w:rsid w:val="0009218F"/>
    <w:rsid w:val="0009240A"/>
    <w:rsid w:val="00092BFA"/>
    <w:rsid w:val="00092C7E"/>
    <w:rsid w:val="00093BF2"/>
    <w:rsid w:val="0009414F"/>
    <w:rsid w:val="00094E6A"/>
    <w:rsid w:val="00097192"/>
    <w:rsid w:val="000A034A"/>
    <w:rsid w:val="000A10D8"/>
    <w:rsid w:val="000A1543"/>
    <w:rsid w:val="000A2F2F"/>
    <w:rsid w:val="000A3518"/>
    <w:rsid w:val="000A4352"/>
    <w:rsid w:val="000A4A18"/>
    <w:rsid w:val="000A51B2"/>
    <w:rsid w:val="000A66EE"/>
    <w:rsid w:val="000A68D1"/>
    <w:rsid w:val="000A6B68"/>
    <w:rsid w:val="000B1175"/>
    <w:rsid w:val="000B11C2"/>
    <w:rsid w:val="000B19CF"/>
    <w:rsid w:val="000B1B47"/>
    <w:rsid w:val="000B3124"/>
    <w:rsid w:val="000B368E"/>
    <w:rsid w:val="000B3C23"/>
    <w:rsid w:val="000B51C4"/>
    <w:rsid w:val="000B56F4"/>
    <w:rsid w:val="000B6925"/>
    <w:rsid w:val="000C036F"/>
    <w:rsid w:val="000C1869"/>
    <w:rsid w:val="000C3397"/>
    <w:rsid w:val="000C349F"/>
    <w:rsid w:val="000C3CBE"/>
    <w:rsid w:val="000C4334"/>
    <w:rsid w:val="000C4765"/>
    <w:rsid w:val="000C4C21"/>
    <w:rsid w:val="000C52AA"/>
    <w:rsid w:val="000C6337"/>
    <w:rsid w:val="000C6BE7"/>
    <w:rsid w:val="000C7AEA"/>
    <w:rsid w:val="000C7AF9"/>
    <w:rsid w:val="000D0074"/>
    <w:rsid w:val="000D02A7"/>
    <w:rsid w:val="000D0875"/>
    <w:rsid w:val="000D5138"/>
    <w:rsid w:val="000D5DB3"/>
    <w:rsid w:val="000D60BD"/>
    <w:rsid w:val="000D7F16"/>
    <w:rsid w:val="000E0C38"/>
    <w:rsid w:val="000E18B1"/>
    <w:rsid w:val="000E38E4"/>
    <w:rsid w:val="000E3A23"/>
    <w:rsid w:val="000E43B0"/>
    <w:rsid w:val="000E4808"/>
    <w:rsid w:val="000E5714"/>
    <w:rsid w:val="000E626C"/>
    <w:rsid w:val="000E628B"/>
    <w:rsid w:val="000E6463"/>
    <w:rsid w:val="000E7A6E"/>
    <w:rsid w:val="000E7D67"/>
    <w:rsid w:val="000E7D8F"/>
    <w:rsid w:val="000F0EC2"/>
    <w:rsid w:val="000F11E9"/>
    <w:rsid w:val="000F200C"/>
    <w:rsid w:val="000F2F70"/>
    <w:rsid w:val="000F407F"/>
    <w:rsid w:val="000F45B5"/>
    <w:rsid w:val="000F523A"/>
    <w:rsid w:val="000F6589"/>
    <w:rsid w:val="000F6E64"/>
    <w:rsid w:val="000F73F5"/>
    <w:rsid w:val="001012C2"/>
    <w:rsid w:val="00101651"/>
    <w:rsid w:val="00101FCC"/>
    <w:rsid w:val="001043C3"/>
    <w:rsid w:val="00104A45"/>
    <w:rsid w:val="001058C2"/>
    <w:rsid w:val="00106A21"/>
    <w:rsid w:val="0010774D"/>
    <w:rsid w:val="00110031"/>
    <w:rsid w:val="00110165"/>
    <w:rsid w:val="001119A1"/>
    <w:rsid w:val="001119A6"/>
    <w:rsid w:val="00112C1F"/>
    <w:rsid w:val="00115B01"/>
    <w:rsid w:val="00115D19"/>
    <w:rsid w:val="0011633E"/>
    <w:rsid w:val="00116384"/>
    <w:rsid w:val="0011638F"/>
    <w:rsid w:val="00116763"/>
    <w:rsid w:val="00116D12"/>
    <w:rsid w:val="0011770F"/>
    <w:rsid w:val="00117A92"/>
    <w:rsid w:val="0012014E"/>
    <w:rsid w:val="00120713"/>
    <w:rsid w:val="00121167"/>
    <w:rsid w:val="00122998"/>
    <w:rsid w:val="00122C58"/>
    <w:rsid w:val="00123ECC"/>
    <w:rsid w:val="001255BD"/>
    <w:rsid w:val="00130482"/>
    <w:rsid w:val="00130984"/>
    <w:rsid w:val="00130C2C"/>
    <w:rsid w:val="00131409"/>
    <w:rsid w:val="001322CA"/>
    <w:rsid w:val="00134874"/>
    <w:rsid w:val="00134C24"/>
    <w:rsid w:val="00134FC3"/>
    <w:rsid w:val="00135C8A"/>
    <w:rsid w:val="00137392"/>
    <w:rsid w:val="00137EAC"/>
    <w:rsid w:val="00141409"/>
    <w:rsid w:val="00142127"/>
    <w:rsid w:val="0014260C"/>
    <w:rsid w:val="001427D6"/>
    <w:rsid w:val="00143190"/>
    <w:rsid w:val="00143588"/>
    <w:rsid w:val="001441D0"/>
    <w:rsid w:val="001445E4"/>
    <w:rsid w:val="0014629D"/>
    <w:rsid w:val="00146712"/>
    <w:rsid w:val="00146934"/>
    <w:rsid w:val="00147ADE"/>
    <w:rsid w:val="001501C9"/>
    <w:rsid w:val="00150407"/>
    <w:rsid w:val="00151056"/>
    <w:rsid w:val="00151373"/>
    <w:rsid w:val="00153796"/>
    <w:rsid w:val="001546CD"/>
    <w:rsid w:val="00154A4F"/>
    <w:rsid w:val="001551CB"/>
    <w:rsid w:val="00156A06"/>
    <w:rsid w:val="0016026F"/>
    <w:rsid w:val="00161C38"/>
    <w:rsid w:val="0016267A"/>
    <w:rsid w:val="00163B71"/>
    <w:rsid w:val="00164194"/>
    <w:rsid w:val="00164434"/>
    <w:rsid w:val="00170471"/>
    <w:rsid w:val="00171014"/>
    <w:rsid w:val="00171587"/>
    <w:rsid w:val="001741C3"/>
    <w:rsid w:val="00175001"/>
    <w:rsid w:val="00176523"/>
    <w:rsid w:val="00176E48"/>
    <w:rsid w:val="00177925"/>
    <w:rsid w:val="00177957"/>
    <w:rsid w:val="00177DF1"/>
    <w:rsid w:val="00180872"/>
    <w:rsid w:val="00180DD9"/>
    <w:rsid w:val="001825BE"/>
    <w:rsid w:val="00182DC4"/>
    <w:rsid w:val="00183E92"/>
    <w:rsid w:val="0018403F"/>
    <w:rsid w:val="0018478D"/>
    <w:rsid w:val="00185217"/>
    <w:rsid w:val="0018543D"/>
    <w:rsid w:val="00186BA8"/>
    <w:rsid w:val="0019021D"/>
    <w:rsid w:val="00191634"/>
    <w:rsid w:val="00194ECF"/>
    <w:rsid w:val="00195BD1"/>
    <w:rsid w:val="00195CA8"/>
    <w:rsid w:val="001A03EE"/>
    <w:rsid w:val="001A05B2"/>
    <w:rsid w:val="001A07F5"/>
    <w:rsid w:val="001A1139"/>
    <w:rsid w:val="001A1A6F"/>
    <w:rsid w:val="001A1B8C"/>
    <w:rsid w:val="001A2A02"/>
    <w:rsid w:val="001A2A11"/>
    <w:rsid w:val="001A309F"/>
    <w:rsid w:val="001A313D"/>
    <w:rsid w:val="001A52CA"/>
    <w:rsid w:val="001A588E"/>
    <w:rsid w:val="001A6015"/>
    <w:rsid w:val="001A67BF"/>
    <w:rsid w:val="001A6E66"/>
    <w:rsid w:val="001B0650"/>
    <w:rsid w:val="001B199A"/>
    <w:rsid w:val="001B34C7"/>
    <w:rsid w:val="001B48CC"/>
    <w:rsid w:val="001B4C9E"/>
    <w:rsid w:val="001B50F6"/>
    <w:rsid w:val="001B511B"/>
    <w:rsid w:val="001B69FC"/>
    <w:rsid w:val="001B6F04"/>
    <w:rsid w:val="001B7AF1"/>
    <w:rsid w:val="001C0821"/>
    <w:rsid w:val="001C153A"/>
    <w:rsid w:val="001C2300"/>
    <w:rsid w:val="001C2F42"/>
    <w:rsid w:val="001C3816"/>
    <w:rsid w:val="001C38F7"/>
    <w:rsid w:val="001C5935"/>
    <w:rsid w:val="001C696F"/>
    <w:rsid w:val="001C7E6A"/>
    <w:rsid w:val="001D0A6C"/>
    <w:rsid w:val="001D12D1"/>
    <w:rsid w:val="001D2494"/>
    <w:rsid w:val="001D3FBD"/>
    <w:rsid w:val="001D4731"/>
    <w:rsid w:val="001D4B6B"/>
    <w:rsid w:val="001D572B"/>
    <w:rsid w:val="001D58C9"/>
    <w:rsid w:val="001D6952"/>
    <w:rsid w:val="001D7934"/>
    <w:rsid w:val="001E26FE"/>
    <w:rsid w:val="001E3B3F"/>
    <w:rsid w:val="001E41B9"/>
    <w:rsid w:val="001E49F0"/>
    <w:rsid w:val="001E6333"/>
    <w:rsid w:val="001E63E9"/>
    <w:rsid w:val="001E66C9"/>
    <w:rsid w:val="001E6E93"/>
    <w:rsid w:val="001E706B"/>
    <w:rsid w:val="001F036D"/>
    <w:rsid w:val="001F0F05"/>
    <w:rsid w:val="001F1A98"/>
    <w:rsid w:val="001F1CAB"/>
    <w:rsid w:val="001F1D6F"/>
    <w:rsid w:val="001F2617"/>
    <w:rsid w:val="001F496E"/>
    <w:rsid w:val="001F4EF1"/>
    <w:rsid w:val="001F4F7E"/>
    <w:rsid w:val="001F4FB3"/>
    <w:rsid w:val="001F52AE"/>
    <w:rsid w:val="001F5C15"/>
    <w:rsid w:val="001F6A46"/>
    <w:rsid w:val="001F7498"/>
    <w:rsid w:val="002017C9"/>
    <w:rsid w:val="00201FBA"/>
    <w:rsid w:val="002026FE"/>
    <w:rsid w:val="002031EC"/>
    <w:rsid w:val="0020375F"/>
    <w:rsid w:val="00203B5E"/>
    <w:rsid w:val="00204B32"/>
    <w:rsid w:val="0020576A"/>
    <w:rsid w:val="00206EB2"/>
    <w:rsid w:val="002102B2"/>
    <w:rsid w:val="002108BD"/>
    <w:rsid w:val="00210CF1"/>
    <w:rsid w:val="00211AE7"/>
    <w:rsid w:val="00214B12"/>
    <w:rsid w:val="00214C98"/>
    <w:rsid w:val="002159C7"/>
    <w:rsid w:val="00215ABC"/>
    <w:rsid w:val="002168B4"/>
    <w:rsid w:val="002169E5"/>
    <w:rsid w:val="00217096"/>
    <w:rsid w:val="0022090A"/>
    <w:rsid w:val="0022646C"/>
    <w:rsid w:val="00226B1B"/>
    <w:rsid w:val="00230459"/>
    <w:rsid w:val="00231924"/>
    <w:rsid w:val="00232C0B"/>
    <w:rsid w:val="00233C97"/>
    <w:rsid w:val="002341BD"/>
    <w:rsid w:val="00235912"/>
    <w:rsid w:val="00236870"/>
    <w:rsid w:val="002404C2"/>
    <w:rsid w:val="00240B1E"/>
    <w:rsid w:val="002413DD"/>
    <w:rsid w:val="00242245"/>
    <w:rsid w:val="002423EE"/>
    <w:rsid w:val="00242766"/>
    <w:rsid w:val="00242825"/>
    <w:rsid w:val="0024316B"/>
    <w:rsid w:val="00243F17"/>
    <w:rsid w:val="00245BD4"/>
    <w:rsid w:val="00245E01"/>
    <w:rsid w:val="00246998"/>
    <w:rsid w:val="00247ACA"/>
    <w:rsid w:val="00250522"/>
    <w:rsid w:val="002508B9"/>
    <w:rsid w:val="002534D1"/>
    <w:rsid w:val="00254F8A"/>
    <w:rsid w:val="0025510E"/>
    <w:rsid w:val="00255638"/>
    <w:rsid w:val="00255DB0"/>
    <w:rsid w:val="002562CB"/>
    <w:rsid w:val="00257C30"/>
    <w:rsid w:val="002617BE"/>
    <w:rsid w:val="0026206B"/>
    <w:rsid w:val="00265953"/>
    <w:rsid w:val="00265974"/>
    <w:rsid w:val="00265C4F"/>
    <w:rsid w:val="00266DD0"/>
    <w:rsid w:val="002670BD"/>
    <w:rsid w:val="00267257"/>
    <w:rsid w:val="00270011"/>
    <w:rsid w:val="002709C7"/>
    <w:rsid w:val="0027249B"/>
    <w:rsid w:val="00273093"/>
    <w:rsid w:val="00273107"/>
    <w:rsid w:val="0027392C"/>
    <w:rsid w:val="00273BA9"/>
    <w:rsid w:val="00273F4D"/>
    <w:rsid w:val="00274852"/>
    <w:rsid w:val="0027508F"/>
    <w:rsid w:val="002815DD"/>
    <w:rsid w:val="0028178B"/>
    <w:rsid w:val="00281892"/>
    <w:rsid w:val="00282B94"/>
    <w:rsid w:val="002837B3"/>
    <w:rsid w:val="00284AC1"/>
    <w:rsid w:val="00285051"/>
    <w:rsid w:val="002853EA"/>
    <w:rsid w:val="00285E94"/>
    <w:rsid w:val="00286DB1"/>
    <w:rsid w:val="002875BC"/>
    <w:rsid w:val="00287B15"/>
    <w:rsid w:val="00287DE0"/>
    <w:rsid w:val="00291F0B"/>
    <w:rsid w:val="00292167"/>
    <w:rsid w:val="002923EB"/>
    <w:rsid w:val="00294F0B"/>
    <w:rsid w:val="0029550C"/>
    <w:rsid w:val="00295B9B"/>
    <w:rsid w:val="0029672D"/>
    <w:rsid w:val="002979A1"/>
    <w:rsid w:val="002A1C94"/>
    <w:rsid w:val="002A2F89"/>
    <w:rsid w:val="002A3914"/>
    <w:rsid w:val="002A3924"/>
    <w:rsid w:val="002A4094"/>
    <w:rsid w:val="002A549F"/>
    <w:rsid w:val="002B0F99"/>
    <w:rsid w:val="002B1A12"/>
    <w:rsid w:val="002B2265"/>
    <w:rsid w:val="002B2CB3"/>
    <w:rsid w:val="002B2D98"/>
    <w:rsid w:val="002B32DA"/>
    <w:rsid w:val="002B4C34"/>
    <w:rsid w:val="002B559D"/>
    <w:rsid w:val="002B78CF"/>
    <w:rsid w:val="002B7F72"/>
    <w:rsid w:val="002C3D1D"/>
    <w:rsid w:val="002C5259"/>
    <w:rsid w:val="002C699A"/>
    <w:rsid w:val="002C7044"/>
    <w:rsid w:val="002D0F21"/>
    <w:rsid w:val="002D1870"/>
    <w:rsid w:val="002D26AC"/>
    <w:rsid w:val="002D2B5E"/>
    <w:rsid w:val="002D3691"/>
    <w:rsid w:val="002D4F87"/>
    <w:rsid w:val="002D7DBC"/>
    <w:rsid w:val="002E0094"/>
    <w:rsid w:val="002E1579"/>
    <w:rsid w:val="002E3D45"/>
    <w:rsid w:val="002E498E"/>
    <w:rsid w:val="002E5AB6"/>
    <w:rsid w:val="002E5EBA"/>
    <w:rsid w:val="002E611F"/>
    <w:rsid w:val="002E6121"/>
    <w:rsid w:val="002E7253"/>
    <w:rsid w:val="002E75E8"/>
    <w:rsid w:val="002E7897"/>
    <w:rsid w:val="002F0424"/>
    <w:rsid w:val="002F0B3B"/>
    <w:rsid w:val="002F0DBF"/>
    <w:rsid w:val="002F10D2"/>
    <w:rsid w:val="002F11D1"/>
    <w:rsid w:val="002F121B"/>
    <w:rsid w:val="002F13E6"/>
    <w:rsid w:val="002F167E"/>
    <w:rsid w:val="002F1F83"/>
    <w:rsid w:val="002F2156"/>
    <w:rsid w:val="002F2464"/>
    <w:rsid w:val="002F2B69"/>
    <w:rsid w:val="002F2EA9"/>
    <w:rsid w:val="002F3E38"/>
    <w:rsid w:val="002F3E70"/>
    <w:rsid w:val="002F43E0"/>
    <w:rsid w:val="002F473B"/>
    <w:rsid w:val="002F57AA"/>
    <w:rsid w:val="002F5991"/>
    <w:rsid w:val="00300BF4"/>
    <w:rsid w:val="00300EC6"/>
    <w:rsid w:val="00301A51"/>
    <w:rsid w:val="00302142"/>
    <w:rsid w:val="0030297F"/>
    <w:rsid w:val="00303B9E"/>
    <w:rsid w:val="00303E49"/>
    <w:rsid w:val="0030493F"/>
    <w:rsid w:val="00305115"/>
    <w:rsid w:val="003060E5"/>
    <w:rsid w:val="003065ED"/>
    <w:rsid w:val="00306C3E"/>
    <w:rsid w:val="0031039C"/>
    <w:rsid w:val="00311340"/>
    <w:rsid w:val="0031160C"/>
    <w:rsid w:val="00311984"/>
    <w:rsid w:val="0031311A"/>
    <w:rsid w:val="0031396B"/>
    <w:rsid w:val="00314A92"/>
    <w:rsid w:val="00314BB0"/>
    <w:rsid w:val="00315AB5"/>
    <w:rsid w:val="00315DE5"/>
    <w:rsid w:val="00316952"/>
    <w:rsid w:val="00316DFB"/>
    <w:rsid w:val="00316EDC"/>
    <w:rsid w:val="00317D49"/>
    <w:rsid w:val="00317DC8"/>
    <w:rsid w:val="003243D0"/>
    <w:rsid w:val="003257A0"/>
    <w:rsid w:val="003269FC"/>
    <w:rsid w:val="00327531"/>
    <w:rsid w:val="00327E50"/>
    <w:rsid w:val="00330052"/>
    <w:rsid w:val="0033074F"/>
    <w:rsid w:val="00331570"/>
    <w:rsid w:val="003321AC"/>
    <w:rsid w:val="00333313"/>
    <w:rsid w:val="00333A79"/>
    <w:rsid w:val="00334DE3"/>
    <w:rsid w:val="0033691C"/>
    <w:rsid w:val="00337639"/>
    <w:rsid w:val="00337F8C"/>
    <w:rsid w:val="00340D9F"/>
    <w:rsid w:val="00341A9E"/>
    <w:rsid w:val="00341EBD"/>
    <w:rsid w:val="00342AFE"/>
    <w:rsid w:val="00345100"/>
    <w:rsid w:val="00346246"/>
    <w:rsid w:val="003465BF"/>
    <w:rsid w:val="00350390"/>
    <w:rsid w:val="00350819"/>
    <w:rsid w:val="00350B0C"/>
    <w:rsid w:val="003519A6"/>
    <w:rsid w:val="00351CFA"/>
    <w:rsid w:val="00351D77"/>
    <w:rsid w:val="00352EEF"/>
    <w:rsid w:val="00354944"/>
    <w:rsid w:val="00354E93"/>
    <w:rsid w:val="00355B9F"/>
    <w:rsid w:val="00355D19"/>
    <w:rsid w:val="00355FB1"/>
    <w:rsid w:val="00356826"/>
    <w:rsid w:val="00356D58"/>
    <w:rsid w:val="003579FA"/>
    <w:rsid w:val="003619EE"/>
    <w:rsid w:val="003651B4"/>
    <w:rsid w:val="003663F5"/>
    <w:rsid w:val="00366D00"/>
    <w:rsid w:val="0036753B"/>
    <w:rsid w:val="00373DBB"/>
    <w:rsid w:val="00374B8C"/>
    <w:rsid w:val="003753B8"/>
    <w:rsid w:val="00377B7D"/>
    <w:rsid w:val="00381109"/>
    <w:rsid w:val="0038391D"/>
    <w:rsid w:val="00384018"/>
    <w:rsid w:val="00384E50"/>
    <w:rsid w:val="00385432"/>
    <w:rsid w:val="00385C42"/>
    <w:rsid w:val="00387495"/>
    <w:rsid w:val="0039002C"/>
    <w:rsid w:val="003912F3"/>
    <w:rsid w:val="00396057"/>
    <w:rsid w:val="00396BFA"/>
    <w:rsid w:val="00396F18"/>
    <w:rsid w:val="003A036B"/>
    <w:rsid w:val="003A05F6"/>
    <w:rsid w:val="003A0DA3"/>
    <w:rsid w:val="003A1EF0"/>
    <w:rsid w:val="003A1F89"/>
    <w:rsid w:val="003A21E1"/>
    <w:rsid w:val="003A4CD4"/>
    <w:rsid w:val="003A5510"/>
    <w:rsid w:val="003A597C"/>
    <w:rsid w:val="003A5B4A"/>
    <w:rsid w:val="003A71DA"/>
    <w:rsid w:val="003A7E3B"/>
    <w:rsid w:val="003B1706"/>
    <w:rsid w:val="003B2891"/>
    <w:rsid w:val="003B3FEE"/>
    <w:rsid w:val="003B4116"/>
    <w:rsid w:val="003B46F1"/>
    <w:rsid w:val="003B487F"/>
    <w:rsid w:val="003B5864"/>
    <w:rsid w:val="003B76E7"/>
    <w:rsid w:val="003B7E39"/>
    <w:rsid w:val="003C213B"/>
    <w:rsid w:val="003C3712"/>
    <w:rsid w:val="003C4733"/>
    <w:rsid w:val="003C52DC"/>
    <w:rsid w:val="003C549F"/>
    <w:rsid w:val="003C5CA1"/>
    <w:rsid w:val="003C6241"/>
    <w:rsid w:val="003C62A1"/>
    <w:rsid w:val="003C6BD8"/>
    <w:rsid w:val="003C7D8B"/>
    <w:rsid w:val="003D0A75"/>
    <w:rsid w:val="003D2075"/>
    <w:rsid w:val="003D3380"/>
    <w:rsid w:val="003D3A82"/>
    <w:rsid w:val="003D5201"/>
    <w:rsid w:val="003D68B2"/>
    <w:rsid w:val="003D6C7E"/>
    <w:rsid w:val="003E0950"/>
    <w:rsid w:val="003E0BFE"/>
    <w:rsid w:val="003E1229"/>
    <w:rsid w:val="003E36B0"/>
    <w:rsid w:val="003E39ED"/>
    <w:rsid w:val="003E3A1E"/>
    <w:rsid w:val="003E5022"/>
    <w:rsid w:val="003E5318"/>
    <w:rsid w:val="003E575E"/>
    <w:rsid w:val="003E5D24"/>
    <w:rsid w:val="003E5E64"/>
    <w:rsid w:val="003E74FF"/>
    <w:rsid w:val="003E7F6B"/>
    <w:rsid w:val="003F10E2"/>
    <w:rsid w:val="003F1160"/>
    <w:rsid w:val="003F141B"/>
    <w:rsid w:val="003F19A0"/>
    <w:rsid w:val="003F1D87"/>
    <w:rsid w:val="003F29CA"/>
    <w:rsid w:val="003F2D4D"/>
    <w:rsid w:val="003F2ECE"/>
    <w:rsid w:val="003F3BBF"/>
    <w:rsid w:val="003F502E"/>
    <w:rsid w:val="004006F9"/>
    <w:rsid w:val="00401044"/>
    <w:rsid w:val="00401ABF"/>
    <w:rsid w:val="00402126"/>
    <w:rsid w:val="004022BB"/>
    <w:rsid w:val="0040320F"/>
    <w:rsid w:val="004044EC"/>
    <w:rsid w:val="0040452D"/>
    <w:rsid w:val="00404E9B"/>
    <w:rsid w:val="0040537D"/>
    <w:rsid w:val="0040567A"/>
    <w:rsid w:val="0040731B"/>
    <w:rsid w:val="004074AF"/>
    <w:rsid w:val="004104CF"/>
    <w:rsid w:val="004111B3"/>
    <w:rsid w:val="004116C7"/>
    <w:rsid w:val="00412772"/>
    <w:rsid w:val="00412EEB"/>
    <w:rsid w:val="00413BF3"/>
    <w:rsid w:val="00414853"/>
    <w:rsid w:val="00415202"/>
    <w:rsid w:val="00415620"/>
    <w:rsid w:val="00415DD7"/>
    <w:rsid w:val="004164B4"/>
    <w:rsid w:val="00416A2E"/>
    <w:rsid w:val="00416C9F"/>
    <w:rsid w:val="00416D94"/>
    <w:rsid w:val="00416E2E"/>
    <w:rsid w:val="00416ED5"/>
    <w:rsid w:val="0041781C"/>
    <w:rsid w:val="0042024C"/>
    <w:rsid w:val="00420268"/>
    <w:rsid w:val="00420F59"/>
    <w:rsid w:val="0042251E"/>
    <w:rsid w:val="00422D24"/>
    <w:rsid w:val="00422E99"/>
    <w:rsid w:val="0042580C"/>
    <w:rsid w:val="0042588C"/>
    <w:rsid w:val="00430F1F"/>
    <w:rsid w:val="00431586"/>
    <w:rsid w:val="004325D6"/>
    <w:rsid w:val="00432C02"/>
    <w:rsid w:val="00432CA2"/>
    <w:rsid w:val="0043329A"/>
    <w:rsid w:val="00433FBA"/>
    <w:rsid w:val="00434389"/>
    <w:rsid w:val="00435C04"/>
    <w:rsid w:val="00436780"/>
    <w:rsid w:val="00437069"/>
    <w:rsid w:val="00440E35"/>
    <w:rsid w:val="00440F7B"/>
    <w:rsid w:val="0044178B"/>
    <w:rsid w:val="004417AE"/>
    <w:rsid w:val="00441D3E"/>
    <w:rsid w:val="0044202A"/>
    <w:rsid w:val="004423A3"/>
    <w:rsid w:val="00442D08"/>
    <w:rsid w:val="00442D5E"/>
    <w:rsid w:val="00444278"/>
    <w:rsid w:val="004451CC"/>
    <w:rsid w:val="004452D0"/>
    <w:rsid w:val="004460F6"/>
    <w:rsid w:val="0044614C"/>
    <w:rsid w:val="004463B6"/>
    <w:rsid w:val="00450D8C"/>
    <w:rsid w:val="00451B91"/>
    <w:rsid w:val="004532E1"/>
    <w:rsid w:val="0045340C"/>
    <w:rsid w:val="004537B7"/>
    <w:rsid w:val="00453A0B"/>
    <w:rsid w:val="00455460"/>
    <w:rsid w:val="00455CB1"/>
    <w:rsid w:val="00455EF0"/>
    <w:rsid w:val="00455FDC"/>
    <w:rsid w:val="00461AC0"/>
    <w:rsid w:val="004621A5"/>
    <w:rsid w:val="00462C69"/>
    <w:rsid w:val="00463B99"/>
    <w:rsid w:val="0046434D"/>
    <w:rsid w:val="00464AD4"/>
    <w:rsid w:val="004651B1"/>
    <w:rsid w:val="0046549E"/>
    <w:rsid w:val="004663FC"/>
    <w:rsid w:val="00466837"/>
    <w:rsid w:val="00466FF9"/>
    <w:rsid w:val="00467736"/>
    <w:rsid w:val="00467C55"/>
    <w:rsid w:val="0047006F"/>
    <w:rsid w:val="004708EB"/>
    <w:rsid w:val="004715F9"/>
    <w:rsid w:val="00471C1E"/>
    <w:rsid w:val="00471FD9"/>
    <w:rsid w:val="00472B74"/>
    <w:rsid w:val="004742F3"/>
    <w:rsid w:val="0047441D"/>
    <w:rsid w:val="00474527"/>
    <w:rsid w:val="00475C19"/>
    <w:rsid w:val="00476050"/>
    <w:rsid w:val="0047710B"/>
    <w:rsid w:val="00482384"/>
    <w:rsid w:val="00482D88"/>
    <w:rsid w:val="00483411"/>
    <w:rsid w:val="00483AF0"/>
    <w:rsid w:val="00485C56"/>
    <w:rsid w:val="00486AD4"/>
    <w:rsid w:val="00486E3D"/>
    <w:rsid w:val="00487FB1"/>
    <w:rsid w:val="00490A1E"/>
    <w:rsid w:val="00490B52"/>
    <w:rsid w:val="004919F2"/>
    <w:rsid w:val="004923BC"/>
    <w:rsid w:val="00492E30"/>
    <w:rsid w:val="0049317F"/>
    <w:rsid w:val="00493C9D"/>
    <w:rsid w:val="00494EAE"/>
    <w:rsid w:val="004962F8"/>
    <w:rsid w:val="004974B7"/>
    <w:rsid w:val="004A041A"/>
    <w:rsid w:val="004A0616"/>
    <w:rsid w:val="004A086D"/>
    <w:rsid w:val="004A11F9"/>
    <w:rsid w:val="004A17D0"/>
    <w:rsid w:val="004A2901"/>
    <w:rsid w:val="004A3245"/>
    <w:rsid w:val="004A3FC6"/>
    <w:rsid w:val="004A4B38"/>
    <w:rsid w:val="004A50E5"/>
    <w:rsid w:val="004A545B"/>
    <w:rsid w:val="004A552C"/>
    <w:rsid w:val="004A5DCC"/>
    <w:rsid w:val="004A5E24"/>
    <w:rsid w:val="004B02BA"/>
    <w:rsid w:val="004B1089"/>
    <w:rsid w:val="004B1323"/>
    <w:rsid w:val="004B26C6"/>
    <w:rsid w:val="004B2AD0"/>
    <w:rsid w:val="004B2C83"/>
    <w:rsid w:val="004B3858"/>
    <w:rsid w:val="004B5A95"/>
    <w:rsid w:val="004B6AD6"/>
    <w:rsid w:val="004B6F7F"/>
    <w:rsid w:val="004B7AE9"/>
    <w:rsid w:val="004C0C59"/>
    <w:rsid w:val="004C1D71"/>
    <w:rsid w:val="004C1DB8"/>
    <w:rsid w:val="004C1DEA"/>
    <w:rsid w:val="004C1E64"/>
    <w:rsid w:val="004C292C"/>
    <w:rsid w:val="004C3049"/>
    <w:rsid w:val="004C3F3A"/>
    <w:rsid w:val="004C4156"/>
    <w:rsid w:val="004C4C9A"/>
    <w:rsid w:val="004C6B6A"/>
    <w:rsid w:val="004D1CE9"/>
    <w:rsid w:val="004D2167"/>
    <w:rsid w:val="004D25F5"/>
    <w:rsid w:val="004D2B1E"/>
    <w:rsid w:val="004D4562"/>
    <w:rsid w:val="004D4BDA"/>
    <w:rsid w:val="004D55A8"/>
    <w:rsid w:val="004D56D0"/>
    <w:rsid w:val="004D729D"/>
    <w:rsid w:val="004D7D83"/>
    <w:rsid w:val="004E0FBA"/>
    <w:rsid w:val="004E1AE8"/>
    <w:rsid w:val="004E1B52"/>
    <w:rsid w:val="004E20C5"/>
    <w:rsid w:val="004E3981"/>
    <w:rsid w:val="004E5EAC"/>
    <w:rsid w:val="004F096D"/>
    <w:rsid w:val="004F0B1E"/>
    <w:rsid w:val="004F11A3"/>
    <w:rsid w:val="004F1C53"/>
    <w:rsid w:val="004F2135"/>
    <w:rsid w:val="004F249A"/>
    <w:rsid w:val="004F3114"/>
    <w:rsid w:val="004F3418"/>
    <w:rsid w:val="004F4ABA"/>
    <w:rsid w:val="005004D7"/>
    <w:rsid w:val="005008C9"/>
    <w:rsid w:val="00500C88"/>
    <w:rsid w:val="0050216A"/>
    <w:rsid w:val="005024F6"/>
    <w:rsid w:val="00502507"/>
    <w:rsid w:val="005027C5"/>
    <w:rsid w:val="0050336E"/>
    <w:rsid w:val="00503FA0"/>
    <w:rsid w:val="005049F2"/>
    <w:rsid w:val="00504F88"/>
    <w:rsid w:val="00507754"/>
    <w:rsid w:val="00510CBB"/>
    <w:rsid w:val="005139A3"/>
    <w:rsid w:val="005143D1"/>
    <w:rsid w:val="00514973"/>
    <w:rsid w:val="00514B17"/>
    <w:rsid w:val="0051523A"/>
    <w:rsid w:val="00516310"/>
    <w:rsid w:val="00516713"/>
    <w:rsid w:val="00516A60"/>
    <w:rsid w:val="00516E88"/>
    <w:rsid w:val="00520FAB"/>
    <w:rsid w:val="00521565"/>
    <w:rsid w:val="00521589"/>
    <w:rsid w:val="0052227F"/>
    <w:rsid w:val="00522BC8"/>
    <w:rsid w:val="00522E3F"/>
    <w:rsid w:val="00523096"/>
    <w:rsid w:val="005233B5"/>
    <w:rsid w:val="005243C9"/>
    <w:rsid w:val="00524496"/>
    <w:rsid w:val="00524B5D"/>
    <w:rsid w:val="00524E35"/>
    <w:rsid w:val="00524E5D"/>
    <w:rsid w:val="00524F2F"/>
    <w:rsid w:val="00526370"/>
    <w:rsid w:val="00526628"/>
    <w:rsid w:val="005302F5"/>
    <w:rsid w:val="00532B97"/>
    <w:rsid w:val="00534472"/>
    <w:rsid w:val="005345B3"/>
    <w:rsid w:val="005350AF"/>
    <w:rsid w:val="0053556B"/>
    <w:rsid w:val="0053641F"/>
    <w:rsid w:val="00536E85"/>
    <w:rsid w:val="00536FCE"/>
    <w:rsid w:val="00540089"/>
    <w:rsid w:val="005412D7"/>
    <w:rsid w:val="005420EF"/>
    <w:rsid w:val="005427A4"/>
    <w:rsid w:val="00542F8B"/>
    <w:rsid w:val="005435C4"/>
    <w:rsid w:val="00543685"/>
    <w:rsid w:val="00543712"/>
    <w:rsid w:val="00543C9B"/>
    <w:rsid w:val="00543DD3"/>
    <w:rsid w:val="00544524"/>
    <w:rsid w:val="005446F1"/>
    <w:rsid w:val="005448CB"/>
    <w:rsid w:val="00546122"/>
    <w:rsid w:val="0054627C"/>
    <w:rsid w:val="00550EBE"/>
    <w:rsid w:val="005513F8"/>
    <w:rsid w:val="005526BD"/>
    <w:rsid w:val="005552BA"/>
    <w:rsid w:val="00556434"/>
    <w:rsid w:val="00556760"/>
    <w:rsid w:val="005568D7"/>
    <w:rsid w:val="00556D42"/>
    <w:rsid w:val="005601BD"/>
    <w:rsid w:val="00560233"/>
    <w:rsid w:val="00561549"/>
    <w:rsid w:val="00561897"/>
    <w:rsid w:val="00562288"/>
    <w:rsid w:val="0056269D"/>
    <w:rsid w:val="00562E8E"/>
    <w:rsid w:val="005642B0"/>
    <w:rsid w:val="0056582E"/>
    <w:rsid w:val="0056609B"/>
    <w:rsid w:val="00566ED0"/>
    <w:rsid w:val="005678D8"/>
    <w:rsid w:val="00567AAB"/>
    <w:rsid w:val="00573104"/>
    <w:rsid w:val="00573817"/>
    <w:rsid w:val="00573C87"/>
    <w:rsid w:val="005741EF"/>
    <w:rsid w:val="005745D1"/>
    <w:rsid w:val="00574BF3"/>
    <w:rsid w:val="0057535C"/>
    <w:rsid w:val="005755CF"/>
    <w:rsid w:val="00575933"/>
    <w:rsid w:val="005765AB"/>
    <w:rsid w:val="005771BD"/>
    <w:rsid w:val="00577E92"/>
    <w:rsid w:val="005820CF"/>
    <w:rsid w:val="00582288"/>
    <w:rsid w:val="005825A7"/>
    <w:rsid w:val="005833D7"/>
    <w:rsid w:val="005838CF"/>
    <w:rsid w:val="00584D6B"/>
    <w:rsid w:val="00585B6E"/>
    <w:rsid w:val="005867B4"/>
    <w:rsid w:val="005946CC"/>
    <w:rsid w:val="0059473B"/>
    <w:rsid w:val="00597368"/>
    <w:rsid w:val="00597AE2"/>
    <w:rsid w:val="005A0E19"/>
    <w:rsid w:val="005A107A"/>
    <w:rsid w:val="005A30D9"/>
    <w:rsid w:val="005A39A8"/>
    <w:rsid w:val="005A4F3D"/>
    <w:rsid w:val="005A4FB3"/>
    <w:rsid w:val="005A55F0"/>
    <w:rsid w:val="005A565C"/>
    <w:rsid w:val="005A72CA"/>
    <w:rsid w:val="005A74A1"/>
    <w:rsid w:val="005A76BC"/>
    <w:rsid w:val="005A7FA9"/>
    <w:rsid w:val="005A7FF5"/>
    <w:rsid w:val="005B09CD"/>
    <w:rsid w:val="005B133E"/>
    <w:rsid w:val="005B33AE"/>
    <w:rsid w:val="005B3818"/>
    <w:rsid w:val="005B39D3"/>
    <w:rsid w:val="005B3DEA"/>
    <w:rsid w:val="005B4250"/>
    <w:rsid w:val="005B6756"/>
    <w:rsid w:val="005B7389"/>
    <w:rsid w:val="005B754C"/>
    <w:rsid w:val="005B7991"/>
    <w:rsid w:val="005C010D"/>
    <w:rsid w:val="005C231A"/>
    <w:rsid w:val="005C3A16"/>
    <w:rsid w:val="005C3D34"/>
    <w:rsid w:val="005C4A60"/>
    <w:rsid w:val="005C51DE"/>
    <w:rsid w:val="005C52E3"/>
    <w:rsid w:val="005C53E6"/>
    <w:rsid w:val="005C5BC9"/>
    <w:rsid w:val="005C6ADA"/>
    <w:rsid w:val="005C6C84"/>
    <w:rsid w:val="005C7225"/>
    <w:rsid w:val="005D12EF"/>
    <w:rsid w:val="005D1867"/>
    <w:rsid w:val="005D1B5E"/>
    <w:rsid w:val="005D22C7"/>
    <w:rsid w:val="005D2629"/>
    <w:rsid w:val="005D3636"/>
    <w:rsid w:val="005D3C61"/>
    <w:rsid w:val="005D49E6"/>
    <w:rsid w:val="005D5F60"/>
    <w:rsid w:val="005D73B0"/>
    <w:rsid w:val="005D744A"/>
    <w:rsid w:val="005E06E5"/>
    <w:rsid w:val="005E0811"/>
    <w:rsid w:val="005E1102"/>
    <w:rsid w:val="005E1485"/>
    <w:rsid w:val="005E1823"/>
    <w:rsid w:val="005E1977"/>
    <w:rsid w:val="005E1B84"/>
    <w:rsid w:val="005E1E2B"/>
    <w:rsid w:val="005E3BF8"/>
    <w:rsid w:val="005E4025"/>
    <w:rsid w:val="005E4269"/>
    <w:rsid w:val="005E68AB"/>
    <w:rsid w:val="005E6C12"/>
    <w:rsid w:val="005E6D70"/>
    <w:rsid w:val="005E7C5D"/>
    <w:rsid w:val="005E7D0D"/>
    <w:rsid w:val="005F03BF"/>
    <w:rsid w:val="005F0D9F"/>
    <w:rsid w:val="005F1467"/>
    <w:rsid w:val="005F1E24"/>
    <w:rsid w:val="005F2400"/>
    <w:rsid w:val="005F3195"/>
    <w:rsid w:val="005F3459"/>
    <w:rsid w:val="005F39E1"/>
    <w:rsid w:val="005F3AD3"/>
    <w:rsid w:val="005F4223"/>
    <w:rsid w:val="005F4454"/>
    <w:rsid w:val="005F57D6"/>
    <w:rsid w:val="005F5890"/>
    <w:rsid w:val="005F6F07"/>
    <w:rsid w:val="006006BD"/>
    <w:rsid w:val="00600B98"/>
    <w:rsid w:val="00600E9B"/>
    <w:rsid w:val="00601AED"/>
    <w:rsid w:val="0060546A"/>
    <w:rsid w:val="00606751"/>
    <w:rsid w:val="00607A7E"/>
    <w:rsid w:val="00610F60"/>
    <w:rsid w:val="00611CF1"/>
    <w:rsid w:val="00612A48"/>
    <w:rsid w:val="0061327D"/>
    <w:rsid w:val="006133E4"/>
    <w:rsid w:val="006138FB"/>
    <w:rsid w:val="00613E1E"/>
    <w:rsid w:val="006142EA"/>
    <w:rsid w:val="00615829"/>
    <w:rsid w:val="0061766C"/>
    <w:rsid w:val="006205F4"/>
    <w:rsid w:val="00621F62"/>
    <w:rsid w:val="00623B38"/>
    <w:rsid w:val="00624EDC"/>
    <w:rsid w:val="0062587F"/>
    <w:rsid w:val="00625B60"/>
    <w:rsid w:val="00625D42"/>
    <w:rsid w:val="00626A9E"/>
    <w:rsid w:val="00626C32"/>
    <w:rsid w:val="00626EAF"/>
    <w:rsid w:val="00627AA8"/>
    <w:rsid w:val="00627E34"/>
    <w:rsid w:val="006303B9"/>
    <w:rsid w:val="00631677"/>
    <w:rsid w:val="00631E15"/>
    <w:rsid w:val="00631EAE"/>
    <w:rsid w:val="006322E5"/>
    <w:rsid w:val="006330D5"/>
    <w:rsid w:val="006331FD"/>
    <w:rsid w:val="006334EC"/>
    <w:rsid w:val="00633587"/>
    <w:rsid w:val="006335FF"/>
    <w:rsid w:val="00633D2B"/>
    <w:rsid w:val="00634614"/>
    <w:rsid w:val="006362EC"/>
    <w:rsid w:val="00636C5A"/>
    <w:rsid w:val="006374FE"/>
    <w:rsid w:val="00642369"/>
    <w:rsid w:val="00643D7B"/>
    <w:rsid w:val="00645487"/>
    <w:rsid w:val="006468DE"/>
    <w:rsid w:val="00646968"/>
    <w:rsid w:val="00646D55"/>
    <w:rsid w:val="00647E50"/>
    <w:rsid w:val="006504C9"/>
    <w:rsid w:val="00650745"/>
    <w:rsid w:val="006517D4"/>
    <w:rsid w:val="00652005"/>
    <w:rsid w:val="00652573"/>
    <w:rsid w:val="0065294C"/>
    <w:rsid w:val="006529C7"/>
    <w:rsid w:val="00652F60"/>
    <w:rsid w:val="0065430A"/>
    <w:rsid w:val="00655203"/>
    <w:rsid w:val="00655CE8"/>
    <w:rsid w:val="0065608F"/>
    <w:rsid w:val="006573F4"/>
    <w:rsid w:val="006609C4"/>
    <w:rsid w:val="00660F17"/>
    <w:rsid w:val="0066244B"/>
    <w:rsid w:val="00662E63"/>
    <w:rsid w:val="006640AE"/>
    <w:rsid w:val="006653E6"/>
    <w:rsid w:val="0066595C"/>
    <w:rsid w:val="00666021"/>
    <w:rsid w:val="006660C1"/>
    <w:rsid w:val="006668BB"/>
    <w:rsid w:val="00666F83"/>
    <w:rsid w:val="0066789A"/>
    <w:rsid w:val="00667FAE"/>
    <w:rsid w:val="00671E3E"/>
    <w:rsid w:val="006725FF"/>
    <w:rsid w:val="006729C4"/>
    <w:rsid w:val="00673549"/>
    <w:rsid w:val="006745C7"/>
    <w:rsid w:val="006747D5"/>
    <w:rsid w:val="00676713"/>
    <w:rsid w:val="00676720"/>
    <w:rsid w:val="00677D22"/>
    <w:rsid w:val="00680D68"/>
    <w:rsid w:val="00682EAA"/>
    <w:rsid w:val="00683B4E"/>
    <w:rsid w:val="0068501B"/>
    <w:rsid w:val="00685134"/>
    <w:rsid w:val="00685468"/>
    <w:rsid w:val="006901F6"/>
    <w:rsid w:val="0069089F"/>
    <w:rsid w:val="00690C97"/>
    <w:rsid w:val="00690D21"/>
    <w:rsid w:val="00691C2C"/>
    <w:rsid w:val="00691C77"/>
    <w:rsid w:val="006937CB"/>
    <w:rsid w:val="00693F7C"/>
    <w:rsid w:val="0069410C"/>
    <w:rsid w:val="00695168"/>
    <w:rsid w:val="00695B56"/>
    <w:rsid w:val="00696107"/>
    <w:rsid w:val="00697695"/>
    <w:rsid w:val="00697946"/>
    <w:rsid w:val="006A04DD"/>
    <w:rsid w:val="006A0E54"/>
    <w:rsid w:val="006A1885"/>
    <w:rsid w:val="006A18A6"/>
    <w:rsid w:val="006A1CBC"/>
    <w:rsid w:val="006A2668"/>
    <w:rsid w:val="006A28F0"/>
    <w:rsid w:val="006A33A6"/>
    <w:rsid w:val="006A5033"/>
    <w:rsid w:val="006A55D5"/>
    <w:rsid w:val="006A5939"/>
    <w:rsid w:val="006A598B"/>
    <w:rsid w:val="006A5EEF"/>
    <w:rsid w:val="006A6270"/>
    <w:rsid w:val="006A70F8"/>
    <w:rsid w:val="006A71BF"/>
    <w:rsid w:val="006A73A4"/>
    <w:rsid w:val="006A7F62"/>
    <w:rsid w:val="006B1007"/>
    <w:rsid w:val="006B5545"/>
    <w:rsid w:val="006B5718"/>
    <w:rsid w:val="006B5787"/>
    <w:rsid w:val="006B779C"/>
    <w:rsid w:val="006B79A1"/>
    <w:rsid w:val="006B79B4"/>
    <w:rsid w:val="006C2EA9"/>
    <w:rsid w:val="006C3188"/>
    <w:rsid w:val="006C35F4"/>
    <w:rsid w:val="006C4B65"/>
    <w:rsid w:val="006C4BDA"/>
    <w:rsid w:val="006C541E"/>
    <w:rsid w:val="006C5879"/>
    <w:rsid w:val="006C5A76"/>
    <w:rsid w:val="006C69A7"/>
    <w:rsid w:val="006C6D68"/>
    <w:rsid w:val="006C7080"/>
    <w:rsid w:val="006D06DF"/>
    <w:rsid w:val="006D2ACD"/>
    <w:rsid w:val="006D3CFD"/>
    <w:rsid w:val="006D4BF1"/>
    <w:rsid w:val="006D4F1A"/>
    <w:rsid w:val="006D6865"/>
    <w:rsid w:val="006E092F"/>
    <w:rsid w:val="006E09AA"/>
    <w:rsid w:val="006E10E4"/>
    <w:rsid w:val="006E18D0"/>
    <w:rsid w:val="006E2D0D"/>
    <w:rsid w:val="006E3539"/>
    <w:rsid w:val="006E3B3E"/>
    <w:rsid w:val="006E3BFA"/>
    <w:rsid w:val="006E4A03"/>
    <w:rsid w:val="006E61BA"/>
    <w:rsid w:val="006E6F10"/>
    <w:rsid w:val="006E712D"/>
    <w:rsid w:val="006E7135"/>
    <w:rsid w:val="006E7E07"/>
    <w:rsid w:val="006E7F99"/>
    <w:rsid w:val="006F08B8"/>
    <w:rsid w:val="006F1B8B"/>
    <w:rsid w:val="006F2612"/>
    <w:rsid w:val="006F2B4D"/>
    <w:rsid w:val="006F3BB4"/>
    <w:rsid w:val="006F4A82"/>
    <w:rsid w:val="006F4C32"/>
    <w:rsid w:val="006F56C1"/>
    <w:rsid w:val="006F6051"/>
    <w:rsid w:val="006F62BC"/>
    <w:rsid w:val="006F75FC"/>
    <w:rsid w:val="00700A17"/>
    <w:rsid w:val="00700A88"/>
    <w:rsid w:val="007013DF"/>
    <w:rsid w:val="00701591"/>
    <w:rsid w:val="00701870"/>
    <w:rsid w:val="00703455"/>
    <w:rsid w:val="007046F2"/>
    <w:rsid w:val="00705536"/>
    <w:rsid w:val="0070582F"/>
    <w:rsid w:val="00706F7A"/>
    <w:rsid w:val="007079CD"/>
    <w:rsid w:val="00707F00"/>
    <w:rsid w:val="00710541"/>
    <w:rsid w:val="007105F1"/>
    <w:rsid w:val="00710850"/>
    <w:rsid w:val="00710CC9"/>
    <w:rsid w:val="00711561"/>
    <w:rsid w:val="00711EEA"/>
    <w:rsid w:val="00712B6B"/>
    <w:rsid w:val="00713498"/>
    <w:rsid w:val="00713CCF"/>
    <w:rsid w:val="00714CF1"/>
    <w:rsid w:val="00715CD3"/>
    <w:rsid w:val="0071665C"/>
    <w:rsid w:val="007204CD"/>
    <w:rsid w:val="00722B95"/>
    <w:rsid w:val="00723494"/>
    <w:rsid w:val="00724868"/>
    <w:rsid w:val="00725587"/>
    <w:rsid w:val="00725934"/>
    <w:rsid w:val="007264FA"/>
    <w:rsid w:val="007270EC"/>
    <w:rsid w:val="007305CD"/>
    <w:rsid w:val="0073062B"/>
    <w:rsid w:val="007312E7"/>
    <w:rsid w:val="00731F9C"/>
    <w:rsid w:val="00732F00"/>
    <w:rsid w:val="00733E91"/>
    <w:rsid w:val="00733F73"/>
    <w:rsid w:val="00734462"/>
    <w:rsid w:val="0073451B"/>
    <w:rsid w:val="00734C7B"/>
    <w:rsid w:val="0073539E"/>
    <w:rsid w:val="0074015C"/>
    <w:rsid w:val="00740247"/>
    <w:rsid w:val="007405BE"/>
    <w:rsid w:val="0074070D"/>
    <w:rsid w:val="007407BD"/>
    <w:rsid w:val="00742136"/>
    <w:rsid w:val="00743340"/>
    <w:rsid w:val="00744662"/>
    <w:rsid w:val="00745809"/>
    <w:rsid w:val="00746361"/>
    <w:rsid w:val="0074697D"/>
    <w:rsid w:val="00747F40"/>
    <w:rsid w:val="00750142"/>
    <w:rsid w:val="00751069"/>
    <w:rsid w:val="00752CFF"/>
    <w:rsid w:val="00752DAF"/>
    <w:rsid w:val="00754124"/>
    <w:rsid w:val="00755B67"/>
    <w:rsid w:val="007565D0"/>
    <w:rsid w:val="007567AA"/>
    <w:rsid w:val="0075775A"/>
    <w:rsid w:val="00760A38"/>
    <w:rsid w:val="007615E4"/>
    <w:rsid w:val="00762C9E"/>
    <w:rsid w:val="00762FEE"/>
    <w:rsid w:val="00763B68"/>
    <w:rsid w:val="00764FE7"/>
    <w:rsid w:val="007655D7"/>
    <w:rsid w:val="0076596F"/>
    <w:rsid w:val="00765999"/>
    <w:rsid w:val="00765A9B"/>
    <w:rsid w:val="007660E0"/>
    <w:rsid w:val="00767E2F"/>
    <w:rsid w:val="0077204D"/>
    <w:rsid w:val="00773BEF"/>
    <w:rsid w:val="007743AD"/>
    <w:rsid w:val="00774F30"/>
    <w:rsid w:val="0077685C"/>
    <w:rsid w:val="00784A3B"/>
    <w:rsid w:val="00786886"/>
    <w:rsid w:val="00786BF2"/>
    <w:rsid w:val="007871A8"/>
    <w:rsid w:val="00787D6C"/>
    <w:rsid w:val="007907D1"/>
    <w:rsid w:val="007921F6"/>
    <w:rsid w:val="007923F7"/>
    <w:rsid w:val="007924DB"/>
    <w:rsid w:val="00792F0D"/>
    <w:rsid w:val="00793306"/>
    <w:rsid w:val="00793F0F"/>
    <w:rsid w:val="007940D1"/>
    <w:rsid w:val="00794816"/>
    <w:rsid w:val="00795071"/>
    <w:rsid w:val="00796F08"/>
    <w:rsid w:val="00797174"/>
    <w:rsid w:val="00797424"/>
    <w:rsid w:val="00797A8D"/>
    <w:rsid w:val="00797EA3"/>
    <w:rsid w:val="00797EF5"/>
    <w:rsid w:val="007A0459"/>
    <w:rsid w:val="007A2C74"/>
    <w:rsid w:val="007A3416"/>
    <w:rsid w:val="007A3C93"/>
    <w:rsid w:val="007A3CE1"/>
    <w:rsid w:val="007A3EA3"/>
    <w:rsid w:val="007A461A"/>
    <w:rsid w:val="007A5A55"/>
    <w:rsid w:val="007A5AB4"/>
    <w:rsid w:val="007A7B88"/>
    <w:rsid w:val="007B05E2"/>
    <w:rsid w:val="007B16EA"/>
    <w:rsid w:val="007B2DCD"/>
    <w:rsid w:val="007B33DA"/>
    <w:rsid w:val="007B4212"/>
    <w:rsid w:val="007B42B8"/>
    <w:rsid w:val="007B5F8C"/>
    <w:rsid w:val="007B6220"/>
    <w:rsid w:val="007B63C8"/>
    <w:rsid w:val="007B6406"/>
    <w:rsid w:val="007B6844"/>
    <w:rsid w:val="007B743D"/>
    <w:rsid w:val="007B74CE"/>
    <w:rsid w:val="007B7517"/>
    <w:rsid w:val="007C0323"/>
    <w:rsid w:val="007C0382"/>
    <w:rsid w:val="007C06EB"/>
    <w:rsid w:val="007C4380"/>
    <w:rsid w:val="007C538B"/>
    <w:rsid w:val="007C571B"/>
    <w:rsid w:val="007C582C"/>
    <w:rsid w:val="007C5A68"/>
    <w:rsid w:val="007C60DE"/>
    <w:rsid w:val="007C62E7"/>
    <w:rsid w:val="007C6731"/>
    <w:rsid w:val="007C6C58"/>
    <w:rsid w:val="007D017C"/>
    <w:rsid w:val="007D0742"/>
    <w:rsid w:val="007D099C"/>
    <w:rsid w:val="007D10A8"/>
    <w:rsid w:val="007D1436"/>
    <w:rsid w:val="007D20AD"/>
    <w:rsid w:val="007D4A78"/>
    <w:rsid w:val="007D4D2E"/>
    <w:rsid w:val="007D566B"/>
    <w:rsid w:val="007D5873"/>
    <w:rsid w:val="007D6696"/>
    <w:rsid w:val="007D7F1D"/>
    <w:rsid w:val="007E09E3"/>
    <w:rsid w:val="007E223F"/>
    <w:rsid w:val="007E3872"/>
    <w:rsid w:val="007E3B9B"/>
    <w:rsid w:val="007E4B58"/>
    <w:rsid w:val="007E6729"/>
    <w:rsid w:val="007E68BA"/>
    <w:rsid w:val="007E753B"/>
    <w:rsid w:val="007E785C"/>
    <w:rsid w:val="007E7C49"/>
    <w:rsid w:val="007F1057"/>
    <w:rsid w:val="007F128D"/>
    <w:rsid w:val="007F1DD7"/>
    <w:rsid w:val="007F1F41"/>
    <w:rsid w:val="007F2AD8"/>
    <w:rsid w:val="007F3870"/>
    <w:rsid w:val="007F500F"/>
    <w:rsid w:val="007F5AB8"/>
    <w:rsid w:val="007F5C1A"/>
    <w:rsid w:val="007F5D57"/>
    <w:rsid w:val="007F6BB2"/>
    <w:rsid w:val="007F76E3"/>
    <w:rsid w:val="007F77B7"/>
    <w:rsid w:val="0080040D"/>
    <w:rsid w:val="00800693"/>
    <w:rsid w:val="008006EC"/>
    <w:rsid w:val="00801103"/>
    <w:rsid w:val="00801376"/>
    <w:rsid w:val="00801B9C"/>
    <w:rsid w:val="00801F7A"/>
    <w:rsid w:val="00802B59"/>
    <w:rsid w:val="00802D9C"/>
    <w:rsid w:val="00802E04"/>
    <w:rsid w:val="00803417"/>
    <w:rsid w:val="008051B7"/>
    <w:rsid w:val="00806502"/>
    <w:rsid w:val="0080690C"/>
    <w:rsid w:val="008078CF"/>
    <w:rsid w:val="00807ACD"/>
    <w:rsid w:val="00810824"/>
    <w:rsid w:val="00811890"/>
    <w:rsid w:val="00813411"/>
    <w:rsid w:val="00813E6A"/>
    <w:rsid w:val="00813F74"/>
    <w:rsid w:val="0081405D"/>
    <w:rsid w:val="00815693"/>
    <w:rsid w:val="00815A91"/>
    <w:rsid w:val="0081696A"/>
    <w:rsid w:val="008177B3"/>
    <w:rsid w:val="00817A37"/>
    <w:rsid w:val="00817B4C"/>
    <w:rsid w:val="0082190C"/>
    <w:rsid w:val="00823403"/>
    <w:rsid w:val="0082441C"/>
    <w:rsid w:val="00824C80"/>
    <w:rsid w:val="00825276"/>
    <w:rsid w:val="00825641"/>
    <w:rsid w:val="00825C12"/>
    <w:rsid w:val="00825CD6"/>
    <w:rsid w:val="00825EEE"/>
    <w:rsid w:val="00826AC2"/>
    <w:rsid w:val="00826E65"/>
    <w:rsid w:val="00827385"/>
    <w:rsid w:val="00827536"/>
    <w:rsid w:val="008276E0"/>
    <w:rsid w:val="008279B6"/>
    <w:rsid w:val="00827E91"/>
    <w:rsid w:val="0083066E"/>
    <w:rsid w:val="008309FC"/>
    <w:rsid w:val="00832C08"/>
    <w:rsid w:val="0083302B"/>
    <w:rsid w:val="00833AD6"/>
    <w:rsid w:val="00834FCC"/>
    <w:rsid w:val="00837280"/>
    <w:rsid w:val="00840695"/>
    <w:rsid w:val="00840DCD"/>
    <w:rsid w:val="00841D60"/>
    <w:rsid w:val="008423A0"/>
    <w:rsid w:val="00842D9E"/>
    <w:rsid w:val="00844267"/>
    <w:rsid w:val="00844FEE"/>
    <w:rsid w:val="008457CD"/>
    <w:rsid w:val="00846DB2"/>
    <w:rsid w:val="00846EBE"/>
    <w:rsid w:val="008502D6"/>
    <w:rsid w:val="008503A0"/>
    <w:rsid w:val="00851A7A"/>
    <w:rsid w:val="00851EE7"/>
    <w:rsid w:val="00851F3F"/>
    <w:rsid w:val="00852531"/>
    <w:rsid w:val="00852DBE"/>
    <w:rsid w:val="0085300C"/>
    <w:rsid w:val="00853574"/>
    <w:rsid w:val="00854196"/>
    <w:rsid w:val="008545F6"/>
    <w:rsid w:val="00855239"/>
    <w:rsid w:val="00856AE1"/>
    <w:rsid w:val="00856EEE"/>
    <w:rsid w:val="0086075B"/>
    <w:rsid w:val="00863124"/>
    <w:rsid w:val="00863326"/>
    <w:rsid w:val="00870232"/>
    <w:rsid w:val="0087043A"/>
    <w:rsid w:val="00871A76"/>
    <w:rsid w:val="0087208F"/>
    <w:rsid w:val="008726A7"/>
    <w:rsid w:val="00873F50"/>
    <w:rsid w:val="008746D0"/>
    <w:rsid w:val="008751EB"/>
    <w:rsid w:val="00876CB3"/>
    <w:rsid w:val="00877389"/>
    <w:rsid w:val="00880DA8"/>
    <w:rsid w:val="00882E46"/>
    <w:rsid w:val="00882F78"/>
    <w:rsid w:val="008837CF"/>
    <w:rsid w:val="00884888"/>
    <w:rsid w:val="008848C3"/>
    <w:rsid w:val="00885B32"/>
    <w:rsid w:val="00885FAD"/>
    <w:rsid w:val="0088609C"/>
    <w:rsid w:val="008906E5"/>
    <w:rsid w:val="0089112F"/>
    <w:rsid w:val="008926B9"/>
    <w:rsid w:val="0089294B"/>
    <w:rsid w:val="00892E7E"/>
    <w:rsid w:val="008946AC"/>
    <w:rsid w:val="008949ED"/>
    <w:rsid w:val="008957BB"/>
    <w:rsid w:val="00896087"/>
    <w:rsid w:val="00896A08"/>
    <w:rsid w:val="00896B82"/>
    <w:rsid w:val="00897276"/>
    <w:rsid w:val="008A10C0"/>
    <w:rsid w:val="008A1207"/>
    <w:rsid w:val="008A24E1"/>
    <w:rsid w:val="008A2CD4"/>
    <w:rsid w:val="008A549B"/>
    <w:rsid w:val="008A573C"/>
    <w:rsid w:val="008A6052"/>
    <w:rsid w:val="008A63A4"/>
    <w:rsid w:val="008A757E"/>
    <w:rsid w:val="008B1935"/>
    <w:rsid w:val="008B1DD4"/>
    <w:rsid w:val="008B2115"/>
    <w:rsid w:val="008B2B26"/>
    <w:rsid w:val="008B3FCE"/>
    <w:rsid w:val="008B5885"/>
    <w:rsid w:val="008B6C69"/>
    <w:rsid w:val="008B7CC8"/>
    <w:rsid w:val="008C12D3"/>
    <w:rsid w:val="008C307B"/>
    <w:rsid w:val="008C3750"/>
    <w:rsid w:val="008C3EB6"/>
    <w:rsid w:val="008C6194"/>
    <w:rsid w:val="008C6286"/>
    <w:rsid w:val="008C63AA"/>
    <w:rsid w:val="008C6C57"/>
    <w:rsid w:val="008C7053"/>
    <w:rsid w:val="008C738B"/>
    <w:rsid w:val="008D170D"/>
    <w:rsid w:val="008D1959"/>
    <w:rsid w:val="008D1CCD"/>
    <w:rsid w:val="008D20C5"/>
    <w:rsid w:val="008D2435"/>
    <w:rsid w:val="008D31AB"/>
    <w:rsid w:val="008D40C5"/>
    <w:rsid w:val="008D45E9"/>
    <w:rsid w:val="008D464C"/>
    <w:rsid w:val="008D49CC"/>
    <w:rsid w:val="008D55D7"/>
    <w:rsid w:val="008D59C8"/>
    <w:rsid w:val="008D71DC"/>
    <w:rsid w:val="008D7355"/>
    <w:rsid w:val="008D7AC1"/>
    <w:rsid w:val="008E07D1"/>
    <w:rsid w:val="008E1E53"/>
    <w:rsid w:val="008E35D0"/>
    <w:rsid w:val="008E3C4D"/>
    <w:rsid w:val="008E3FC0"/>
    <w:rsid w:val="008E421F"/>
    <w:rsid w:val="008E4720"/>
    <w:rsid w:val="008E5A2F"/>
    <w:rsid w:val="008E794C"/>
    <w:rsid w:val="008F05FF"/>
    <w:rsid w:val="008F0D83"/>
    <w:rsid w:val="008F2C73"/>
    <w:rsid w:val="008F2D66"/>
    <w:rsid w:val="008F389F"/>
    <w:rsid w:val="008F4D8D"/>
    <w:rsid w:val="008F54A6"/>
    <w:rsid w:val="008F5DF4"/>
    <w:rsid w:val="0090196E"/>
    <w:rsid w:val="00901EF9"/>
    <w:rsid w:val="009069A0"/>
    <w:rsid w:val="0090715B"/>
    <w:rsid w:val="00911463"/>
    <w:rsid w:val="009114D5"/>
    <w:rsid w:val="00914EC5"/>
    <w:rsid w:val="00915C2E"/>
    <w:rsid w:val="00915CFA"/>
    <w:rsid w:val="00916154"/>
    <w:rsid w:val="00917736"/>
    <w:rsid w:val="00920692"/>
    <w:rsid w:val="009226A3"/>
    <w:rsid w:val="00922DA8"/>
    <w:rsid w:val="00923906"/>
    <w:rsid w:val="00923A1C"/>
    <w:rsid w:val="009245C3"/>
    <w:rsid w:val="009246D9"/>
    <w:rsid w:val="00924701"/>
    <w:rsid w:val="00924AB4"/>
    <w:rsid w:val="00925279"/>
    <w:rsid w:val="009260B2"/>
    <w:rsid w:val="009262A3"/>
    <w:rsid w:val="00926EEC"/>
    <w:rsid w:val="00931E6A"/>
    <w:rsid w:val="0093230B"/>
    <w:rsid w:val="009329AE"/>
    <w:rsid w:val="00932ABC"/>
    <w:rsid w:val="00933096"/>
    <w:rsid w:val="009330D3"/>
    <w:rsid w:val="00936E97"/>
    <w:rsid w:val="00937D55"/>
    <w:rsid w:val="00937D75"/>
    <w:rsid w:val="00940202"/>
    <w:rsid w:val="0094100E"/>
    <w:rsid w:val="00945455"/>
    <w:rsid w:val="00945F95"/>
    <w:rsid w:val="00946940"/>
    <w:rsid w:val="00946B2A"/>
    <w:rsid w:val="00946E81"/>
    <w:rsid w:val="009476AB"/>
    <w:rsid w:val="00947BC4"/>
    <w:rsid w:val="00951B9C"/>
    <w:rsid w:val="00956063"/>
    <w:rsid w:val="00957726"/>
    <w:rsid w:val="00961320"/>
    <w:rsid w:val="00962112"/>
    <w:rsid w:val="00962DB4"/>
    <w:rsid w:val="0096360A"/>
    <w:rsid w:val="009638D7"/>
    <w:rsid w:val="00964159"/>
    <w:rsid w:val="00965D1B"/>
    <w:rsid w:val="009670F8"/>
    <w:rsid w:val="00967397"/>
    <w:rsid w:val="009673D1"/>
    <w:rsid w:val="00967E7E"/>
    <w:rsid w:val="00970002"/>
    <w:rsid w:val="009710A1"/>
    <w:rsid w:val="00971607"/>
    <w:rsid w:val="00971D36"/>
    <w:rsid w:val="00972143"/>
    <w:rsid w:val="00972357"/>
    <w:rsid w:val="00973496"/>
    <w:rsid w:val="009737BD"/>
    <w:rsid w:val="009739D4"/>
    <w:rsid w:val="00973D9B"/>
    <w:rsid w:val="00974DCF"/>
    <w:rsid w:val="00974E24"/>
    <w:rsid w:val="00975A10"/>
    <w:rsid w:val="009766E2"/>
    <w:rsid w:val="00977736"/>
    <w:rsid w:val="009777AE"/>
    <w:rsid w:val="00977CB6"/>
    <w:rsid w:val="00980075"/>
    <w:rsid w:val="009800F9"/>
    <w:rsid w:val="0098162A"/>
    <w:rsid w:val="00981B6B"/>
    <w:rsid w:val="00981BBB"/>
    <w:rsid w:val="00984650"/>
    <w:rsid w:val="00984CDE"/>
    <w:rsid w:val="009860B5"/>
    <w:rsid w:val="00986CE3"/>
    <w:rsid w:val="009906E8"/>
    <w:rsid w:val="0099151F"/>
    <w:rsid w:val="00991963"/>
    <w:rsid w:val="009925E0"/>
    <w:rsid w:val="00994717"/>
    <w:rsid w:val="00994EC9"/>
    <w:rsid w:val="0099651F"/>
    <w:rsid w:val="0099708A"/>
    <w:rsid w:val="009A0C9C"/>
    <w:rsid w:val="009A14FB"/>
    <w:rsid w:val="009A1B14"/>
    <w:rsid w:val="009A1DE4"/>
    <w:rsid w:val="009A2204"/>
    <w:rsid w:val="009A24B5"/>
    <w:rsid w:val="009A3E2B"/>
    <w:rsid w:val="009A4891"/>
    <w:rsid w:val="009A4A1B"/>
    <w:rsid w:val="009A5613"/>
    <w:rsid w:val="009A65B9"/>
    <w:rsid w:val="009A6E9A"/>
    <w:rsid w:val="009A7869"/>
    <w:rsid w:val="009A7BAD"/>
    <w:rsid w:val="009B08DE"/>
    <w:rsid w:val="009B1DF4"/>
    <w:rsid w:val="009B3C2C"/>
    <w:rsid w:val="009B4ABD"/>
    <w:rsid w:val="009B514A"/>
    <w:rsid w:val="009B5DA8"/>
    <w:rsid w:val="009B66C7"/>
    <w:rsid w:val="009B68FB"/>
    <w:rsid w:val="009B730E"/>
    <w:rsid w:val="009C06D0"/>
    <w:rsid w:val="009C0AC4"/>
    <w:rsid w:val="009C19CA"/>
    <w:rsid w:val="009C1A1B"/>
    <w:rsid w:val="009C2BB7"/>
    <w:rsid w:val="009C3AC8"/>
    <w:rsid w:val="009C4476"/>
    <w:rsid w:val="009C4C94"/>
    <w:rsid w:val="009C5CF6"/>
    <w:rsid w:val="009C5D26"/>
    <w:rsid w:val="009C729C"/>
    <w:rsid w:val="009C757A"/>
    <w:rsid w:val="009C78C4"/>
    <w:rsid w:val="009D00CA"/>
    <w:rsid w:val="009D10AE"/>
    <w:rsid w:val="009D34C3"/>
    <w:rsid w:val="009D6676"/>
    <w:rsid w:val="009D7FAB"/>
    <w:rsid w:val="009E03DD"/>
    <w:rsid w:val="009E0A2E"/>
    <w:rsid w:val="009E11BD"/>
    <w:rsid w:val="009E15C7"/>
    <w:rsid w:val="009E192C"/>
    <w:rsid w:val="009E2BA8"/>
    <w:rsid w:val="009E331B"/>
    <w:rsid w:val="009E37A7"/>
    <w:rsid w:val="009E5B19"/>
    <w:rsid w:val="009E6EDD"/>
    <w:rsid w:val="009F0BB6"/>
    <w:rsid w:val="009F0ECA"/>
    <w:rsid w:val="009F3758"/>
    <w:rsid w:val="009F4168"/>
    <w:rsid w:val="009F516C"/>
    <w:rsid w:val="009F6493"/>
    <w:rsid w:val="009F763C"/>
    <w:rsid w:val="00A00EC7"/>
    <w:rsid w:val="00A012EF"/>
    <w:rsid w:val="00A02419"/>
    <w:rsid w:val="00A042D6"/>
    <w:rsid w:val="00A0499C"/>
    <w:rsid w:val="00A05A94"/>
    <w:rsid w:val="00A05ACB"/>
    <w:rsid w:val="00A0644C"/>
    <w:rsid w:val="00A07D1F"/>
    <w:rsid w:val="00A107CA"/>
    <w:rsid w:val="00A1306D"/>
    <w:rsid w:val="00A137A9"/>
    <w:rsid w:val="00A137D8"/>
    <w:rsid w:val="00A13B8C"/>
    <w:rsid w:val="00A14F61"/>
    <w:rsid w:val="00A16C15"/>
    <w:rsid w:val="00A17B77"/>
    <w:rsid w:val="00A204F2"/>
    <w:rsid w:val="00A2149E"/>
    <w:rsid w:val="00A223D0"/>
    <w:rsid w:val="00A22519"/>
    <w:rsid w:val="00A226D1"/>
    <w:rsid w:val="00A2335A"/>
    <w:rsid w:val="00A241FB"/>
    <w:rsid w:val="00A2459D"/>
    <w:rsid w:val="00A2490B"/>
    <w:rsid w:val="00A2761C"/>
    <w:rsid w:val="00A30280"/>
    <w:rsid w:val="00A3039E"/>
    <w:rsid w:val="00A31247"/>
    <w:rsid w:val="00A324AE"/>
    <w:rsid w:val="00A32BD0"/>
    <w:rsid w:val="00A33026"/>
    <w:rsid w:val="00A33168"/>
    <w:rsid w:val="00A3357B"/>
    <w:rsid w:val="00A34241"/>
    <w:rsid w:val="00A3435A"/>
    <w:rsid w:val="00A343D0"/>
    <w:rsid w:val="00A34AFB"/>
    <w:rsid w:val="00A34FC0"/>
    <w:rsid w:val="00A35087"/>
    <w:rsid w:val="00A359A6"/>
    <w:rsid w:val="00A36488"/>
    <w:rsid w:val="00A36BD7"/>
    <w:rsid w:val="00A36E4E"/>
    <w:rsid w:val="00A37856"/>
    <w:rsid w:val="00A378F1"/>
    <w:rsid w:val="00A416C4"/>
    <w:rsid w:val="00A4217F"/>
    <w:rsid w:val="00A42B67"/>
    <w:rsid w:val="00A42C26"/>
    <w:rsid w:val="00A42E91"/>
    <w:rsid w:val="00A4322F"/>
    <w:rsid w:val="00A43E07"/>
    <w:rsid w:val="00A43E97"/>
    <w:rsid w:val="00A45475"/>
    <w:rsid w:val="00A461EC"/>
    <w:rsid w:val="00A46200"/>
    <w:rsid w:val="00A465C4"/>
    <w:rsid w:val="00A46D07"/>
    <w:rsid w:val="00A46FA3"/>
    <w:rsid w:val="00A50185"/>
    <w:rsid w:val="00A50959"/>
    <w:rsid w:val="00A50ECC"/>
    <w:rsid w:val="00A52117"/>
    <w:rsid w:val="00A5238D"/>
    <w:rsid w:val="00A53286"/>
    <w:rsid w:val="00A536FF"/>
    <w:rsid w:val="00A5386F"/>
    <w:rsid w:val="00A54A8C"/>
    <w:rsid w:val="00A55346"/>
    <w:rsid w:val="00A556A2"/>
    <w:rsid w:val="00A55995"/>
    <w:rsid w:val="00A561A2"/>
    <w:rsid w:val="00A57175"/>
    <w:rsid w:val="00A5741F"/>
    <w:rsid w:val="00A57B06"/>
    <w:rsid w:val="00A60753"/>
    <w:rsid w:val="00A61675"/>
    <w:rsid w:val="00A61AFC"/>
    <w:rsid w:val="00A63C68"/>
    <w:rsid w:val="00A650DA"/>
    <w:rsid w:val="00A652B8"/>
    <w:rsid w:val="00A65848"/>
    <w:rsid w:val="00A658CD"/>
    <w:rsid w:val="00A658E7"/>
    <w:rsid w:val="00A67297"/>
    <w:rsid w:val="00A6779F"/>
    <w:rsid w:val="00A67BC6"/>
    <w:rsid w:val="00A708BA"/>
    <w:rsid w:val="00A71698"/>
    <w:rsid w:val="00A7263D"/>
    <w:rsid w:val="00A72927"/>
    <w:rsid w:val="00A731C9"/>
    <w:rsid w:val="00A74DED"/>
    <w:rsid w:val="00A74FA1"/>
    <w:rsid w:val="00A75DFD"/>
    <w:rsid w:val="00A762E1"/>
    <w:rsid w:val="00A77E00"/>
    <w:rsid w:val="00A80CE5"/>
    <w:rsid w:val="00A816AD"/>
    <w:rsid w:val="00A81727"/>
    <w:rsid w:val="00A81B53"/>
    <w:rsid w:val="00A8253F"/>
    <w:rsid w:val="00A8269F"/>
    <w:rsid w:val="00A82F7B"/>
    <w:rsid w:val="00A846AD"/>
    <w:rsid w:val="00A849CE"/>
    <w:rsid w:val="00A84AE0"/>
    <w:rsid w:val="00A84E9D"/>
    <w:rsid w:val="00A85AD8"/>
    <w:rsid w:val="00A87725"/>
    <w:rsid w:val="00A912FD"/>
    <w:rsid w:val="00A9380D"/>
    <w:rsid w:val="00A93EDD"/>
    <w:rsid w:val="00A942BC"/>
    <w:rsid w:val="00A945AA"/>
    <w:rsid w:val="00A94822"/>
    <w:rsid w:val="00A94B40"/>
    <w:rsid w:val="00A96B1A"/>
    <w:rsid w:val="00AA02AD"/>
    <w:rsid w:val="00AA0AE8"/>
    <w:rsid w:val="00AA1970"/>
    <w:rsid w:val="00AA1E0F"/>
    <w:rsid w:val="00AA50D4"/>
    <w:rsid w:val="00AA64C5"/>
    <w:rsid w:val="00AA6586"/>
    <w:rsid w:val="00AA676C"/>
    <w:rsid w:val="00AA6AB0"/>
    <w:rsid w:val="00AA705A"/>
    <w:rsid w:val="00AA7642"/>
    <w:rsid w:val="00AB08CF"/>
    <w:rsid w:val="00AB1551"/>
    <w:rsid w:val="00AB3936"/>
    <w:rsid w:val="00AB55E7"/>
    <w:rsid w:val="00AB5755"/>
    <w:rsid w:val="00AB619C"/>
    <w:rsid w:val="00AB6DAE"/>
    <w:rsid w:val="00AB749C"/>
    <w:rsid w:val="00AC0949"/>
    <w:rsid w:val="00AC0F93"/>
    <w:rsid w:val="00AC1598"/>
    <w:rsid w:val="00AC1717"/>
    <w:rsid w:val="00AC35CA"/>
    <w:rsid w:val="00AC53AF"/>
    <w:rsid w:val="00AC5D4A"/>
    <w:rsid w:val="00AC6D98"/>
    <w:rsid w:val="00AC7CD2"/>
    <w:rsid w:val="00AC7E52"/>
    <w:rsid w:val="00AD001F"/>
    <w:rsid w:val="00AD0C86"/>
    <w:rsid w:val="00AD143A"/>
    <w:rsid w:val="00AD241B"/>
    <w:rsid w:val="00AD2984"/>
    <w:rsid w:val="00AD2DF6"/>
    <w:rsid w:val="00AD3258"/>
    <w:rsid w:val="00AD4D1E"/>
    <w:rsid w:val="00AD4DA4"/>
    <w:rsid w:val="00AD5A64"/>
    <w:rsid w:val="00AD5AB6"/>
    <w:rsid w:val="00AD62E3"/>
    <w:rsid w:val="00AD6AFE"/>
    <w:rsid w:val="00AD718E"/>
    <w:rsid w:val="00AD7D76"/>
    <w:rsid w:val="00AE0133"/>
    <w:rsid w:val="00AE0BAF"/>
    <w:rsid w:val="00AE0BF1"/>
    <w:rsid w:val="00AE15A0"/>
    <w:rsid w:val="00AE3EFF"/>
    <w:rsid w:val="00AE4436"/>
    <w:rsid w:val="00AE4A87"/>
    <w:rsid w:val="00AE4BC4"/>
    <w:rsid w:val="00AE55CC"/>
    <w:rsid w:val="00AE5C46"/>
    <w:rsid w:val="00AE6A89"/>
    <w:rsid w:val="00AE73BC"/>
    <w:rsid w:val="00AF026C"/>
    <w:rsid w:val="00AF0D0B"/>
    <w:rsid w:val="00AF184F"/>
    <w:rsid w:val="00AF2FAA"/>
    <w:rsid w:val="00AF369B"/>
    <w:rsid w:val="00AF5268"/>
    <w:rsid w:val="00AF54D7"/>
    <w:rsid w:val="00AF5900"/>
    <w:rsid w:val="00AF730D"/>
    <w:rsid w:val="00AF7408"/>
    <w:rsid w:val="00B00F52"/>
    <w:rsid w:val="00B01CA7"/>
    <w:rsid w:val="00B01F59"/>
    <w:rsid w:val="00B02E63"/>
    <w:rsid w:val="00B03E6B"/>
    <w:rsid w:val="00B042B0"/>
    <w:rsid w:val="00B05724"/>
    <w:rsid w:val="00B05E28"/>
    <w:rsid w:val="00B109B5"/>
    <w:rsid w:val="00B11516"/>
    <w:rsid w:val="00B11921"/>
    <w:rsid w:val="00B11A30"/>
    <w:rsid w:val="00B11C25"/>
    <w:rsid w:val="00B1221E"/>
    <w:rsid w:val="00B12423"/>
    <w:rsid w:val="00B13253"/>
    <w:rsid w:val="00B1353A"/>
    <w:rsid w:val="00B13739"/>
    <w:rsid w:val="00B140CB"/>
    <w:rsid w:val="00B14238"/>
    <w:rsid w:val="00B14DC3"/>
    <w:rsid w:val="00B153DE"/>
    <w:rsid w:val="00B154E4"/>
    <w:rsid w:val="00B155BF"/>
    <w:rsid w:val="00B16129"/>
    <w:rsid w:val="00B166EC"/>
    <w:rsid w:val="00B20BA8"/>
    <w:rsid w:val="00B20D19"/>
    <w:rsid w:val="00B21A6E"/>
    <w:rsid w:val="00B235F2"/>
    <w:rsid w:val="00B238D0"/>
    <w:rsid w:val="00B2697E"/>
    <w:rsid w:val="00B31016"/>
    <w:rsid w:val="00B31652"/>
    <w:rsid w:val="00B32AC7"/>
    <w:rsid w:val="00B336E3"/>
    <w:rsid w:val="00B3675B"/>
    <w:rsid w:val="00B379AE"/>
    <w:rsid w:val="00B37BA0"/>
    <w:rsid w:val="00B4003B"/>
    <w:rsid w:val="00B4101D"/>
    <w:rsid w:val="00B41022"/>
    <w:rsid w:val="00B41C20"/>
    <w:rsid w:val="00B42A7B"/>
    <w:rsid w:val="00B42DBC"/>
    <w:rsid w:val="00B42F8F"/>
    <w:rsid w:val="00B43034"/>
    <w:rsid w:val="00B44E33"/>
    <w:rsid w:val="00B46374"/>
    <w:rsid w:val="00B479E8"/>
    <w:rsid w:val="00B5318D"/>
    <w:rsid w:val="00B533BC"/>
    <w:rsid w:val="00B539A0"/>
    <w:rsid w:val="00B55295"/>
    <w:rsid w:val="00B556AC"/>
    <w:rsid w:val="00B57D44"/>
    <w:rsid w:val="00B62069"/>
    <w:rsid w:val="00B62B09"/>
    <w:rsid w:val="00B63CD6"/>
    <w:rsid w:val="00B66295"/>
    <w:rsid w:val="00B66D10"/>
    <w:rsid w:val="00B66D46"/>
    <w:rsid w:val="00B67C7D"/>
    <w:rsid w:val="00B721AA"/>
    <w:rsid w:val="00B72B1E"/>
    <w:rsid w:val="00B75719"/>
    <w:rsid w:val="00B7576D"/>
    <w:rsid w:val="00B7614F"/>
    <w:rsid w:val="00B761FC"/>
    <w:rsid w:val="00B766D1"/>
    <w:rsid w:val="00B771AB"/>
    <w:rsid w:val="00B77C93"/>
    <w:rsid w:val="00B80CD9"/>
    <w:rsid w:val="00B8223A"/>
    <w:rsid w:val="00B8346D"/>
    <w:rsid w:val="00B83CC4"/>
    <w:rsid w:val="00B8548B"/>
    <w:rsid w:val="00B85A75"/>
    <w:rsid w:val="00B85F1F"/>
    <w:rsid w:val="00B8699A"/>
    <w:rsid w:val="00B86B67"/>
    <w:rsid w:val="00B87B41"/>
    <w:rsid w:val="00B9048E"/>
    <w:rsid w:val="00B92037"/>
    <w:rsid w:val="00B9212E"/>
    <w:rsid w:val="00B92176"/>
    <w:rsid w:val="00B94AB4"/>
    <w:rsid w:val="00B97D9C"/>
    <w:rsid w:val="00B97F8B"/>
    <w:rsid w:val="00BA05D3"/>
    <w:rsid w:val="00BA1712"/>
    <w:rsid w:val="00BA2871"/>
    <w:rsid w:val="00BA28E2"/>
    <w:rsid w:val="00BA2AA2"/>
    <w:rsid w:val="00BA33AA"/>
    <w:rsid w:val="00BA34EB"/>
    <w:rsid w:val="00BA4297"/>
    <w:rsid w:val="00BA4A54"/>
    <w:rsid w:val="00BA68E8"/>
    <w:rsid w:val="00BB0745"/>
    <w:rsid w:val="00BB1E13"/>
    <w:rsid w:val="00BB25FE"/>
    <w:rsid w:val="00BB2C2A"/>
    <w:rsid w:val="00BB2E92"/>
    <w:rsid w:val="00BB4070"/>
    <w:rsid w:val="00BB5ECA"/>
    <w:rsid w:val="00BB63ED"/>
    <w:rsid w:val="00BB7021"/>
    <w:rsid w:val="00BC1326"/>
    <w:rsid w:val="00BC3524"/>
    <w:rsid w:val="00BC518F"/>
    <w:rsid w:val="00BC6506"/>
    <w:rsid w:val="00BC67FF"/>
    <w:rsid w:val="00BC6C7E"/>
    <w:rsid w:val="00BC7067"/>
    <w:rsid w:val="00BC74AB"/>
    <w:rsid w:val="00BC7FBF"/>
    <w:rsid w:val="00BC7FD9"/>
    <w:rsid w:val="00BD02B0"/>
    <w:rsid w:val="00BD0802"/>
    <w:rsid w:val="00BD1331"/>
    <w:rsid w:val="00BD1626"/>
    <w:rsid w:val="00BD1748"/>
    <w:rsid w:val="00BD1DDD"/>
    <w:rsid w:val="00BD255F"/>
    <w:rsid w:val="00BD2B27"/>
    <w:rsid w:val="00BD2B9D"/>
    <w:rsid w:val="00BD3A73"/>
    <w:rsid w:val="00BD5FD1"/>
    <w:rsid w:val="00BD61AD"/>
    <w:rsid w:val="00BD6230"/>
    <w:rsid w:val="00BD7050"/>
    <w:rsid w:val="00BD72C8"/>
    <w:rsid w:val="00BE076E"/>
    <w:rsid w:val="00BE105F"/>
    <w:rsid w:val="00BE1393"/>
    <w:rsid w:val="00BE3305"/>
    <w:rsid w:val="00BE38A5"/>
    <w:rsid w:val="00BE3906"/>
    <w:rsid w:val="00BE464D"/>
    <w:rsid w:val="00BE4D97"/>
    <w:rsid w:val="00BE57F8"/>
    <w:rsid w:val="00BE5B6D"/>
    <w:rsid w:val="00BE72C6"/>
    <w:rsid w:val="00BE733F"/>
    <w:rsid w:val="00BE759A"/>
    <w:rsid w:val="00BE78FE"/>
    <w:rsid w:val="00BF04BF"/>
    <w:rsid w:val="00BF0E9A"/>
    <w:rsid w:val="00BF11B0"/>
    <w:rsid w:val="00BF1C3D"/>
    <w:rsid w:val="00BF3266"/>
    <w:rsid w:val="00BF3875"/>
    <w:rsid w:val="00BF4131"/>
    <w:rsid w:val="00BF4CE9"/>
    <w:rsid w:val="00BF51A3"/>
    <w:rsid w:val="00BF557B"/>
    <w:rsid w:val="00BF5E76"/>
    <w:rsid w:val="00BF5F28"/>
    <w:rsid w:val="00BF6385"/>
    <w:rsid w:val="00BF63AE"/>
    <w:rsid w:val="00BF709E"/>
    <w:rsid w:val="00BF7711"/>
    <w:rsid w:val="00BF7813"/>
    <w:rsid w:val="00BF7DDF"/>
    <w:rsid w:val="00C004FE"/>
    <w:rsid w:val="00C00E08"/>
    <w:rsid w:val="00C00F67"/>
    <w:rsid w:val="00C01BD3"/>
    <w:rsid w:val="00C01BE0"/>
    <w:rsid w:val="00C03989"/>
    <w:rsid w:val="00C04103"/>
    <w:rsid w:val="00C04586"/>
    <w:rsid w:val="00C049C4"/>
    <w:rsid w:val="00C05074"/>
    <w:rsid w:val="00C059AD"/>
    <w:rsid w:val="00C05A1D"/>
    <w:rsid w:val="00C06132"/>
    <w:rsid w:val="00C0616B"/>
    <w:rsid w:val="00C074C2"/>
    <w:rsid w:val="00C07BF6"/>
    <w:rsid w:val="00C1044A"/>
    <w:rsid w:val="00C10505"/>
    <w:rsid w:val="00C11B81"/>
    <w:rsid w:val="00C13144"/>
    <w:rsid w:val="00C1321C"/>
    <w:rsid w:val="00C145DB"/>
    <w:rsid w:val="00C17BA4"/>
    <w:rsid w:val="00C200C2"/>
    <w:rsid w:val="00C204F4"/>
    <w:rsid w:val="00C20D0C"/>
    <w:rsid w:val="00C20F9A"/>
    <w:rsid w:val="00C21D10"/>
    <w:rsid w:val="00C2320F"/>
    <w:rsid w:val="00C2357B"/>
    <w:rsid w:val="00C24959"/>
    <w:rsid w:val="00C24AAD"/>
    <w:rsid w:val="00C24CF5"/>
    <w:rsid w:val="00C2662D"/>
    <w:rsid w:val="00C26D37"/>
    <w:rsid w:val="00C26E0F"/>
    <w:rsid w:val="00C27CB1"/>
    <w:rsid w:val="00C32983"/>
    <w:rsid w:val="00C32E4E"/>
    <w:rsid w:val="00C34016"/>
    <w:rsid w:val="00C34CD0"/>
    <w:rsid w:val="00C350DB"/>
    <w:rsid w:val="00C360E4"/>
    <w:rsid w:val="00C3689F"/>
    <w:rsid w:val="00C370E8"/>
    <w:rsid w:val="00C37B6B"/>
    <w:rsid w:val="00C4147A"/>
    <w:rsid w:val="00C41C10"/>
    <w:rsid w:val="00C42CC1"/>
    <w:rsid w:val="00C4318A"/>
    <w:rsid w:val="00C4433C"/>
    <w:rsid w:val="00C44461"/>
    <w:rsid w:val="00C44C4E"/>
    <w:rsid w:val="00C4546C"/>
    <w:rsid w:val="00C47C74"/>
    <w:rsid w:val="00C50837"/>
    <w:rsid w:val="00C50C8E"/>
    <w:rsid w:val="00C50D2F"/>
    <w:rsid w:val="00C511D9"/>
    <w:rsid w:val="00C5271F"/>
    <w:rsid w:val="00C52A3E"/>
    <w:rsid w:val="00C52C7D"/>
    <w:rsid w:val="00C54D63"/>
    <w:rsid w:val="00C619CA"/>
    <w:rsid w:val="00C639A4"/>
    <w:rsid w:val="00C654D0"/>
    <w:rsid w:val="00C659CB"/>
    <w:rsid w:val="00C670E8"/>
    <w:rsid w:val="00C67862"/>
    <w:rsid w:val="00C701BD"/>
    <w:rsid w:val="00C716FA"/>
    <w:rsid w:val="00C717A7"/>
    <w:rsid w:val="00C73901"/>
    <w:rsid w:val="00C7475C"/>
    <w:rsid w:val="00C75096"/>
    <w:rsid w:val="00C75A4C"/>
    <w:rsid w:val="00C76612"/>
    <w:rsid w:val="00C77D13"/>
    <w:rsid w:val="00C8061C"/>
    <w:rsid w:val="00C80687"/>
    <w:rsid w:val="00C80A07"/>
    <w:rsid w:val="00C80E73"/>
    <w:rsid w:val="00C811D6"/>
    <w:rsid w:val="00C82706"/>
    <w:rsid w:val="00C82D8E"/>
    <w:rsid w:val="00C833EB"/>
    <w:rsid w:val="00C8534F"/>
    <w:rsid w:val="00C85974"/>
    <w:rsid w:val="00C85BAA"/>
    <w:rsid w:val="00C869F7"/>
    <w:rsid w:val="00C901E7"/>
    <w:rsid w:val="00C90866"/>
    <w:rsid w:val="00C92ACD"/>
    <w:rsid w:val="00C954A9"/>
    <w:rsid w:val="00C9633E"/>
    <w:rsid w:val="00C9645D"/>
    <w:rsid w:val="00C96C9F"/>
    <w:rsid w:val="00C9706F"/>
    <w:rsid w:val="00CA0955"/>
    <w:rsid w:val="00CA15BE"/>
    <w:rsid w:val="00CA1676"/>
    <w:rsid w:val="00CA197B"/>
    <w:rsid w:val="00CA33B1"/>
    <w:rsid w:val="00CA34B8"/>
    <w:rsid w:val="00CA470F"/>
    <w:rsid w:val="00CA4EF9"/>
    <w:rsid w:val="00CA5563"/>
    <w:rsid w:val="00CA5A3F"/>
    <w:rsid w:val="00CA62E8"/>
    <w:rsid w:val="00CA670A"/>
    <w:rsid w:val="00CA702E"/>
    <w:rsid w:val="00CA7711"/>
    <w:rsid w:val="00CA7E7E"/>
    <w:rsid w:val="00CB0498"/>
    <w:rsid w:val="00CB0554"/>
    <w:rsid w:val="00CB0F60"/>
    <w:rsid w:val="00CB2045"/>
    <w:rsid w:val="00CB308A"/>
    <w:rsid w:val="00CB42B8"/>
    <w:rsid w:val="00CB4B1E"/>
    <w:rsid w:val="00CB4F51"/>
    <w:rsid w:val="00CB5AAF"/>
    <w:rsid w:val="00CB60EB"/>
    <w:rsid w:val="00CB76CD"/>
    <w:rsid w:val="00CB7FAB"/>
    <w:rsid w:val="00CC0918"/>
    <w:rsid w:val="00CC0C64"/>
    <w:rsid w:val="00CC0E00"/>
    <w:rsid w:val="00CC1194"/>
    <w:rsid w:val="00CC168B"/>
    <w:rsid w:val="00CC2DD3"/>
    <w:rsid w:val="00CC3D9C"/>
    <w:rsid w:val="00CC5749"/>
    <w:rsid w:val="00CC596B"/>
    <w:rsid w:val="00CC6E0B"/>
    <w:rsid w:val="00CC706D"/>
    <w:rsid w:val="00CC7172"/>
    <w:rsid w:val="00CD0429"/>
    <w:rsid w:val="00CD0F08"/>
    <w:rsid w:val="00CD1455"/>
    <w:rsid w:val="00CD1833"/>
    <w:rsid w:val="00CD1EA4"/>
    <w:rsid w:val="00CD2499"/>
    <w:rsid w:val="00CD259A"/>
    <w:rsid w:val="00CD38E1"/>
    <w:rsid w:val="00CD3974"/>
    <w:rsid w:val="00CD5503"/>
    <w:rsid w:val="00CD5837"/>
    <w:rsid w:val="00CE05DD"/>
    <w:rsid w:val="00CE10BA"/>
    <w:rsid w:val="00CE14D1"/>
    <w:rsid w:val="00CE14F8"/>
    <w:rsid w:val="00CE212D"/>
    <w:rsid w:val="00CE3DEE"/>
    <w:rsid w:val="00CE41BA"/>
    <w:rsid w:val="00CE42AA"/>
    <w:rsid w:val="00CE4ED8"/>
    <w:rsid w:val="00CE529B"/>
    <w:rsid w:val="00CE6678"/>
    <w:rsid w:val="00CE67CA"/>
    <w:rsid w:val="00CF04AE"/>
    <w:rsid w:val="00CF0E57"/>
    <w:rsid w:val="00CF130A"/>
    <w:rsid w:val="00CF2189"/>
    <w:rsid w:val="00CF37EB"/>
    <w:rsid w:val="00CF3CD5"/>
    <w:rsid w:val="00CF461C"/>
    <w:rsid w:val="00CF4D88"/>
    <w:rsid w:val="00CF554A"/>
    <w:rsid w:val="00CF5770"/>
    <w:rsid w:val="00CF5BE7"/>
    <w:rsid w:val="00CF671A"/>
    <w:rsid w:val="00CF6C83"/>
    <w:rsid w:val="00CF7615"/>
    <w:rsid w:val="00CF7842"/>
    <w:rsid w:val="00D003AD"/>
    <w:rsid w:val="00D01452"/>
    <w:rsid w:val="00D021DF"/>
    <w:rsid w:val="00D02A93"/>
    <w:rsid w:val="00D03123"/>
    <w:rsid w:val="00D04190"/>
    <w:rsid w:val="00D059D4"/>
    <w:rsid w:val="00D064A5"/>
    <w:rsid w:val="00D06A78"/>
    <w:rsid w:val="00D07031"/>
    <w:rsid w:val="00D073CD"/>
    <w:rsid w:val="00D13332"/>
    <w:rsid w:val="00D1382B"/>
    <w:rsid w:val="00D140F8"/>
    <w:rsid w:val="00D157BA"/>
    <w:rsid w:val="00D16922"/>
    <w:rsid w:val="00D172A7"/>
    <w:rsid w:val="00D174DD"/>
    <w:rsid w:val="00D20113"/>
    <w:rsid w:val="00D2109A"/>
    <w:rsid w:val="00D22002"/>
    <w:rsid w:val="00D22143"/>
    <w:rsid w:val="00D222FB"/>
    <w:rsid w:val="00D22427"/>
    <w:rsid w:val="00D23E15"/>
    <w:rsid w:val="00D23E7E"/>
    <w:rsid w:val="00D24493"/>
    <w:rsid w:val="00D244D2"/>
    <w:rsid w:val="00D24DB0"/>
    <w:rsid w:val="00D2545D"/>
    <w:rsid w:val="00D26A50"/>
    <w:rsid w:val="00D26DBA"/>
    <w:rsid w:val="00D27723"/>
    <w:rsid w:val="00D30339"/>
    <w:rsid w:val="00D311D5"/>
    <w:rsid w:val="00D323CF"/>
    <w:rsid w:val="00D32438"/>
    <w:rsid w:val="00D32DC8"/>
    <w:rsid w:val="00D32F8F"/>
    <w:rsid w:val="00D35462"/>
    <w:rsid w:val="00D35FAD"/>
    <w:rsid w:val="00D37A59"/>
    <w:rsid w:val="00D40AD0"/>
    <w:rsid w:val="00D41391"/>
    <w:rsid w:val="00D42C8D"/>
    <w:rsid w:val="00D43CAC"/>
    <w:rsid w:val="00D4578D"/>
    <w:rsid w:val="00D458BF"/>
    <w:rsid w:val="00D45A6B"/>
    <w:rsid w:val="00D45B62"/>
    <w:rsid w:val="00D46D0F"/>
    <w:rsid w:val="00D47410"/>
    <w:rsid w:val="00D4797F"/>
    <w:rsid w:val="00D47B9F"/>
    <w:rsid w:val="00D47CEC"/>
    <w:rsid w:val="00D50187"/>
    <w:rsid w:val="00D50464"/>
    <w:rsid w:val="00D511B8"/>
    <w:rsid w:val="00D51545"/>
    <w:rsid w:val="00D533CC"/>
    <w:rsid w:val="00D56587"/>
    <w:rsid w:val="00D571FE"/>
    <w:rsid w:val="00D574D2"/>
    <w:rsid w:val="00D579F0"/>
    <w:rsid w:val="00D6012F"/>
    <w:rsid w:val="00D60523"/>
    <w:rsid w:val="00D607BB"/>
    <w:rsid w:val="00D623A6"/>
    <w:rsid w:val="00D635E0"/>
    <w:rsid w:val="00D64B91"/>
    <w:rsid w:val="00D654C5"/>
    <w:rsid w:val="00D6607B"/>
    <w:rsid w:val="00D665FB"/>
    <w:rsid w:val="00D671A7"/>
    <w:rsid w:val="00D67940"/>
    <w:rsid w:val="00D67BCD"/>
    <w:rsid w:val="00D67E4A"/>
    <w:rsid w:val="00D70036"/>
    <w:rsid w:val="00D700D7"/>
    <w:rsid w:val="00D713E8"/>
    <w:rsid w:val="00D714F0"/>
    <w:rsid w:val="00D72DCF"/>
    <w:rsid w:val="00D7470F"/>
    <w:rsid w:val="00D7682B"/>
    <w:rsid w:val="00D77612"/>
    <w:rsid w:val="00D80E13"/>
    <w:rsid w:val="00D8296D"/>
    <w:rsid w:val="00D83DCB"/>
    <w:rsid w:val="00D84264"/>
    <w:rsid w:val="00D849F5"/>
    <w:rsid w:val="00D84AEB"/>
    <w:rsid w:val="00D8501C"/>
    <w:rsid w:val="00D85207"/>
    <w:rsid w:val="00D85650"/>
    <w:rsid w:val="00D85D51"/>
    <w:rsid w:val="00D86AC8"/>
    <w:rsid w:val="00D87B36"/>
    <w:rsid w:val="00D908FE"/>
    <w:rsid w:val="00D90C59"/>
    <w:rsid w:val="00D91717"/>
    <w:rsid w:val="00D91B51"/>
    <w:rsid w:val="00D91C0C"/>
    <w:rsid w:val="00D9204D"/>
    <w:rsid w:val="00D93649"/>
    <w:rsid w:val="00D9367D"/>
    <w:rsid w:val="00D93B64"/>
    <w:rsid w:val="00D94A25"/>
    <w:rsid w:val="00D94B63"/>
    <w:rsid w:val="00D9615F"/>
    <w:rsid w:val="00D96480"/>
    <w:rsid w:val="00D96622"/>
    <w:rsid w:val="00D96645"/>
    <w:rsid w:val="00D96AFB"/>
    <w:rsid w:val="00D9786F"/>
    <w:rsid w:val="00D979E1"/>
    <w:rsid w:val="00DA03A8"/>
    <w:rsid w:val="00DA0970"/>
    <w:rsid w:val="00DA17C8"/>
    <w:rsid w:val="00DA186E"/>
    <w:rsid w:val="00DA4D2C"/>
    <w:rsid w:val="00DA4F1A"/>
    <w:rsid w:val="00DA58C1"/>
    <w:rsid w:val="00DA59AC"/>
    <w:rsid w:val="00DA5F76"/>
    <w:rsid w:val="00DA6A93"/>
    <w:rsid w:val="00DB06C3"/>
    <w:rsid w:val="00DB0E4C"/>
    <w:rsid w:val="00DB105D"/>
    <w:rsid w:val="00DB2DC8"/>
    <w:rsid w:val="00DB310C"/>
    <w:rsid w:val="00DB3468"/>
    <w:rsid w:val="00DB37EF"/>
    <w:rsid w:val="00DB4001"/>
    <w:rsid w:val="00DB590E"/>
    <w:rsid w:val="00DB6431"/>
    <w:rsid w:val="00DB7D5D"/>
    <w:rsid w:val="00DC06AC"/>
    <w:rsid w:val="00DC0FDC"/>
    <w:rsid w:val="00DC2C94"/>
    <w:rsid w:val="00DC31AB"/>
    <w:rsid w:val="00DC3F20"/>
    <w:rsid w:val="00DC4835"/>
    <w:rsid w:val="00DC4E94"/>
    <w:rsid w:val="00DC4FA6"/>
    <w:rsid w:val="00DC56FC"/>
    <w:rsid w:val="00DC7AE0"/>
    <w:rsid w:val="00DC7C39"/>
    <w:rsid w:val="00DD0379"/>
    <w:rsid w:val="00DD04F7"/>
    <w:rsid w:val="00DD0F64"/>
    <w:rsid w:val="00DD1CFD"/>
    <w:rsid w:val="00DD296D"/>
    <w:rsid w:val="00DD31E3"/>
    <w:rsid w:val="00DD3389"/>
    <w:rsid w:val="00DD4929"/>
    <w:rsid w:val="00DD4F27"/>
    <w:rsid w:val="00DD4F40"/>
    <w:rsid w:val="00DD5A82"/>
    <w:rsid w:val="00DD7F89"/>
    <w:rsid w:val="00DE08BA"/>
    <w:rsid w:val="00DE0F38"/>
    <w:rsid w:val="00DE1D12"/>
    <w:rsid w:val="00DE4CA6"/>
    <w:rsid w:val="00DE4EE1"/>
    <w:rsid w:val="00DE6435"/>
    <w:rsid w:val="00DE77E5"/>
    <w:rsid w:val="00DE7EAA"/>
    <w:rsid w:val="00DF0204"/>
    <w:rsid w:val="00DF0F3D"/>
    <w:rsid w:val="00DF13BE"/>
    <w:rsid w:val="00DF1D0D"/>
    <w:rsid w:val="00DF2856"/>
    <w:rsid w:val="00DF58F7"/>
    <w:rsid w:val="00DF5A47"/>
    <w:rsid w:val="00DF5EE1"/>
    <w:rsid w:val="00DF61A8"/>
    <w:rsid w:val="00DF636F"/>
    <w:rsid w:val="00DF67DB"/>
    <w:rsid w:val="00DF751F"/>
    <w:rsid w:val="00DF7900"/>
    <w:rsid w:val="00DF79AC"/>
    <w:rsid w:val="00E00374"/>
    <w:rsid w:val="00E003E5"/>
    <w:rsid w:val="00E003FB"/>
    <w:rsid w:val="00E0093A"/>
    <w:rsid w:val="00E01096"/>
    <w:rsid w:val="00E029AB"/>
    <w:rsid w:val="00E03A7F"/>
    <w:rsid w:val="00E04FD8"/>
    <w:rsid w:val="00E050FA"/>
    <w:rsid w:val="00E071F5"/>
    <w:rsid w:val="00E072A4"/>
    <w:rsid w:val="00E0777A"/>
    <w:rsid w:val="00E07DDE"/>
    <w:rsid w:val="00E10DBC"/>
    <w:rsid w:val="00E1155F"/>
    <w:rsid w:val="00E11AB2"/>
    <w:rsid w:val="00E159AB"/>
    <w:rsid w:val="00E17491"/>
    <w:rsid w:val="00E177C8"/>
    <w:rsid w:val="00E20A86"/>
    <w:rsid w:val="00E20CEF"/>
    <w:rsid w:val="00E21869"/>
    <w:rsid w:val="00E238BD"/>
    <w:rsid w:val="00E23A14"/>
    <w:rsid w:val="00E23C6B"/>
    <w:rsid w:val="00E24901"/>
    <w:rsid w:val="00E257AE"/>
    <w:rsid w:val="00E26015"/>
    <w:rsid w:val="00E2630A"/>
    <w:rsid w:val="00E26320"/>
    <w:rsid w:val="00E272C3"/>
    <w:rsid w:val="00E27DCC"/>
    <w:rsid w:val="00E30F18"/>
    <w:rsid w:val="00E31982"/>
    <w:rsid w:val="00E32F8A"/>
    <w:rsid w:val="00E33449"/>
    <w:rsid w:val="00E33988"/>
    <w:rsid w:val="00E33F63"/>
    <w:rsid w:val="00E344BA"/>
    <w:rsid w:val="00E3464E"/>
    <w:rsid w:val="00E34685"/>
    <w:rsid w:val="00E35E7C"/>
    <w:rsid w:val="00E36281"/>
    <w:rsid w:val="00E364C4"/>
    <w:rsid w:val="00E37521"/>
    <w:rsid w:val="00E4023A"/>
    <w:rsid w:val="00E4063D"/>
    <w:rsid w:val="00E40D5E"/>
    <w:rsid w:val="00E415E6"/>
    <w:rsid w:val="00E41D27"/>
    <w:rsid w:val="00E42CB4"/>
    <w:rsid w:val="00E430EE"/>
    <w:rsid w:val="00E43AD3"/>
    <w:rsid w:val="00E4411F"/>
    <w:rsid w:val="00E45896"/>
    <w:rsid w:val="00E4693C"/>
    <w:rsid w:val="00E46FDB"/>
    <w:rsid w:val="00E50156"/>
    <w:rsid w:val="00E50187"/>
    <w:rsid w:val="00E506AC"/>
    <w:rsid w:val="00E512F8"/>
    <w:rsid w:val="00E51E8F"/>
    <w:rsid w:val="00E5300D"/>
    <w:rsid w:val="00E53FDF"/>
    <w:rsid w:val="00E54AEC"/>
    <w:rsid w:val="00E56601"/>
    <w:rsid w:val="00E568DE"/>
    <w:rsid w:val="00E57C39"/>
    <w:rsid w:val="00E6243D"/>
    <w:rsid w:val="00E64C68"/>
    <w:rsid w:val="00E64EA7"/>
    <w:rsid w:val="00E65397"/>
    <w:rsid w:val="00E656DC"/>
    <w:rsid w:val="00E666A4"/>
    <w:rsid w:val="00E70724"/>
    <w:rsid w:val="00E71A75"/>
    <w:rsid w:val="00E72545"/>
    <w:rsid w:val="00E73EF2"/>
    <w:rsid w:val="00E74C8B"/>
    <w:rsid w:val="00E756D1"/>
    <w:rsid w:val="00E75D62"/>
    <w:rsid w:val="00E76437"/>
    <w:rsid w:val="00E7692F"/>
    <w:rsid w:val="00E76FA5"/>
    <w:rsid w:val="00E822A0"/>
    <w:rsid w:val="00E82D64"/>
    <w:rsid w:val="00E82D72"/>
    <w:rsid w:val="00E832F8"/>
    <w:rsid w:val="00E8414C"/>
    <w:rsid w:val="00E8444E"/>
    <w:rsid w:val="00E846F5"/>
    <w:rsid w:val="00E8479B"/>
    <w:rsid w:val="00E84A11"/>
    <w:rsid w:val="00E85C7D"/>
    <w:rsid w:val="00E86CC6"/>
    <w:rsid w:val="00E87AB5"/>
    <w:rsid w:val="00E9023F"/>
    <w:rsid w:val="00E91A80"/>
    <w:rsid w:val="00E94F3F"/>
    <w:rsid w:val="00E95A3F"/>
    <w:rsid w:val="00E95BCE"/>
    <w:rsid w:val="00E967CB"/>
    <w:rsid w:val="00EA068D"/>
    <w:rsid w:val="00EA184C"/>
    <w:rsid w:val="00EA228E"/>
    <w:rsid w:val="00EA296F"/>
    <w:rsid w:val="00EA29BB"/>
    <w:rsid w:val="00EA2DEB"/>
    <w:rsid w:val="00EA356F"/>
    <w:rsid w:val="00EA3E10"/>
    <w:rsid w:val="00EA3FEC"/>
    <w:rsid w:val="00EA4FCF"/>
    <w:rsid w:val="00EA52C1"/>
    <w:rsid w:val="00EA546D"/>
    <w:rsid w:val="00EA600C"/>
    <w:rsid w:val="00EA6DB0"/>
    <w:rsid w:val="00EA6DC1"/>
    <w:rsid w:val="00EA74EC"/>
    <w:rsid w:val="00EB1381"/>
    <w:rsid w:val="00EB1CC1"/>
    <w:rsid w:val="00EB27C2"/>
    <w:rsid w:val="00EB3131"/>
    <w:rsid w:val="00EB47DE"/>
    <w:rsid w:val="00EB505F"/>
    <w:rsid w:val="00EB5EC1"/>
    <w:rsid w:val="00EB5F5A"/>
    <w:rsid w:val="00EB646E"/>
    <w:rsid w:val="00EB6492"/>
    <w:rsid w:val="00EB7944"/>
    <w:rsid w:val="00EC01E8"/>
    <w:rsid w:val="00EC0492"/>
    <w:rsid w:val="00EC0AEB"/>
    <w:rsid w:val="00EC13F5"/>
    <w:rsid w:val="00EC32D2"/>
    <w:rsid w:val="00EC3D94"/>
    <w:rsid w:val="00EC4344"/>
    <w:rsid w:val="00EC5C4F"/>
    <w:rsid w:val="00EC5DFA"/>
    <w:rsid w:val="00EC5F59"/>
    <w:rsid w:val="00EC6021"/>
    <w:rsid w:val="00EC659D"/>
    <w:rsid w:val="00EC6896"/>
    <w:rsid w:val="00ED0DB3"/>
    <w:rsid w:val="00ED2164"/>
    <w:rsid w:val="00ED2932"/>
    <w:rsid w:val="00ED3178"/>
    <w:rsid w:val="00ED3A51"/>
    <w:rsid w:val="00ED4C06"/>
    <w:rsid w:val="00ED4C63"/>
    <w:rsid w:val="00ED4EB3"/>
    <w:rsid w:val="00ED5AA5"/>
    <w:rsid w:val="00ED5FBC"/>
    <w:rsid w:val="00ED66C0"/>
    <w:rsid w:val="00ED7530"/>
    <w:rsid w:val="00ED7FCB"/>
    <w:rsid w:val="00EE153D"/>
    <w:rsid w:val="00EE2705"/>
    <w:rsid w:val="00EE2D0C"/>
    <w:rsid w:val="00EE536A"/>
    <w:rsid w:val="00EE6E14"/>
    <w:rsid w:val="00EE7AC0"/>
    <w:rsid w:val="00EF06C1"/>
    <w:rsid w:val="00EF1718"/>
    <w:rsid w:val="00EF1CC7"/>
    <w:rsid w:val="00EF2EBA"/>
    <w:rsid w:val="00EF34CF"/>
    <w:rsid w:val="00EF353F"/>
    <w:rsid w:val="00EF36BE"/>
    <w:rsid w:val="00EF54A4"/>
    <w:rsid w:val="00EF5AB2"/>
    <w:rsid w:val="00EF5C94"/>
    <w:rsid w:val="00EF5F6A"/>
    <w:rsid w:val="00EF67C3"/>
    <w:rsid w:val="00EF71A9"/>
    <w:rsid w:val="00F004C0"/>
    <w:rsid w:val="00F00E08"/>
    <w:rsid w:val="00F012C7"/>
    <w:rsid w:val="00F020FA"/>
    <w:rsid w:val="00F04D5C"/>
    <w:rsid w:val="00F05037"/>
    <w:rsid w:val="00F05671"/>
    <w:rsid w:val="00F0582B"/>
    <w:rsid w:val="00F0645E"/>
    <w:rsid w:val="00F07CC2"/>
    <w:rsid w:val="00F11478"/>
    <w:rsid w:val="00F11775"/>
    <w:rsid w:val="00F122F6"/>
    <w:rsid w:val="00F133A7"/>
    <w:rsid w:val="00F13B05"/>
    <w:rsid w:val="00F14188"/>
    <w:rsid w:val="00F15544"/>
    <w:rsid w:val="00F16343"/>
    <w:rsid w:val="00F16995"/>
    <w:rsid w:val="00F21526"/>
    <w:rsid w:val="00F223C3"/>
    <w:rsid w:val="00F2279C"/>
    <w:rsid w:val="00F234CA"/>
    <w:rsid w:val="00F2434F"/>
    <w:rsid w:val="00F24E15"/>
    <w:rsid w:val="00F24EAE"/>
    <w:rsid w:val="00F2550A"/>
    <w:rsid w:val="00F26C7F"/>
    <w:rsid w:val="00F279FF"/>
    <w:rsid w:val="00F3087D"/>
    <w:rsid w:val="00F32DD0"/>
    <w:rsid w:val="00F32FA9"/>
    <w:rsid w:val="00F334AD"/>
    <w:rsid w:val="00F33A34"/>
    <w:rsid w:val="00F3534F"/>
    <w:rsid w:val="00F354BA"/>
    <w:rsid w:val="00F358E2"/>
    <w:rsid w:val="00F36E65"/>
    <w:rsid w:val="00F3776A"/>
    <w:rsid w:val="00F40D06"/>
    <w:rsid w:val="00F40D78"/>
    <w:rsid w:val="00F41224"/>
    <w:rsid w:val="00F43A31"/>
    <w:rsid w:val="00F44A18"/>
    <w:rsid w:val="00F47649"/>
    <w:rsid w:val="00F47D16"/>
    <w:rsid w:val="00F50819"/>
    <w:rsid w:val="00F50CF5"/>
    <w:rsid w:val="00F50E48"/>
    <w:rsid w:val="00F52C56"/>
    <w:rsid w:val="00F55A09"/>
    <w:rsid w:val="00F57E7C"/>
    <w:rsid w:val="00F62D95"/>
    <w:rsid w:val="00F643B0"/>
    <w:rsid w:val="00F65FE9"/>
    <w:rsid w:val="00F66D66"/>
    <w:rsid w:val="00F66F8D"/>
    <w:rsid w:val="00F6725A"/>
    <w:rsid w:val="00F70235"/>
    <w:rsid w:val="00F70C82"/>
    <w:rsid w:val="00F711A7"/>
    <w:rsid w:val="00F71CC3"/>
    <w:rsid w:val="00F733C6"/>
    <w:rsid w:val="00F73A26"/>
    <w:rsid w:val="00F73FE6"/>
    <w:rsid w:val="00F745A1"/>
    <w:rsid w:val="00F77091"/>
    <w:rsid w:val="00F7737C"/>
    <w:rsid w:val="00F778DF"/>
    <w:rsid w:val="00F80507"/>
    <w:rsid w:val="00F81371"/>
    <w:rsid w:val="00F82E66"/>
    <w:rsid w:val="00F84132"/>
    <w:rsid w:val="00F85499"/>
    <w:rsid w:val="00F85573"/>
    <w:rsid w:val="00F85B3E"/>
    <w:rsid w:val="00F85EE0"/>
    <w:rsid w:val="00F86909"/>
    <w:rsid w:val="00F86FCA"/>
    <w:rsid w:val="00F872D5"/>
    <w:rsid w:val="00F8740F"/>
    <w:rsid w:val="00F87B10"/>
    <w:rsid w:val="00F87BBC"/>
    <w:rsid w:val="00F90668"/>
    <w:rsid w:val="00F91351"/>
    <w:rsid w:val="00F92039"/>
    <w:rsid w:val="00F922E2"/>
    <w:rsid w:val="00F95391"/>
    <w:rsid w:val="00F95A0E"/>
    <w:rsid w:val="00F95B69"/>
    <w:rsid w:val="00F97372"/>
    <w:rsid w:val="00FA082A"/>
    <w:rsid w:val="00FA0A01"/>
    <w:rsid w:val="00FA14F9"/>
    <w:rsid w:val="00FA2478"/>
    <w:rsid w:val="00FA2831"/>
    <w:rsid w:val="00FA2850"/>
    <w:rsid w:val="00FA2C27"/>
    <w:rsid w:val="00FA2E2E"/>
    <w:rsid w:val="00FA31F2"/>
    <w:rsid w:val="00FA361D"/>
    <w:rsid w:val="00FA46D4"/>
    <w:rsid w:val="00FA535B"/>
    <w:rsid w:val="00FA73E6"/>
    <w:rsid w:val="00FA7804"/>
    <w:rsid w:val="00FB1274"/>
    <w:rsid w:val="00FB23EE"/>
    <w:rsid w:val="00FB2E88"/>
    <w:rsid w:val="00FB328A"/>
    <w:rsid w:val="00FB3478"/>
    <w:rsid w:val="00FB35B4"/>
    <w:rsid w:val="00FB448C"/>
    <w:rsid w:val="00FB46F1"/>
    <w:rsid w:val="00FB675D"/>
    <w:rsid w:val="00FB6F04"/>
    <w:rsid w:val="00FB6F53"/>
    <w:rsid w:val="00FB72B2"/>
    <w:rsid w:val="00FC01AE"/>
    <w:rsid w:val="00FC093B"/>
    <w:rsid w:val="00FC0C36"/>
    <w:rsid w:val="00FC0C82"/>
    <w:rsid w:val="00FC26E1"/>
    <w:rsid w:val="00FC3B51"/>
    <w:rsid w:val="00FC40A4"/>
    <w:rsid w:val="00FC4416"/>
    <w:rsid w:val="00FC47D9"/>
    <w:rsid w:val="00FC4AFC"/>
    <w:rsid w:val="00FC4F37"/>
    <w:rsid w:val="00FC51CD"/>
    <w:rsid w:val="00FC51D4"/>
    <w:rsid w:val="00FC6412"/>
    <w:rsid w:val="00FC6EAE"/>
    <w:rsid w:val="00FC6F6F"/>
    <w:rsid w:val="00FC7443"/>
    <w:rsid w:val="00FC76E2"/>
    <w:rsid w:val="00FD189B"/>
    <w:rsid w:val="00FD21B3"/>
    <w:rsid w:val="00FD3018"/>
    <w:rsid w:val="00FD4D9E"/>
    <w:rsid w:val="00FD5A3A"/>
    <w:rsid w:val="00FD612C"/>
    <w:rsid w:val="00FD6562"/>
    <w:rsid w:val="00FD6CA8"/>
    <w:rsid w:val="00FE1C52"/>
    <w:rsid w:val="00FE21C7"/>
    <w:rsid w:val="00FE2ED9"/>
    <w:rsid w:val="00FE3571"/>
    <w:rsid w:val="00FE3A65"/>
    <w:rsid w:val="00FE404E"/>
    <w:rsid w:val="00FE4724"/>
    <w:rsid w:val="00FE6B00"/>
    <w:rsid w:val="00FE6DE7"/>
    <w:rsid w:val="00FE79C3"/>
    <w:rsid w:val="00FF0462"/>
    <w:rsid w:val="00FF28F1"/>
    <w:rsid w:val="00FF2ABF"/>
    <w:rsid w:val="00FF2AFA"/>
    <w:rsid w:val="00FF3D9E"/>
    <w:rsid w:val="00FF4DAE"/>
    <w:rsid w:val="00FF67F2"/>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77C8"/>
    <w:pPr>
      <w:jc w:val="center"/>
    </w:pPr>
    <w:rPr>
      <w:sz w:val="24"/>
      <w:u w:val="single"/>
    </w:rPr>
  </w:style>
  <w:style w:type="character" w:customStyle="1" w:styleId="TitleChar">
    <w:name w:val="Title Char"/>
    <w:basedOn w:val="DefaultParagraphFont"/>
    <w:link w:val="Title"/>
    <w:uiPriority w:val="99"/>
    <w:rsid w:val="00E177C8"/>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68501B"/>
    <w:pPr>
      <w:ind w:left="720"/>
      <w:contextualSpacing/>
    </w:pPr>
  </w:style>
  <w:style w:type="character" w:styleId="Hyperlink">
    <w:name w:val="Hyperlink"/>
    <w:basedOn w:val="DefaultParagraphFont"/>
    <w:uiPriority w:val="99"/>
    <w:rsid w:val="00D91B51"/>
    <w:rPr>
      <w:rFonts w:cs="Times New Roman"/>
      <w:color w:val="0000FF"/>
      <w:u w:val="single"/>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12"/>
    <w:basedOn w:val="DefaultParagraphFont"/>
    <w:uiPriority w:val="99"/>
    <w:qFormat/>
    <w:rsid w:val="00D91B51"/>
    <w:rPr>
      <w:rFonts w:cs="Times New Roman"/>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8C307B"/>
    <w:pPr>
      <w:overflowPunct/>
      <w:autoSpaceDE/>
      <w:autoSpaceDN/>
      <w:adjustRightInd/>
      <w:textAlignment w:val="auto"/>
    </w:p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8C307B"/>
    <w:rPr>
      <w:rFonts w:ascii="Times New Roman" w:eastAsia="Times New Roman" w:hAnsi="Times New Roman" w:cs="Times New Roman"/>
      <w:sz w:val="20"/>
      <w:szCs w:val="20"/>
    </w:rPr>
  </w:style>
  <w:style w:type="paragraph" w:customStyle="1" w:styleId="Default">
    <w:name w:val="Default"/>
    <w:rsid w:val="008C30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8C307B"/>
    <w:rPr>
      <w:color w:val="0000FF"/>
      <w:u w:val="double"/>
    </w:rPr>
  </w:style>
  <w:style w:type="paragraph" w:customStyle="1" w:styleId="Paragraph">
    <w:name w:val="Paragraph"/>
    <w:basedOn w:val="Normal"/>
    <w:rsid w:val="00115B01"/>
    <w:pPr>
      <w:overflowPunct/>
      <w:autoSpaceDE/>
      <w:autoSpaceDN/>
      <w:adjustRightInd/>
      <w:spacing w:after="120"/>
      <w:jc w:val="both"/>
      <w:textAlignment w:val="auto"/>
    </w:pPr>
    <w:rPr>
      <w:rFonts w:ascii="Arial" w:hAnsi="Arial"/>
      <w:lang w:val="en-GB"/>
    </w:rPr>
  </w:style>
  <w:style w:type="paragraph" w:styleId="NormalWeb">
    <w:name w:val="Normal (Web)"/>
    <w:basedOn w:val="Normal"/>
    <w:uiPriority w:val="99"/>
    <w:rsid w:val="00476050"/>
    <w:pPr>
      <w:overflowPunct/>
      <w:autoSpaceDE/>
      <w:autoSpaceDN/>
      <w:adjustRightInd/>
      <w:spacing w:before="100" w:beforeAutospacing="1" w:after="100" w:afterAutospacing="1"/>
      <w:textAlignment w:val="auto"/>
    </w:pPr>
    <w:rPr>
      <w:rFonts w:ascii="Verdana" w:hAnsi="Verdana"/>
    </w:rPr>
  </w:style>
  <w:style w:type="paragraph" w:styleId="Header">
    <w:name w:val="header"/>
    <w:basedOn w:val="Normal"/>
    <w:link w:val="HeaderChar"/>
    <w:uiPriority w:val="99"/>
    <w:unhideWhenUsed/>
    <w:rsid w:val="0083066E"/>
    <w:pPr>
      <w:tabs>
        <w:tab w:val="center" w:pos="4680"/>
        <w:tab w:val="right" w:pos="9360"/>
      </w:tabs>
    </w:pPr>
  </w:style>
  <w:style w:type="character" w:customStyle="1" w:styleId="HeaderChar">
    <w:name w:val="Header Char"/>
    <w:basedOn w:val="DefaultParagraphFont"/>
    <w:link w:val="Header"/>
    <w:uiPriority w:val="99"/>
    <w:rsid w:val="008306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66E"/>
    <w:pPr>
      <w:tabs>
        <w:tab w:val="center" w:pos="4680"/>
        <w:tab w:val="right" w:pos="9360"/>
      </w:tabs>
    </w:pPr>
  </w:style>
  <w:style w:type="character" w:customStyle="1" w:styleId="FooterChar">
    <w:name w:val="Footer Char"/>
    <w:basedOn w:val="DefaultParagraphFont"/>
    <w:link w:val="Footer"/>
    <w:uiPriority w:val="99"/>
    <w:rsid w:val="0083066E"/>
    <w:rPr>
      <w:rFonts w:ascii="Times New Roman" w:eastAsia="Times New Roman" w:hAnsi="Times New Roman" w:cs="Times New Roman"/>
      <w:sz w:val="20"/>
      <w:szCs w:val="20"/>
    </w:rPr>
  </w:style>
  <w:style w:type="character" w:styleId="CommentReference">
    <w:name w:val="annotation reference"/>
    <w:basedOn w:val="DefaultParagraphFont"/>
    <w:semiHidden/>
    <w:rsid w:val="008C12D3"/>
    <w:rPr>
      <w:sz w:val="16"/>
      <w:szCs w:val="16"/>
    </w:rPr>
  </w:style>
  <w:style w:type="table" w:styleId="TableGrid">
    <w:name w:val="Table Grid"/>
    <w:basedOn w:val="TableNormal"/>
    <w:uiPriority w:val="59"/>
    <w:rsid w:val="0007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8">
    <w:name w:val="CM88"/>
    <w:basedOn w:val="Default"/>
    <w:next w:val="Default"/>
    <w:uiPriority w:val="99"/>
    <w:rsid w:val="000B1175"/>
    <w:pPr>
      <w:widowControl/>
    </w:pPr>
    <w:rPr>
      <w:rFonts w:eastAsia="Calibri"/>
      <w:color w:val="auto"/>
    </w:rPr>
  </w:style>
  <w:style w:type="paragraph" w:styleId="PlainText">
    <w:name w:val="Plain Text"/>
    <w:basedOn w:val="Normal"/>
    <w:link w:val="PlainTextChar"/>
    <w:uiPriority w:val="99"/>
    <w:rsid w:val="008A24E1"/>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A24E1"/>
    <w:rPr>
      <w:rFonts w:ascii="Consolas" w:eastAsia="Calibri" w:hAnsi="Consolas" w:cs="Times New Roman"/>
      <w:sz w:val="21"/>
      <w:szCs w:val="21"/>
    </w:rPr>
  </w:style>
  <w:style w:type="paragraph" w:customStyle="1" w:styleId="CM4">
    <w:name w:val="CM4"/>
    <w:basedOn w:val="Default"/>
    <w:next w:val="Default"/>
    <w:uiPriority w:val="99"/>
    <w:rsid w:val="008A24E1"/>
    <w:pPr>
      <w:widowControl/>
      <w:spacing w:line="553" w:lineRule="atLeast"/>
    </w:pPr>
    <w:rPr>
      <w:rFonts w:eastAsiaTheme="minorHAnsi"/>
      <w:color w:val="auto"/>
    </w:rPr>
  </w:style>
  <w:style w:type="paragraph" w:customStyle="1" w:styleId="CM99">
    <w:name w:val="CM99"/>
    <w:basedOn w:val="Default"/>
    <w:next w:val="Default"/>
    <w:uiPriority w:val="99"/>
    <w:rsid w:val="008A24E1"/>
    <w:pPr>
      <w:widowControl/>
    </w:pPr>
    <w:rPr>
      <w:rFonts w:eastAsia="Calibri"/>
      <w:color w:val="auto"/>
    </w:rPr>
  </w:style>
  <w:style w:type="paragraph" w:styleId="BalloonText">
    <w:name w:val="Balloon Text"/>
    <w:basedOn w:val="Normal"/>
    <w:link w:val="BalloonTextChar"/>
    <w:uiPriority w:val="99"/>
    <w:semiHidden/>
    <w:unhideWhenUsed/>
    <w:rsid w:val="000615FD"/>
    <w:rPr>
      <w:rFonts w:ascii="Tahoma" w:hAnsi="Tahoma" w:cs="Tahoma"/>
      <w:sz w:val="16"/>
      <w:szCs w:val="16"/>
    </w:rPr>
  </w:style>
  <w:style w:type="character" w:customStyle="1" w:styleId="BalloonTextChar">
    <w:name w:val="Balloon Text Char"/>
    <w:basedOn w:val="DefaultParagraphFont"/>
    <w:link w:val="BalloonText"/>
    <w:uiPriority w:val="99"/>
    <w:semiHidden/>
    <w:rsid w:val="000615FD"/>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451CC"/>
  </w:style>
  <w:style w:type="character" w:customStyle="1" w:styleId="CommentTextChar">
    <w:name w:val="Comment Text Char"/>
    <w:basedOn w:val="DefaultParagraphFont"/>
    <w:link w:val="CommentText"/>
    <w:uiPriority w:val="99"/>
    <w:semiHidden/>
    <w:rsid w:val="00445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1CC"/>
    <w:rPr>
      <w:b/>
      <w:bCs/>
    </w:rPr>
  </w:style>
  <w:style w:type="character" w:customStyle="1" w:styleId="CommentSubjectChar">
    <w:name w:val="Comment Subject Char"/>
    <w:basedOn w:val="CommentTextChar"/>
    <w:link w:val="CommentSubject"/>
    <w:uiPriority w:val="99"/>
    <w:semiHidden/>
    <w:rsid w:val="004451CC"/>
    <w:rPr>
      <w:rFonts w:ascii="Times New Roman" w:eastAsia="Times New Roman" w:hAnsi="Times New Roman" w:cs="Times New Roman"/>
      <w:b/>
      <w:bCs/>
      <w:sz w:val="20"/>
      <w:szCs w:val="20"/>
    </w:rPr>
  </w:style>
  <w:style w:type="paragraph" w:styleId="Revision">
    <w:name w:val="Revision"/>
    <w:hidden/>
    <w:uiPriority w:val="99"/>
    <w:semiHidden/>
    <w:rsid w:val="008F05FF"/>
    <w:pPr>
      <w:spacing w:after="0" w:line="240" w:lineRule="auto"/>
    </w:pPr>
    <w:rPr>
      <w:rFonts w:ascii="Times New Roman" w:eastAsia="Times New Roman" w:hAnsi="Times New Roman" w:cs="Times New Roman"/>
      <w:sz w:val="20"/>
      <w:szCs w:val="20"/>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0823D1"/>
    <w:rPr>
      <w:sz w:val="24"/>
    </w:rPr>
  </w:style>
  <w:style w:type="character" w:styleId="FollowedHyperlink">
    <w:name w:val="FollowedHyperlink"/>
    <w:basedOn w:val="DefaultParagraphFont"/>
    <w:uiPriority w:val="99"/>
    <w:semiHidden/>
    <w:unhideWhenUsed/>
    <w:rsid w:val="00FF2A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7C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E177C8"/>
    <w:pPr>
      <w:jc w:val="center"/>
    </w:pPr>
    <w:rPr>
      <w:sz w:val="24"/>
      <w:u w:val="single"/>
    </w:rPr>
  </w:style>
  <w:style w:type="character" w:customStyle="1" w:styleId="TitleChar">
    <w:name w:val="Title Char"/>
    <w:basedOn w:val="DefaultParagraphFont"/>
    <w:link w:val="Title"/>
    <w:uiPriority w:val="99"/>
    <w:rsid w:val="00E177C8"/>
    <w:rPr>
      <w:rFonts w:ascii="Times New Roman" w:eastAsia="Times New Roman" w:hAnsi="Times New Roman" w:cs="Times New Roman"/>
      <w:sz w:val="24"/>
      <w:szCs w:val="20"/>
      <w:u w:val="single"/>
    </w:rPr>
  </w:style>
  <w:style w:type="paragraph" w:styleId="ListParagraph">
    <w:name w:val="List Paragraph"/>
    <w:basedOn w:val="Normal"/>
    <w:uiPriority w:val="34"/>
    <w:qFormat/>
    <w:rsid w:val="0068501B"/>
    <w:pPr>
      <w:ind w:left="720"/>
      <w:contextualSpacing/>
    </w:pPr>
  </w:style>
  <w:style w:type="character" w:styleId="Hyperlink">
    <w:name w:val="Hyperlink"/>
    <w:basedOn w:val="DefaultParagraphFont"/>
    <w:uiPriority w:val="99"/>
    <w:rsid w:val="00D91B51"/>
    <w:rPr>
      <w:rFonts w:cs="Times New Roman"/>
      <w:color w:val="0000FF"/>
      <w:u w:val="single"/>
    </w:rPr>
  </w:style>
  <w:style w:type="character" w:styleId="FootnoteReference">
    <w:name w:val="footnote reference"/>
    <w:aliases w:val="Style 19,Style 16,fr,Style 39,Style 14,Style 6,Style 35,Footnote Reference Superscript,SUPERS,BVI fnr,Footnote symbol,Footnote,(Footnote Reference),Footnote reference number,note TESI,EN Footnote Reference,Voetnootverwijzing,12"/>
    <w:basedOn w:val="DefaultParagraphFont"/>
    <w:uiPriority w:val="99"/>
    <w:qFormat/>
    <w:rsid w:val="00D91B51"/>
    <w:rPr>
      <w:rFonts w:cs="Times New Roman"/>
      <w:vertAlign w:val="superscript"/>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qFormat/>
    <w:rsid w:val="008C307B"/>
    <w:pPr>
      <w:overflowPunct/>
      <w:autoSpaceDE/>
      <w:autoSpaceDN/>
      <w:adjustRightInd/>
      <w:textAlignment w:val="auto"/>
    </w:p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8C307B"/>
    <w:rPr>
      <w:rFonts w:ascii="Times New Roman" w:eastAsia="Times New Roman" w:hAnsi="Times New Roman" w:cs="Times New Roman"/>
      <w:sz w:val="20"/>
      <w:szCs w:val="20"/>
    </w:rPr>
  </w:style>
  <w:style w:type="paragraph" w:customStyle="1" w:styleId="Default">
    <w:name w:val="Default"/>
    <w:rsid w:val="008C307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ltaViewInsertion">
    <w:name w:val="DeltaView Insertion"/>
    <w:uiPriority w:val="99"/>
    <w:rsid w:val="008C307B"/>
    <w:rPr>
      <w:color w:val="0000FF"/>
      <w:u w:val="double"/>
    </w:rPr>
  </w:style>
  <w:style w:type="paragraph" w:customStyle="1" w:styleId="Paragraph">
    <w:name w:val="Paragraph"/>
    <w:basedOn w:val="Normal"/>
    <w:rsid w:val="00115B01"/>
    <w:pPr>
      <w:overflowPunct/>
      <w:autoSpaceDE/>
      <w:autoSpaceDN/>
      <w:adjustRightInd/>
      <w:spacing w:after="120"/>
      <w:jc w:val="both"/>
      <w:textAlignment w:val="auto"/>
    </w:pPr>
    <w:rPr>
      <w:rFonts w:ascii="Arial" w:hAnsi="Arial"/>
      <w:lang w:val="en-GB"/>
    </w:rPr>
  </w:style>
  <w:style w:type="paragraph" w:styleId="NormalWeb">
    <w:name w:val="Normal (Web)"/>
    <w:basedOn w:val="Normal"/>
    <w:uiPriority w:val="99"/>
    <w:rsid w:val="00476050"/>
    <w:pPr>
      <w:overflowPunct/>
      <w:autoSpaceDE/>
      <w:autoSpaceDN/>
      <w:adjustRightInd/>
      <w:spacing w:before="100" w:beforeAutospacing="1" w:after="100" w:afterAutospacing="1"/>
      <w:textAlignment w:val="auto"/>
    </w:pPr>
    <w:rPr>
      <w:rFonts w:ascii="Verdana" w:hAnsi="Verdana"/>
    </w:rPr>
  </w:style>
  <w:style w:type="paragraph" w:styleId="Header">
    <w:name w:val="header"/>
    <w:basedOn w:val="Normal"/>
    <w:link w:val="HeaderChar"/>
    <w:uiPriority w:val="99"/>
    <w:unhideWhenUsed/>
    <w:rsid w:val="0083066E"/>
    <w:pPr>
      <w:tabs>
        <w:tab w:val="center" w:pos="4680"/>
        <w:tab w:val="right" w:pos="9360"/>
      </w:tabs>
    </w:pPr>
  </w:style>
  <w:style w:type="character" w:customStyle="1" w:styleId="HeaderChar">
    <w:name w:val="Header Char"/>
    <w:basedOn w:val="DefaultParagraphFont"/>
    <w:link w:val="Header"/>
    <w:uiPriority w:val="99"/>
    <w:rsid w:val="0083066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066E"/>
    <w:pPr>
      <w:tabs>
        <w:tab w:val="center" w:pos="4680"/>
        <w:tab w:val="right" w:pos="9360"/>
      </w:tabs>
    </w:pPr>
  </w:style>
  <w:style w:type="character" w:customStyle="1" w:styleId="FooterChar">
    <w:name w:val="Footer Char"/>
    <w:basedOn w:val="DefaultParagraphFont"/>
    <w:link w:val="Footer"/>
    <w:uiPriority w:val="99"/>
    <w:rsid w:val="0083066E"/>
    <w:rPr>
      <w:rFonts w:ascii="Times New Roman" w:eastAsia="Times New Roman" w:hAnsi="Times New Roman" w:cs="Times New Roman"/>
      <w:sz w:val="20"/>
      <w:szCs w:val="20"/>
    </w:rPr>
  </w:style>
  <w:style w:type="character" w:styleId="CommentReference">
    <w:name w:val="annotation reference"/>
    <w:basedOn w:val="DefaultParagraphFont"/>
    <w:semiHidden/>
    <w:rsid w:val="008C12D3"/>
    <w:rPr>
      <w:sz w:val="16"/>
      <w:szCs w:val="16"/>
    </w:rPr>
  </w:style>
  <w:style w:type="table" w:styleId="TableGrid">
    <w:name w:val="Table Grid"/>
    <w:basedOn w:val="TableNormal"/>
    <w:uiPriority w:val="59"/>
    <w:rsid w:val="0007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8">
    <w:name w:val="CM88"/>
    <w:basedOn w:val="Default"/>
    <w:next w:val="Default"/>
    <w:uiPriority w:val="99"/>
    <w:rsid w:val="000B1175"/>
    <w:pPr>
      <w:widowControl/>
    </w:pPr>
    <w:rPr>
      <w:rFonts w:eastAsia="Calibri"/>
      <w:color w:val="auto"/>
    </w:rPr>
  </w:style>
  <w:style w:type="paragraph" w:styleId="PlainText">
    <w:name w:val="Plain Text"/>
    <w:basedOn w:val="Normal"/>
    <w:link w:val="PlainTextChar"/>
    <w:uiPriority w:val="99"/>
    <w:rsid w:val="008A24E1"/>
    <w:pPr>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A24E1"/>
    <w:rPr>
      <w:rFonts w:ascii="Consolas" w:eastAsia="Calibri" w:hAnsi="Consolas" w:cs="Times New Roman"/>
      <w:sz w:val="21"/>
      <w:szCs w:val="21"/>
    </w:rPr>
  </w:style>
  <w:style w:type="paragraph" w:customStyle="1" w:styleId="CM4">
    <w:name w:val="CM4"/>
    <w:basedOn w:val="Default"/>
    <w:next w:val="Default"/>
    <w:uiPriority w:val="99"/>
    <w:rsid w:val="008A24E1"/>
    <w:pPr>
      <w:widowControl/>
      <w:spacing w:line="553" w:lineRule="atLeast"/>
    </w:pPr>
    <w:rPr>
      <w:rFonts w:eastAsiaTheme="minorHAnsi"/>
      <w:color w:val="auto"/>
    </w:rPr>
  </w:style>
  <w:style w:type="paragraph" w:customStyle="1" w:styleId="CM99">
    <w:name w:val="CM99"/>
    <w:basedOn w:val="Default"/>
    <w:next w:val="Default"/>
    <w:uiPriority w:val="99"/>
    <w:rsid w:val="008A24E1"/>
    <w:pPr>
      <w:widowControl/>
    </w:pPr>
    <w:rPr>
      <w:rFonts w:eastAsia="Calibri"/>
      <w:color w:val="auto"/>
    </w:rPr>
  </w:style>
  <w:style w:type="paragraph" w:styleId="BalloonText">
    <w:name w:val="Balloon Text"/>
    <w:basedOn w:val="Normal"/>
    <w:link w:val="BalloonTextChar"/>
    <w:uiPriority w:val="99"/>
    <w:semiHidden/>
    <w:unhideWhenUsed/>
    <w:rsid w:val="000615FD"/>
    <w:rPr>
      <w:rFonts w:ascii="Tahoma" w:hAnsi="Tahoma" w:cs="Tahoma"/>
      <w:sz w:val="16"/>
      <w:szCs w:val="16"/>
    </w:rPr>
  </w:style>
  <w:style w:type="character" w:customStyle="1" w:styleId="BalloonTextChar">
    <w:name w:val="Balloon Text Char"/>
    <w:basedOn w:val="DefaultParagraphFont"/>
    <w:link w:val="BalloonText"/>
    <w:uiPriority w:val="99"/>
    <w:semiHidden/>
    <w:rsid w:val="000615FD"/>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4451CC"/>
  </w:style>
  <w:style w:type="character" w:customStyle="1" w:styleId="CommentTextChar">
    <w:name w:val="Comment Text Char"/>
    <w:basedOn w:val="DefaultParagraphFont"/>
    <w:link w:val="CommentText"/>
    <w:uiPriority w:val="99"/>
    <w:semiHidden/>
    <w:rsid w:val="00445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51CC"/>
    <w:rPr>
      <w:b/>
      <w:bCs/>
    </w:rPr>
  </w:style>
  <w:style w:type="character" w:customStyle="1" w:styleId="CommentSubjectChar">
    <w:name w:val="Comment Subject Char"/>
    <w:basedOn w:val="CommentTextChar"/>
    <w:link w:val="CommentSubject"/>
    <w:uiPriority w:val="99"/>
    <w:semiHidden/>
    <w:rsid w:val="004451CC"/>
    <w:rPr>
      <w:rFonts w:ascii="Times New Roman" w:eastAsia="Times New Roman" w:hAnsi="Times New Roman" w:cs="Times New Roman"/>
      <w:b/>
      <w:bCs/>
      <w:sz w:val="20"/>
      <w:szCs w:val="20"/>
    </w:rPr>
  </w:style>
  <w:style w:type="paragraph" w:styleId="Revision">
    <w:name w:val="Revision"/>
    <w:hidden/>
    <w:uiPriority w:val="99"/>
    <w:semiHidden/>
    <w:rsid w:val="008F05FF"/>
    <w:pPr>
      <w:spacing w:after="0" w:line="240" w:lineRule="auto"/>
    </w:pPr>
    <w:rPr>
      <w:rFonts w:ascii="Times New Roman" w:eastAsia="Times New Roman" w:hAnsi="Times New Roman" w:cs="Times New Roman"/>
      <w:sz w:val="20"/>
      <w:szCs w:val="20"/>
    </w:rPr>
  </w:style>
  <w:style w:type="character" w:customStyle="1" w:styleId="FootnoteTextChar2">
    <w:name w:val="Footnote Text Char2"/>
    <w:aliases w:val="Style 15 Char1,Car Char1,fn Char1,ALTS FOOTNOTE Char1,Footnote Text Char Char Char Char Char Char Char Char Char Char Char Char Char Char Char Char Char Char1,Footnote Text Char1 Char1,ft Char1,Footnote Text Char Char Char2"/>
    <w:uiPriority w:val="99"/>
    <w:locked/>
    <w:rsid w:val="000823D1"/>
    <w:rPr>
      <w:sz w:val="24"/>
    </w:rPr>
  </w:style>
  <w:style w:type="character" w:styleId="FollowedHyperlink">
    <w:name w:val="FollowedHyperlink"/>
    <w:basedOn w:val="DefaultParagraphFont"/>
    <w:uiPriority w:val="99"/>
    <w:semiHidden/>
    <w:unhideWhenUsed/>
    <w:rsid w:val="00FF2A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7662">
      <w:bodyDiv w:val="1"/>
      <w:marLeft w:val="0"/>
      <w:marRight w:val="0"/>
      <w:marTop w:val="0"/>
      <w:marBottom w:val="0"/>
      <w:divBdr>
        <w:top w:val="none" w:sz="0" w:space="0" w:color="auto"/>
        <w:left w:val="none" w:sz="0" w:space="0" w:color="auto"/>
        <w:bottom w:val="none" w:sz="0" w:space="0" w:color="auto"/>
        <w:right w:val="none" w:sz="0" w:space="0" w:color="auto"/>
      </w:divBdr>
    </w:div>
    <w:div w:id="387067976">
      <w:bodyDiv w:val="1"/>
      <w:marLeft w:val="0"/>
      <w:marRight w:val="0"/>
      <w:marTop w:val="0"/>
      <w:marBottom w:val="0"/>
      <w:divBdr>
        <w:top w:val="none" w:sz="0" w:space="0" w:color="auto"/>
        <w:left w:val="none" w:sz="0" w:space="0" w:color="auto"/>
        <w:bottom w:val="none" w:sz="0" w:space="0" w:color="auto"/>
        <w:right w:val="none" w:sz="0" w:space="0" w:color="auto"/>
      </w:divBdr>
    </w:div>
    <w:div w:id="433553362">
      <w:bodyDiv w:val="1"/>
      <w:marLeft w:val="0"/>
      <w:marRight w:val="0"/>
      <w:marTop w:val="0"/>
      <w:marBottom w:val="0"/>
      <w:divBdr>
        <w:top w:val="none" w:sz="0" w:space="0" w:color="auto"/>
        <w:left w:val="none" w:sz="0" w:space="0" w:color="auto"/>
        <w:bottom w:val="none" w:sz="0" w:space="0" w:color="auto"/>
        <w:right w:val="none" w:sz="0" w:space="0" w:color="auto"/>
      </w:divBdr>
    </w:div>
    <w:div w:id="743257262">
      <w:bodyDiv w:val="1"/>
      <w:marLeft w:val="0"/>
      <w:marRight w:val="0"/>
      <w:marTop w:val="0"/>
      <w:marBottom w:val="0"/>
      <w:divBdr>
        <w:top w:val="none" w:sz="0" w:space="0" w:color="auto"/>
        <w:left w:val="none" w:sz="0" w:space="0" w:color="auto"/>
        <w:bottom w:val="none" w:sz="0" w:space="0" w:color="auto"/>
        <w:right w:val="none" w:sz="0" w:space="0" w:color="auto"/>
      </w:divBdr>
    </w:div>
    <w:div w:id="1040934629">
      <w:bodyDiv w:val="1"/>
      <w:marLeft w:val="0"/>
      <w:marRight w:val="0"/>
      <w:marTop w:val="0"/>
      <w:marBottom w:val="0"/>
      <w:divBdr>
        <w:top w:val="none" w:sz="0" w:space="0" w:color="auto"/>
        <w:left w:val="none" w:sz="0" w:space="0" w:color="auto"/>
        <w:bottom w:val="none" w:sz="0" w:space="0" w:color="auto"/>
        <w:right w:val="none" w:sz="0" w:space="0" w:color="auto"/>
      </w:divBdr>
    </w:div>
    <w:div w:id="1251281763">
      <w:bodyDiv w:val="1"/>
      <w:marLeft w:val="0"/>
      <w:marRight w:val="0"/>
      <w:marTop w:val="0"/>
      <w:marBottom w:val="0"/>
      <w:divBdr>
        <w:top w:val="none" w:sz="0" w:space="0" w:color="auto"/>
        <w:left w:val="none" w:sz="0" w:space="0" w:color="auto"/>
        <w:bottom w:val="none" w:sz="0" w:space="0" w:color="auto"/>
        <w:right w:val="none" w:sz="0" w:space="0" w:color="auto"/>
      </w:divBdr>
    </w:div>
    <w:div w:id="1325937833">
      <w:bodyDiv w:val="1"/>
      <w:marLeft w:val="0"/>
      <w:marRight w:val="0"/>
      <w:marTop w:val="0"/>
      <w:marBottom w:val="0"/>
      <w:divBdr>
        <w:top w:val="none" w:sz="0" w:space="0" w:color="auto"/>
        <w:left w:val="none" w:sz="0" w:space="0" w:color="auto"/>
        <w:bottom w:val="none" w:sz="0" w:space="0" w:color="auto"/>
        <w:right w:val="none" w:sz="0" w:space="0" w:color="auto"/>
      </w:divBdr>
    </w:div>
    <w:div w:id="156587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ec.gov/rules/proposed/201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E0ABE-431D-4533-9CB2-E6221307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Doyle Horn</dc:creator>
  <cp:lastModifiedBy>Fitzgerald, Elizabeth L.</cp:lastModifiedBy>
  <cp:revision>3</cp:revision>
  <cp:lastPrinted>2015-06-17T18:23:00Z</cp:lastPrinted>
  <dcterms:created xsi:type="dcterms:W3CDTF">2016-09-22T15:53:00Z</dcterms:created>
  <dcterms:modified xsi:type="dcterms:W3CDTF">2016-09-22T15:53:00Z</dcterms:modified>
</cp:coreProperties>
</file>