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3BD6F"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6273BD70" w14:textId="31040976" w:rsidR="00BD1DD0" w:rsidRPr="00AE2B18" w:rsidRDefault="00AD4629" w:rsidP="00447C1E">
      <w:pPr>
        <w:tabs>
          <w:tab w:val="right" w:pos="9360"/>
        </w:tabs>
        <w:spacing w:line="480" w:lineRule="auto"/>
        <w:jc w:val="center"/>
        <w:rPr>
          <w:rFonts w:ascii="Times New Roman" w:hAnsi="Times New Roman"/>
          <w:b/>
          <w:szCs w:val="24"/>
          <w:lang w:val="es-US"/>
        </w:rPr>
      </w:pPr>
      <w:r w:rsidRPr="00AE2B18">
        <w:rPr>
          <w:rFonts w:ascii="Times New Roman" w:hAnsi="Times New Roman"/>
          <w:b/>
          <w:szCs w:val="24"/>
          <w:lang w:val="es-US"/>
        </w:rPr>
        <w:t xml:space="preserve">OMB </w:t>
      </w:r>
      <w:r w:rsidR="009F7E1A" w:rsidRPr="00AE2B18">
        <w:rPr>
          <w:rFonts w:ascii="Times New Roman" w:hAnsi="Times New Roman"/>
          <w:b/>
          <w:szCs w:val="24"/>
          <w:lang w:val="es-US"/>
        </w:rPr>
        <w:t xml:space="preserve">Control </w:t>
      </w:r>
      <w:r w:rsidR="009F7E1A" w:rsidRPr="00AE2B18">
        <w:rPr>
          <w:rFonts w:ascii="Times New Roman" w:hAnsi="Times New Roman"/>
          <w:b/>
          <w:szCs w:val="24"/>
        </w:rPr>
        <w:t>Number</w:t>
      </w:r>
      <w:r w:rsidRPr="00AE2B18">
        <w:rPr>
          <w:rFonts w:ascii="Times New Roman" w:hAnsi="Times New Roman"/>
          <w:b/>
          <w:szCs w:val="24"/>
          <w:lang w:val="es-US"/>
        </w:rPr>
        <w:t xml:space="preserve"> 0584-</w:t>
      </w:r>
      <w:r w:rsidR="005D385E">
        <w:rPr>
          <w:rFonts w:ascii="Times New Roman" w:hAnsi="Times New Roman"/>
          <w:b/>
          <w:szCs w:val="24"/>
          <w:lang w:val="es-US"/>
        </w:rPr>
        <w:t>XXXX</w:t>
      </w:r>
      <w:r w:rsidR="00B335C9" w:rsidRPr="00AE2B18">
        <w:rPr>
          <w:rFonts w:ascii="Times New Roman" w:hAnsi="Times New Roman"/>
          <w:b/>
          <w:szCs w:val="24"/>
          <w:lang w:val="es-US"/>
        </w:rPr>
        <w:t xml:space="preserve"> </w:t>
      </w:r>
    </w:p>
    <w:p w14:paraId="6A0898C0" w14:textId="70448AB0" w:rsidR="004155F3" w:rsidRPr="00AE2B18" w:rsidRDefault="0074205E" w:rsidP="00B335C9">
      <w:pPr>
        <w:tabs>
          <w:tab w:val="center" w:pos="4680"/>
        </w:tabs>
        <w:suppressAutoHyphens/>
        <w:spacing w:line="480" w:lineRule="auto"/>
        <w:jc w:val="center"/>
        <w:rPr>
          <w:rFonts w:ascii="Times New Roman" w:hAnsi="Times New Roman"/>
          <w:szCs w:val="24"/>
        </w:rPr>
      </w:pPr>
      <w:r w:rsidRPr="00AE2B18">
        <w:rPr>
          <w:rFonts w:ascii="Times New Roman" w:hAnsi="Times New Roman"/>
          <w:szCs w:val="24"/>
        </w:rPr>
        <w:t>Proposed</w:t>
      </w:r>
      <w:r w:rsidR="004155F3" w:rsidRPr="00AE2B18">
        <w:rPr>
          <w:rFonts w:ascii="Times New Roman" w:hAnsi="Times New Roman"/>
          <w:szCs w:val="24"/>
        </w:rPr>
        <w:t xml:space="preserve"> </w:t>
      </w:r>
      <w:r w:rsidR="00B335C9" w:rsidRPr="00AE2B18">
        <w:rPr>
          <w:rFonts w:ascii="Times New Roman" w:hAnsi="Times New Roman"/>
          <w:szCs w:val="24"/>
        </w:rPr>
        <w:t xml:space="preserve">Rule:  </w:t>
      </w:r>
      <w:r w:rsidR="005D385E" w:rsidRPr="005D385E">
        <w:rPr>
          <w:rFonts w:ascii="Times New Roman" w:hAnsi="Times New Roman"/>
          <w:szCs w:val="24"/>
        </w:rPr>
        <w:t xml:space="preserve">Standardization of State Heating and Cooling Standard Utility Allowances </w:t>
      </w:r>
      <w:r w:rsidR="004155F3" w:rsidRPr="00AE2B18">
        <w:rPr>
          <w:rFonts w:ascii="Times New Roman" w:hAnsi="Times New Roman"/>
          <w:szCs w:val="24"/>
        </w:rPr>
        <w:t xml:space="preserve"> </w:t>
      </w:r>
    </w:p>
    <w:p w14:paraId="6273BD74" w14:textId="14D2544B" w:rsidR="00B335C9" w:rsidRPr="00AE2B18" w:rsidRDefault="00B335C9" w:rsidP="00B335C9">
      <w:pPr>
        <w:tabs>
          <w:tab w:val="center" w:pos="4680"/>
        </w:tabs>
        <w:suppressAutoHyphens/>
        <w:spacing w:line="480" w:lineRule="auto"/>
        <w:jc w:val="center"/>
        <w:rPr>
          <w:rFonts w:ascii="Times New Roman" w:hAnsi="Times New Roman"/>
          <w:szCs w:val="24"/>
        </w:rPr>
      </w:pPr>
      <w:r w:rsidRPr="00AE2B18">
        <w:rPr>
          <w:rFonts w:ascii="Times New Roman" w:hAnsi="Times New Roman"/>
          <w:szCs w:val="24"/>
        </w:rPr>
        <w:t>(RIN 0584-</w:t>
      </w:r>
      <w:r w:rsidR="0059097A">
        <w:rPr>
          <w:rFonts w:ascii="Times New Roman" w:hAnsi="Times New Roman"/>
          <w:szCs w:val="24"/>
        </w:rPr>
        <w:t>AE69</w:t>
      </w:r>
      <w:r w:rsidRPr="00AE2B18">
        <w:rPr>
          <w:rFonts w:ascii="Times New Roman" w:hAnsi="Times New Roman"/>
          <w:szCs w:val="24"/>
        </w:rPr>
        <w:t>)</w:t>
      </w:r>
    </w:p>
    <w:p w14:paraId="6273BD75" w14:textId="77777777" w:rsidR="00B335C9" w:rsidRPr="00AE2B18" w:rsidRDefault="00B335C9" w:rsidP="00447C1E">
      <w:pPr>
        <w:tabs>
          <w:tab w:val="right" w:pos="9360"/>
        </w:tabs>
        <w:spacing w:line="480" w:lineRule="auto"/>
        <w:jc w:val="center"/>
        <w:rPr>
          <w:rFonts w:ascii="Times New Roman" w:hAnsi="Times New Roman"/>
          <w:szCs w:val="24"/>
          <w:lang w:val="es-US"/>
        </w:rPr>
      </w:pPr>
    </w:p>
    <w:p w14:paraId="21995FF7" w14:textId="65872843" w:rsidR="004155F3" w:rsidRPr="00AE2B18" w:rsidRDefault="006A2F48" w:rsidP="004155F3">
      <w:pPr>
        <w:spacing w:line="480" w:lineRule="auto"/>
        <w:jc w:val="center"/>
        <w:rPr>
          <w:rFonts w:ascii="Times New Roman" w:hAnsi="Times New Roman"/>
          <w:szCs w:val="24"/>
        </w:rPr>
      </w:pPr>
      <w:r>
        <w:rPr>
          <w:rFonts w:ascii="Times New Roman" w:hAnsi="Times New Roman"/>
          <w:szCs w:val="24"/>
        </w:rPr>
        <w:t>Sasha Gersten-Paal</w:t>
      </w:r>
    </w:p>
    <w:p w14:paraId="14035D6D" w14:textId="147CF737" w:rsidR="004155F3" w:rsidRPr="00AE2B18" w:rsidRDefault="004155F3" w:rsidP="004155F3">
      <w:pPr>
        <w:spacing w:line="480" w:lineRule="auto"/>
        <w:jc w:val="center"/>
        <w:rPr>
          <w:rFonts w:ascii="Times New Roman" w:hAnsi="Times New Roman"/>
          <w:szCs w:val="24"/>
        </w:rPr>
      </w:pPr>
      <w:r w:rsidRPr="00AE2B18">
        <w:rPr>
          <w:rFonts w:ascii="Times New Roman" w:hAnsi="Times New Roman"/>
          <w:szCs w:val="24"/>
        </w:rPr>
        <w:t xml:space="preserve">Chief, </w:t>
      </w:r>
      <w:r w:rsidR="006A2F48">
        <w:rPr>
          <w:rFonts w:ascii="Times New Roman" w:hAnsi="Times New Roman"/>
          <w:szCs w:val="24"/>
        </w:rPr>
        <w:t>Certification Policy</w:t>
      </w:r>
      <w:r w:rsidRPr="00AE2B18">
        <w:rPr>
          <w:rFonts w:ascii="Times New Roman" w:hAnsi="Times New Roman"/>
          <w:szCs w:val="24"/>
        </w:rPr>
        <w:t xml:space="preserve"> Branch </w:t>
      </w:r>
    </w:p>
    <w:p w14:paraId="6023D824" w14:textId="77777777" w:rsidR="004155F3" w:rsidRPr="00AE2B18" w:rsidRDefault="004155F3" w:rsidP="004155F3">
      <w:pPr>
        <w:tabs>
          <w:tab w:val="left" w:pos="-720"/>
        </w:tabs>
        <w:suppressAutoHyphens/>
        <w:spacing w:line="480" w:lineRule="auto"/>
        <w:jc w:val="center"/>
        <w:rPr>
          <w:rFonts w:ascii="Times New Roman" w:hAnsi="Times New Roman"/>
          <w:szCs w:val="24"/>
        </w:rPr>
      </w:pPr>
      <w:r w:rsidRPr="00AE2B18">
        <w:rPr>
          <w:rFonts w:ascii="Times New Roman" w:hAnsi="Times New Roman"/>
          <w:szCs w:val="24"/>
        </w:rPr>
        <w:t>Supplemental Nutrition Assistance Program</w:t>
      </w:r>
    </w:p>
    <w:p w14:paraId="5A27CA19" w14:textId="77777777" w:rsidR="004155F3" w:rsidRPr="00AE2B18" w:rsidRDefault="004155F3" w:rsidP="004155F3">
      <w:pPr>
        <w:spacing w:line="480" w:lineRule="auto"/>
        <w:jc w:val="center"/>
        <w:rPr>
          <w:rFonts w:ascii="Times New Roman" w:hAnsi="Times New Roman"/>
          <w:szCs w:val="24"/>
        </w:rPr>
      </w:pPr>
      <w:r w:rsidRPr="00AE2B18">
        <w:rPr>
          <w:rFonts w:ascii="Times New Roman" w:hAnsi="Times New Roman"/>
          <w:szCs w:val="24"/>
        </w:rPr>
        <w:t>USDA, Food and Nutrition Service</w:t>
      </w:r>
    </w:p>
    <w:p w14:paraId="438105F0" w14:textId="77777777" w:rsidR="004155F3" w:rsidRPr="00AE2B18" w:rsidRDefault="004155F3" w:rsidP="004155F3">
      <w:pPr>
        <w:spacing w:line="480" w:lineRule="auto"/>
        <w:jc w:val="center"/>
        <w:rPr>
          <w:rFonts w:ascii="Times New Roman" w:hAnsi="Times New Roman"/>
          <w:szCs w:val="24"/>
        </w:rPr>
      </w:pPr>
      <w:r w:rsidRPr="00AE2B18">
        <w:rPr>
          <w:rFonts w:ascii="Times New Roman" w:hAnsi="Times New Roman"/>
          <w:szCs w:val="24"/>
        </w:rPr>
        <w:t>3101 Park Center Drive</w:t>
      </w:r>
    </w:p>
    <w:p w14:paraId="47CD8E65" w14:textId="77777777" w:rsidR="004155F3" w:rsidRPr="00AE2B18" w:rsidRDefault="004155F3" w:rsidP="004155F3">
      <w:pPr>
        <w:spacing w:line="480" w:lineRule="auto"/>
        <w:jc w:val="center"/>
        <w:rPr>
          <w:rFonts w:ascii="Times New Roman" w:hAnsi="Times New Roman"/>
          <w:szCs w:val="24"/>
        </w:rPr>
      </w:pPr>
      <w:r w:rsidRPr="00AE2B18">
        <w:rPr>
          <w:rFonts w:ascii="Times New Roman" w:hAnsi="Times New Roman"/>
          <w:szCs w:val="24"/>
        </w:rPr>
        <w:t>Alexandria, Virginia 22302</w:t>
      </w:r>
    </w:p>
    <w:p w14:paraId="6273BD7E" w14:textId="77777777" w:rsidR="00905A5F" w:rsidRPr="00AE2B18" w:rsidRDefault="00905A5F">
      <w:pPr>
        <w:widowControl/>
        <w:overflowPunct/>
        <w:autoSpaceDE/>
        <w:autoSpaceDN/>
        <w:adjustRightInd/>
        <w:textAlignment w:val="auto"/>
        <w:rPr>
          <w:rFonts w:ascii="Times New Roman" w:hAnsi="Times New Roman"/>
          <w:szCs w:val="24"/>
        </w:rPr>
      </w:pPr>
      <w:r w:rsidRPr="00AE2B18">
        <w:rPr>
          <w:rFonts w:ascii="Times New Roman" w:hAnsi="Times New Roman"/>
          <w:szCs w:val="24"/>
        </w:rPr>
        <w:br w:type="page"/>
      </w:r>
    </w:p>
    <w:p w14:paraId="6273BD7F" w14:textId="77777777" w:rsidR="00905A5F" w:rsidRPr="009D29DA" w:rsidRDefault="00905A5F" w:rsidP="009F7E1A">
      <w:pPr>
        <w:tabs>
          <w:tab w:val="center" w:pos="4680"/>
        </w:tabs>
        <w:rPr>
          <w:rFonts w:ascii="Times New Roman" w:hAnsi="Times New Roman"/>
          <w:b/>
          <w:sz w:val="22"/>
          <w:szCs w:val="22"/>
          <w:u w:val="single"/>
        </w:rPr>
      </w:pPr>
      <w:r w:rsidRPr="009D29DA">
        <w:rPr>
          <w:rFonts w:ascii="Times New Roman" w:hAnsi="Times New Roman"/>
          <w:b/>
          <w:sz w:val="22"/>
          <w:szCs w:val="22"/>
          <w:u w:val="single"/>
        </w:rPr>
        <w:lastRenderedPageBreak/>
        <w:t>Table of Contents</w:t>
      </w:r>
    </w:p>
    <w:p w14:paraId="32214270" w14:textId="2CCDE12F" w:rsidR="00A37FCA" w:rsidRDefault="00905A5F">
      <w:pPr>
        <w:pStyle w:val="TOC1"/>
        <w:rPr>
          <w:rFonts w:asciiTheme="minorHAnsi" w:eastAsiaTheme="minorEastAsia" w:hAnsiTheme="minorHAnsi" w:cstheme="minorBidi"/>
          <w:b w:val="0"/>
          <w:bCs w:val="0"/>
          <w:caps w:val="0"/>
          <w:sz w:val="22"/>
          <w:szCs w:val="22"/>
        </w:rPr>
      </w:pPr>
      <w:r w:rsidRPr="009D29DA">
        <w:rPr>
          <w:sz w:val="22"/>
          <w:szCs w:val="22"/>
        </w:rPr>
        <w:fldChar w:fldCharType="begin"/>
      </w:r>
      <w:r w:rsidRPr="009D29DA">
        <w:rPr>
          <w:sz w:val="22"/>
          <w:szCs w:val="22"/>
        </w:rPr>
        <w:instrText xml:space="preserve"> TOC \o "1-2" \h \z \u </w:instrText>
      </w:r>
      <w:r w:rsidRPr="009D29DA">
        <w:rPr>
          <w:sz w:val="22"/>
          <w:szCs w:val="22"/>
        </w:rPr>
        <w:fldChar w:fldCharType="separate"/>
      </w:r>
      <w:hyperlink w:anchor="_Toc21705858" w:history="1">
        <w:r w:rsidR="00A37FCA" w:rsidRPr="007353CF">
          <w:rPr>
            <w:rStyle w:val="Hyperlink"/>
          </w:rPr>
          <w:t>1. Circumstances that make the collection of information necessary.</w:t>
        </w:r>
        <w:r w:rsidR="00A37FCA">
          <w:rPr>
            <w:webHidden/>
          </w:rPr>
          <w:tab/>
        </w:r>
        <w:r w:rsidR="00A37FCA">
          <w:rPr>
            <w:webHidden/>
          </w:rPr>
          <w:fldChar w:fldCharType="begin"/>
        </w:r>
        <w:r w:rsidR="00A37FCA">
          <w:rPr>
            <w:webHidden/>
          </w:rPr>
          <w:instrText xml:space="preserve"> PAGEREF _Toc21705858 \h </w:instrText>
        </w:r>
        <w:r w:rsidR="00A37FCA">
          <w:rPr>
            <w:webHidden/>
          </w:rPr>
        </w:r>
        <w:r w:rsidR="00A37FCA">
          <w:rPr>
            <w:webHidden/>
          </w:rPr>
          <w:fldChar w:fldCharType="separate"/>
        </w:r>
        <w:r w:rsidR="00A37FCA">
          <w:rPr>
            <w:webHidden/>
          </w:rPr>
          <w:t>3</w:t>
        </w:r>
        <w:r w:rsidR="00A37FCA">
          <w:rPr>
            <w:webHidden/>
          </w:rPr>
          <w:fldChar w:fldCharType="end"/>
        </w:r>
      </w:hyperlink>
    </w:p>
    <w:p w14:paraId="40FE88F8" w14:textId="4EF31F10" w:rsidR="00A37FCA" w:rsidRDefault="00DE7244">
      <w:pPr>
        <w:pStyle w:val="TOC1"/>
        <w:rPr>
          <w:rFonts w:asciiTheme="minorHAnsi" w:eastAsiaTheme="minorEastAsia" w:hAnsiTheme="minorHAnsi" w:cstheme="minorBidi"/>
          <w:b w:val="0"/>
          <w:bCs w:val="0"/>
          <w:caps w:val="0"/>
          <w:sz w:val="22"/>
          <w:szCs w:val="22"/>
        </w:rPr>
      </w:pPr>
      <w:hyperlink w:anchor="_Toc21705859" w:history="1">
        <w:r w:rsidR="00A37FCA" w:rsidRPr="007353CF">
          <w:rPr>
            <w:rStyle w:val="Hyperlink"/>
          </w:rPr>
          <w:t>2. Purpose and Use of the Information.</w:t>
        </w:r>
        <w:r w:rsidR="00A37FCA">
          <w:rPr>
            <w:webHidden/>
          </w:rPr>
          <w:tab/>
        </w:r>
        <w:r w:rsidR="00A37FCA">
          <w:rPr>
            <w:webHidden/>
          </w:rPr>
          <w:fldChar w:fldCharType="begin"/>
        </w:r>
        <w:r w:rsidR="00A37FCA">
          <w:rPr>
            <w:webHidden/>
          </w:rPr>
          <w:instrText xml:space="preserve"> PAGEREF _Toc21705859 \h </w:instrText>
        </w:r>
        <w:r w:rsidR="00A37FCA">
          <w:rPr>
            <w:webHidden/>
          </w:rPr>
        </w:r>
        <w:r w:rsidR="00A37FCA">
          <w:rPr>
            <w:webHidden/>
          </w:rPr>
          <w:fldChar w:fldCharType="separate"/>
        </w:r>
        <w:r w:rsidR="00A37FCA">
          <w:rPr>
            <w:webHidden/>
          </w:rPr>
          <w:t>4</w:t>
        </w:r>
        <w:r w:rsidR="00A37FCA">
          <w:rPr>
            <w:webHidden/>
          </w:rPr>
          <w:fldChar w:fldCharType="end"/>
        </w:r>
      </w:hyperlink>
    </w:p>
    <w:p w14:paraId="7FD97A77" w14:textId="1C5CF8B1" w:rsidR="00A37FCA" w:rsidRDefault="00DE7244">
      <w:pPr>
        <w:pStyle w:val="TOC1"/>
        <w:rPr>
          <w:rFonts w:asciiTheme="minorHAnsi" w:eastAsiaTheme="minorEastAsia" w:hAnsiTheme="minorHAnsi" w:cstheme="minorBidi"/>
          <w:b w:val="0"/>
          <w:bCs w:val="0"/>
          <w:caps w:val="0"/>
          <w:sz w:val="22"/>
          <w:szCs w:val="22"/>
        </w:rPr>
      </w:pPr>
      <w:hyperlink w:anchor="_Toc21705860" w:history="1">
        <w:r w:rsidR="00A37FCA" w:rsidRPr="007353CF">
          <w:rPr>
            <w:rStyle w:val="Hyperlink"/>
          </w:rPr>
          <w:t>3.  Use of information technology and burden reduction.</w:t>
        </w:r>
        <w:r w:rsidR="00A37FCA">
          <w:rPr>
            <w:webHidden/>
          </w:rPr>
          <w:tab/>
        </w:r>
        <w:r w:rsidR="00A37FCA">
          <w:rPr>
            <w:webHidden/>
          </w:rPr>
          <w:fldChar w:fldCharType="begin"/>
        </w:r>
        <w:r w:rsidR="00A37FCA">
          <w:rPr>
            <w:webHidden/>
          </w:rPr>
          <w:instrText xml:space="preserve"> PAGEREF _Toc21705860 \h </w:instrText>
        </w:r>
        <w:r w:rsidR="00A37FCA">
          <w:rPr>
            <w:webHidden/>
          </w:rPr>
        </w:r>
        <w:r w:rsidR="00A37FCA">
          <w:rPr>
            <w:webHidden/>
          </w:rPr>
          <w:fldChar w:fldCharType="separate"/>
        </w:r>
        <w:r w:rsidR="00A37FCA">
          <w:rPr>
            <w:webHidden/>
          </w:rPr>
          <w:t>5</w:t>
        </w:r>
        <w:r w:rsidR="00A37FCA">
          <w:rPr>
            <w:webHidden/>
          </w:rPr>
          <w:fldChar w:fldCharType="end"/>
        </w:r>
      </w:hyperlink>
    </w:p>
    <w:p w14:paraId="553C2868" w14:textId="1B05BF31" w:rsidR="00A37FCA" w:rsidRDefault="00DE7244">
      <w:pPr>
        <w:pStyle w:val="TOC1"/>
        <w:rPr>
          <w:rFonts w:asciiTheme="minorHAnsi" w:eastAsiaTheme="minorEastAsia" w:hAnsiTheme="minorHAnsi" w:cstheme="minorBidi"/>
          <w:b w:val="0"/>
          <w:bCs w:val="0"/>
          <w:caps w:val="0"/>
          <w:sz w:val="22"/>
          <w:szCs w:val="22"/>
        </w:rPr>
      </w:pPr>
      <w:hyperlink w:anchor="_Toc21705861" w:history="1">
        <w:r w:rsidR="00A37FCA" w:rsidRPr="007353CF">
          <w:rPr>
            <w:rStyle w:val="Hyperlink"/>
          </w:rPr>
          <w:t>4.  Efforts to identify duplication.</w:t>
        </w:r>
        <w:r w:rsidR="00A37FCA">
          <w:rPr>
            <w:webHidden/>
          </w:rPr>
          <w:tab/>
        </w:r>
        <w:r w:rsidR="00A37FCA">
          <w:rPr>
            <w:webHidden/>
          </w:rPr>
          <w:fldChar w:fldCharType="begin"/>
        </w:r>
        <w:r w:rsidR="00A37FCA">
          <w:rPr>
            <w:webHidden/>
          </w:rPr>
          <w:instrText xml:space="preserve"> PAGEREF _Toc21705861 \h </w:instrText>
        </w:r>
        <w:r w:rsidR="00A37FCA">
          <w:rPr>
            <w:webHidden/>
          </w:rPr>
        </w:r>
        <w:r w:rsidR="00A37FCA">
          <w:rPr>
            <w:webHidden/>
          </w:rPr>
          <w:fldChar w:fldCharType="separate"/>
        </w:r>
        <w:r w:rsidR="00A37FCA">
          <w:rPr>
            <w:webHidden/>
          </w:rPr>
          <w:t>5</w:t>
        </w:r>
        <w:r w:rsidR="00A37FCA">
          <w:rPr>
            <w:webHidden/>
          </w:rPr>
          <w:fldChar w:fldCharType="end"/>
        </w:r>
      </w:hyperlink>
    </w:p>
    <w:p w14:paraId="7FE6FD50" w14:textId="31A77EB7" w:rsidR="00A37FCA" w:rsidRDefault="00DE7244">
      <w:pPr>
        <w:pStyle w:val="TOC1"/>
        <w:rPr>
          <w:rFonts w:asciiTheme="minorHAnsi" w:eastAsiaTheme="minorEastAsia" w:hAnsiTheme="minorHAnsi" w:cstheme="minorBidi"/>
          <w:b w:val="0"/>
          <w:bCs w:val="0"/>
          <w:caps w:val="0"/>
          <w:sz w:val="22"/>
          <w:szCs w:val="22"/>
        </w:rPr>
      </w:pPr>
      <w:hyperlink w:anchor="_Toc21705862" w:history="1">
        <w:r w:rsidR="00A37FCA" w:rsidRPr="007353CF">
          <w:rPr>
            <w:rStyle w:val="Hyperlink"/>
          </w:rPr>
          <w:t>5.  Impacts on small businesses or other small entities.</w:t>
        </w:r>
        <w:r w:rsidR="00A37FCA">
          <w:rPr>
            <w:webHidden/>
          </w:rPr>
          <w:tab/>
        </w:r>
        <w:r w:rsidR="00A37FCA">
          <w:rPr>
            <w:webHidden/>
          </w:rPr>
          <w:fldChar w:fldCharType="begin"/>
        </w:r>
        <w:r w:rsidR="00A37FCA">
          <w:rPr>
            <w:webHidden/>
          </w:rPr>
          <w:instrText xml:space="preserve"> PAGEREF _Toc21705862 \h </w:instrText>
        </w:r>
        <w:r w:rsidR="00A37FCA">
          <w:rPr>
            <w:webHidden/>
          </w:rPr>
        </w:r>
        <w:r w:rsidR="00A37FCA">
          <w:rPr>
            <w:webHidden/>
          </w:rPr>
          <w:fldChar w:fldCharType="separate"/>
        </w:r>
        <w:r w:rsidR="00A37FCA">
          <w:rPr>
            <w:webHidden/>
          </w:rPr>
          <w:t>6</w:t>
        </w:r>
        <w:r w:rsidR="00A37FCA">
          <w:rPr>
            <w:webHidden/>
          </w:rPr>
          <w:fldChar w:fldCharType="end"/>
        </w:r>
      </w:hyperlink>
    </w:p>
    <w:p w14:paraId="5B90D69A" w14:textId="15B1C6D1" w:rsidR="00A37FCA" w:rsidRDefault="00DE7244">
      <w:pPr>
        <w:pStyle w:val="TOC1"/>
        <w:rPr>
          <w:rFonts w:asciiTheme="minorHAnsi" w:eastAsiaTheme="minorEastAsia" w:hAnsiTheme="minorHAnsi" w:cstheme="minorBidi"/>
          <w:b w:val="0"/>
          <w:bCs w:val="0"/>
          <w:caps w:val="0"/>
          <w:sz w:val="22"/>
          <w:szCs w:val="22"/>
        </w:rPr>
      </w:pPr>
      <w:hyperlink w:anchor="_Toc21705863" w:history="1">
        <w:r w:rsidR="00A37FCA" w:rsidRPr="007353CF">
          <w:rPr>
            <w:rStyle w:val="Hyperlink"/>
          </w:rPr>
          <w:t>6.  Consequences of collecting the information less frequently.</w:t>
        </w:r>
        <w:r w:rsidR="00A37FCA">
          <w:rPr>
            <w:webHidden/>
          </w:rPr>
          <w:tab/>
        </w:r>
        <w:r w:rsidR="00A37FCA">
          <w:rPr>
            <w:webHidden/>
          </w:rPr>
          <w:fldChar w:fldCharType="begin"/>
        </w:r>
        <w:r w:rsidR="00A37FCA">
          <w:rPr>
            <w:webHidden/>
          </w:rPr>
          <w:instrText xml:space="preserve"> PAGEREF _Toc21705863 \h </w:instrText>
        </w:r>
        <w:r w:rsidR="00A37FCA">
          <w:rPr>
            <w:webHidden/>
          </w:rPr>
        </w:r>
        <w:r w:rsidR="00A37FCA">
          <w:rPr>
            <w:webHidden/>
          </w:rPr>
          <w:fldChar w:fldCharType="separate"/>
        </w:r>
        <w:r w:rsidR="00A37FCA">
          <w:rPr>
            <w:webHidden/>
          </w:rPr>
          <w:t>6</w:t>
        </w:r>
        <w:r w:rsidR="00A37FCA">
          <w:rPr>
            <w:webHidden/>
          </w:rPr>
          <w:fldChar w:fldCharType="end"/>
        </w:r>
      </w:hyperlink>
    </w:p>
    <w:p w14:paraId="5E85CB8D" w14:textId="4F417FC1" w:rsidR="00A37FCA" w:rsidRDefault="00DE7244">
      <w:pPr>
        <w:pStyle w:val="TOC1"/>
        <w:rPr>
          <w:rFonts w:asciiTheme="minorHAnsi" w:eastAsiaTheme="minorEastAsia" w:hAnsiTheme="minorHAnsi" w:cstheme="minorBidi"/>
          <w:b w:val="0"/>
          <w:bCs w:val="0"/>
          <w:caps w:val="0"/>
          <w:sz w:val="22"/>
          <w:szCs w:val="22"/>
        </w:rPr>
      </w:pPr>
      <w:hyperlink w:anchor="_Toc21705864" w:history="1">
        <w:r w:rsidR="00A37FCA" w:rsidRPr="007353CF">
          <w:rPr>
            <w:rStyle w:val="Hyperlink"/>
          </w:rPr>
          <w:t>7.  Special circumstances relating to the Guidelines of 5 CFR 1320.5.</w:t>
        </w:r>
        <w:r w:rsidR="00A37FCA">
          <w:rPr>
            <w:webHidden/>
          </w:rPr>
          <w:tab/>
        </w:r>
        <w:r w:rsidR="00A37FCA">
          <w:rPr>
            <w:webHidden/>
          </w:rPr>
          <w:fldChar w:fldCharType="begin"/>
        </w:r>
        <w:r w:rsidR="00A37FCA">
          <w:rPr>
            <w:webHidden/>
          </w:rPr>
          <w:instrText xml:space="preserve"> PAGEREF _Toc21705864 \h </w:instrText>
        </w:r>
        <w:r w:rsidR="00A37FCA">
          <w:rPr>
            <w:webHidden/>
          </w:rPr>
        </w:r>
        <w:r w:rsidR="00A37FCA">
          <w:rPr>
            <w:webHidden/>
          </w:rPr>
          <w:fldChar w:fldCharType="separate"/>
        </w:r>
        <w:r w:rsidR="00A37FCA">
          <w:rPr>
            <w:webHidden/>
          </w:rPr>
          <w:t>6</w:t>
        </w:r>
        <w:r w:rsidR="00A37FCA">
          <w:rPr>
            <w:webHidden/>
          </w:rPr>
          <w:fldChar w:fldCharType="end"/>
        </w:r>
      </w:hyperlink>
    </w:p>
    <w:p w14:paraId="4DDED8DB" w14:textId="7C184F34" w:rsidR="00A37FCA" w:rsidRDefault="00DE7244">
      <w:pPr>
        <w:pStyle w:val="TOC1"/>
        <w:rPr>
          <w:rFonts w:asciiTheme="minorHAnsi" w:eastAsiaTheme="minorEastAsia" w:hAnsiTheme="minorHAnsi" w:cstheme="minorBidi"/>
          <w:b w:val="0"/>
          <w:bCs w:val="0"/>
          <w:caps w:val="0"/>
          <w:sz w:val="22"/>
          <w:szCs w:val="22"/>
        </w:rPr>
      </w:pPr>
      <w:hyperlink w:anchor="_Toc21705865" w:history="1">
        <w:r w:rsidR="00A37FCA" w:rsidRPr="007353CF">
          <w:rPr>
            <w:rStyle w:val="Hyperlink"/>
          </w:rPr>
          <w:t>8.  Comments to the Federal Register Notice and efforts for consultation.</w:t>
        </w:r>
        <w:r w:rsidR="00A37FCA">
          <w:rPr>
            <w:webHidden/>
          </w:rPr>
          <w:tab/>
        </w:r>
        <w:r w:rsidR="00A37FCA">
          <w:rPr>
            <w:webHidden/>
          </w:rPr>
          <w:fldChar w:fldCharType="begin"/>
        </w:r>
        <w:r w:rsidR="00A37FCA">
          <w:rPr>
            <w:webHidden/>
          </w:rPr>
          <w:instrText xml:space="preserve"> PAGEREF _Toc21705865 \h </w:instrText>
        </w:r>
        <w:r w:rsidR="00A37FCA">
          <w:rPr>
            <w:webHidden/>
          </w:rPr>
        </w:r>
        <w:r w:rsidR="00A37FCA">
          <w:rPr>
            <w:webHidden/>
          </w:rPr>
          <w:fldChar w:fldCharType="separate"/>
        </w:r>
        <w:r w:rsidR="00A37FCA">
          <w:rPr>
            <w:webHidden/>
          </w:rPr>
          <w:t>7</w:t>
        </w:r>
        <w:r w:rsidR="00A37FCA">
          <w:rPr>
            <w:webHidden/>
          </w:rPr>
          <w:fldChar w:fldCharType="end"/>
        </w:r>
      </w:hyperlink>
    </w:p>
    <w:p w14:paraId="79323454" w14:textId="1921BC93" w:rsidR="00A37FCA" w:rsidRDefault="00DE7244">
      <w:pPr>
        <w:pStyle w:val="TOC1"/>
        <w:rPr>
          <w:rFonts w:asciiTheme="minorHAnsi" w:eastAsiaTheme="minorEastAsia" w:hAnsiTheme="minorHAnsi" w:cstheme="minorBidi"/>
          <w:b w:val="0"/>
          <w:bCs w:val="0"/>
          <w:caps w:val="0"/>
          <w:sz w:val="22"/>
          <w:szCs w:val="22"/>
        </w:rPr>
      </w:pPr>
      <w:hyperlink w:anchor="_Toc21705866" w:history="1">
        <w:r w:rsidR="00A37FCA" w:rsidRPr="007353CF">
          <w:rPr>
            <w:rStyle w:val="Hyperlink"/>
          </w:rPr>
          <w:t>9.  Explain any decisions to provide any payment or gift to respondents.</w:t>
        </w:r>
        <w:r w:rsidR="00A37FCA">
          <w:rPr>
            <w:webHidden/>
          </w:rPr>
          <w:tab/>
        </w:r>
        <w:r w:rsidR="00A37FCA">
          <w:rPr>
            <w:webHidden/>
          </w:rPr>
          <w:fldChar w:fldCharType="begin"/>
        </w:r>
        <w:r w:rsidR="00A37FCA">
          <w:rPr>
            <w:webHidden/>
          </w:rPr>
          <w:instrText xml:space="preserve"> PAGEREF _Toc21705866 \h </w:instrText>
        </w:r>
        <w:r w:rsidR="00A37FCA">
          <w:rPr>
            <w:webHidden/>
          </w:rPr>
        </w:r>
        <w:r w:rsidR="00A37FCA">
          <w:rPr>
            <w:webHidden/>
          </w:rPr>
          <w:fldChar w:fldCharType="separate"/>
        </w:r>
        <w:r w:rsidR="00A37FCA">
          <w:rPr>
            <w:webHidden/>
          </w:rPr>
          <w:t>8</w:t>
        </w:r>
        <w:r w:rsidR="00A37FCA">
          <w:rPr>
            <w:webHidden/>
          </w:rPr>
          <w:fldChar w:fldCharType="end"/>
        </w:r>
      </w:hyperlink>
    </w:p>
    <w:p w14:paraId="160E7480" w14:textId="73AA6B69" w:rsidR="00A37FCA" w:rsidRDefault="00DE7244">
      <w:pPr>
        <w:pStyle w:val="TOC1"/>
        <w:rPr>
          <w:rFonts w:asciiTheme="minorHAnsi" w:eastAsiaTheme="minorEastAsia" w:hAnsiTheme="minorHAnsi" w:cstheme="minorBidi"/>
          <w:b w:val="0"/>
          <w:bCs w:val="0"/>
          <w:caps w:val="0"/>
          <w:sz w:val="22"/>
          <w:szCs w:val="22"/>
        </w:rPr>
      </w:pPr>
      <w:hyperlink w:anchor="_Toc21705867" w:history="1">
        <w:r w:rsidR="00A37FCA" w:rsidRPr="007353CF">
          <w:rPr>
            <w:rStyle w:val="Hyperlink"/>
          </w:rPr>
          <w:t>10.  Assurances of confidentiality provided to respondents.</w:t>
        </w:r>
        <w:r w:rsidR="00A37FCA">
          <w:rPr>
            <w:webHidden/>
          </w:rPr>
          <w:tab/>
        </w:r>
        <w:r w:rsidR="00A37FCA">
          <w:rPr>
            <w:webHidden/>
          </w:rPr>
          <w:fldChar w:fldCharType="begin"/>
        </w:r>
        <w:r w:rsidR="00A37FCA">
          <w:rPr>
            <w:webHidden/>
          </w:rPr>
          <w:instrText xml:space="preserve"> PAGEREF _Toc21705867 \h </w:instrText>
        </w:r>
        <w:r w:rsidR="00A37FCA">
          <w:rPr>
            <w:webHidden/>
          </w:rPr>
        </w:r>
        <w:r w:rsidR="00A37FCA">
          <w:rPr>
            <w:webHidden/>
          </w:rPr>
          <w:fldChar w:fldCharType="separate"/>
        </w:r>
        <w:r w:rsidR="00A37FCA">
          <w:rPr>
            <w:webHidden/>
          </w:rPr>
          <w:t>8</w:t>
        </w:r>
        <w:r w:rsidR="00A37FCA">
          <w:rPr>
            <w:webHidden/>
          </w:rPr>
          <w:fldChar w:fldCharType="end"/>
        </w:r>
      </w:hyperlink>
    </w:p>
    <w:p w14:paraId="43982140" w14:textId="0BA50C80" w:rsidR="00A37FCA" w:rsidRDefault="00DE7244">
      <w:pPr>
        <w:pStyle w:val="TOC1"/>
        <w:rPr>
          <w:rFonts w:asciiTheme="minorHAnsi" w:eastAsiaTheme="minorEastAsia" w:hAnsiTheme="minorHAnsi" w:cstheme="minorBidi"/>
          <w:b w:val="0"/>
          <w:bCs w:val="0"/>
          <w:caps w:val="0"/>
          <w:sz w:val="22"/>
          <w:szCs w:val="22"/>
        </w:rPr>
      </w:pPr>
      <w:hyperlink w:anchor="_Toc21705868" w:history="1">
        <w:r w:rsidR="00A37FCA" w:rsidRPr="007353CF">
          <w:rPr>
            <w:rStyle w:val="Hyperlink"/>
          </w:rPr>
          <w:t>11.  Justification for any questions of a sensitive nature.</w:t>
        </w:r>
        <w:r w:rsidR="00A37FCA">
          <w:rPr>
            <w:webHidden/>
          </w:rPr>
          <w:tab/>
        </w:r>
        <w:r w:rsidR="00A37FCA">
          <w:rPr>
            <w:webHidden/>
          </w:rPr>
          <w:fldChar w:fldCharType="begin"/>
        </w:r>
        <w:r w:rsidR="00A37FCA">
          <w:rPr>
            <w:webHidden/>
          </w:rPr>
          <w:instrText xml:space="preserve"> PAGEREF _Toc21705868 \h </w:instrText>
        </w:r>
        <w:r w:rsidR="00A37FCA">
          <w:rPr>
            <w:webHidden/>
          </w:rPr>
        </w:r>
        <w:r w:rsidR="00A37FCA">
          <w:rPr>
            <w:webHidden/>
          </w:rPr>
          <w:fldChar w:fldCharType="separate"/>
        </w:r>
        <w:r w:rsidR="00A37FCA">
          <w:rPr>
            <w:webHidden/>
          </w:rPr>
          <w:t>8</w:t>
        </w:r>
        <w:r w:rsidR="00A37FCA">
          <w:rPr>
            <w:webHidden/>
          </w:rPr>
          <w:fldChar w:fldCharType="end"/>
        </w:r>
      </w:hyperlink>
    </w:p>
    <w:p w14:paraId="3E406A6B" w14:textId="54B070C8" w:rsidR="00A37FCA" w:rsidRDefault="00DE7244">
      <w:pPr>
        <w:pStyle w:val="TOC1"/>
        <w:rPr>
          <w:rFonts w:asciiTheme="minorHAnsi" w:eastAsiaTheme="minorEastAsia" w:hAnsiTheme="minorHAnsi" w:cstheme="minorBidi"/>
          <w:b w:val="0"/>
          <w:bCs w:val="0"/>
          <w:caps w:val="0"/>
          <w:sz w:val="22"/>
          <w:szCs w:val="22"/>
        </w:rPr>
      </w:pPr>
      <w:hyperlink w:anchor="_Toc21705869" w:history="1">
        <w:r w:rsidR="00A37FCA" w:rsidRPr="007353CF">
          <w:rPr>
            <w:rStyle w:val="Hyperlink"/>
          </w:rPr>
          <w:t>13.  Estimates of other total annual cost burden.</w:t>
        </w:r>
        <w:r w:rsidR="00A37FCA">
          <w:rPr>
            <w:webHidden/>
          </w:rPr>
          <w:tab/>
        </w:r>
        <w:r w:rsidR="00A37FCA">
          <w:rPr>
            <w:webHidden/>
          </w:rPr>
          <w:fldChar w:fldCharType="begin"/>
        </w:r>
        <w:r w:rsidR="00A37FCA">
          <w:rPr>
            <w:webHidden/>
          </w:rPr>
          <w:instrText xml:space="preserve"> PAGEREF _Toc21705869 \h </w:instrText>
        </w:r>
        <w:r w:rsidR="00A37FCA">
          <w:rPr>
            <w:webHidden/>
          </w:rPr>
        </w:r>
        <w:r w:rsidR="00A37FCA">
          <w:rPr>
            <w:webHidden/>
          </w:rPr>
          <w:fldChar w:fldCharType="separate"/>
        </w:r>
        <w:r w:rsidR="00A37FCA">
          <w:rPr>
            <w:webHidden/>
          </w:rPr>
          <w:t>10</w:t>
        </w:r>
        <w:r w:rsidR="00A37FCA">
          <w:rPr>
            <w:webHidden/>
          </w:rPr>
          <w:fldChar w:fldCharType="end"/>
        </w:r>
      </w:hyperlink>
    </w:p>
    <w:p w14:paraId="483F605D" w14:textId="11660B1F" w:rsidR="00A37FCA" w:rsidRDefault="00DE7244">
      <w:pPr>
        <w:pStyle w:val="TOC1"/>
        <w:rPr>
          <w:rFonts w:asciiTheme="minorHAnsi" w:eastAsiaTheme="minorEastAsia" w:hAnsiTheme="minorHAnsi" w:cstheme="minorBidi"/>
          <w:b w:val="0"/>
          <w:bCs w:val="0"/>
          <w:caps w:val="0"/>
          <w:sz w:val="22"/>
          <w:szCs w:val="22"/>
        </w:rPr>
      </w:pPr>
      <w:hyperlink w:anchor="_Toc21705870" w:history="1">
        <w:r w:rsidR="00A37FCA" w:rsidRPr="007353CF">
          <w:rPr>
            <w:rStyle w:val="Hyperlink"/>
          </w:rPr>
          <w:t>A14.  Provide estimates of annualized cost to the Federal government.</w:t>
        </w:r>
        <w:r w:rsidR="00A37FCA">
          <w:rPr>
            <w:webHidden/>
          </w:rPr>
          <w:tab/>
        </w:r>
        <w:r w:rsidR="00A37FCA">
          <w:rPr>
            <w:webHidden/>
          </w:rPr>
          <w:fldChar w:fldCharType="begin"/>
        </w:r>
        <w:r w:rsidR="00A37FCA">
          <w:rPr>
            <w:webHidden/>
          </w:rPr>
          <w:instrText xml:space="preserve"> PAGEREF _Toc21705870 \h </w:instrText>
        </w:r>
        <w:r w:rsidR="00A37FCA">
          <w:rPr>
            <w:webHidden/>
          </w:rPr>
        </w:r>
        <w:r w:rsidR="00A37FCA">
          <w:rPr>
            <w:webHidden/>
          </w:rPr>
          <w:fldChar w:fldCharType="separate"/>
        </w:r>
        <w:r w:rsidR="00A37FCA">
          <w:rPr>
            <w:webHidden/>
          </w:rPr>
          <w:t>10</w:t>
        </w:r>
        <w:r w:rsidR="00A37FCA">
          <w:rPr>
            <w:webHidden/>
          </w:rPr>
          <w:fldChar w:fldCharType="end"/>
        </w:r>
      </w:hyperlink>
    </w:p>
    <w:p w14:paraId="4260B34A" w14:textId="5D8DE70D" w:rsidR="00A37FCA" w:rsidRDefault="00DE7244">
      <w:pPr>
        <w:pStyle w:val="TOC1"/>
        <w:rPr>
          <w:rFonts w:asciiTheme="minorHAnsi" w:eastAsiaTheme="minorEastAsia" w:hAnsiTheme="minorHAnsi" w:cstheme="minorBidi"/>
          <w:b w:val="0"/>
          <w:bCs w:val="0"/>
          <w:caps w:val="0"/>
          <w:sz w:val="22"/>
          <w:szCs w:val="22"/>
        </w:rPr>
      </w:pPr>
      <w:hyperlink w:anchor="_Toc21705871" w:history="1">
        <w:r w:rsidR="00A37FCA" w:rsidRPr="007353CF">
          <w:rPr>
            <w:rStyle w:val="Hyperlink"/>
          </w:rPr>
          <w:t>15.  Explanation of program changes or adjustments.</w:t>
        </w:r>
        <w:r w:rsidR="00A37FCA">
          <w:rPr>
            <w:webHidden/>
          </w:rPr>
          <w:tab/>
        </w:r>
        <w:r w:rsidR="00A37FCA">
          <w:rPr>
            <w:webHidden/>
          </w:rPr>
          <w:fldChar w:fldCharType="begin"/>
        </w:r>
        <w:r w:rsidR="00A37FCA">
          <w:rPr>
            <w:webHidden/>
          </w:rPr>
          <w:instrText xml:space="preserve"> PAGEREF _Toc21705871 \h </w:instrText>
        </w:r>
        <w:r w:rsidR="00A37FCA">
          <w:rPr>
            <w:webHidden/>
          </w:rPr>
        </w:r>
        <w:r w:rsidR="00A37FCA">
          <w:rPr>
            <w:webHidden/>
          </w:rPr>
          <w:fldChar w:fldCharType="separate"/>
        </w:r>
        <w:r w:rsidR="00A37FCA">
          <w:rPr>
            <w:webHidden/>
          </w:rPr>
          <w:t>11</w:t>
        </w:r>
        <w:r w:rsidR="00A37FCA">
          <w:rPr>
            <w:webHidden/>
          </w:rPr>
          <w:fldChar w:fldCharType="end"/>
        </w:r>
      </w:hyperlink>
    </w:p>
    <w:p w14:paraId="12CB001E" w14:textId="7B02451F" w:rsidR="00A37FCA" w:rsidRDefault="00DE7244">
      <w:pPr>
        <w:pStyle w:val="TOC1"/>
        <w:rPr>
          <w:rFonts w:asciiTheme="minorHAnsi" w:eastAsiaTheme="minorEastAsia" w:hAnsiTheme="minorHAnsi" w:cstheme="minorBidi"/>
          <w:b w:val="0"/>
          <w:bCs w:val="0"/>
          <w:caps w:val="0"/>
          <w:sz w:val="22"/>
          <w:szCs w:val="22"/>
        </w:rPr>
      </w:pPr>
      <w:hyperlink w:anchor="_Toc21705872" w:history="1">
        <w:r w:rsidR="00A37FCA" w:rsidRPr="007353CF">
          <w:rPr>
            <w:rStyle w:val="Hyperlink"/>
          </w:rPr>
          <w:t>16.  Plans for tabulation, and publication and project time schedule.</w:t>
        </w:r>
        <w:r w:rsidR="00A37FCA">
          <w:rPr>
            <w:webHidden/>
          </w:rPr>
          <w:tab/>
        </w:r>
        <w:r w:rsidR="00A37FCA">
          <w:rPr>
            <w:webHidden/>
          </w:rPr>
          <w:fldChar w:fldCharType="begin"/>
        </w:r>
        <w:r w:rsidR="00A37FCA">
          <w:rPr>
            <w:webHidden/>
          </w:rPr>
          <w:instrText xml:space="preserve"> PAGEREF _Toc21705872 \h </w:instrText>
        </w:r>
        <w:r w:rsidR="00A37FCA">
          <w:rPr>
            <w:webHidden/>
          </w:rPr>
        </w:r>
        <w:r w:rsidR="00A37FCA">
          <w:rPr>
            <w:webHidden/>
          </w:rPr>
          <w:fldChar w:fldCharType="separate"/>
        </w:r>
        <w:r w:rsidR="00A37FCA">
          <w:rPr>
            <w:webHidden/>
          </w:rPr>
          <w:t>11</w:t>
        </w:r>
        <w:r w:rsidR="00A37FCA">
          <w:rPr>
            <w:webHidden/>
          </w:rPr>
          <w:fldChar w:fldCharType="end"/>
        </w:r>
      </w:hyperlink>
    </w:p>
    <w:p w14:paraId="10D03766" w14:textId="290F4358" w:rsidR="00A37FCA" w:rsidRDefault="00DE7244">
      <w:pPr>
        <w:pStyle w:val="TOC1"/>
        <w:rPr>
          <w:rFonts w:asciiTheme="minorHAnsi" w:eastAsiaTheme="minorEastAsia" w:hAnsiTheme="minorHAnsi" w:cstheme="minorBidi"/>
          <w:b w:val="0"/>
          <w:bCs w:val="0"/>
          <w:caps w:val="0"/>
          <w:sz w:val="22"/>
          <w:szCs w:val="22"/>
        </w:rPr>
      </w:pPr>
      <w:hyperlink w:anchor="_Toc21705873" w:history="1">
        <w:r w:rsidR="00A37FCA" w:rsidRPr="007353CF">
          <w:rPr>
            <w:rStyle w:val="Hyperlink"/>
          </w:rPr>
          <w:t>17.  Displaying the OMB Approval Expiration Date.</w:t>
        </w:r>
        <w:r w:rsidR="00A37FCA">
          <w:rPr>
            <w:webHidden/>
          </w:rPr>
          <w:tab/>
        </w:r>
        <w:r w:rsidR="00A37FCA">
          <w:rPr>
            <w:webHidden/>
          </w:rPr>
          <w:fldChar w:fldCharType="begin"/>
        </w:r>
        <w:r w:rsidR="00A37FCA">
          <w:rPr>
            <w:webHidden/>
          </w:rPr>
          <w:instrText xml:space="preserve"> PAGEREF _Toc21705873 \h </w:instrText>
        </w:r>
        <w:r w:rsidR="00A37FCA">
          <w:rPr>
            <w:webHidden/>
          </w:rPr>
        </w:r>
        <w:r w:rsidR="00A37FCA">
          <w:rPr>
            <w:webHidden/>
          </w:rPr>
          <w:fldChar w:fldCharType="separate"/>
        </w:r>
        <w:r w:rsidR="00A37FCA">
          <w:rPr>
            <w:webHidden/>
          </w:rPr>
          <w:t>12</w:t>
        </w:r>
        <w:r w:rsidR="00A37FCA">
          <w:rPr>
            <w:webHidden/>
          </w:rPr>
          <w:fldChar w:fldCharType="end"/>
        </w:r>
      </w:hyperlink>
    </w:p>
    <w:p w14:paraId="1EE9F5E2" w14:textId="7BC997E0" w:rsidR="00A37FCA" w:rsidRDefault="00DE7244">
      <w:pPr>
        <w:pStyle w:val="TOC1"/>
        <w:rPr>
          <w:rFonts w:asciiTheme="minorHAnsi" w:eastAsiaTheme="minorEastAsia" w:hAnsiTheme="minorHAnsi" w:cstheme="minorBidi"/>
          <w:b w:val="0"/>
          <w:bCs w:val="0"/>
          <w:caps w:val="0"/>
          <w:sz w:val="22"/>
          <w:szCs w:val="22"/>
        </w:rPr>
      </w:pPr>
      <w:hyperlink w:anchor="_Toc21705874" w:history="1">
        <w:r w:rsidR="00A37FCA" w:rsidRPr="007353CF">
          <w:rPr>
            <w:rStyle w:val="Hyperlink"/>
          </w:rPr>
          <w:t>18.  Exceptions to the certification statement identified in Item 19.</w:t>
        </w:r>
        <w:r w:rsidR="00A37FCA">
          <w:rPr>
            <w:webHidden/>
          </w:rPr>
          <w:tab/>
        </w:r>
        <w:r w:rsidR="00A37FCA">
          <w:rPr>
            <w:webHidden/>
          </w:rPr>
          <w:fldChar w:fldCharType="begin"/>
        </w:r>
        <w:r w:rsidR="00A37FCA">
          <w:rPr>
            <w:webHidden/>
          </w:rPr>
          <w:instrText xml:space="preserve"> PAGEREF _Toc21705874 \h </w:instrText>
        </w:r>
        <w:r w:rsidR="00A37FCA">
          <w:rPr>
            <w:webHidden/>
          </w:rPr>
        </w:r>
        <w:r w:rsidR="00A37FCA">
          <w:rPr>
            <w:webHidden/>
          </w:rPr>
          <w:fldChar w:fldCharType="separate"/>
        </w:r>
        <w:r w:rsidR="00A37FCA">
          <w:rPr>
            <w:webHidden/>
          </w:rPr>
          <w:t>12</w:t>
        </w:r>
        <w:r w:rsidR="00A37FCA">
          <w:rPr>
            <w:webHidden/>
          </w:rPr>
          <w:fldChar w:fldCharType="end"/>
        </w:r>
      </w:hyperlink>
    </w:p>
    <w:p w14:paraId="6273BD92" w14:textId="5D662188" w:rsidR="00905A5F" w:rsidRPr="00AE2B18" w:rsidRDefault="00905A5F" w:rsidP="009F7E1A">
      <w:pPr>
        <w:tabs>
          <w:tab w:val="center" w:pos="4680"/>
        </w:tabs>
        <w:rPr>
          <w:rFonts w:ascii="Times New Roman" w:hAnsi="Times New Roman"/>
          <w:b/>
          <w:szCs w:val="24"/>
          <w:u w:val="single"/>
        </w:rPr>
      </w:pPr>
      <w:r w:rsidRPr="009D29DA">
        <w:rPr>
          <w:rFonts w:ascii="Times New Roman" w:hAnsi="Times New Roman"/>
          <w:b/>
          <w:sz w:val="22"/>
          <w:szCs w:val="22"/>
          <w:u w:val="single"/>
        </w:rPr>
        <w:fldChar w:fldCharType="end"/>
      </w:r>
    </w:p>
    <w:p w14:paraId="6273BD93" w14:textId="77777777" w:rsidR="00905A5F" w:rsidRPr="00AE2B18" w:rsidRDefault="00905A5F" w:rsidP="009F7E1A">
      <w:pPr>
        <w:tabs>
          <w:tab w:val="center" w:pos="4680"/>
        </w:tabs>
        <w:rPr>
          <w:rFonts w:ascii="Times New Roman" w:hAnsi="Times New Roman"/>
          <w:b/>
          <w:szCs w:val="24"/>
          <w:u w:val="single"/>
        </w:rPr>
      </w:pPr>
    </w:p>
    <w:p w14:paraId="30D1013A" w14:textId="25C46F8E" w:rsidR="009D29DA" w:rsidRDefault="009D29DA" w:rsidP="009D29DA">
      <w:pPr>
        <w:tabs>
          <w:tab w:val="center" w:pos="4680"/>
        </w:tabs>
        <w:rPr>
          <w:rFonts w:ascii="Times New Roman" w:hAnsi="Times New Roman"/>
          <w:b/>
          <w:sz w:val="22"/>
          <w:szCs w:val="22"/>
          <w:u w:val="single"/>
        </w:rPr>
      </w:pPr>
      <w:r w:rsidRPr="009C7564">
        <w:rPr>
          <w:rFonts w:ascii="Times New Roman" w:hAnsi="Times New Roman"/>
          <w:b/>
          <w:sz w:val="22"/>
          <w:szCs w:val="22"/>
          <w:u w:val="single"/>
        </w:rPr>
        <w:t>Appendices</w:t>
      </w:r>
    </w:p>
    <w:p w14:paraId="34BE74B7" w14:textId="77777777" w:rsidR="009C7564" w:rsidRPr="009C7564" w:rsidRDefault="009C7564" w:rsidP="009D29DA">
      <w:pPr>
        <w:tabs>
          <w:tab w:val="center" w:pos="4680"/>
        </w:tabs>
        <w:rPr>
          <w:rFonts w:ascii="Times New Roman" w:hAnsi="Times New Roman"/>
          <w:b/>
          <w:sz w:val="22"/>
          <w:szCs w:val="22"/>
          <w:u w:val="single"/>
        </w:rPr>
      </w:pPr>
    </w:p>
    <w:p w14:paraId="5D28CAD6" w14:textId="032E6E43" w:rsidR="009D29DA" w:rsidRPr="009C7564" w:rsidRDefault="009D29DA" w:rsidP="009D29DA">
      <w:pPr>
        <w:pStyle w:val="NormalSS"/>
        <w:ind w:firstLine="0"/>
        <w:rPr>
          <w:sz w:val="22"/>
          <w:szCs w:val="22"/>
        </w:rPr>
      </w:pPr>
      <w:r w:rsidRPr="009C7564">
        <w:rPr>
          <w:sz w:val="22"/>
          <w:szCs w:val="22"/>
        </w:rPr>
        <w:t>Appendix A:  Standardization of State Heating and Cooling Standard Utility Allowances (RIN 0584-AE69)</w:t>
      </w:r>
    </w:p>
    <w:p w14:paraId="1F482A3E" w14:textId="35629A01" w:rsidR="009D29DA" w:rsidRPr="009C7564" w:rsidRDefault="009D29DA" w:rsidP="009D29DA">
      <w:pPr>
        <w:pStyle w:val="NormalSS"/>
        <w:ind w:firstLine="0"/>
        <w:rPr>
          <w:sz w:val="22"/>
          <w:szCs w:val="22"/>
        </w:rPr>
      </w:pPr>
      <w:r w:rsidRPr="009C7564">
        <w:rPr>
          <w:sz w:val="22"/>
          <w:szCs w:val="22"/>
        </w:rPr>
        <w:t>Appendix B:  Legal Authority: S</w:t>
      </w:r>
      <w:r w:rsidR="009C7564" w:rsidRPr="009C7564">
        <w:rPr>
          <w:sz w:val="22"/>
          <w:szCs w:val="22"/>
        </w:rPr>
        <w:t>ection 5(e</w:t>
      </w:r>
      <w:r w:rsidRPr="009C7564">
        <w:rPr>
          <w:sz w:val="22"/>
          <w:szCs w:val="22"/>
        </w:rPr>
        <w:t>)</w:t>
      </w:r>
      <w:r w:rsidR="009C7564" w:rsidRPr="009C7564">
        <w:rPr>
          <w:sz w:val="22"/>
          <w:szCs w:val="22"/>
        </w:rPr>
        <w:t>(6)</w:t>
      </w:r>
      <w:r w:rsidRPr="009C7564">
        <w:rPr>
          <w:sz w:val="22"/>
          <w:szCs w:val="22"/>
        </w:rPr>
        <w:t xml:space="preserve"> of the Food and Nutrition Act of 2008</w:t>
      </w:r>
    </w:p>
    <w:p w14:paraId="10FAEFCD" w14:textId="42081B81" w:rsidR="009C7564" w:rsidRDefault="009C7564" w:rsidP="009D29DA">
      <w:pPr>
        <w:pStyle w:val="NormalSS"/>
        <w:ind w:firstLine="0"/>
        <w:rPr>
          <w:sz w:val="22"/>
          <w:szCs w:val="22"/>
        </w:rPr>
      </w:pPr>
      <w:r w:rsidRPr="009C7564">
        <w:rPr>
          <w:sz w:val="22"/>
          <w:szCs w:val="22"/>
        </w:rPr>
        <w:t>Appendix C:  Legal Authority:  7 CFR 273.9(d)(6)(iii).</w:t>
      </w:r>
    </w:p>
    <w:p w14:paraId="4C13ECD8" w14:textId="6CB6CD3C" w:rsidR="00FB2FAC" w:rsidRPr="009C7564" w:rsidRDefault="00FB2FAC" w:rsidP="009D29DA">
      <w:pPr>
        <w:pStyle w:val="NormalSS"/>
        <w:ind w:firstLine="0"/>
        <w:rPr>
          <w:sz w:val="22"/>
          <w:szCs w:val="22"/>
        </w:rPr>
      </w:pPr>
      <w:r>
        <w:rPr>
          <w:sz w:val="22"/>
          <w:szCs w:val="22"/>
        </w:rPr>
        <w:t>Appendix D: Tribal Summary Impact Statement for Proposed Rule (RIN 0584-AE69)</w:t>
      </w:r>
    </w:p>
    <w:p w14:paraId="6273BD97" w14:textId="77777777" w:rsidR="002568E6" w:rsidRPr="00AE2B18" w:rsidRDefault="002568E6">
      <w:pPr>
        <w:widowControl/>
        <w:overflowPunct/>
        <w:autoSpaceDE/>
        <w:autoSpaceDN/>
        <w:adjustRightInd/>
        <w:textAlignment w:val="auto"/>
        <w:rPr>
          <w:rFonts w:ascii="Times New Roman" w:hAnsi="Times New Roman"/>
          <w:szCs w:val="24"/>
        </w:rPr>
      </w:pPr>
    </w:p>
    <w:p w14:paraId="6273BD99" w14:textId="77777777" w:rsidR="009F7E1A" w:rsidRPr="00AE2B18" w:rsidRDefault="009F7E1A" w:rsidP="00E76258">
      <w:pPr>
        <w:tabs>
          <w:tab w:val="left" w:pos="-720"/>
        </w:tabs>
        <w:suppressAutoHyphens/>
        <w:rPr>
          <w:rFonts w:ascii="Times New Roman" w:hAnsi="Times New Roman"/>
          <w:b/>
          <w:szCs w:val="24"/>
        </w:rPr>
      </w:pPr>
    </w:p>
    <w:p w14:paraId="6273BD9A" w14:textId="6AE87766" w:rsidR="004F2F54" w:rsidRDefault="004F2F54" w:rsidP="00E76258">
      <w:pPr>
        <w:tabs>
          <w:tab w:val="left" w:pos="-720"/>
        </w:tabs>
        <w:suppressAutoHyphens/>
        <w:rPr>
          <w:rFonts w:ascii="Times New Roman" w:hAnsi="Times New Roman"/>
          <w:szCs w:val="24"/>
        </w:rPr>
      </w:pPr>
    </w:p>
    <w:p w14:paraId="733981C8" w14:textId="487FA6B0" w:rsidR="009D29DA" w:rsidRDefault="009D29DA" w:rsidP="00E76258">
      <w:pPr>
        <w:tabs>
          <w:tab w:val="left" w:pos="-720"/>
        </w:tabs>
        <w:suppressAutoHyphens/>
        <w:rPr>
          <w:rFonts w:ascii="Times New Roman" w:hAnsi="Times New Roman"/>
          <w:szCs w:val="24"/>
        </w:rPr>
      </w:pPr>
    </w:p>
    <w:p w14:paraId="4AA97DC4" w14:textId="1E461F60" w:rsidR="009D29DA" w:rsidRPr="009D29DA" w:rsidRDefault="009D29DA" w:rsidP="009D29DA">
      <w:pPr>
        <w:tabs>
          <w:tab w:val="center" w:pos="4680"/>
        </w:tabs>
        <w:suppressAutoHyphens/>
        <w:rPr>
          <w:rFonts w:ascii="Times New Roman" w:hAnsi="Times New Roman"/>
          <w:sz w:val="20"/>
        </w:rPr>
      </w:pPr>
    </w:p>
    <w:p w14:paraId="642A7A36" w14:textId="6F759593" w:rsidR="009D29DA" w:rsidRDefault="009D29DA" w:rsidP="00E76258">
      <w:pPr>
        <w:tabs>
          <w:tab w:val="left" w:pos="-720"/>
        </w:tabs>
        <w:suppressAutoHyphens/>
        <w:rPr>
          <w:rFonts w:ascii="Times New Roman" w:hAnsi="Times New Roman"/>
          <w:szCs w:val="24"/>
        </w:rPr>
      </w:pPr>
    </w:p>
    <w:p w14:paraId="0CF8143A" w14:textId="681754E0" w:rsidR="009D29DA" w:rsidRDefault="009D29DA" w:rsidP="00E76258">
      <w:pPr>
        <w:tabs>
          <w:tab w:val="left" w:pos="-720"/>
        </w:tabs>
        <w:suppressAutoHyphens/>
        <w:rPr>
          <w:rFonts w:ascii="Times New Roman" w:hAnsi="Times New Roman"/>
          <w:szCs w:val="24"/>
        </w:rPr>
      </w:pPr>
    </w:p>
    <w:p w14:paraId="622014E7" w14:textId="679BDDB7" w:rsidR="009D29DA" w:rsidRDefault="009D29DA" w:rsidP="00E76258">
      <w:pPr>
        <w:tabs>
          <w:tab w:val="left" w:pos="-720"/>
        </w:tabs>
        <w:suppressAutoHyphens/>
        <w:rPr>
          <w:rFonts w:ascii="Times New Roman" w:hAnsi="Times New Roman"/>
          <w:szCs w:val="24"/>
        </w:rPr>
      </w:pPr>
    </w:p>
    <w:p w14:paraId="6195989C" w14:textId="46455B06" w:rsidR="009D29DA" w:rsidRDefault="009D29DA" w:rsidP="00E76258">
      <w:pPr>
        <w:tabs>
          <w:tab w:val="left" w:pos="-720"/>
        </w:tabs>
        <w:suppressAutoHyphens/>
        <w:rPr>
          <w:rFonts w:ascii="Times New Roman" w:hAnsi="Times New Roman"/>
          <w:szCs w:val="24"/>
        </w:rPr>
      </w:pPr>
    </w:p>
    <w:p w14:paraId="6DC1BE9B" w14:textId="253D1F0B" w:rsidR="009D29DA" w:rsidRDefault="009D29DA" w:rsidP="00E76258">
      <w:pPr>
        <w:tabs>
          <w:tab w:val="left" w:pos="-720"/>
        </w:tabs>
        <w:suppressAutoHyphens/>
        <w:rPr>
          <w:rFonts w:ascii="Times New Roman" w:hAnsi="Times New Roman"/>
          <w:szCs w:val="24"/>
        </w:rPr>
      </w:pPr>
    </w:p>
    <w:p w14:paraId="34DCB2CD" w14:textId="4A1B417D" w:rsidR="009D29DA" w:rsidRDefault="009D29DA" w:rsidP="00E76258">
      <w:pPr>
        <w:tabs>
          <w:tab w:val="left" w:pos="-720"/>
        </w:tabs>
        <w:suppressAutoHyphens/>
        <w:rPr>
          <w:rFonts w:ascii="Times New Roman" w:hAnsi="Times New Roman"/>
          <w:szCs w:val="24"/>
        </w:rPr>
      </w:pPr>
    </w:p>
    <w:p w14:paraId="12AC22E4" w14:textId="77777777" w:rsidR="009D29DA" w:rsidRPr="00AE2B18" w:rsidRDefault="009D29DA" w:rsidP="00E76258">
      <w:pPr>
        <w:tabs>
          <w:tab w:val="left" w:pos="-720"/>
        </w:tabs>
        <w:suppressAutoHyphens/>
        <w:rPr>
          <w:rFonts w:ascii="Times New Roman" w:hAnsi="Times New Roman"/>
          <w:szCs w:val="24"/>
        </w:rPr>
      </w:pPr>
    </w:p>
    <w:p w14:paraId="6273BD9B" w14:textId="550340EC" w:rsidR="005A3F80" w:rsidRPr="00AE2B18" w:rsidRDefault="005A3F80" w:rsidP="00E76258">
      <w:pPr>
        <w:pStyle w:val="Heading1"/>
        <w:rPr>
          <w:szCs w:val="24"/>
        </w:rPr>
      </w:pPr>
      <w:bookmarkStart w:id="1" w:name="_Toc401831357"/>
      <w:bookmarkStart w:id="2" w:name="_Toc21705858"/>
      <w:r w:rsidRPr="00AE2B18">
        <w:rPr>
          <w:szCs w:val="24"/>
        </w:rPr>
        <w:lastRenderedPageBreak/>
        <w:t xml:space="preserve">1. </w:t>
      </w:r>
      <w:r w:rsidR="002568E6" w:rsidRPr="00AE2B18">
        <w:rPr>
          <w:szCs w:val="24"/>
        </w:rPr>
        <w:t>C</w:t>
      </w:r>
      <w:r w:rsidRPr="00AE2B18">
        <w:rPr>
          <w:szCs w:val="24"/>
        </w:rPr>
        <w:t>ircumstances that make the collection of information necessary.</w:t>
      </w:r>
      <w:bookmarkEnd w:id="1"/>
      <w:bookmarkEnd w:id="2"/>
    </w:p>
    <w:p w14:paraId="6273BD9C" w14:textId="77777777" w:rsidR="003333DF" w:rsidRPr="00AE2B18" w:rsidRDefault="003333DF" w:rsidP="00E76258">
      <w:pPr>
        <w:tabs>
          <w:tab w:val="left" w:pos="-720"/>
        </w:tabs>
        <w:suppressAutoHyphens/>
        <w:rPr>
          <w:rFonts w:ascii="Times New Roman" w:hAnsi="Times New Roman"/>
          <w:b/>
          <w:szCs w:val="24"/>
        </w:rPr>
      </w:pPr>
    </w:p>
    <w:p w14:paraId="6273BD9D" w14:textId="77777777" w:rsidR="003333DF" w:rsidRPr="00AE2B18" w:rsidRDefault="003333DF" w:rsidP="00E76258">
      <w:pPr>
        <w:tabs>
          <w:tab w:val="left" w:pos="-720"/>
        </w:tabs>
        <w:suppressAutoHyphens/>
        <w:rPr>
          <w:rFonts w:ascii="Times New Roman" w:hAnsi="Times New Roman"/>
          <w:b/>
          <w:szCs w:val="24"/>
        </w:rPr>
      </w:pPr>
      <w:r w:rsidRPr="00AE2B18">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6273BD9E" w14:textId="77777777" w:rsidR="00A308DB" w:rsidRPr="005D385E" w:rsidRDefault="00A308DB" w:rsidP="00E76258">
      <w:pPr>
        <w:tabs>
          <w:tab w:val="left" w:pos="-720"/>
        </w:tabs>
        <w:suppressAutoHyphens/>
        <w:rPr>
          <w:rFonts w:ascii="Times New Roman" w:hAnsi="Times New Roman"/>
          <w:szCs w:val="24"/>
        </w:rPr>
      </w:pPr>
    </w:p>
    <w:p w14:paraId="1A9D1199" w14:textId="2949009F" w:rsidR="0068556E" w:rsidRPr="005D385E" w:rsidRDefault="003C1164" w:rsidP="00044231">
      <w:pPr>
        <w:spacing w:after="120" w:line="480" w:lineRule="auto"/>
        <w:rPr>
          <w:rFonts w:ascii="Times New Roman" w:hAnsi="Times New Roman"/>
          <w:b/>
          <w:szCs w:val="24"/>
        </w:rPr>
      </w:pPr>
      <w:r w:rsidRPr="003C1164">
        <w:rPr>
          <w:rFonts w:ascii="Times New Roman" w:hAnsi="Times New Roman"/>
          <w:szCs w:val="24"/>
        </w:rPr>
        <w:t>The agency is revising the CFR as a result the FNS is requesting a new OMB control number for this information collection request</w:t>
      </w:r>
      <w:r w:rsidRPr="003C1164" w:rsidDel="003C1164">
        <w:rPr>
          <w:rFonts w:ascii="Times New Roman" w:hAnsi="Times New Roman"/>
          <w:szCs w:val="24"/>
        </w:rPr>
        <w:t xml:space="preserve"> </w:t>
      </w:r>
      <w:r w:rsidR="009D3BE9">
        <w:rPr>
          <w:rFonts w:ascii="Times New Roman" w:hAnsi="Times New Roman"/>
          <w:szCs w:val="24"/>
        </w:rPr>
        <w:t xml:space="preserve">associated with this </w:t>
      </w:r>
      <w:r w:rsidR="0068556E" w:rsidRPr="005D385E">
        <w:rPr>
          <w:rFonts w:ascii="Times New Roman" w:hAnsi="Times New Roman"/>
          <w:szCs w:val="24"/>
        </w:rPr>
        <w:t>proposed rule</w:t>
      </w:r>
      <w:r w:rsidR="009D3BE9">
        <w:rPr>
          <w:rFonts w:ascii="Times New Roman" w:hAnsi="Times New Roman"/>
          <w:szCs w:val="24"/>
        </w:rPr>
        <w:t>making</w:t>
      </w:r>
      <w:r w:rsidR="0068556E" w:rsidRPr="005D385E">
        <w:rPr>
          <w:rFonts w:ascii="Times New Roman" w:hAnsi="Times New Roman"/>
          <w:szCs w:val="24"/>
        </w:rPr>
        <w:t xml:space="preserve">, </w:t>
      </w:r>
      <w:r w:rsidR="006A2F48" w:rsidRPr="005D385E">
        <w:rPr>
          <w:rFonts w:ascii="Times New Roman" w:hAnsi="Times New Roman"/>
        </w:rPr>
        <w:t>Standardization of State Heating and Cooling Standard Utility Allowances</w:t>
      </w:r>
      <w:r w:rsidR="005D385E">
        <w:rPr>
          <w:rFonts w:ascii="Times New Roman" w:hAnsi="Times New Roman"/>
        </w:rPr>
        <w:t xml:space="preserve"> (SUAs)</w:t>
      </w:r>
      <w:r w:rsidR="006A2F48" w:rsidRPr="005D385E">
        <w:rPr>
          <w:rFonts w:ascii="Times New Roman" w:hAnsi="Times New Roman"/>
        </w:rPr>
        <w:t>,</w:t>
      </w:r>
      <w:r w:rsidR="0068556E" w:rsidRPr="005D385E">
        <w:rPr>
          <w:rFonts w:ascii="Times New Roman" w:hAnsi="Times New Roman"/>
          <w:szCs w:val="24"/>
        </w:rPr>
        <w:t xml:space="preserve"> which would create a clearer and more consistent nationwide policy </w:t>
      </w:r>
      <w:r w:rsidR="005D385E" w:rsidRPr="005D385E">
        <w:rPr>
          <w:rFonts w:ascii="Times New Roman" w:hAnsi="Times New Roman"/>
          <w:szCs w:val="24"/>
        </w:rPr>
        <w:t xml:space="preserve">by standardizing the methodology for standard utility allowances. </w:t>
      </w:r>
      <w:r w:rsidR="006A2F48" w:rsidRPr="005D385E">
        <w:rPr>
          <w:rFonts w:ascii="Times New Roman" w:hAnsi="Times New Roman"/>
        </w:rPr>
        <w:t xml:space="preserve"> </w:t>
      </w:r>
      <w:r w:rsidR="005D385E" w:rsidRPr="005D385E">
        <w:rPr>
          <w:rFonts w:ascii="Times New Roman" w:hAnsi="Times New Roman"/>
        </w:rPr>
        <w:t>H</w:t>
      </w:r>
      <w:r w:rsidR="006A2F48" w:rsidRPr="005D385E">
        <w:rPr>
          <w:rFonts w:ascii="Times New Roman" w:hAnsi="Times New Roman"/>
        </w:rPr>
        <w:t xml:space="preserve">eating and cooling SUAs </w:t>
      </w:r>
      <w:r w:rsidR="005D385E" w:rsidRPr="005D385E">
        <w:rPr>
          <w:rFonts w:ascii="Times New Roman" w:hAnsi="Times New Roman"/>
        </w:rPr>
        <w:t xml:space="preserve">would be </w:t>
      </w:r>
      <w:r w:rsidR="00CC1ABD">
        <w:rPr>
          <w:rFonts w:ascii="Times New Roman" w:hAnsi="Times New Roman"/>
        </w:rPr>
        <w:t>calculated annually</w:t>
      </w:r>
      <w:r w:rsidR="00CC1ABD" w:rsidRPr="005D385E">
        <w:rPr>
          <w:rFonts w:ascii="Times New Roman" w:hAnsi="Times New Roman"/>
        </w:rPr>
        <w:t xml:space="preserve"> </w:t>
      </w:r>
      <w:r w:rsidR="006A2F48" w:rsidRPr="005D385E">
        <w:rPr>
          <w:rFonts w:ascii="Times New Roman" w:hAnsi="Times New Roman"/>
        </w:rPr>
        <w:t xml:space="preserve">by FNS instead of this being a State </w:t>
      </w:r>
      <w:r w:rsidR="00CC1ABD">
        <w:rPr>
          <w:rFonts w:ascii="Times New Roman" w:hAnsi="Times New Roman"/>
        </w:rPr>
        <w:t xml:space="preserve">responsibility.  Other types of </w:t>
      </w:r>
      <w:r w:rsidR="00EE4B08" w:rsidRPr="005D385E">
        <w:rPr>
          <w:rFonts w:ascii="Times New Roman" w:hAnsi="Times New Roman"/>
          <w:szCs w:val="24"/>
        </w:rPr>
        <w:t xml:space="preserve">allowances for other utility costs would subsequently be capped at a percentage of the heating and cooling allowance </w:t>
      </w:r>
      <w:r w:rsidR="005D385E" w:rsidRPr="005D385E">
        <w:rPr>
          <w:rFonts w:ascii="Times New Roman" w:hAnsi="Times New Roman"/>
          <w:szCs w:val="24"/>
        </w:rPr>
        <w:t>(</w:t>
      </w:r>
      <w:r w:rsidR="00EE4B08" w:rsidRPr="005D385E">
        <w:rPr>
          <w:rFonts w:ascii="Times New Roman" w:hAnsi="Times New Roman"/>
          <w:szCs w:val="24"/>
        </w:rPr>
        <w:t xml:space="preserve">with the exception of an updated telecommunications SUA that would be a </w:t>
      </w:r>
      <w:r w:rsidR="009F48EC">
        <w:rPr>
          <w:rFonts w:ascii="Times New Roman" w:hAnsi="Times New Roman"/>
          <w:szCs w:val="24"/>
        </w:rPr>
        <w:t>capped</w:t>
      </w:r>
      <w:r w:rsidR="00EE4B08" w:rsidRPr="005D385E">
        <w:rPr>
          <w:rFonts w:ascii="Times New Roman" w:hAnsi="Times New Roman"/>
          <w:szCs w:val="24"/>
        </w:rPr>
        <w:t xml:space="preserve"> amount</w:t>
      </w:r>
      <w:r w:rsidR="009F48EC">
        <w:rPr>
          <w:rFonts w:ascii="Times New Roman" w:hAnsi="Times New Roman"/>
          <w:szCs w:val="24"/>
        </w:rPr>
        <w:t xml:space="preserve"> rather than percentage and</w:t>
      </w:r>
      <w:r w:rsidR="00EE4B08" w:rsidRPr="005D385E">
        <w:rPr>
          <w:rFonts w:ascii="Times New Roman" w:hAnsi="Times New Roman"/>
          <w:szCs w:val="24"/>
        </w:rPr>
        <w:t xml:space="preserve"> set nationally</w:t>
      </w:r>
      <w:r w:rsidR="00CC1ABD">
        <w:rPr>
          <w:rFonts w:ascii="Times New Roman" w:hAnsi="Times New Roman"/>
          <w:szCs w:val="24"/>
        </w:rPr>
        <w:t xml:space="preserve"> by FNS</w:t>
      </w:r>
      <w:r w:rsidR="005D385E" w:rsidRPr="005D385E">
        <w:rPr>
          <w:rFonts w:ascii="Times New Roman" w:hAnsi="Times New Roman"/>
          <w:szCs w:val="24"/>
        </w:rPr>
        <w:t>)</w:t>
      </w:r>
      <w:r w:rsidR="00CC1ABD">
        <w:rPr>
          <w:rFonts w:ascii="Times New Roman" w:hAnsi="Times New Roman"/>
          <w:szCs w:val="24"/>
        </w:rPr>
        <w:t>.</w:t>
      </w:r>
      <w:r w:rsidR="00EE4B08" w:rsidRPr="005D385E">
        <w:rPr>
          <w:rFonts w:ascii="Times New Roman" w:hAnsi="Times New Roman"/>
          <w:szCs w:val="24"/>
        </w:rPr>
        <w:t xml:space="preserve">  </w:t>
      </w:r>
      <w:r w:rsidR="00CC1ABD">
        <w:rPr>
          <w:rFonts w:ascii="Times New Roman" w:hAnsi="Times New Roman"/>
          <w:szCs w:val="24"/>
        </w:rPr>
        <w:t>State agencies would still be responsible for calculating S</w:t>
      </w:r>
      <w:r w:rsidR="009F48EC">
        <w:rPr>
          <w:rFonts w:ascii="Times New Roman" w:hAnsi="Times New Roman"/>
          <w:szCs w:val="24"/>
        </w:rPr>
        <w:t>UAs other than the HCSUA</w:t>
      </w:r>
      <w:r w:rsidR="00CC1ABD">
        <w:rPr>
          <w:rFonts w:ascii="Times New Roman" w:hAnsi="Times New Roman"/>
          <w:szCs w:val="24"/>
        </w:rPr>
        <w:t xml:space="preserve">, however, the amounts may not exceed the cap set by FNS.  </w:t>
      </w:r>
      <w:r w:rsidR="00EE4B08" w:rsidRPr="005D385E">
        <w:rPr>
          <w:rFonts w:ascii="Times New Roman" w:hAnsi="Times New Roman"/>
          <w:szCs w:val="24"/>
        </w:rPr>
        <w:t>These figures would continue to be updated annually and reflective of utility costs in each State.  The Department believes that standardizing the SUA methodology would help make SUAs and the program more equitable and would also improve program integrity by ensuring SUAs better reflect what households are paying for utilities.</w:t>
      </w:r>
      <w:r w:rsidR="005D385E" w:rsidRPr="005D385E">
        <w:rPr>
          <w:rFonts w:ascii="Times New Roman" w:hAnsi="Times New Roman"/>
          <w:szCs w:val="24"/>
        </w:rPr>
        <w:t xml:space="preserve"> </w:t>
      </w:r>
    </w:p>
    <w:p w14:paraId="3C5CEB4E" w14:textId="224B88DB" w:rsidR="009C7564" w:rsidRPr="00750B8F" w:rsidRDefault="00EE4B08" w:rsidP="009C7564">
      <w:pPr>
        <w:tabs>
          <w:tab w:val="left" w:pos="-720"/>
        </w:tabs>
        <w:suppressAutoHyphens/>
        <w:spacing w:line="480" w:lineRule="auto"/>
        <w:rPr>
          <w:rFonts w:ascii="Times New Roman" w:hAnsi="Times New Roman"/>
          <w:szCs w:val="24"/>
        </w:rPr>
      </w:pPr>
      <w:r w:rsidRPr="003B3916">
        <w:rPr>
          <w:rFonts w:ascii="Times New Roman" w:hAnsi="Times New Roman"/>
          <w:szCs w:val="24"/>
        </w:rPr>
        <w:t xml:space="preserve">Once FNS receives OMB approval for the collection associated with this rule, FNS intends to merge </w:t>
      </w:r>
      <w:r w:rsidR="009C7564" w:rsidRPr="00750B8F">
        <w:rPr>
          <w:rFonts w:ascii="Times New Roman" w:hAnsi="Times New Roman"/>
          <w:szCs w:val="24"/>
        </w:rPr>
        <w:t xml:space="preserve">these </w:t>
      </w:r>
      <w:r w:rsidRPr="00750B8F">
        <w:rPr>
          <w:rFonts w:ascii="Times New Roman" w:hAnsi="Times New Roman"/>
          <w:szCs w:val="24"/>
        </w:rPr>
        <w:t>data collection</w:t>
      </w:r>
      <w:r w:rsidR="009C7564" w:rsidRPr="00750B8F">
        <w:rPr>
          <w:rFonts w:ascii="Times New Roman" w:hAnsi="Times New Roman"/>
          <w:szCs w:val="24"/>
        </w:rPr>
        <w:t xml:space="preserve"> requirements</w:t>
      </w:r>
      <w:r w:rsidRPr="00750B8F">
        <w:rPr>
          <w:rFonts w:ascii="Times New Roman" w:hAnsi="Times New Roman"/>
          <w:szCs w:val="24"/>
        </w:rPr>
        <w:t xml:space="preserve"> with </w:t>
      </w:r>
      <w:r w:rsidR="009C7564" w:rsidRPr="00750B8F">
        <w:rPr>
          <w:rFonts w:ascii="Times New Roman" w:hAnsi="Times New Roman"/>
          <w:szCs w:val="24"/>
        </w:rPr>
        <w:t xml:space="preserve">OMB Control Number:  </w:t>
      </w:r>
      <w:r w:rsidRPr="00750B8F">
        <w:rPr>
          <w:rFonts w:ascii="Times New Roman" w:hAnsi="Times New Roman"/>
          <w:szCs w:val="24"/>
        </w:rPr>
        <w:t>0584-0496</w:t>
      </w:r>
      <w:r w:rsidR="009C7564" w:rsidRPr="00750B8F">
        <w:rPr>
          <w:rFonts w:ascii="Times New Roman" w:hAnsi="Times New Roman"/>
          <w:szCs w:val="24"/>
        </w:rPr>
        <w:t>; Expiration Date:  3/31/2020</w:t>
      </w:r>
      <w:r w:rsidRPr="00750B8F">
        <w:rPr>
          <w:rFonts w:ascii="Times New Roman" w:hAnsi="Times New Roman"/>
          <w:szCs w:val="24"/>
        </w:rPr>
        <w:t xml:space="preserve"> following final rulemaking</w:t>
      </w:r>
      <w:r w:rsidR="003B3916" w:rsidRPr="00750B8F">
        <w:rPr>
          <w:rFonts w:ascii="Times New Roman" w:hAnsi="Times New Roman"/>
          <w:szCs w:val="24"/>
        </w:rPr>
        <w:t xml:space="preserve">, </w:t>
      </w:r>
      <w:r w:rsidR="00750B8F">
        <w:rPr>
          <w:rFonts w:ascii="Times New Roman" w:hAnsi="Times New Roman"/>
          <w:szCs w:val="24"/>
        </w:rPr>
        <w:t>additionally, the</w:t>
      </w:r>
      <w:r w:rsidR="003B3916" w:rsidRPr="00750B8F">
        <w:rPr>
          <w:rFonts w:ascii="Times New Roman" w:hAnsi="Times New Roman"/>
          <w:szCs w:val="24"/>
        </w:rPr>
        <w:t xml:space="preserve"> agency</w:t>
      </w:r>
      <w:r w:rsidR="009C7564" w:rsidRPr="00750B8F">
        <w:rPr>
          <w:rFonts w:ascii="Times New Roman" w:hAnsi="Times New Roman" w:cs="Courier New"/>
          <w:szCs w:val="24"/>
        </w:rPr>
        <w:t xml:space="preserve"> plans to publish another notice in the Federal Register announcing to the public OMB’s approval.  </w:t>
      </w:r>
      <w:r w:rsidR="003B3916" w:rsidRPr="00750B8F">
        <w:rPr>
          <w:rFonts w:ascii="Times New Roman" w:hAnsi="Times New Roman" w:cs="Courier New"/>
          <w:szCs w:val="24"/>
        </w:rPr>
        <w:t>Once this</w:t>
      </w:r>
      <w:r w:rsidR="00750B8F">
        <w:rPr>
          <w:rFonts w:ascii="Times New Roman" w:hAnsi="Times New Roman" w:cs="Courier New"/>
          <w:szCs w:val="24"/>
        </w:rPr>
        <w:t xml:space="preserve"> final notification</w:t>
      </w:r>
      <w:r w:rsidR="003B3916" w:rsidRPr="00750B8F">
        <w:rPr>
          <w:rFonts w:ascii="Times New Roman" w:hAnsi="Times New Roman" w:cs="Courier New"/>
          <w:szCs w:val="24"/>
        </w:rPr>
        <w:t xml:space="preserve"> is published, the agency will</w:t>
      </w:r>
      <w:r w:rsidR="009C7564" w:rsidRPr="00750B8F">
        <w:rPr>
          <w:rFonts w:ascii="Times New Roman" w:hAnsi="Times New Roman" w:cs="Courier New"/>
          <w:szCs w:val="24"/>
        </w:rPr>
        <w:t xml:space="preserve"> </w:t>
      </w:r>
      <w:r w:rsidR="003B3916" w:rsidRPr="003B3916">
        <w:rPr>
          <w:rFonts w:ascii="Times New Roman" w:hAnsi="Times New Roman"/>
          <w:szCs w:val="24"/>
        </w:rPr>
        <w:t>discontinue the newly assigned OMB control number</w:t>
      </w:r>
      <w:r w:rsidR="00750B8F">
        <w:rPr>
          <w:rFonts w:ascii="Times New Roman" w:hAnsi="Times New Roman"/>
          <w:szCs w:val="24"/>
        </w:rPr>
        <w:t>.</w:t>
      </w:r>
    </w:p>
    <w:p w14:paraId="72DF9F59" w14:textId="77777777" w:rsidR="00D921B6" w:rsidRPr="00AE2B18" w:rsidRDefault="00D921B6" w:rsidP="00E76258">
      <w:pPr>
        <w:tabs>
          <w:tab w:val="left" w:pos="-720"/>
        </w:tabs>
        <w:suppressAutoHyphens/>
        <w:rPr>
          <w:rFonts w:ascii="Times New Roman" w:hAnsi="Times New Roman"/>
          <w:szCs w:val="24"/>
        </w:rPr>
      </w:pPr>
    </w:p>
    <w:p w14:paraId="6273BDA1" w14:textId="05D199BB" w:rsidR="00A308DB" w:rsidRPr="00AE2B18" w:rsidRDefault="005A3F80" w:rsidP="00E76258">
      <w:pPr>
        <w:pStyle w:val="Heading1"/>
        <w:rPr>
          <w:szCs w:val="24"/>
        </w:rPr>
      </w:pPr>
      <w:bookmarkStart w:id="3" w:name="_Toc401831358"/>
      <w:bookmarkStart w:id="4" w:name="_Toc21705859"/>
      <w:r w:rsidRPr="00AE2B18">
        <w:rPr>
          <w:szCs w:val="24"/>
        </w:rPr>
        <w:t xml:space="preserve">2. </w:t>
      </w:r>
      <w:r w:rsidR="00447C1E" w:rsidRPr="00AE2B18">
        <w:rPr>
          <w:szCs w:val="24"/>
        </w:rPr>
        <w:t>Purpose and Use of the Information.</w:t>
      </w:r>
      <w:bookmarkEnd w:id="3"/>
      <w:bookmarkEnd w:id="4"/>
    </w:p>
    <w:p w14:paraId="6273BDA2" w14:textId="77777777" w:rsidR="0062567E" w:rsidRPr="00AE2B18" w:rsidRDefault="0062567E" w:rsidP="00E76258">
      <w:pPr>
        <w:tabs>
          <w:tab w:val="left" w:pos="-720"/>
        </w:tabs>
        <w:suppressAutoHyphens/>
        <w:rPr>
          <w:rFonts w:ascii="Times New Roman" w:hAnsi="Times New Roman"/>
          <w:b/>
          <w:szCs w:val="24"/>
        </w:rPr>
      </w:pPr>
    </w:p>
    <w:p w14:paraId="6273BDA3" w14:textId="77777777" w:rsidR="003333DF" w:rsidRPr="00AE2B18" w:rsidRDefault="003333DF" w:rsidP="00E76258">
      <w:pPr>
        <w:tabs>
          <w:tab w:val="left" w:pos="-720"/>
        </w:tabs>
        <w:suppressAutoHyphens/>
        <w:rPr>
          <w:rFonts w:ascii="Times New Roman" w:hAnsi="Times New Roman"/>
          <w:b/>
          <w:szCs w:val="24"/>
        </w:rPr>
      </w:pPr>
      <w:r w:rsidRPr="00AE2B18">
        <w:rPr>
          <w:rFonts w:ascii="Times New Roman" w:hAnsi="Times New Roman"/>
          <w:b/>
          <w:szCs w:val="24"/>
        </w:rPr>
        <w:t>Indicate</w:t>
      </w:r>
      <w:r w:rsidR="009F0786" w:rsidRPr="00AE2B18">
        <w:rPr>
          <w:rFonts w:ascii="Times New Roman" w:hAnsi="Times New Roman"/>
          <w:b/>
          <w:szCs w:val="24"/>
        </w:rPr>
        <w:t xml:space="preserve"> how, by whom, and for what pur</w:t>
      </w:r>
      <w:r w:rsidRPr="00AE2B18">
        <w:rPr>
          <w:rFonts w:ascii="Times New Roman" w:hAnsi="Times New Roman"/>
          <w:b/>
          <w:szCs w:val="24"/>
        </w:rPr>
        <w:t>pose the information is to be used.</w:t>
      </w:r>
      <w:r w:rsidR="009F0786" w:rsidRPr="00AE2B18">
        <w:rPr>
          <w:rFonts w:ascii="Times New Roman" w:hAnsi="Times New Roman"/>
          <w:b/>
          <w:szCs w:val="24"/>
        </w:rPr>
        <w:t xml:space="preserve">  Except for a new collec</w:t>
      </w:r>
      <w:r w:rsidRPr="00AE2B18">
        <w:rPr>
          <w:rFonts w:ascii="Times New Roman" w:hAnsi="Times New Roman"/>
          <w:b/>
          <w:szCs w:val="24"/>
        </w:rPr>
        <w:t>tion, indicate how the agency has ac</w:t>
      </w:r>
      <w:r w:rsidR="00E27BE9" w:rsidRPr="00AE2B18">
        <w:rPr>
          <w:rFonts w:ascii="Times New Roman" w:hAnsi="Times New Roman"/>
          <w:b/>
          <w:szCs w:val="24"/>
        </w:rPr>
        <w:t>tually used the informa</w:t>
      </w:r>
      <w:r w:rsidRPr="00AE2B18">
        <w:rPr>
          <w:rFonts w:ascii="Times New Roman" w:hAnsi="Times New Roman"/>
          <w:b/>
          <w:szCs w:val="24"/>
        </w:rPr>
        <w:t>tion r</w:t>
      </w:r>
      <w:r w:rsidR="00E27BE9" w:rsidRPr="00AE2B18">
        <w:rPr>
          <w:rFonts w:ascii="Times New Roman" w:hAnsi="Times New Roman"/>
          <w:b/>
          <w:szCs w:val="24"/>
        </w:rPr>
        <w:t>eceived from the current collec</w:t>
      </w:r>
      <w:r w:rsidRPr="00AE2B18">
        <w:rPr>
          <w:rFonts w:ascii="Times New Roman" w:hAnsi="Times New Roman"/>
          <w:b/>
          <w:szCs w:val="24"/>
        </w:rPr>
        <w:t>tion.</w:t>
      </w:r>
    </w:p>
    <w:p w14:paraId="6273BDA4" w14:textId="77777777" w:rsidR="009F7E1A" w:rsidRPr="00AE2B18" w:rsidRDefault="009F7E1A" w:rsidP="00E76258">
      <w:pPr>
        <w:tabs>
          <w:tab w:val="left" w:pos="-720"/>
        </w:tabs>
        <w:suppressAutoHyphens/>
        <w:rPr>
          <w:rFonts w:ascii="Times New Roman" w:hAnsi="Times New Roman"/>
          <w:szCs w:val="24"/>
        </w:rPr>
      </w:pPr>
    </w:p>
    <w:p w14:paraId="55B0AA94" w14:textId="3F7851EC" w:rsidR="00E76258" w:rsidRPr="00554655" w:rsidRDefault="00272035" w:rsidP="00044231">
      <w:pPr>
        <w:spacing w:line="480" w:lineRule="auto"/>
        <w:rPr>
          <w:rFonts w:ascii="Times New Roman" w:hAnsi="Times New Roman"/>
        </w:rPr>
      </w:pPr>
      <w:r w:rsidRPr="00554655">
        <w:rPr>
          <w:rFonts w:ascii="Times New Roman" w:hAnsi="Times New Roman"/>
          <w:szCs w:val="24"/>
        </w:rPr>
        <w:t xml:space="preserve">The purpose of this information collection associated with rulemaking is to comply with the requirements of </w:t>
      </w:r>
      <w:r w:rsidR="00E76258" w:rsidRPr="00554655">
        <w:rPr>
          <w:rFonts w:ascii="Times New Roman" w:hAnsi="Times New Roman"/>
          <w:szCs w:val="24"/>
        </w:rPr>
        <w:t>t</w:t>
      </w:r>
      <w:r w:rsidR="00E76258" w:rsidRPr="00554655">
        <w:rPr>
          <w:rFonts w:ascii="Times New Roman" w:hAnsi="Times New Roman"/>
        </w:rPr>
        <w:t xml:space="preserve">he Food and Nutrition Act of 2008 which establishes uniform national eligibility standards for SNAP, including allowable deductions from gross income.  With the exception of a standard deduction for all households, most allowable deductions are available to households based on their circumstances.  To help streamline the application and certification process, </w:t>
      </w:r>
      <w:r w:rsidR="009C7564">
        <w:rPr>
          <w:rFonts w:ascii="Times New Roman" w:hAnsi="Times New Roman"/>
        </w:rPr>
        <w:t>S</w:t>
      </w:r>
      <w:r w:rsidR="009C7564" w:rsidRPr="00554655">
        <w:rPr>
          <w:rFonts w:ascii="Times New Roman" w:hAnsi="Times New Roman"/>
        </w:rPr>
        <w:t xml:space="preserve">ection </w:t>
      </w:r>
      <w:r w:rsidR="00E76258" w:rsidRPr="00554655">
        <w:rPr>
          <w:rFonts w:ascii="Times New Roman" w:hAnsi="Times New Roman"/>
        </w:rPr>
        <w:t xml:space="preserve">5(e)(6) of the Act permits States to use standard utility allowances (SUAs) in lieu of actual utility expenses in determining a household’s shelter costs for the purposes of the excess shelter deduction.  </w:t>
      </w:r>
    </w:p>
    <w:p w14:paraId="758CD657" w14:textId="77777777" w:rsidR="00E76258" w:rsidRPr="00554655" w:rsidRDefault="00E76258" w:rsidP="00044231">
      <w:pPr>
        <w:spacing w:line="480" w:lineRule="auto"/>
        <w:rPr>
          <w:rFonts w:ascii="Times New Roman" w:hAnsi="Times New Roman"/>
        </w:rPr>
      </w:pPr>
    </w:p>
    <w:p w14:paraId="0B02DB99" w14:textId="1C85C7C1" w:rsidR="00E76258" w:rsidRPr="00554655" w:rsidRDefault="00E76258" w:rsidP="00044231">
      <w:pPr>
        <w:spacing w:line="480" w:lineRule="auto"/>
        <w:rPr>
          <w:rFonts w:ascii="Times New Roman" w:hAnsi="Times New Roman"/>
        </w:rPr>
      </w:pPr>
      <w:r w:rsidRPr="00554655">
        <w:rPr>
          <w:rFonts w:ascii="Times New Roman" w:hAnsi="Times New Roman"/>
        </w:rPr>
        <w:t xml:space="preserve">States may currently develop their own SUAs in accordance with standards set forth in 7 CFR 273.9(d)(6)(iii).  Multiple SUAs may be created by the State to reflect the differences in utility expenses that SNAP households incur.  Current regulations do not require States to use a particular methodology when developing SUAs.  In the absence of formal guidelines outlining recommended methodologies, States have enjoyed considerable flexibility in developing their SUA methodologies and amounts. The current policy allows for disparities to arise from State to State, as two households may have comparable utility costs on opposite sides of a State border but receive a higher or lower benefit amount because of the choices their State has made in developing their SUAs.  </w:t>
      </w:r>
    </w:p>
    <w:p w14:paraId="07AF42A5" w14:textId="77777777" w:rsidR="00E76258" w:rsidRDefault="00E76258" w:rsidP="00044231">
      <w:pPr>
        <w:spacing w:line="480" w:lineRule="auto"/>
      </w:pPr>
    </w:p>
    <w:p w14:paraId="1817788D" w14:textId="738C3E1D" w:rsidR="00554655" w:rsidRDefault="00E76258" w:rsidP="00044231">
      <w:pPr>
        <w:spacing w:line="480" w:lineRule="auto"/>
        <w:rPr>
          <w:rFonts w:ascii="Times New Roman" w:hAnsi="Times New Roman"/>
        </w:rPr>
      </w:pPr>
      <w:r w:rsidRPr="00E76258">
        <w:rPr>
          <w:rFonts w:ascii="Times New Roman" w:hAnsi="Times New Roman"/>
        </w:rPr>
        <w:t xml:space="preserve">In August 2017, USDA published a study that reviewed State’s SUA methodologies titled, </w:t>
      </w:r>
      <w:r w:rsidRPr="00E76258">
        <w:rPr>
          <w:rFonts w:ascii="Times New Roman" w:hAnsi="Times New Roman"/>
          <w:i/>
        </w:rPr>
        <w:t>Methods to Standardize State Standard Utility Allowances</w:t>
      </w:r>
      <w:r w:rsidR="00006EB7">
        <w:rPr>
          <w:rFonts w:ascii="Times New Roman" w:hAnsi="Times New Roman"/>
        </w:rPr>
        <w:t xml:space="preserve"> (extant data </w:t>
      </w:r>
      <w:r w:rsidR="004D245A">
        <w:rPr>
          <w:rFonts w:ascii="Times New Roman" w:hAnsi="Times New Roman"/>
        </w:rPr>
        <w:t xml:space="preserve">from OMB control number 0584-0064, expiration date </w:t>
      </w:r>
      <w:r w:rsidR="007F4B1A">
        <w:rPr>
          <w:rFonts w:ascii="Times New Roman" w:hAnsi="Times New Roman"/>
        </w:rPr>
        <w:t>7</w:t>
      </w:r>
      <w:r w:rsidR="004D245A">
        <w:rPr>
          <w:rFonts w:ascii="Times New Roman" w:hAnsi="Times New Roman"/>
        </w:rPr>
        <w:t>/31/20</w:t>
      </w:r>
      <w:r w:rsidR="007F4B1A">
        <w:rPr>
          <w:rFonts w:ascii="Times New Roman" w:hAnsi="Times New Roman"/>
        </w:rPr>
        <w:t>20</w:t>
      </w:r>
      <w:r w:rsidR="004D245A">
        <w:rPr>
          <w:rFonts w:ascii="Times New Roman" w:hAnsi="Times New Roman"/>
        </w:rPr>
        <w:t>)</w:t>
      </w:r>
      <w:r w:rsidRPr="00E76258">
        <w:rPr>
          <w:rFonts w:ascii="Times New Roman" w:hAnsi="Times New Roman"/>
        </w:rPr>
        <w:t xml:space="preserve">.  This review of State methodologies found discrepancies between established HCSUA values and average household utility expenses in many States.  </w:t>
      </w:r>
    </w:p>
    <w:p w14:paraId="3F068F8F" w14:textId="77777777" w:rsidR="00554655" w:rsidRDefault="00554655" w:rsidP="00044231">
      <w:pPr>
        <w:spacing w:line="480" w:lineRule="auto"/>
        <w:rPr>
          <w:rFonts w:ascii="Times New Roman" w:hAnsi="Times New Roman"/>
        </w:rPr>
      </w:pPr>
    </w:p>
    <w:p w14:paraId="024627AE" w14:textId="0A5376F0" w:rsidR="00F45213" w:rsidRPr="00E76258" w:rsidRDefault="00E76258" w:rsidP="00044231">
      <w:pPr>
        <w:spacing w:line="480" w:lineRule="auto"/>
        <w:rPr>
          <w:rFonts w:ascii="Times New Roman" w:hAnsi="Times New Roman"/>
          <w:szCs w:val="24"/>
          <w:highlight w:val="yellow"/>
        </w:rPr>
      </w:pPr>
      <w:r w:rsidRPr="00E76258">
        <w:rPr>
          <w:rFonts w:ascii="Times New Roman" w:hAnsi="Times New Roman"/>
        </w:rPr>
        <w:t>Therefore, to address the variations found in the 2017 study and ensure benefit equity across States, the Department is proposing to standardize the methodology used to calculate a State’s HCSUA.  The proposed standardization would set the HCSUA at the 80</w:t>
      </w:r>
      <w:r w:rsidRPr="00E76258">
        <w:rPr>
          <w:rFonts w:ascii="Times New Roman" w:hAnsi="Times New Roman"/>
          <w:vertAlign w:val="superscript"/>
        </w:rPr>
        <w:t>th</w:t>
      </w:r>
      <w:r w:rsidRPr="00E76258">
        <w:rPr>
          <w:rFonts w:ascii="Times New Roman" w:hAnsi="Times New Roman"/>
        </w:rPr>
        <w:t xml:space="preserve"> percentile of utility costs for low-income households in the State.  This new standardized methodology would (with a few exceptions) apply to all States and all allowable utility costs with a standard allowance. </w:t>
      </w:r>
    </w:p>
    <w:p w14:paraId="6273BDA6" w14:textId="77777777" w:rsidR="00341DEE" w:rsidRPr="00AE2B18" w:rsidRDefault="00341DEE" w:rsidP="00E76258">
      <w:pPr>
        <w:pStyle w:val="Heading2"/>
        <w:jc w:val="left"/>
        <w:rPr>
          <w:szCs w:val="24"/>
        </w:rPr>
      </w:pPr>
    </w:p>
    <w:p w14:paraId="6273BDA7" w14:textId="58DF3A7E" w:rsidR="00A308DB" w:rsidRPr="00AE2B18" w:rsidRDefault="005A3F80" w:rsidP="00E76258">
      <w:pPr>
        <w:pStyle w:val="Heading1"/>
        <w:rPr>
          <w:szCs w:val="24"/>
        </w:rPr>
      </w:pPr>
      <w:bookmarkStart w:id="5" w:name="_Toc401831359"/>
      <w:bookmarkStart w:id="6" w:name="_Toc21705860"/>
      <w:r w:rsidRPr="00AE2B18">
        <w:rPr>
          <w:szCs w:val="24"/>
        </w:rPr>
        <w:t xml:space="preserve">3.  </w:t>
      </w:r>
      <w:r w:rsidR="00831EA7" w:rsidRPr="00AE2B18">
        <w:rPr>
          <w:szCs w:val="24"/>
        </w:rPr>
        <w:t xml:space="preserve">Use of </w:t>
      </w:r>
      <w:r w:rsidR="00826253" w:rsidRPr="00AE2B18">
        <w:rPr>
          <w:szCs w:val="24"/>
        </w:rPr>
        <w:t>i</w:t>
      </w:r>
      <w:r w:rsidR="00831EA7" w:rsidRPr="00AE2B18">
        <w:rPr>
          <w:szCs w:val="24"/>
        </w:rPr>
        <w:t xml:space="preserve">nformation </w:t>
      </w:r>
      <w:r w:rsidR="00826253" w:rsidRPr="00AE2B18">
        <w:rPr>
          <w:szCs w:val="24"/>
        </w:rPr>
        <w:t>t</w:t>
      </w:r>
      <w:r w:rsidR="00831EA7" w:rsidRPr="00AE2B18">
        <w:rPr>
          <w:szCs w:val="24"/>
        </w:rPr>
        <w:t xml:space="preserve">echnology and </w:t>
      </w:r>
      <w:r w:rsidR="00826253" w:rsidRPr="00AE2B18">
        <w:rPr>
          <w:szCs w:val="24"/>
        </w:rPr>
        <w:t>b</w:t>
      </w:r>
      <w:r w:rsidR="00831EA7" w:rsidRPr="00AE2B18">
        <w:rPr>
          <w:szCs w:val="24"/>
        </w:rPr>
        <w:t xml:space="preserve">urden </w:t>
      </w:r>
      <w:r w:rsidR="00826253" w:rsidRPr="00AE2B18">
        <w:rPr>
          <w:szCs w:val="24"/>
        </w:rPr>
        <w:t>r</w:t>
      </w:r>
      <w:r w:rsidR="00831EA7" w:rsidRPr="00AE2B18">
        <w:rPr>
          <w:szCs w:val="24"/>
        </w:rPr>
        <w:t>eduction</w:t>
      </w:r>
      <w:r w:rsidRPr="00AE2B18">
        <w:rPr>
          <w:szCs w:val="24"/>
        </w:rPr>
        <w:t>.</w:t>
      </w:r>
      <w:bookmarkEnd w:id="5"/>
      <w:bookmarkEnd w:id="6"/>
      <w:r w:rsidRPr="00AE2B18">
        <w:rPr>
          <w:szCs w:val="24"/>
        </w:rPr>
        <w:t xml:space="preserve">  </w:t>
      </w:r>
    </w:p>
    <w:p w14:paraId="6273BDA8" w14:textId="77777777" w:rsidR="003333DF" w:rsidRPr="00AE2B18" w:rsidRDefault="003333DF" w:rsidP="00E76258">
      <w:pPr>
        <w:tabs>
          <w:tab w:val="left" w:pos="0"/>
        </w:tabs>
        <w:suppressAutoHyphens/>
        <w:rPr>
          <w:rFonts w:ascii="Times New Roman" w:hAnsi="Times New Roman"/>
          <w:szCs w:val="24"/>
        </w:rPr>
      </w:pPr>
    </w:p>
    <w:p w14:paraId="6273BDA9" w14:textId="77777777" w:rsidR="003333DF" w:rsidRPr="00AE2B18" w:rsidRDefault="003333DF" w:rsidP="00E76258">
      <w:pPr>
        <w:rPr>
          <w:rFonts w:ascii="Times New Roman" w:hAnsi="Times New Roman"/>
          <w:b/>
          <w:szCs w:val="24"/>
        </w:rPr>
      </w:pPr>
      <w:r w:rsidRPr="00AE2B18">
        <w:rPr>
          <w:rFonts w:ascii="Times New Roman" w:hAnsi="Times New Roman"/>
          <w:b/>
          <w:szCs w:val="24"/>
        </w:rPr>
        <w:t xml:space="preserve">Describe whether, and to what extent, the collection of information involves the use of </w:t>
      </w:r>
      <w:r w:rsidR="00542C4F" w:rsidRPr="00AE2B18">
        <w:rPr>
          <w:rFonts w:ascii="Times New Roman" w:hAnsi="Times New Roman"/>
          <w:b/>
          <w:szCs w:val="24"/>
        </w:rPr>
        <w:t>automated, electronic, mechanical, or other technolog</w:t>
      </w:r>
      <w:r w:rsidRPr="00AE2B18">
        <w:rPr>
          <w:rFonts w:ascii="Times New Roman" w:hAnsi="Times New Roman"/>
          <w:b/>
          <w:szCs w:val="24"/>
        </w:rPr>
        <w:t>ical collection techniques or oth</w:t>
      </w:r>
      <w:r w:rsidR="00542C4F" w:rsidRPr="00AE2B18">
        <w:rPr>
          <w:rFonts w:ascii="Times New Roman" w:hAnsi="Times New Roman"/>
          <w:b/>
          <w:szCs w:val="24"/>
        </w:rPr>
        <w:t>er forms of information technology, e.g., permitting electronic sub</w:t>
      </w:r>
      <w:r w:rsidRPr="00AE2B18">
        <w:rPr>
          <w:rFonts w:ascii="Times New Roman" w:hAnsi="Times New Roman"/>
          <w:b/>
          <w:szCs w:val="24"/>
        </w:rPr>
        <w:t>mission of responses, and the basis for the decision for adopting this means of co</w:t>
      </w:r>
      <w:r w:rsidR="00542C4F" w:rsidRPr="00AE2B18">
        <w:rPr>
          <w:rFonts w:ascii="Times New Roman" w:hAnsi="Times New Roman"/>
          <w:b/>
          <w:szCs w:val="24"/>
        </w:rPr>
        <w:t>llection. Also describe any con</w:t>
      </w:r>
      <w:r w:rsidRPr="00AE2B18">
        <w:rPr>
          <w:rFonts w:ascii="Times New Roman" w:hAnsi="Times New Roman"/>
          <w:b/>
          <w:szCs w:val="24"/>
        </w:rPr>
        <w:t>sideratio</w:t>
      </w:r>
      <w:r w:rsidR="00542C4F" w:rsidRPr="00AE2B18">
        <w:rPr>
          <w:rFonts w:ascii="Times New Roman" w:hAnsi="Times New Roman"/>
          <w:b/>
          <w:szCs w:val="24"/>
        </w:rPr>
        <w:t>n of using information technology to reduce bur</w:t>
      </w:r>
      <w:r w:rsidRPr="00AE2B18">
        <w:rPr>
          <w:rFonts w:ascii="Times New Roman" w:hAnsi="Times New Roman"/>
          <w:b/>
          <w:szCs w:val="24"/>
        </w:rPr>
        <w:t>den.</w:t>
      </w:r>
    </w:p>
    <w:p w14:paraId="6273BDAA" w14:textId="77777777" w:rsidR="00A308DB" w:rsidRPr="00AE2B18" w:rsidRDefault="00A308DB" w:rsidP="00E76258">
      <w:pPr>
        <w:tabs>
          <w:tab w:val="left" w:pos="0"/>
        </w:tabs>
        <w:suppressAutoHyphens/>
        <w:rPr>
          <w:rFonts w:ascii="Times New Roman" w:hAnsi="Times New Roman"/>
          <w:szCs w:val="24"/>
        </w:rPr>
      </w:pPr>
    </w:p>
    <w:p w14:paraId="4F3B61F5" w14:textId="1D476A3D" w:rsidR="00F45213" w:rsidRPr="00AE2B18" w:rsidRDefault="00F45213" w:rsidP="00044231">
      <w:pPr>
        <w:spacing w:line="480" w:lineRule="auto"/>
        <w:rPr>
          <w:rFonts w:ascii="Times New Roman" w:hAnsi="Times New Roman"/>
          <w:color w:val="000000"/>
          <w:szCs w:val="24"/>
        </w:rPr>
      </w:pPr>
      <w:r w:rsidRPr="00AE2B18">
        <w:rPr>
          <w:rFonts w:ascii="Times New Roman" w:hAnsi="Times New Roman"/>
          <w:color w:val="000000"/>
          <w:szCs w:val="24"/>
        </w:rPr>
        <w:t xml:space="preserve">FNS is committed to complying with the E-Government Act of 2002, to promote the use of the Internet and other information technologies to provide increased opportunities for citizen access to Government information and services, and for other purposes.  This collection includes </w:t>
      </w:r>
      <w:r w:rsidR="009A71CE">
        <w:rPr>
          <w:rFonts w:ascii="Times New Roman" w:hAnsi="Times New Roman"/>
          <w:color w:val="000000"/>
          <w:szCs w:val="24"/>
        </w:rPr>
        <w:t>reporting</w:t>
      </w:r>
      <w:r w:rsidR="009A71CE" w:rsidRPr="00AE2B18">
        <w:rPr>
          <w:rFonts w:ascii="Times New Roman" w:hAnsi="Times New Roman"/>
          <w:color w:val="000000"/>
          <w:szCs w:val="24"/>
        </w:rPr>
        <w:t xml:space="preserve"> </w:t>
      </w:r>
      <w:r w:rsidRPr="00AE2B18">
        <w:rPr>
          <w:rFonts w:ascii="Times New Roman" w:hAnsi="Times New Roman"/>
          <w:color w:val="000000"/>
          <w:szCs w:val="24"/>
        </w:rPr>
        <w:t xml:space="preserve">burden only which does not involve electronic collection techniques.  </w:t>
      </w:r>
    </w:p>
    <w:p w14:paraId="6273BDAC" w14:textId="77777777" w:rsidR="005A3F80" w:rsidRPr="00AE2B18" w:rsidRDefault="005A3F80" w:rsidP="00E76258">
      <w:pPr>
        <w:tabs>
          <w:tab w:val="left" w:pos="0"/>
        </w:tabs>
        <w:suppressAutoHyphens/>
        <w:rPr>
          <w:rFonts w:ascii="Times New Roman" w:hAnsi="Times New Roman"/>
          <w:szCs w:val="24"/>
        </w:rPr>
      </w:pPr>
    </w:p>
    <w:p w14:paraId="6273BDAD" w14:textId="5440E6B3" w:rsidR="00A308DB" w:rsidRPr="00AE2B18" w:rsidRDefault="005A3F80" w:rsidP="00E76258">
      <w:pPr>
        <w:pStyle w:val="Heading1"/>
        <w:rPr>
          <w:szCs w:val="24"/>
        </w:rPr>
      </w:pPr>
      <w:bookmarkStart w:id="7" w:name="_Toc401831360"/>
      <w:bookmarkStart w:id="8" w:name="_Toc21705861"/>
      <w:r w:rsidRPr="00AE2B18">
        <w:rPr>
          <w:szCs w:val="24"/>
        </w:rPr>
        <w:t xml:space="preserve">4.  </w:t>
      </w:r>
      <w:r w:rsidR="002568E6" w:rsidRPr="00AE2B18">
        <w:rPr>
          <w:szCs w:val="24"/>
        </w:rPr>
        <w:t>E</w:t>
      </w:r>
      <w:r w:rsidRPr="00AE2B18">
        <w:rPr>
          <w:szCs w:val="24"/>
        </w:rPr>
        <w:t>fforts to identify duplication.</w:t>
      </w:r>
      <w:bookmarkEnd w:id="7"/>
      <w:bookmarkEnd w:id="8"/>
      <w:r w:rsidRPr="00AE2B18">
        <w:rPr>
          <w:szCs w:val="24"/>
        </w:rPr>
        <w:t xml:space="preserve"> </w:t>
      </w:r>
    </w:p>
    <w:p w14:paraId="6273BDAE" w14:textId="77777777" w:rsidR="003333DF" w:rsidRPr="00AE2B18" w:rsidRDefault="003333DF" w:rsidP="00E76258">
      <w:pPr>
        <w:tabs>
          <w:tab w:val="left" w:pos="0"/>
        </w:tabs>
        <w:suppressAutoHyphens/>
        <w:rPr>
          <w:rFonts w:ascii="Times New Roman" w:hAnsi="Times New Roman"/>
          <w:szCs w:val="24"/>
        </w:rPr>
      </w:pPr>
    </w:p>
    <w:p w14:paraId="6273BDAF" w14:textId="77777777" w:rsidR="003333DF" w:rsidRPr="00AE2B18" w:rsidRDefault="003333DF" w:rsidP="00E76258">
      <w:pPr>
        <w:tabs>
          <w:tab w:val="left" w:pos="0"/>
        </w:tabs>
        <w:suppressAutoHyphens/>
        <w:rPr>
          <w:rFonts w:ascii="Times New Roman" w:hAnsi="Times New Roman"/>
          <w:szCs w:val="24"/>
        </w:rPr>
      </w:pPr>
      <w:r w:rsidRPr="00AE2B18">
        <w:rPr>
          <w:rFonts w:ascii="Times New Roman" w:hAnsi="Times New Roman"/>
          <w:b/>
          <w:szCs w:val="24"/>
        </w:rPr>
        <w:t>Descr</w:t>
      </w:r>
      <w:r w:rsidR="00751946" w:rsidRPr="00AE2B18">
        <w:rPr>
          <w:rFonts w:ascii="Times New Roman" w:hAnsi="Times New Roman"/>
          <w:b/>
          <w:szCs w:val="24"/>
        </w:rPr>
        <w:t>ibe efforts to identify duplica</w:t>
      </w:r>
      <w:r w:rsidRPr="00AE2B18">
        <w:rPr>
          <w:rFonts w:ascii="Times New Roman" w:hAnsi="Times New Roman"/>
          <w:b/>
          <w:szCs w:val="24"/>
        </w:rPr>
        <w:t>tion.</w:t>
      </w:r>
      <w:r w:rsidR="00751946" w:rsidRPr="00AE2B18">
        <w:rPr>
          <w:rFonts w:ascii="Times New Roman" w:hAnsi="Times New Roman"/>
          <w:b/>
          <w:szCs w:val="24"/>
        </w:rPr>
        <w:t xml:space="preserve">  Show specifically why any similar information already avail</w:t>
      </w:r>
      <w:r w:rsidRPr="00AE2B18">
        <w:rPr>
          <w:rFonts w:ascii="Times New Roman" w:hAnsi="Times New Roman"/>
          <w:b/>
          <w:szCs w:val="24"/>
        </w:rPr>
        <w:t xml:space="preserve">able cannot be used or </w:t>
      </w:r>
      <w:r w:rsidR="00751946" w:rsidRPr="00AE2B18">
        <w:rPr>
          <w:rFonts w:ascii="Times New Roman" w:hAnsi="Times New Roman"/>
          <w:b/>
          <w:szCs w:val="24"/>
        </w:rPr>
        <w:t>modified for use for the purposes descri</w:t>
      </w:r>
      <w:r w:rsidRPr="00AE2B18">
        <w:rPr>
          <w:rFonts w:ascii="Times New Roman" w:hAnsi="Times New Roman"/>
          <w:b/>
          <w:szCs w:val="24"/>
        </w:rPr>
        <w:t>bed in Question 2.</w:t>
      </w:r>
    </w:p>
    <w:p w14:paraId="6273BDB0" w14:textId="77777777" w:rsidR="009F7E1A" w:rsidRPr="00AE2B18" w:rsidRDefault="009F7E1A" w:rsidP="00E76258">
      <w:pPr>
        <w:tabs>
          <w:tab w:val="left" w:pos="-720"/>
        </w:tabs>
        <w:suppressAutoHyphens/>
        <w:rPr>
          <w:rFonts w:ascii="Times New Roman" w:hAnsi="Times New Roman"/>
          <w:szCs w:val="24"/>
        </w:rPr>
      </w:pPr>
    </w:p>
    <w:p w14:paraId="09D0A300" w14:textId="77777777" w:rsidR="00DD2F4D" w:rsidRDefault="00DD2F4D" w:rsidP="00044231">
      <w:pPr>
        <w:pStyle w:val="BodyTextIndent3"/>
        <w:spacing w:after="0" w:line="480" w:lineRule="auto"/>
        <w:ind w:left="0"/>
        <w:rPr>
          <w:spacing w:val="-3"/>
          <w:sz w:val="24"/>
          <w:szCs w:val="24"/>
        </w:rPr>
      </w:pPr>
    </w:p>
    <w:p w14:paraId="535AC90B" w14:textId="2DE37372" w:rsidR="00F45213" w:rsidRDefault="00F45213" w:rsidP="00044231">
      <w:pPr>
        <w:pStyle w:val="BodyTextIndent3"/>
        <w:spacing w:after="0" w:line="480" w:lineRule="auto"/>
        <w:ind w:left="0"/>
        <w:rPr>
          <w:spacing w:val="-3"/>
          <w:sz w:val="24"/>
          <w:szCs w:val="24"/>
        </w:rPr>
      </w:pPr>
      <w:r w:rsidRPr="00AE2B18">
        <w:rPr>
          <w:spacing w:val="-3"/>
          <w:sz w:val="24"/>
          <w:szCs w:val="24"/>
        </w:rPr>
        <w:t>Every effort has been made to avoid duplication.  FNS has reviewed USDA recordkeeping requirements, state administrative agency recordkeeping requirements, and special studies by other government and private agencies.  FNS solely monitors and administers the Supplemental Nutrition Assistance Program.</w:t>
      </w:r>
    </w:p>
    <w:p w14:paraId="6F8BD602" w14:textId="77777777" w:rsidR="00CC1ABD" w:rsidRPr="00AE2B18" w:rsidRDefault="00CC1ABD" w:rsidP="00E76258">
      <w:pPr>
        <w:pStyle w:val="BodyTextIndent3"/>
        <w:spacing w:after="0"/>
        <w:ind w:left="0"/>
        <w:rPr>
          <w:spacing w:val="-3"/>
          <w:sz w:val="24"/>
          <w:szCs w:val="24"/>
        </w:rPr>
      </w:pPr>
    </w:p>
    <w:p w14:paraId="6273BDB3" w14:textId="18F742E6" w:rsidR="00A308DB" w:rsidRPr="00AE2B18" w:rsidRDefault="005A3F80" w:rsidP="00044231">
      <w:pPr>
        <w:pStyle w:val="Heading1"/>
        <w:rPr>
          <w:szCs w:val="24"/>
        </w:rPr>
      </w:pPr>
      <w:bookmarkStart w:id="9" w:name="_Toc401831361"/>
      <w:bookmarkStart w:id="10" w:name="_Toc21705862"/>
      <w:r w:rsidRPr="00AE2B18">
        <w:rPr>
          <w:szCs w:val="24"/>
        </w:rPr>
        <w:t>5.  Impacts on small businesses or other small entities.</w:t>
      </w:r>
      <w:bookmarkEnd w:id="9"/>
      <w:bookmarkEnd w:id="10"/>
      <w:r w:rsidRPr="00AE2B18">
        <w:rPr>
          <w:szCs w:val="24"/>
        </w:rPr>
        <w:t xml:space="preserve">  </w:t>
      </w:r>
    </w:p>
    <w:p w14:paraId="6273BDB4" w14:textId="77777777" w:rsidR="003333DF" w:rsidRPr="00AE2B18" w:rsidRDefault="003333DF" w:rsidP="00044231">
      <w:pPr>
        <w:tabs>
          <w:tab w:val="left" w:pos="0"/>
        </w:tabs>
        <w:suppressAutoHyphens/>
        <w:rPr>
          <w:rFonts w:ascii="Times New Roman" w:hAnsi="Times New Roman"/>
          <w:szCs w:val="24"/>
        </w:rPr>
      </w:pPr>
    </w:p>
    <w:p w14:paraId="6273BDB5" w14:textId="77777777" w:rsidR="003333DF" w:rsidRPr="00AE2B18" w:rsidRDefault="003333DF" w:rsidP="00044231">
      <w:pPr>
        <w:tabs>
          <w:tab w:val="left" w:pos="0"/>
        </w:tabs>
        <w:suppressAutoHyphens/>
        <w:rPr>
          <w:rFonts w:ascii="Times New Roman" w:hAnsi="Times New Roman"/>
          <w:szCs w:val="24"/>
        </w:rPr>
      </w:pPr>
      <w:r w:rsidRPr="00AE2B18">
        <w:rPr>
          <w:rFonts w:ascii="Times New Roman" w:hAnsi="Times New Roman"/>
          <w:b/>
          <w:szCs w:val="24"/>
        </w:rPr>
        <w:t>If t</w:t>
      </w:r>
      <w:r w:rsidR="006E4B7F" w:rsidRPr="00AE2B18">
        <w:rPr>
          <w:rFonts w:ascii="Times New Roman" w:hAnsi="Times New Roman"/>
          <w:b/>
          <w:szCs w:val="24"/>
        </w:rPr>
        <w:t>he collection of information im</w:t>
      </w:r>
      <w:r w:rsidRPr="00AE2B18">
        <w:rPr>
          <w:rFonts w:ascii="Times New Roman" w:hAnsi="Times New Roman"/>
          <w:b/>
          <w:szCs w:val="24"/>
        </w:rPr>
        <w:t>pacts small businesses or other small entities (Item 5 of OMB Form 83-I), de</w:t>
      </w:r>
      <w:r w:rsidR="006E4B7F" w:rsidRPr="00AE2B18">
        <w:rPr>
          <w:rFonts w:ascii="Times New Roman" w:hAnsi="Times New Roman"/>
          <w:b/>
          <w:szCs w:val="24"/>
        </w:rPr>
        <w:t>scribe any methods used to mini</w:t>
      </w:r>
      <w:r w:rsidRPr="00AE2B18">
        <w:rPr>
          <w:rFonts w:ascii="Times New Roman" w:hAnsi="Times New Roman"/>
          <w:b/>
          <w:szCs w:val="24"/>
        </w:rPr>
        <w:t>mize burden.</w:t>
      </w:r>
    </w:p>
    <w:p w14:paraId="6273BDB6" w14:textId="77777777" w:rsidR="00A308DB" w:rsidRPr="00AE2B18" w:rsidRDefault="00A308DB" w:rsidP="00E76258">
      <w:pPr>
        <w:tabs>
          <w:tab w:val="left" w:pos="0"/>
        </w:tabs>
        <w:suppressAutoHyphens/>
        <w:rPr>
          <w:rFonts w:ascii="Times New Roman" w:hAnsi="Times New Roman"/>
          <w:szCs w:val="24"/>
        </w:rPr>
      </w:pPr>
    </w:p>
    <w:p w14:paraId="7588CD20" w14:textId="77777777" w:rsidR="00F45213" w:rsidRPr="00AE2B18" w:rsidRDefault="00F45213" w:rsidP="00044231">
      <w:pPr>
        <w:tabs>
          <w:tab w:val="left" w:pos="-720"/>
        </w:tabs>
        <w:suppressAutoHyphens/>
        <w:spacing w:line="480" w:lineRule="auto"/>
        <w:rPr>
          <w:rFonts w:ascii="Times New Roman" w:hAnsi="Times New Roman"/>
          <w:spacing w:val="-3"/>
          <w:szCs w:val="24"/>
        </w:rPr>
      </w:pPr>
      <w:r w:rsidRPr="00AE2B18">
        <w:rPr>
          <w:rFonts w:ascii="Times New Roman" w:hAnsi="Times New Roman"/>
          <w:color w:val="000000"/>
          <w:szCs w:val="24"/>
        </w:rPr>
        <w:t xml:space="preserve">Information being requested or required has been held to the minimum required for the intended use.  </w:t>
      </w:r>
      <w:r w:rsidRPr="00AE2B18">
        <w:rPr>
          <w:rFonts w:ascii="Times New Roman" w:hAnsi="Times New Roman"/>
          <w:spacing w:val="-3"/>
          <w:szCs w:val="24"/>
        </w:rPr>
        <w:t xml:space="preserve">No small entities are impacted by this collection of information.    </w:t>
      </w:r>
    </w:p>
    <w:p w14:paraId="6273BDB9" w14:textId="07D1DC26" w:rsidR="00A308DB" w:rsidRPr="00AE2B18" w:rsidRDefault="005A3F80" w:rsidP="00E76258">
      <w:pPr>
        <w:pStyle w:val="Heading1"/>
        <w:rPr>
          <w:szCs w:val="24"/>
        </w:rPr>
      </w:pPr>
      <w:bookmarkStart w:id="11" w:name="_Toc401831362"/>
      <w:bookmarkStart w:id="12" w:name="_Toc21705863"/>
      <w:r w:rsidRPr="00AE2B18">
        <w:rPr>
          <w:szCs w:val="24"/>
        </w:rPr>
        <w:t xml:space="preserve">6.  Consequences </w:t>
      </w:r>
      <w:r w:rsidR="00826253" w:rsidRPr="00AE2B18">
        <w:rPr>
          <w:szCs w:val="24"/>
        </w:rPr>
        <w:t xml:space="preserve">of collecting the </w:t>
      </w:r>
      <w:r w:rsidR="00DA0E06" w:rsidRPr="00AE2B18">
        <w:rPr>
          <w:szCs w:val="24"/>
        </w:rPr>
        <w:t>i</w:t>
      </w:r>
      <w:r w:rsidR="00826253" w:rsidRPr="00AE2B18">
        <w:rPr>
          <w:szCs w:val="24"/>
        </w:rPr>
        <w:t xml:space="preserve">nformation </w:t>
      </w:r>
      <w:r w:rsidRPr="00AE2B18">
        <w:rPr>
          <w:szCs w:val="24"/>
        </w:rPr>
        <w:t>less frequently.</w:t>
      </w:r>
      <w:bookmarkEnd w:id="11"/>
      <w:bookmarkEnd w:id="12"/>
      <w:r w:rsidRPr="00AE2B18">
        <w:rPr>
          <w:szCs w:val="24"/>
        </w:rPr>
        <w:t xml:space="preserve">  </w:t>
      </w:r>
    </w:p>
    <w:p w14:paraId="6273BDBA" w14:textId="77777777" w:rsidR="003333DF" w:rsidRPr="00AE2B18" w:rsidRDefault="003333DF" w:rsidP="00E76258">
      <w:pPr>
        <w:tabs>
          <w:tab w:val="left" w:pos="0"/>
        </w:tabs>
        <w:suppressAutoHyphens/>
        <w:rPr>
          <w:rFonts w:ascii="Times New Roman" w:hAnsi="Times New Roman"/>
          <w:szCs w:val="24"/>
        </w:rPr>
      </w:pPr>
    </w:p>
    <w:p w14:paraId="6273BDBB" w14:textId="77777777" w:rsidR="003333DF" w:rsidRPr="00AE2B18" w:rsidRDefault="003333DF" w:rsidP="00E76258">
      <w:pPr>
        <w:rPr>
          <w:rFonts w:ascii="Times New Roman" w:hAnsi="Times New Roman"/>
          <w:b/>
          <w:szCs w:val="24"/>
        </w:rPr>
      </w:pPr>
      <w:r w:rsidRPr="00AE2B18">
        <w:rPr>
          <w:rFonts w:ascii="Times New Roman" w:hAnsi="Times New Roman"/>
          <w:b/>
          <w:szCs w:val="24"/>
        </w:rPr>
        <w:t>Describe the consequence to Federal program or policy activities if the collect</w:t>
      </w:r>
      <w:r w:rsidR="00E315C8" w:rsidRPr="00AE2B18">
        <w:rPr>
          <w:rFonts w:ascii="Times New Roman" w:hAnsi="Times New Roman"/>
          <w:b/>
          <w:szCs w:val="24"/>
        </w:rPr>
        <w:t>ion is not conducted, or is conducted less frequent</w:t>
      </w:r>
      <w:r w:rsidRPr="00AE2B18">
        <w:rPr>
          <w:rFonts w:ascii="Times New Roman" w:hAnsi="Times New Roman"/>
          <w:b/>
          <w:szCs w:val="24"/>
        </w:rPr>
        <w:t>ly, as well as any technical or legal obstacles to reducing burden.</w:t>
      </w:r>
    </w:p>
    <w:p w14:paraId="6273BDBC" w14:textId="77777777" w:rsidR="00E11A38" w:rsidRPr="00AE2B18" w:rsidRDefault="00E11A38" w:rsidP="00E76258">
      <w:pPr>
        <w:tabs>
          <w:tab w:val="left" w:pos="-720"/>
        </w:tabs>
        <w:suppressAutoHyphens/>
        <w:rPr>
          <w:rFonts w:ascii="Times New Roman" w:hAnsi="Times New Roman"/>
          <w:szCs w:val="24"/>
        </w:rPr>
      </w:pPr>
    </w:p>
    <w:p w14:paraId="43C86231" w14:textId="5B7558B0" w:rsidR="00F45213" w:rsidRPr="00AE2B18" w:rsidRDefault="00643B70" w:rsidP="00044231">
      <w:pPr>
        <w:pStyle w:val="BodyTextIndent3"/>
        <w:spacing w:after="0" w:line="480" w:lineRule="auto"/>
        <w:ind w:left="0"/>
        <w:rPr>
          <w:color w:val="000000"/>
          <w:sz w:val="24"/>
          <w:szCs w:val="24"/>
        </w:rPr>
      </w:pPr>
      <w:r>
        <w:rPr>
          <w:spacing w:val="-3"/>
          <w:sz w:val="24"/>
          <w:szCs w:val="24"/>
        </w:rPr>
        <w:t xml:space="preserve">This is an ongoing, mandatory data collection required by statute.  </w:t>
      </w:r>
      <w:r w:rsidR="00F45213" w:rsidRPr="00AE2B18">
        <w:rPr>
          <w:spacing w:val="-3"/>
          <w:sz w:val="24"/>
          <w:szCs w:val="24"/>
        </w:rPr>
        <w:t xml:space="preserve">The information is collected for the purpose of ensuring </w:t>
      </w:r>
      <w:r>
        <w:rPr>
          <w:spacing w:val="-3"/>
          <w:sz w:val="24"/>
          <w:szCs w:val="24"/>
        </w:rPr>
        <w:t xml:space="preserve">integrity and </w:t>
      </w:r>
      <w:r w:rsidR="00F45213" w:rsidRPr="00AE2B18">
        <w:rPr>
          <w:spacing w:val="-3"/>
          <w:sz w:val="24"/>
          <w:szCs w:val="24"/>
        </w:rPr>
        <w:t>compliance with SNAP regulations by</w:t>
      </w:r>
      <w:r w:rsidR="00F45213" w:rsidRPr="00AE2B18">
        <w:rPr>
          <w:color w:val="000000"/>
          <w:sz w:val="24"/>
          <w:szCs w:val="24"/>
        </w:rPr>
        <w:t xml:space="preserve"> State agencies and applicant house, local educational agencies and local schools.  If this information is not </w:t>
      </w:r>
      <w:r w:rsidR="00F45213" w:rsidRPr="005D385E">
        <w:rPr>
          <w:color w:val="000000"/>
          <w:sz w:val="24"/>
          <w:szCs w:val="24"/>
        </w:rPr>
        <w:t xml:space="preserve">collected or is collected less frequently, </w:t>
      </w:r>
      <w:r>
        <w:rPr>
          <w:color w:val="000000"/>
          <w:sz w:val="24"/>
          <w:szCs w:val="24"/>
        </w:rPr>
        <w:t xml:space="preserve">State would not be in compliance, </w:t>
      </w:r>
      <w:r w:rsidR="005D385E" w:rsidRPr="005D385E">
        <w:rPr>
          <w:color w:val="000000"/>
          <w:sz w:val="24"/>
          <w:szCs w:val="24"/>
        </w:rPr>
        <w:t xml:space="preserve">FNS </w:t>
      </w:r>
      <w:r w:rsidR="00F45213" w:rsidRPr="005D385E">
        <w:rPr>
          <w:color w:val="000000"/>
          <w:sz w:val="24"/>
          <w:szCs w:val="24"/>
        </w:rPr>
        <w:t xml:space="preserve">would not </w:t>
      </w:r>
      <w:r w:rsidR="005D385E" w:rsidRPr="005D385E">
        <w:rPr>
          <w:color w:val="000000"/>
          <w:sz w:val="24"/>
          <w:szCs w:val="24"/>
        </w:rPr>
        <w:t xml:space="preserve">know if States are using the correct SUAs </w:t>
      </w:r>
      <w:r w:rsidR="00F45213" w:rsidRPr="005D385E">
        <w:rPr>
          <w:color w:val="000000"/>
          <w:sz w:val="24"/>
          <w:szCs w:val="24"/>
        </w:rPr>
        <w:t>to properly certify</w:t>
      </w:r>
      <w:r w:rsidR="00DF6F8F" w:rsidRPr="005D385E">
        <w:rPr>
          <w:color w:val="000000"/>
          <w:sz w:val="24"/>
          <w:szCs w:val="24"/>
        </w:rPr>
        <w:t xml:space="preserve"> households and millions of dollars in SNAP benefits </w:t>
      </w:r>
      <w:r w:rsidR="005D385E" w:rsidRPr="005D385E">
        <w:rPr>
          <w:color w:val="000000"/>
          <w:sz w:val="24"/>
          <w:szCs w:val="24"/>
        </w:rPr>
        <w:t>c</w:t>
      </w:r>
      <w:r w:rsidR="00DF6F8F" w:rsidRPr="005D385E">
        <w:rPr>
          <w:color w:val="000000"/>
          <w:sz w:val="24"/>
          <w:szCs w:val="24"/>
        </w:rPr>
        <w:t xml:space="preserve">ould be issued </w:t>
      </w:r>
      <w:r w:rsidR="005D385E" w:rsidRPr="005D385E">
        <w:rPr>
          <w:color w:val="000000"/>
          <w:sz w:val="24"/>
          <w:szCs w:val="24"/>
        </w:rPr>
        <w:t>incorrectly</w:t>
      </w:r>
      <w:r w:rsidR="00F45213" w:rsidRPr="005D385E">
        <w:rPr>
          <w:color w:val="000000"/>
          <w:sz w:val="24"/>
          <w:szCs w:val="24"/>
        </w:rPr>
        <w:t>.</w:t>
      </w:r>
      <w:r w:rsidR="00F45213" w:rsidRPr="00AE2B18">
        <w:rPr>
          <w:color w:val="000000"/>
          <w:sz w:val="24"/>
          <w:szCs w:val="24"/>
        </w:rPr>
        <w:t xml:space="preserve"> </w:t>
      </w:r>
    </w:p>
    <w:p w14:paraId="6273BDBE" w14:textId="77777777" w:rsidR="00E11A38" w:rsidRPr="00AE2B18" w:rsidRDefault="00E11A38" w:rsidP="00E76258">
      <w:pPr>
        <w:tabs>
          <w:tab w:val="left" w:pos="-720"/>
        </w:tabs>
        <w:suppressAutoHyphens/>
        <w:rPr>
          <w:rFonts w:ascii="Times New Roman" w:hAnsi="Times New Roman"/>
          <w:szCs w:val="24"/>
        </w:rPr>
      </w:pPr>
    </w:p>
    <w:p w14:paraId="6273BDBF" w14:textId="157D6D2C" w:rsidR="00A308DB" w:rsidRPr="00AE2B18" w:rsidRDefault="00213436" w:rsidP="00E76258">
      <w:pPr>
        <w:pStyle w:val="Heading1"/>
        <w:rPr>
          <w:szCs w:val="24"/>
        </w:rPr>
      </w:pPr>
      <w:bookmarkStart w:id="13" w:name="_Toc401831363"/>
      <w:bookmarkStart w:id="14" w:name="_Toc21705864"/>
      <w:r w:rsidRPr="00AE2B18">
        <w:rPr>
          <w:szCs w:val="24"/>
        </w:rPr>
        <w:t xml:space="preserve">7.  </w:t>
      </w:r>
      <w:r w:rsidR="00A37C87" w:rsidRPr="00AE2B18">
        <w:rPr>
          <w:szCs w:val="24"/>
        </w:rPr>
        <w:t>Special c</w:t>
      </w:r>
      <w:r w:rsidRPr="00AE2B18">
        <w:rPr>
          <w:szCs w:val="24"/>
        </w:rPr>
        <w:t xml:space="preserve">ircumstances </w:t>
      </w:r>
      <w:r w:rsidR="00A37C87" w:rsidRPr="00AE2B18">
        <w:rPr>
          <w:szCs w:val="24"/>
        </w:rPr>
        <w:t>relating to the Guidelines of</w:t>
      </w:r>
      <w:r w:rsidRPr="00AE2B18">
        <w:rPr>
          <w:szCs w:val="24"/>
        </w:rPr>
        <w:t xml:space="preserve"> 5 CFR 1320.</w:t>
      </w:r>
      <w:r w:rsidR="003C6BDD" w:rsidRPr="00AE2B18">
        <w:rPr>
          <w:szCs w:val="24"/>
        </w:rPr>
        <w:t>5</w:t>
      </w:r>
      <w:r w:rsidRPr="00AE2B18">
        <w:rPr>
          <w:szCs w:val="24"/>
        </w:rPr>
        <w:t>.</w:t>
      </w:r>
      <w:bookmarkEnd w:id="13"/>
      <w:bookmarkEnd w:id="14"/>
      <w:r w:rsidRPr="00AE2B18">
        <w:rPr>
          <w:szCs w:val="24"/>
        </w:rPr>
        <w:t xml:space="preserve">  </w:t>
      </w:r>
    </w:p>
    <w:p w14:paraId="6273BDC0" w14:textId="77777777" w:rsidR="00A308DB" w:rsidRPr="00AE2B18" w:rsidRDefault="00A308DB" w:rsidP="00E76258">
      <w:pPr>
        <w:tabs>
          <w:tab w:val="left" w:pos="0"/>
        </w:tabs>
        <w:suppressAutoHyphens/>
        <w:rPr>
          <w:rFonts w:ascii="Times New Roman" w:hAnsi="Times New Roman"/>
          <w:szCs w:val="24"/>
        </w:rPr>
      </w:pPr>
    </w:p>
    <w:p w14:paraId="6273BDC1" w14:textId="77777777" w:rsidR="003333DF" w:rsidRPr="00AE2B18" w:rsidRDefault="003333DF" w:rsidP="00E76258">
      <w:pPr>
        <w:widowControl/>
        <w:rPr>
          <w:rFonts w:ascii="Times New Roman" w:hAnsi="Times New Roman"/>
          <w:b/>
          <w:szCs w:val="24"/>
        </w:rPr>
      </w:pPr>
      <w:r w:rsidRPr="00AE2B18">
        <w:rPr>
          <w:rFonts w:ascii="Times New Roman" w:hAnsi="Times New Roman"/>
          <w:b/>
          <w:szCs w:val="24"/>
        </w:rPr>
        <w:t>Explain any special circumstances that woul</w:t>
      </w:r>
      <w:r w:rsidR="00CF7CB1" w:rsidRPr="00AE2B18">
        <w:rPr>
          <w:rFonts w:ascii="Times New Roman" w:hAnsi="Times New Roman"/>
          <w:b/>
          <w:szCs w:val="24"/>
        </w:rPr>
        <w:t>d cause an information collecti</w:t>
      </w:r>
      <w:r w:rsidRPr="00AE2B18">
        <w:rPr>
          <w:rFonts w:ascii="Times New Roman" w:hAnsi="Times New Roman"/>
          <w:b/>
          <w:szCs w:val="24"/>
        </w:rPr>
        <w:t>on to</w:t>
      </w:r>
      <w:r w:rsidR="00CF7CB1" w:rsidRPr="00AE2B18">
        <w:rPr>
          <w:rFonts w:ascii="Times New Roman" w:hAnsi="Times New Roman"/>
          <w:b/>
          <w:szCs w:val="24"/>
        </w:rPr>
        <w:t xml:space="preserve"> be con</w:t>
      </w:r>
      <w:r w:rsidRPr="00AE2B18">
        <w:rPr>
          <w:rFonts w:ascii="Times New Roman" w:hAnsi="Times New Roman"/>
          <w:b/>
          <w:szCs w:val="24"/>
        </w:rPr>
        <w:t xml:space="preserve">ducted in a manner: </w:t>
      </w:r>
    </w:p>
    <w:p w14:paraId="6273BDC2" w14:textId="77777777" w:rsidR="003333DF" w:rsidRPr="00AE2B18" w:rsidRDefault="003333DF" w:rsidP="00E76258">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E2B18">
        <w:rPr>
          <w:rFonts w:ascii="Times New Roman" w:hAnsi="Times New Roman"/>
          <w:b/>
          <w:szCs w:val="24"/>
        </w:rPr>
        <w:t>Requirin</w:t>
      </w:r>
      <w:r w:rsidR="00CF7CB1" w:rsidRPr="00AE2B18">
        <w:rPr>
          <w:rFonts w:ascii="Times New Roman" w:hAnsi="Times New Roman"/>
          <w:b/>
          <w:szCs w:val="24"/>
        </w:rPr>
        <w:t>g respondents to report informa</w:t>
      </w:r>
      <w:r w:rsidRPr="00AE2B18">
        <w:rPr>
          <w:rFonts w:ascii="Times New Roman" w:hAnsi="Times New Roman"/>
          <w:b/>
          <w:szCs w:val="24"/>
        </w:rPr>
        <w:t xml:space="preserve">tion to the agency more often than quarterly; </w:t>
      </w:r>
    </w:p>
    <w:p w14:paraId="6273BDC3" w14:textId="77777777" w:rsidR="003333DF" w:rsidRPr="00AE2B18" w:rsidRDefault="003333DF" w:rsidP="00E76258">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E2B18">
        <w:rPr>
          <w:rFonts w:ascii="Times New Roman" w:hAnsi="Times New Roman"/>
          <w:b/>
          <w:szCs w:val="24"/>
        </w:rPr>
        <w:t>Requirin</w:t>
      </w:r>
      <w:r w:rsidR="008F3F14" w:rsidRPr="00AE2B18">
        <w:rPr>
          <w:rFonts w:ascii="Times New Roman" w:hAnsi="Times New Roman"/>
          <w:b/>
          <w:szCs w:val="24"/>
        </w:rPr>
        <w:t>g respondents to prepare a writ</w:t>
      </w:r>
      <w:r w:rsidRPr="00AE2B18">
        <w:rPr>
          <w:rFonts w:ascii="Times New Roman" w:hAnsi="Times New Roman"/>
          <w:b/>
          <w:szCs w:val="24"/>
        </w:rPr>
        <w:t>ten re</w:t>
      </w:r>
      <w:r w:rsidR="008F3F14" w:rsidRPr="00AE2B18">
        <w:rPr>
          <w:rFonts w:ascii="Times New Roman" w:hAnsi="Times New Roman"/>
          <w:b/>
          <w:szCs w:val="24"/>
        </w:rPr>
        <w:t>sponse to a collection of informa</w:t>
      </w:r>
      <w:r w:rsidRPr="00AE2B18">
        <w:rPr>
          <w:rFonts w:ascii="Times New Roman" w:hAnsi="Times New Roman"/>
          <w:b/>
          <w:szCs w:val="24"/>
        </w:rPr>
        <w:t xml:space="preserve">tion in fewer than 30 days after receipt of it; </w:t>
      </w:r>
    </w:p>
    <w:p w14:paraId="6273BDC4" w14:textId="77777777" w:rsidR="003333DF" w:rsidRPr="00AE2B18" w:rsidRDefault="003333DF" w:rsidP="00E76258">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E2B18">
        <w:rPr>
          <w:rFonts w:ascii="Times New Roman" w:hAnsi="Times New Roman"/>
          <w:b/>
          <w:szCs w:val="24"/>
        </w:rPr>
        <w:t>Requiring respondents to submit more than an orig</w:t>
      </w:r>
      <w:r w:rsidR="008F3F14" w:rsidRPr="00AE2B18">
        <w:rPr>
          <w:rFonts w:ascii="Times New Roman" w:hAnsi="Times New Roman"/>
          <w:b/>
          <w:szCs w:val="24"/>
        </w:rPr>
        <w:t>inal and two copies of any docu</w:t>
      </w:r>
      <w:r w:rsidRPr="00AE2B18">
        <w:rPr>
          <w:rFonts w:ascii="Times New Roman" w:hAnsi="Times New Roman"/>
          <w:b/>
          <w:szCs w:val="24"/>
        </w:rPr>
        <w:t xml:space="preserve">ment; </w:t>
      </w:r>
    </w:p>
    <w:p w14:paraId="6273BDC5" w14:textId="77777777" w:rsidR="003333DF" w:rsidRPr="00AE2B18" w:rsidRDefault="003333DF" w:rsidP="00E76258">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E2B18">
        <w:rPr>
          <w:rFonts w:ascii="Times New Roman" w:hAnsi="Times New Roman"/>
          <w:b/>
          <w:szCs w:val="24"/>
        </w:rPr>
        <w:t>Req</w:t>
      </w:r>
      <w:r w:rsidR="008F3F14" w:rsidRPr="00AE2B18">
        <w:rPr>
          <w:rFonts w:ascii="Times New Roman" w:hAnsi="Times New Roman"/>
          <w:b/>
          <w:szCs w:val="24"/>
        </w:rPr>
        <w:t>uiring respondents to retain re</w:t>
      </w:r>
      <w:r w:rsidRPr="00AE2B18">
        <w:rPr>
          <w:rFonts w:ascii="Times New Roman" w:hAnsi="Times New Roman"/>
          <w:b/>
          <w:szCs w:val="24"/>
        </w:rPr>
        <w:t>cords, othe</w:t>
      </w:r>
      <w:r w:rsidR="008F3F14" w:rsidRPr="00AE2B18">
        <w:rPr>
          <w:rFonts w:ascii="Times New Roman" w:hAnsi="Times New Roman"/>
          <w:b/>
          <w:szCs w:val="24"/>
        </w:rPr>
        <w:t>r than health, medical, governm</w:t>
      </w:r>
      <w:r w:rsidRPr="00AE2B18">
        <w:rPr>
          <w:rFonts w:ascii="Times New Roman" w:hAnsi="Times New Roman"/>
          <w:b/>
          <w:szCs w:val="24"/>
        </w:rPr>
        <w:t>ent contract, grant-in-aid, or tax records for more than three years</w:t>
      </w:r>
      <w:r w:rsidR="008F3F14" w:rsidRPr="00AE2B18">
        <w:rPr>
          <w:rFonts w:ascii="Times New Roman" w:hAnsi="Times New Roman"/>
          <w:b/>
          <w:szCs w:val="24"/>
        </w:rPr>
        <w:t>;</w:t>
      </w:r>
    </w:p>
    <w:p w14:paraId="6273BDC6" w14:textId="77777777" w:rsidR="003333DF" w:rsidRPr="00AE2B18" w:rsidRDefault="008F3F14" w:rsidP="00E76258">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E2B18">
        <w:rPr>
          <w:rFonts w:ascii="Times New Roman" w:hAnsi="Times New Roman"/>
          <w:b/>
          <w:szCs w:val="24"/>
        </w:rPr>
        <w:t>In connection with a statistical survey, that is not de</w:t>
      </w:r>
      <w:r w:rsidR="003333DF" w:rsidRPr="00AE2B18">
        <w:rPr>
          <w:rFonts w:ascii="Times New Roman" w:hAnsi="Times New Roman"/>
          <w:b/>
          <w:szCs w:val="24"/>
        </w:rPr>
        <w:t>s</w:t>
      </w:r>
      <w:r w:rsidRPr="00AE2B18">
        <w:rPr>
          <w:rFonts w:ascii="Times New Roman" w:hAnsi="Times New Roman"/>
          <w:b/>
          <w:szCs w:val="24"/>
        </w:rPr>
        <w:t>igned to produce valid and reli</w:t>
      </w:r>
      <w:r w:rsidR="003333DF" w:rsidRPr="00AE2B18">
        <w:rPr>
          <w:rFonts w:ascii="Times New Roman" w:hAnsi="Times New Roman"/>
          <w:b/>
          <w:szCs w:val="24"/>
        </w:rPr>
        <w:t>a</w:t>
      </w:r>
      <w:r w:rsidRPr="00AE2B18">
        <w:rPr>
          <w:rFonts w:ascii="Times New Roman" w:hAnsi="Times New Roman"/>
          <w:b/>
          <w:szCs w:val="24"/>
        </w:rPr>
        <w:t>ble results that can be generalized to the uni</w:t>
      </w:r>
      <w:r w:rsidR="003333DF" w:rsidRPr="00AE2B18">
        <w:rPr>
          <w:rFonts w:ascii="Times New Roman" w:hAnsi="Times New Roman"/>
          <w:b/>
          <w:szCs w:val="24"/>
        </w:rPr>
        <w:t xml:space="preserve">verse of study; </w:t>
      </w:r>
    </w:p>
    <w:p w14:paraId="6273BDC7" w14:textId="77777777" w:rsidR="003333DF" w:rsidRPr="00AE2B18" w:rsidRDefault="008F3F14" w:rsidP="00E76258">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E2B18">
        <w:rPr>
          <w:rFonts w:ascii="Times New Roman" w:hAnsi="Times New Roman"/>
          <w:b/>
          <w:szCs w:val="24"/>
        </w:rPr>
        <w:t>Requiring the use of a statistical data classi</w:t>
      </w:r>
      <w:r w:rsidR="003333DF" w:rsidRPr="00AE2B18">
        <w:rPr>
          <w:rFonts w:ascii="Times New Roman" w:hAnsi="Times New Roman"/>
          <w:b/>
          <w:szCs w:val="24"/>
        </w:rPr>
        <w:t>fication that has not been</w:t>
      </w:r>
      <w:r w:rsidRPr="00AE2B18">
        <w:rPr>
          <w:rFonts w:ascii="Times New Roman" w:hAnsi="Times New Roman"/>
          <w:b/>
          <w:szCs w:val="24"/>
        </w:rPr>
        <w:t xml:space="preserve"> reviewed and approved by OMB;</w:t>
      </w:r>
    </w:p>
    <w:p w14:paraId="6273BDC8" w14:textId="77777777" w:rsidR="003333DF" w:rsidRPr="00AE2B18" w:rsidRDefault="003333DF" w:rsidP="00E76258">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E2B18">
        <w:rPr>
          <w:rFonts w:ascii="Times New Roman" w:hAnsi="Times New Roman"/>
          <w:b/>
          <w:szCs w:val="24"/>
        </w:rPr>
        <w:t>That includ</w:t>
      </w:r>
      <w:r w:rsidR="00383C0A" w:rsidRPr="00AE2B18">
        <w:rPr>
          <w:rFonts w:ascii="Times New Roman" w:hAnsi="Times New Roman"/>
          <w:b/>
          <w:szCs w:val="24"/>
        </w:rPr>
        <w:t>es a pledge of confidentiality that is not supported by authority established in statute or regulation, that is not supported by dis</w:t>
      </w:r>
      <w:r w:rsidRPr="00AE2B18">
        <w:rPr>
          <w:rFonts w:ascii="Times New Roman" w:hAnsi="Times New Roman"/>
          <w:b/>
          <w:szCs w:val="24"/>
        </w:rPr>
        <w:t>closure and data security policies that are consistent wi</w:t>
      </w:r>
      <w:r w:rsidR="00383C0A" w:rsidRPr="00AE2B18">
        <w:rPr>
          <w:rFonts w:ascii="Times New Roman" w:hAnsi="Times New Roman"/>
          <w:b/>
          <w:szCs w:val="24"/>
        </w:rPr>
        <w:t>th the pledge, or which unnecessarily impedes shar</w:t>
      </w:r>
      <w:r w:rsidRPr="00AE2B18">
        <w:rPr>
          <w:rFonts w:ascii="Times New Roman" w:hAnsi="Times New Roman"/>
          <w:b/>
          <w:szCs w:val="24"/>
        </w:rPr>
        <w:t>ing of d</w:t>
      </w:r>
      <w:r w:rsidR="00383C0A" w:rsidRPr="00AE2B18">
        <w:rPr>
          <w:rFonts w:ascii="Times New Roman" w:hAnsi="Times New Roman"/>
          <w:b/>
          <w:szCs w:val="24"/>
        </w:rPr>
        <w:t>ata with other agencies for com</w:t>
      </w:r>
      <w:r w:rsidR="00D3753F" w:rsidRPr="00AE2B18">
        <w:rPr>
          <w:rFonts w:ascii="Times New Roman" w:hAnsi="Times New Roman"/>
          <w:b/>
          <w:szCs w:val="24"/>
        </w:rPr>
        <w:t>patible confiden</w:t>
      </w:r>
      <w:r w:rsidRPr="00AE2B18">
        <w:rPr>
          <w:rFonts w:ascii="Times New Roman" w:hAnsi="Times New Roman"/>
          <w:b/>
          <w:szCs w:val="24"/>
        </w:rPr>
        <w:t xml:space="preserve">tial use; or </w:t>
      </w:r>
    </w:p>
    <w:p w14:paraId="6273BDC9" w14:textId="77777777" w:rsidR="003333DF" w:rsidRPr="00AE2B18" w:rsidRDefault="003333DF" w:rsidP="00E76258">
      <w:pPr>
        <w:pStyle w:val="BodyText"/>
        <w:numPr>
          <w:ilvl w:val="0"/>
          <w:numId w:val="19"/>
        </w:numPr>
        <w:rPr>
          <w:b w:val="0"/>
          <w:szCs w:val="24"/>
        </w:rPr>
      </w:pPr>
      <w:r w:rsidRPr="00AE2B18">
        <w:rPr>
          <w:szCs w:val="24"/>
        </w:rPr>
        <w:t>Requiri</w:t>
      </w:r>
      <w:r w:rsidR="0032533B" w:rsidRPr="00AE2B18">
        <w:rPr>
          <w:szCs w:val="24"/>
        </w:rPr>
        <w:t>ng respondents to submit propri</w:t>
      </w:r>
      <w:r w:rsidRPr="00AE2B18">
        <w:rPr>
          <w:szCs w:val="24"/>
        </w:rPr>
        <w:t>etary trade secret, or other confidential informat</w:t>
      </w:r>
      <w:r w:rsidR="0032533B" w:rsidRPr="00AE2B18">
        <w:rPr>
          <w:szCs w:val="24"/>
        </w:rPr>
        <w:t>ion unless the agency can demon</w:t>
      </w:r>
      <w:r w:rsidRPr="00AE2B18">
        <w:rPr>
          <w:szCs w:val="24"/>
        </w:rPr>
        <w:t>strate that it has instituted procedures to protect the information's confidentiali</w:t>
      </w:r>
      <w:r w:rsidR="0032533B" w:rsidRPr="00AE2B18">
        <w:rPr>
          <w:szCs w:val="24"/>
        </w:rPr>
        <w:t>ty to the extent permit</w:t>
      </w:r>
      <w:r w:rsidRPr="00AE2B18">
        <w:rPr>
          <w:szCs w:val="24"/>
        </w:rPr>
        <w:t>ted by law.</w:t>
      </w:r>
    </w:p>
    <w:p w14:paraId="6273BDCA" w14:textId="77777777" w:rsidR="003333DF" w:rsidRPr="00AE2B18" w:rsidRDefault="003333DF" w:rsidP="00E76258">
      <w:pPr>
        <w:tabs>
          <w:tab w:val="left" w:pos="0"/>
        </w:tabs>
        <w:suppressAutoHyphens/>
        <w:rPr>
          <w:rFonts w:ascii="Times New Roman" w:hAnsi="Times New Roman"/>
          <w:szCs w:val="24"/>
        </w:rPr>
      </w:pPr>
    </w:p>
    <w:p w14:paraId="6273BDCB" w14:textId="7DD2DC44" w:rsidR="00E11A38" w:rsidRPr="00AE2B18" w:rsidRDefault="00DF6F8F" w:rsidP="00044231">
      <w:pPr>
        <w:tabs>
          <w:tab w:val="left" w:pos="-720"/>
        </w:tabs>
        <w:suppressAutoHyphens/>
        <w:spacing w:line="480" w:lineRule="auto"/>
        <w:rPr>
          <w:rFonts w:ascii="Times New Roman" w:hAnsi="Times New Roman"/>
          <w:szCs w:val="24"/>
        </w:rPr>
      </w:pPr>
      <w:r w:rsidRPr="00AE2B18">
        <w:rPr>
          <w:rFonts w:ascii="Times New Roman" w:hAnsi="Times New Roman"/>
          <w:szCs w:val="24"/>
        </w:rPr>
        <w:t>There are no circumstances that will cause the information collection to be inconsistent with the guidelines of 5 CFR 1320.5.</w:t>
      </w:r>
    </w:p>
    <w:p w14:paraId="6273BDCD" w14:textId="77777777" w:rsidR="00BE0B08" w:rsidRPr="00AE2B18" w:rsidRDefault="00BE0B08" w:rsidP="00E76258">
      <w:pPr>
        <w:tabs>
          <w:tab w:val="left" w:pos="0"/>
        </w:tabs>
        <w:suppressAutoHyphens/>
        <w:rPr>
          <w:rFonts w:ascii="Times New Roman" w:hAnsi="Times New Roman"/>
          <w:szCs w:val="24"/>
        </w:rPr>
      </w:pPr>
    </w:p>
    <w:p w14:paraId="6273BDCE" w14:textId="4F6CA186" w:rsidR="00BE0B08" w:rsidRPr="00AE2B18" w:rsidRDefault="00BE0B08" w:rsidP="00E76258">
      <w:pPr>
        <w:pStyle w:val="Heading1"/>
        <w:rPr>
          <w:szCs w:val="24"/>
        </w:rPr>
      </w:pPr>
      <w:bookmarkStart w:id="15" w:name="_Toc401831364"/>
      <w:bookmarkStart w:id="16" w:name="_Toc21705865"/>
      <w:r w:rsidRPr="00AE2B18">
        <w:rPr>
          <w:szCs w:val="24"/>
        </w:rPr>
        <w:t xml:space="preserve">8.  </w:t>
      </w:r>
      <w:r w:rsidR="005917B8" w:rsidRPr="00AE2B18">
        <w:rPr>
          <w:szCs w:val="24"/>
        </w:rPr>
        <w:t xml:space="preserve">Comments to the Federal Register Notice and efforts </w:t>
      </w:r>
      <w:r w:rsidR="002568E6" w:rsidRPr="00AE2B18">
        <w:rPr>
          <w:szCs w:val="24"/>
        </w:rPr>
        <w:t xml:space="preserve">for </w:t>
      </w:r>
      <w:r w:rsidR="005917B8" w:rsidRPr="00AE2B18">
        <w:rPr>
          <w:szCs w:val="24"/>
        </w:rPr>
        <w:t>consult</w:t>
      </w:r>
      <w:r w:rsidR="002568E6" w:rsidRPr="00AE2B18">
        <w:rPr>
          <w:szCs w:val="24"/>
        </w:rPr>
        <w:t>ation</w:t>
      </w:r>
      <w:r w:rsidR="005917B8" w:rsidRPr="00AE2B18">
        <w:rPr>
          <w:szCs w:val="24"/>
        </w:rPr>
        <w:t>.</w:t>
      </w:r>
      <w:bookmarkEnd w:id="15"/>
      <w:bookmarkEnd w:id="16"/>
      <w:r w:rsidRPr="00AE2B18">
        <w:rPr>
          <w:szCs w:val="24"/>
        </w:rPr>
        <w:t xml:space="preserve">  </w:t>
      </w:r>
    </w:p>
    <w:p w14:paraId="6273BDCF" w14:textId="77777777" w:rsidR="003333DF" w:rsidRPr="00AE2B18" w:rsidRDefault="003333DF" w:rsidP="00E76258">
      <w:pPr>
        <w:tabs>
          <w:tab w:val="left" w:pos="450"/>
        </w:tabs>
        <w:suppressAutoHyphens/>
        <w:ind w:left="450" w:hanging="450"/>
        <w:rPr>
          <w:rFonts w:ascii="Times New Roman" w:hAnsi="Times New Roman"/>
          <w:szCs w:val="24"/>
        </w:rPr>
      </w:pPr>
    </w:p>
    <w:p w14:paraId="6273BDD0" w14:textId="77777777" w:rsidR="003333DF" w:rsidRPr="00AE2B18" w:rsidRDefault="003333DF" w:rsidP="00E76258">
      <w:pPr>
        <w:rPr>
          <w:rFonts w:ascii="Times New Roman" w:hAnsi="Times New Roman"/>
          <w:b/>
          <w:szCs w:val="24"/>
        </w:rPr>
      </w:pPr>
      <w:r w:rsidRPr="00AE2B18">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E2B18">
        <w:rPr>
          <w:rFonts w:ascii="Times New Roman" w:hAnsi="Times New Roman"/>
          <w:b/>
          <w:szCs w:val="24"/>
        </w:rPr>
        <w:tab/>
      </w:r>
    </w:p>
    <w:p w14:paraId="699ED5A5" w14:textId="77777777" w:rsidR="00DF6F8F" w:rsidRPr="00AE2B18" w:rsidRDefault="00DF6F8F" w:rsidP="00E76258">
      <w:pPr>
        <w:pStyle w:val="BodyText"/>
        <w:rPr>
          <w:b w:val="0"/>
          <w:spacing w:val="-3"/>
          <w:szCs w:val="24"/>
        </w:rPr>
      </w:pPr>
    </w:p>
    <w:p w14:paraId="2321FACA" w14:textId="176C5658" w:rsidR="00DF6F8F" w:rsidRPr="00AE2B18" w:rsidRDefault="00DF6F8F" w:rsidP="00044231">
      <w:pPr>
        <w:pStyle w:val="BodyText"/>
        <w:spacing w:line="480" w:lineRule="auto"/>
        <w:rPr>
          <w:b w:val="0"/>
          <w:color w:val="000000"/>
          <w:szCs w:val="24"/>
        </w:rPr>
      </w:pPr>
      <w:r w:rsidRPr="00AE2B18">
        <w:rPr>
          <w:b w:val="0"/>
          <w:spacing w:val="-3"/>
          <w:szCs w:val="24"/>
        </w:rPr>
        <w:t xml:space="preserve">A 60-day Federal Register Notice is embedded in the </w:t>
      </w:r>
      <w:r w:rsidRPr="005D385E">
        <w:rPr>
          <w:b w:val="0"/>
          <w:spacing w:val="-3"/>
          <w:szCs w:val="24"/>
        </w:rPr>
        <w:t xml:space="preserve">proposed rule </w:t>
      </w:r>
      <w:r w:rsidR="003A5ACA" w:rsidRPr="005D385E">
        <w:rPr>
          <w:b w:val="0"/>
          <w:spacing w:val="-3"/>
          <w:szCs w:val="24"/>
        </w:rPr>
        <w:t xml:space="preserve">titled </w:t>
      </w:r>
      <w:r w:rsidR="005D385E" w:rsidRPr="00CC1ABD">
        <w:rPr>
          <w:b w:val="0"/>
          <w:i/>
          <w:szCs w:val="24"/>
        </w:rPr>
        <w:t>Standardization of State Heating and Cooling Standard Utility Allowances</w:t>
      </w:r>
      <w:r w:rsidR="00643B70">
        <w:rPr>
          <w:b w:val="0"/>
          <w:i/>
          <w:szCs w:val="24"/>
        </w:rPr>
        <w:t xml:space="preserve"> </w:t>
      </w:r>
      <w:r w:rsidR="00643B70" w:rsidRPr="004D245A">
        <w:rPr>
          <w:b w:val="0"/>
          <w:szCs w:val="24"/>
        </w:rPr>
        <w:t xml:space="preserve">published October 3, 2019 in 84 FR </w:t>
      </w:r>
      <w:r w:rsidR="00643B70">
        <w:rPr>
          <w:b w:val="0"/>
          <w:szCs w:val="24"/>
        </w:rPr>
        <w:t xml:space="preserve">Page </w:t>
      </w:r>
      <w:r w:rsidR="00643B70" w:rsidRPr="004D245A">
        <w:rPr>
          <w:b w:val="0"/>
          <w:szCs w:val="24"/>
        </w:rPr>
        <w:t>52809</w:t>
      </w:r>
      <w:r w:rsidRPr="00643B70">
        <w:rPr>
          <w:b w:val="0"/>
          <w:color w:val="000000"/>
          <w:szCs w:val="24"/>
        </w:rPr>
        <w:t>.</w:t>
      </w:r>
      <w:r w:rsidRPr="00AE2B18">
        <w:rPr>
          <w:b w:val="0"/>
          <w:color w:val="000000"/>
          <w:szCs w:val="24"/>
        </w:rPr>
        <w:t xml:space="preserve">  Comments will be received and evaluated on the information collection requirements.  </w:t>
      </w:r>
      <w:r w:rsidRPr="00AE2B18">
        <w:rPr>
          <w:b w:val="0"/>
          <w:spacing w:val="-3"/>
          <w:szCs w:val="24"/>
        </w:rPr>
        <w:t xml:space="preserve">During this time, interested members of the public have the opportunity to provide FNS with comments concerning the necessity, practical utility, accuracy, and merit of the information collection activities proposed.  Comments will be address during the final stage of rulemaking.  </w:t>
      </w:r>
    </w:p>
    <w:p w14:paraId="6273BDD1" w14:textId="77777777" w:rsidR="003333DF" w:rsidRPr="00AE2B18" w:rsidRDefault="003333DF" w:rsidP="00E76258">
      <w:pPr>
        <w:rPr>
          <w:rFonts w:ascii="Times New Roman" w:hAnsi="Times New Roman"/>
          <w:b/>
          <w:szCs w:val="24"/>
        </w:rPr>
      </w:pPr>
    </w:p>
    <w:p w14:paraId="6273BDD2" w14:textId="77777777" w:rsidR="003333DF" w:rsidRPr="00AE2B18" w:rsidRDefault="003333DF" w:rsidP="00E76258">
      <w:pPr>
        <w:rPr>
          <w:rFonts w:ascii="Times New Roman" w:hAnsi="Times New Roman"/>
          <w:b/>
          <w:szCs w:val="24"/>
        </w:rPr>
      </w:pPr>
      <w:r w:rsidRPr="00AE2B18">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964F534" w14:textId="77777777" w:rsidR="00DF6F8F" w:rsidRPr="00AE2B18" w:rsidRDefault="00DF6F8F" w:rsidP="00E76258">
      <w:pPr>
        <w:rPr>
          <w:rFonts w:ascii="Times New Roman" w:hAnsi="Times New Roman"/>
          <w:b/>
          <w:szCs w:val="24"/>
        </w:rPr>
      </w:pPr>
    </w:p>
    <w:p w14:paraId="711FADF8" w14:textId="2D6E9B00" w:rsidR="00DF6F8F" w:rsidRPr="00AE2B18" w:rsidRDefault="00DF6F8F" w:rsidP="00044231">
      <w:pPr>
        <w:spacing w:line="480" w:lineRule="auto"/>
        <w:rPr>
          <w:rFonts w:ascii="Times New Roman" w:hAnsi="Times New Roman"/>
          <w:szCs w:val="24"/>
        </w:rPr>
      </w:pPr>
      <w:r w:rsidRPr="00AE2B18">
        <w:rPr>
          <w:rFonts w:ascii="Times New Roman" w:hAnsi="Times New Roman"/>
          <w:szCs w:val="24"/>
        </w:rPr>
        <w:t>When FNS revises an information collection package, the information is posted on the Agency Web page for review and comment by</w:t>
      </w:r>
      <w:r w:rsidR="00643B70">
        <w:rPr>
          <w:rFonts w:ascii="Times New Roman" w:hAnsi="Times New Roman"/>
          <w:szCs w:val="24"/>
        </w:rPr>
        <w:t xml:space="preserve"> FNS</w:t>
      </w:r>
      <w:r w:rsidRPr="00AE2B18">
        <w:rPr>
          <w:rFonts w:ascii="Times New Roman" w:hAnsi="Times New Roman"/>
          <w:szCs w:val="24"/>
        </w:rPr>
        <w:t xml:space="preserve"> Regional Offices, State agencies, community groups, and the public.  FNS also consults with </w:t>
      </w:r>
      <w:r w:rsidR="00643B70">
        <w:rPr>
          <w:rFonts w:ascii="Times New Roman" w:hAnsi="Times New Roman"/>
          <w:szCs w:val="24"/>
        </w:rPr>
        <w:t xml:space="preserve">its </w:t>
      </w:r>
      <w:r w:rsidRPr="00AE2B18">
        <w:rPr>
          <w:rFonts w:ascii="Times New Roman" w:hAnsi="Times New Roman"/>
          <w:szCs w:val="24"/>
        </w:rPr>
        <w:t xml:space="preserve">Regional Offices regarding any proposed changes as the result of legislative, regulatory or administrative changes.  </w:t>
      </w:r>
      <w:r w:rsidR="00643B70">
        <w:rPr>
          <w:rFonts w:ascii="Times New Roman" w:hAnsi="Times New Roman"/>
          <w:szCs w:val="24"/>
        </w:rPr>
        <w:t xml:space="preserve">FNS </w:t>
      </w:r>
      <w:r w:rsidRPr="00AE2B18">
        <w:rPr>
          <w:rFonts w:ascii="Times New Roman" w:hAnsi="Times New Roman"/>
          <w:szCs w:val="24"/>
        </w:rPr>
        <w:t>Regional offices are in contact with State agencies which provide feedback on processes and procedures for the information collection.</w:t>
      </w:r>
    </w:p>
    <w:p w14:paraId="6273BDD3" w14:textId="77777777" w:rsidR="003333DF" w:rsidRPr="00AE2B18" w:rsidRDefault="003333DF" w:rsidP="00E76258">
      <w:pPr>
        <w:rPr>
          <w:rFonts w:ascii="Times New Roman" w:hAnsi="Times New Roman"/>
          <w:b/>
          <w:szCs w:val="24"/>
        </w:rPr>
      </w:pPr>
    </w:p>
    <w:p w14:paraId="6273BDD8" w14:textId="0B5177C6" w:rsidR="00BE0B08" w:rsidRPr="00AE2B18" w:rsidRDefault="00BE0B08" w:rsidP="00E76258">
      <w:pPr>
        <w:pStyle w:val="Heading1"/>
        <w:rPr>
          <w:szCs w:val="24"/>
        </w:rPr>
      </w:pPr>
      <w:bookmarkStart w:id="17" w:name="_Toc401831365"/>
      <w:bookmarkStart w:id="18" w:name="_Toc21705866"/>
      <w:r w:rsidRPr="00AE2B18">
        <w:rPr>
          <w:szCs w:val="24"/>
        </w:rPr>
        <w:t>9.  Explain any decisions to provide any payment or gift to respondents.</w:t>
      </w:r>
      <w:bookmarkEnd w:id="17"/>
      <w:bookmarkEnd w:id="18"/>
      <w:r w:rsidRPr="00AE2B18">
        <w:rPr>
          <w:szCs w:val="24"/>
        </w:rPr>
        <w:t xml:space="preserve">  </w:t>
      </w:r>
    </w:p>
    <w:p w14:paraId="6273BDD9" w14:textId="77777777" w:rsidR="003333DF" w:rsidRPr="00AE2B18" w:rsidRDefault="003333DF" w:rsidP="00E76258">
      <w:pPr>
        <w:tabs>
          <w:tab w:val="left" w:pos="0"/>
        </w:tabs>
        <w:suppressAutoHyphens/>
        <w:rPr>
          <w:rFonts w:ascii="Times New Roman" w:hAnsi="Times New Roman"/>
          <w:szCs w:val="24"/>
        </w:rPr>
      </w:pPr>
    </w:p>
    <w:p w14:paraId="6273BDDD" w14:textId="6AB50FA5" w:rsidR="00ED28F2" w:rsidRDefault="00DF6F8F" w:rsidP="00E76258">
      <w:pPr>
        <w:tabs>
          <w:tab w:val="left" w:pos="-720"/>
        </w:tabs>
        <w:suppressAutoHyphens/>
        <w:rPr>
          <w:rFonts w:ascii="Times New Roman" w:hAnsi="Times New Roman"/>
          <w:szCs w:val="24"/>
        </w:rPr>
      </w:pPr>
      <w:r w:rsidRPr="00AE2B18">
        <w:rPr>
          <w:rFonts w:ascii="Times New Roman" w:hAnsi="Times New Roman"/>
          <w:szCs w:val="24"/>
        </w:rPr>
        <w:t>No payment or gift will be provided to respondents.</w:t>
      </w:r>
    </w:p>
    <w:p w14:paraId="3F2619BD" w14:textId="77777777" w:rsidR="00CC1ABD" w:rsidRPr="00AE2B18" w:rsidRDefault="00CC1ABD" w:rsidP="00E76258">
      <w:pPr>
        <w:tabs>
          <w:tab w:val="left" w:pos="-720"/>
        </w:tabs>
        <w:suppressAutoHyphens/>
        <w:rPr>
          <w:rFonts w:ascii="Times New Roman" w:hAnsi="Times New Roman"/>
          <w:szCs w:val="24"/>
        </w:rPr>
      </w:pPr>
    </w:p>
    <w:p w14:paraId="6273BDDE" w14:textId="2B9B9936" w:rsidR="00BE0B08" w:rsidRPr="00AE2B18" w:rsidRDefault="00BE0B08" w:rsidP="00E76258">
      <w:pPr>
        <w:pStyle w:val="Heading1"/>
        <w:rPr>
          <w:szCs w:val="24"/>
        </w:rPr>
      </w:pPr>
      <w:bookmarkStart w:id="19" w:name="_Toc401831366"/>
      <w:bookmarkStart w:id="20" w:name="_Toc21705867"/>
      <w:r w:rsidRPr="00AE2B18">
        <w:rPr>
          <w:szCs w:val="24"/>
        </w:rPr>
        <w:t>10.  Assurances of confidentiality provided to respondents.</w:t>
      </w:r>
      <w:bookmarkEnd w:id="19"/>
      <w:bookmarkEnd w:id="20"/>
      <w:r w:rsidRPr="00AE2B18">
        <w:rPr>
          <w:szCs w:val="24"/>
        </w:rPr>
        <w:t xml:space="preserve">  </w:t>
      </w:r>
    </w:p>
    <w:p w14:paraId="6273BDDF" w14:textId="77777777" w:rsidR="003333DF" w:rsidRPr="00AE2B18" w:rsidRDefault="003333DF" w:rsidP="00E76258">
      <w:pPr>
        <w:rPr>
          <w:rFonts w:ascii="Times New Roman" w:hAnsi="Times New Roman"/>
          <w:szCs w:val="24"/>
        </w:rPr>
      </w:pPr>
    </w:p>
    <w:p w14:paraId="6273BDE3" w14:textId="421FB8AF" w:rsidR="00ED28F2" w:rsidRDefault="00DF6F8F" w:rsidP="00044231">
      <w:pPr>
        <w:tabs>
          <w:tab w:val="left" w:pos="-720"/>
        </w:tabs>
        <w:suppressAutoHyphens/>
        <w:spacing w:line="480" w:lineRule="auto"/>
        <w:rPr>
          <w:rFonts w:ascii="Times New Roman" w:hAnsi="Times New Roman"/>
          <w:szCs w:val="24"/>
        </w:rPr>
      </w:pPr>
      <w:r w:rsidRPr="00AE2B18">
        <w:rPr>
          <w:rFonts w:ascii="Times New Roman" w:hAnsi="Times New Roman"/>
          <w:szCs w:val="24"/>
        </w:rPr>
        <w:t xml:space="preserve">The Department complies with the Privacy Act of 1974.  No confidential information is associated with this information collection.  </w:t>
      </w:r>
    </w:p>
    <w:p w14:paraId="55FCDD8D" w14:textId="77777777" w:rsidR="00CC1ABD" w:rsidRPr="00AE2B18" w:rsidRDefault="00CC1ABD" w:rsidP="00E76258">
      <w:pPr>
        <w:tabs>
          <w:tab w:val="left" w:pos="-720"/>
        </w:tabs>
        <w:suppressAutoHyphens/>
        <w:rPr>
          <w:rFonts w:ascii="Times New Roman" w:hAnsi="Times New Roman"/>
          <w:szCs w:val="24"/>
        </w:rPr>
      </w:pPr>
    </w:p>
    <w:p w14:paraId="6273BDE4" w14:textId="7CE656C4" w:rsidR="00A308DB" w:rsidRPr="00AE2B18" w:rsidRDefault="00BE0B08" w:rsidP="00E76258">
      <w:pPr>
        <w:pStyle w:val="Heading1"/>
        <w:rPr>
          <w:szCs w:val="24"/>
        </w:rPr>
      </w:pPr>
      <w:bookmarkStart w:id="21" w:name="_Toc401831367"/>
      <w:bookmarkStart w:id="22" w:name="_Toc21705868"/>
      <w:r w:rsidRPr="00AE2B18">
        <w:rPr>
          <w:szCs w:val="24"/>
        </w:rPr>
        <w:t>11.  Justification for any questions of a sensitive nature.</w:t>
      </w:r>
      <w:bookmarkEnd w:id="21"/>
      <w:bookmarkEnd w:id="22"/>
      <w:r w:rsidRPr="00AE2B18">
        <w:rPr>
          <w:szCs w:val="24"/>
        </w:rPr>
        <w:t xml:space="preserve">  </w:t>
      </w:r>
      <w:r w:rsidR="005A3F80" w:rsidRPr="00AE2B18">
        <w:rPr>
          <w:szCs w:val="24"/>
        </w:rPr>
        <w:t xml:space="preserve">  </w:t>
      </w:r>
    </w:p>
    <w:p w14:paraId="6273BDE5" w14:textId="77777777" w:rsidR="003333DF" w:rsidRPr="00AE2B18" w:rsidRDefault="003333DF" w:rsidP="00E76258">
      <w:pPr>
        <w:tabs>
          <w:tab w:val="left" w:pos="0"/>
        </w:tabs>
        <w:suppressAutoHyphens/>
        <w:rPr>
          <w:rFonts w:ascii="Times New Roman" w:hAnsi="Times New Roman"/>
          <w:szCs w:val="24"/>
        </w:rPr>
      </w:pPr>
    </w:p>
    <w:p w14:paraId="6273BDE6" w14:textId="77777777" w:rsidR="003333DF" w:rsidRPr="00AE2B18" w:rsidRDefault="003333DF" w:rsidP="00E76258">
      <w:pPr>
        <w:tabs>
          <w:tab w:val="left" w:pos="0"/>
        </w:tabs>
        <w:suppressAutoHyphens/>
        <w:rPr>
          <w:rFonts w:ascii="Times New Roman" w:hAnsi="Times New Roman"/>
          <w:b/>
          <w:szCs w:val="24"/>
        </w:rPr>
      </w:pPr>
      <w:r w:rsidRPr="00AE2B18">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273BDE7" w14:textId="77777777" w:rsidR="00ED28F2" w:rsidRPr="00AE2B18" w:rsidRDefault="00ED28F2" w:rsidP="00E76258">
      <w:pPr>
        <w:tabs>
          <w:tab w:val="left" w:pos="-720"/>
        </w:tabs>
        <w:suppressAutoHyphens/>
        <w:rPr>
          <w:rFonts w:ascii="Times New Roman" w:hAnsi="Times New Roman"/>
          <w:szCs w:val="24"/>
        </w:rPr>
      </w:pPr>
    </w:p>
    <w:p w14:paraId="78BE9C21" w14:textId="1AB6000E" w:rsidR="00354C03" w:rsidRDefault="00354C03" w:rsidP="00E76258">
      <w:pPr>
        <w:pStyle w:val="BodyText"/>
        <w:rPr>
          <w:b w:val="0"/>
          <w:color w:val="000000"/>
          <w:szCs w:val="24"/>
        </w:rPr>
      </w:pPr>
      <w:r w:rsidRPr="00AE2B18">
        <w:rPr>
          <w:b w:val="0"/>
          <w:color w:val="000000"/>
          <w:szCs w:val="24"/>
        </w:rPr>
        <w:t>There are no questions of a sensitive nature included in this clearance package.</w:t>
      </w:r>
    </w:p>
    <w:p w14:paraId="532CE0F1" w14:textId="77777777" w:rsidR="00CC1ABD" w:rsidRPr="00AE2B18" w:rsidRDefault="00CC1ABD" w:rsidP="00E76258">
      <w:pPr>
        <w:pStyle w:val="BodyText"/>
        <w:rPr>
          <w:b w:val="0"/>
          <w:color w:val="000000"/>
          <w:szCs w:val="24"/>
        </w:rPr>
      </w:pPr>
    </w:p>
    <w:p w14:paraId="6273BDEA" w14:textId="1C7FC518" w:rsidR="000438E8" w:rsidRPr="00AE2B18" w:rsidRDefault="00354C03" w:rsidP="00E76258">
      <w:pPr>
        <w:tabs>
          <w:tab w:val="left" w:pos="-720"/>
        </w:tabs>
        <w:suppressAutoHyphens/>
        <w:rPr>
          <w:rFonts w:ascii="Times New Roman" w:hAnsi="Times New Roman"/>
          <w:b/>
          <w:szCs w:val="24"/>
        </w:rPr>
      </w:pPr>
      <w:r w:rsidRPr="00AE2B18">
        <w:rPr>
          <w:rFonts w:ascii="Times New Roman" w:hAnsi="Times New Roman"/>
          <w:b/>
          <w:szCs w:val="24"/>
        </w:rPr>
        <w:t xml:space="preserve"> </w:t>
      </w:r>
      <w:bookmarkStart w:id="23" w:name="_Toc401831368"/>
      <w:r w:rsidR="000438E8" w:rsidRPr="00AE2B18">
        <w:rPr>
          <w:rFonts w:ascii="Times New Roman" w:hAnsi="Times New Roman"/>
          <w:b/>
          <w:szCs w:val="24"/>
        </w:rPr>
        <w:t>12.  Estimates of the hour burden of the collection of information.</w:t>
      </w:r>
      <w:bookmarkEnd w:id="23"/>
      <w:r w:rsidR="000438E8" w:rsidRPr="00AE2B18">
        <w:rPr>
          <w:rFonts w:ascii="Times New Roman" w:hAnsi="Times New Roman"/>
          <w:b/>
          <w:szCs w:val="24"/>
        </w:rPr>
        <w:t xml:space="preserve">  </w:t>
      </w:r>
    </w:p>
    <w:p w14:paraId="6273BDEB" w14:textId="77777777" w:rsidR="003333DF" w:rsidRPr="00AE2B18" w:rsidRDefault="003333DF" w:rsidP="00E76258">
      <w:pPr>
        <w:tabs>
          <w:tab w:val="left" w:pos="0"/>
        </w:tabs>
        <w:suppressAutoHyphens/>
        <w:rPr>
          <w:rFonts w:ascii="Times New Roman" w:hAnsi="Times New Roman"/>
          <w:b/>
          <w:szCs w:val="24"/>
        </w:rPr>
      </w:pPr>
    </w:p>
    <w:p w14:paraId="6273BDEC" w14:textId="77777777" w:rsidR="003333DF" w:rsidRPr="00AE2B18" w:rsidRDefault="003333DF" w:rsidP="00E76258">
      <w:pPr>
        <w:tabs>
          <w:tab w:val="left" w:pos="0"/>
        </w:tabs>
        <w:suppressAutoHyphens/>
        <w:rPr>
          <w:rFonts w:ascii="Times New Roman" w:hAnsi="Times New Roman"/>
          <w:b/>
          <w:szCs w:val="24"/>
        </w:rPr>
      </w:pPr>
      <w:r w:rsidRPr="00AE2B18">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6273BDED" w14:textId="77777777" w:rsidR="003333DF" w:rsidRPr="00AE2B18" w:rsidRDefault="003333DF" w:rsidP="00E76258">
      <w:pPr>
        <w:tabs>
          <w:tab w:val="left" w:pos="0"/>
        </w:tabs>
        <w:suppressAutoHyphens/>
        <w:rPr>
          <w:rFonts w:ascii="Times New Roman" w:hAnsi="Times New Roman"/>
          <w:b/>
          <w:szCs w:val="24"/>
        </w:rPr>
      </w:pPr>
    </w:p>
    <w:p w14:paraId="6273BDEE" w14:textId="1827F75D" w:rsidR="003333DF" w:rsidRPr="00AE2B18" w:rsidRDefault="003333DF" w:rsidP="00E76258">
      <w:pPr>
        <w:tabs>
          <w:tab w:val="left" w:pos="0"/>
        </w:tabs>
        <w:rPr>
          <w:rFonts w:ascii="Times New Roman" w:hAnsi="Times New Roman"/>
          <w:b/>
          <w:szCs w:val="24"/>
        </w:rPr>
      </w:pPr>
      <w:r w:rsidRPr="00AE2B18">
        <w:rPr>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08B22065" w14:textId="77777777" w:rsidR="00CF77AF" w:rsidRPr="00AE2B18" w:rsidRDefault="00CF77AF" w:rsidP="00E76258">
      <w:pPr>
        <w:tabs>
          <w:tab w:val="left" w:pos="0"/>
        </w:tabs>
        <w:rPr>
          <w:rFonts w:ascii="Times New Roman" w:hAnsi="Times New Roman"/>
          <w:b/>
          <w:szCs w:val="24"/>
        </w:rPr>
      </w:pPr>
    </w:p>
    <w:p w14:paraId="13C7D865" w14:textId="67CB4A1D" w:rsidR="009A71CE" w:rsidRDefault="009A71CE" w:rsidP="00044231">
      <w:pPr>
        <w:pStyle w:val="BodyText"/>
        <w:spacing w:line="480" w:lineRule="auto"/>
        <w:rPr>
          <w:b w:val="0"/>
          <w:color w:val="000000"/>
          <w:szCs w:val="24"/>
        </w:rPr>
      </w:pPr>
      <w:r w:rsidRPr="009A71CE">
        <w:rPr>
          <w:b w:val="0"/>
          <w:color w:val="000000"/>
          <w:szCs w:val="24"/>
        </w:rPr>
        <w:t xml:space="preserve">Currently it takes 53 SA ten (10) hours each to gather, compile, review and submit the SUA compliances.  This requirements allows State agencies to establish SUAs in place of the actual utility costs incurred by a household. State agencies are required to review and adjust SUAs annually to reflect changes in the costs of utilities. </w:t>
      </w:r>
      <w:r>
        <w:rPr>
          <w:b w:val="0"/>
          <w:color w:val="000000"/>
          <w:szCs w:val="24"/>
        </w:rPr>
        <w:t xml:space="preserve"> </w:t>
      </w:r>
      <w:r w:rsidRPr="009A71CE">
        <w:rPr>
          <w:b w:val="0"/>
          <w:color w:val="000000"/>
          <w:szCs w:val="24"/>
        </w:rPr>
        <w:t>States must provide the amounts of the standards to FNS when they have changed, and submit methodologies used in developing and updating standards to FNS for approval when the methodologies are updated or changed.</w:t>
      </w:r>
    </w:p>
    <w:p w14:paraId="435EED67" w14:textId="77777777" w:rsidR="009A71CE" w:rsidRDefault="009A71CE" w:rsidP="00044231">
      <w:pPr>
        <w:pStyle w:val="BodyText"/>
        <w:spacing w:line="480" w:lineRule="auto"/>
        <w:rPr>
          <w:b w:val="0"/>
          <w:color w:val="000000"/>
          <w:szCs w:val="24"/>
        </w:rPr>
      </w:pPr>
    </w:p>
    <w:p w14:paraId="11B66C28" w14:textId="3415CCCF" w:rsidR="00494B91" w:rsidRDefault="003A5ACA" w:rsidP="00044231">
      <w:pPr>
        <w:pStyle w:val="BodyText"/>
        <w:spacing w:line="480" w:lineRule="auto"/>
        <w:rPr>
          <w:b w:val="0"/>
          <w:color w:val="000000"/>
          <w:szCs w:val="24"/>
        </w:rPr>
      </w:pPr>
      <w:r w:rsidRPr="0054678C">
        <w:rPr>
          <w:b w:val="0"/>
          <w:color w:val="000000"/>
          <w:szCs w:val="24"/>
        </w:rPr>
        <w:t>53 State</w:t>
      </w:r>
      <w:r w:rsidR="0054678C" w:rsidRPr="0054678C">
        <w:rPr>
          <w:b w:val="0"/>
          <w:color w:val="000000"/>
          <w:szCs w:val="24"/>
        </w:rPr>
        <w:t xml:space="preserve"> agencies</w:t>
      </w:r>
      <w:r w:rsidR="00494B91">
        <w:rPr>
          <w:b w:val="0"/>
          <w:color w:val="000000"/>
          <w:szCs w:val="24"/>
        </w:rPr>
        <w:t xml:space="preserve"> will respond once time annually and spend an estimated 1 hour per State to respond to this data collection for a total of 53 total annual burden hours.</w:t>
      </w:r>
      <w:r w:rsidR="000562DC" w:rsidRPr="0054678C">
        <w:rPr>
          <w:b w:val="0"/>
          <w:color w:val="000000"/>
          <w:szCs w:val="24"/>
        </w:rPr>
        <w:t xml:space="preserve"> </w:t>
      </w:r>
      <w:r w:rsidRPr="0054678C">
        <w:rPr>
          <w:b w:val="0"/>
          <w:color w:val="000000"/>
          <w:szCs w:val="24"/>
        </w:rPr>
        <w:t xml:space="preserve"> </w:t>
      </w:r>
    </w:p>
    <w:p w14:paraId="496D1EAD" w14:textId="77777777" w:rsidR="00494B91" w:rsidRDefault="00494B91" w:rsidP="00044231">
      <w:pPr>
        <w:pStyle w:val="BodyText"/>
        <w:spacing w:line="480" w:lineRule="auto"/>
        <w:rPr>
          <w:b w:val="0"/>
          <w:color w:val="000000"/>
          <w:szCs w:val="24"/>
        </w:rPr>
      </w:pPr>
    </w:p>
    <w:p w14:paraId="783E0350" w14:textId="716979F9" w:rsidR="000562DC" w:rsidRDefault="003A5ACA" w:rsidP="00044231">
      <w:pPr>
        <w:pStyle w:val="BodyText"/>
        <w:spacing w:line="480" w:lineRule="auto"/>
        <w:rPr>
          <w:b w:val="0"/>
          <w:szCs w:val="24"/>
        </w:rPr>
      </w:pPr>
      <w:r w:rsidRPr="0054678C">
        <w:rPr>
          <w:b w:val="0"/>
          <w:color w:val="000000"/>
          <w:szCs w:val="24"/>
        </w:rPr>
        <w:t xml:space="preserve">There are no new recordkeeping </w:t>
      </w:r>
      <w:r w:rsidR="00494B91">
        <w:rPr>
          <w:b w:val="0"/>
          <w:color w:val="000000"/>
          <w:szCs w:val="24"/>
        </w:rPr>
        <w:t xml:space="preserve">or third party disclosure </w:t>
      </w:r>
      <w:r w:rsidRPr="0054678C">
        <w:rPr>
          <w:b w:val="0"/>
          <w:color w:val="000000"/>
          <w:szCs w:val="24"/>
        </w:rPr>
        <w:t>r</w:t>
      </w:r>
      <w:r w:rsidR="000562DC" w:rsidRPr="0054678C">
        <w:rPr>
          <w:b w:val="0"/>
          <w:color w:val="000000"/>
          <w:szCs w:val="24"/>
        </w:rPr>
        <w:t xml:space="preserve">equirements </w:t>
      </w:r>
      <w:r w:rsidRPr="0054678C">
        <w:rPr>
          <w:b w:val="0"/>
          <w:color w:val="000000"/>
          <w:szCs w:val="24"/>
        </w:rPr>
        <w:t>resulting from this proposed rule</w:t>
      </w:r>
      <w:r w:rsidR="000562DC" w:rsidRPr="0054678C">
        <w:rPr>
          <w:b w:val="0"/>
          <w:color w:val="000000"/>
          <w:szCs w:val="24"/>
        </w:rPr>
        <w:t xml:space="preserve">.  </w:t>
      </w:r>
      <w:r w:rsidR="000562DC" w:rsidRPr="0054678C">
        <w:rPr>
          <w:b w:val="0"/>
          <w:szCs w:val="24"/>
        </w:rPr>
        <w:t>The following table reflects burden associated with the new information collection requirements</w:t>
      </w:r>
      <w:r w:rsidR="009A71CE" w:rsidRPr="009A71CE">
        <w:t xml:space="preserve"> </w:t>
      </w:r>
      <w:r w:rsidR="009A71CE" w:rsidRPr="009A71CE">
        <w:rPr>
          <w:b w:val="0"/>
          <w:szCs w:val="24"/>
        </w:rPr>
        <w:t>as well as the current estimates and the differences due to rulemaking.</w:t>
      </w:r>
    </w:p>
    <w:p w14:paraId="6ED4166A" w14:textId="77777777" w:rsidR="00CC1ABD" w:rsidRPr="00AE2B18" w:rsidRDefault="00CC1ABD" w:rsidP="00E76258">
      <w:pPr>
        <w:pStyle w:val="BodyText"/>
        <w:rPr>
          <w:b w:val="0"/>
          <w:szCs w:val="24"/>
        </w:rPr>
      </w:pPr>
    </w:p>
    <w:p w14:paraId="1BD4A626" w14:textId="065A7CB7" w:rsidR="000562DC" w:rsidRDefault="000562DC" w:rsidP="009212DA">
      <w:pPr>
        <w:spacing w:before="120"/>
        <w:ind w:left="360"/>
        <w:jc w:val="center"/>
        <w:rPr>
          <w:rFonts w:ascii="Times New Roman" w:hAnsi="Times New Roman"/>
          <w:b/>
        </w:rPr>
      </w:pPr>
      <w:r w:rsidRPr="000562DC">
        <w:rPr>
          <w:rFonts w:ascii="Times New Roman" w:hAnsi="Times New Roman"/>
          <w:b/>
        </w:rPr>
        <w:t>ESTIMATED ANNUAL BURDEN FOR 0584-NEW,</w:t>
      </w:r>
      <w:r>
        <w:rPr>
          <w:rFonts w:ascii="Times New Roman" w:hAnsi="Times New Roman"/>
          <w:b/>
        </w:rPr>
        <w:t xml:space="preserve"> </w:t>
      </w:r>
      <w:r w:rsidR="009212DA" w:rsidRPr="009212DA">
        <w:rPr>
          <w:rFonts w:ascii="Times New Roman" w:hAnsi="Times New Roman"/>
          <w:b/>
        </w:rPr>
        <w:t>STANDARDIZATION OF STATE HEATING AND COOLING STANDARD UTILITY ALLOWANCES</w:t>
      </w:r>
    </w:p>
    <w:p w14:paraId="586F3625" w14:textId="6D965CE9" w:rsidR="00C0245D" w:rsidRDefault="00C0245D" w:rsidP="00C0245D">
      <w:pPr>
        <w:spacing w:before="120"/>
        <w:ind w:left="360"/>
        <w:rPr>
          <w:rFonts w:ascii="Times New Roman" w:hAnsi="Times New Roman"/>
          <w:b/>
        </w:rPr>
      </w:pPr>
    </w:p>
    <w:tbl>
      <w:tblPr>
        <w:tblStyle w:val="TableGrid"/>
        <w:tblW w:w="11794" w:type="dxa"/>
        <w:tblInd w:w="-1175" w:type="dxa"/>
        <w:tblLayout w:type="fixed"/>
        <w:tblLook w:val="04A0" w:firstRow="1" w:lastRow="0" w:firstColumn="1" w:lastColumn="0" w:noHBand="0" w:noVBand="1"/>
      </w:tblPr>
      <w:tblGrid>
        <w:gridCol w:w="1048"/>
        <w:gridCol w:w="852"/>
        <w:gridCol w:w="1048"/>
        <w:gridCol w:w="918"/>
        <w:gridCol w:w="918"/>
        <w:gridCol w:w="918"/>
        <w:gridCol w:w="1048"/>
        <w:gridCol w:w="1180"/>
        <w:gridCol w:w="1048"/>
        <w:gridCol w:w="1048"/>
        <w:gridCol w:w="720"/>
        <w:gridCol w:w="1048"/>
      </w:tblGrid>
      <w:tr w:rsidR="00C0245D" w:rsidRPr="00044231" w14:paraId="72C55645" w14:textId="77777777" w:rsidTr="00E53EB2">
        <w:trPr>
          <w:trHeight w:val="693"/>
        </w:trPr>
        <w:tc>
          <w:tcPr>
            <w:tcW w:w="1048" w:type="dxa"/>
          </w:tcPr>
          <w:p w14:paraId="5A524D59" w14:textId="77777777" w:rsidR="00C0245D" w:rsidRPr="00044231" w:rsidRDefault="00C0245D" w:rsidP="00B1055C">
            <w:pPr>
              <w:rPr>
                <w:rFonts w:ascii="Times New Roman" w:eastAsia="MS Mincho" w:hAnsi="Times New Roman"/>
                <w:b/>
                <w:bCs/>
                <w:sz w:val="16"/>
                <w:szCs w:val="16"/>
              </w:rPr>
            </w:pPr>
            <w:r w:rsidRPr="00044231">
              <w:rPr>
                <w:rFonts w:ascii="Times New Roman" w:eastAsia="MS Mincho" w:hAnsi="Times New Roman"/>
                <w:b/>
                <w:bCs/>
                <w:sz w:val="16"/>
                <w:szCs w:val="16"/>
              </w:rPr>
              <w:t>Reg. Section</w:t>
            </w:r>
          </w:p>
        </w:tc>
        <w:tc>
          <w:tcPr>
            <w:tcW w:w="852" w:type="dxa"/>
          </w:tcPr>
          <w:p w14:paraId="226E2F8B" w14:textId="77777777" w:rsidR="00C0245D" w:rsidRPr="00044231" w:rsidRDefault="00C0245D" w:rsidP="00B1055C">
            <w:pPr>
              <w:rPr>
                <w:rFonts w:ascii="Times New Roman" w:eastAsia="MS Mincho" w:hAnsi="Times New Roman"/>
                <w:b/>
                <w:bCs/>
                <w:sz w:val="16"/>
                <w:szCs w:val="16"/>
              </w:rPr>
            </w:pPr>
            <w:r w:rsidRPr="00044231">
              <w:rPr>
                <w:rFonts w:ascii="Times New Roman" w:eastAsia="MS Mincho" w:hAnsi="Times New Roman"/>
                <w:b/>
                <w:bCs/>
                <w:sz w:val="16"/>
                <w:szCs w:val="16"/>
              </w:rPr>
              <w:t>Affected Public</w:t>
            </w:r>
          </w:p>
        </w:tc>
        <w:tc>
          <w:tcPr>
            <w:tcW w:w="1048" w:type="dxa"/>
          </w:tcPr>
          <w:p w14:paraId="7822A3A9" w14:textId="72861334" w:rsidR="00C0245D" w:rsidRPr="00044231" w:rsidRDefault="00C0245D" w:rsidP="00B1055C">
            <w:pPr>
              <w:rPr>
                <w:rFonts w:ascii="Times New Roman" w:eastAsia="MS Mincho" w:hAnsi="Times New Roman"/>
                <w:b/>
                <w:bCs/>
                <w:sz w:val="16"/>
                <w:szCs w:val="16"/>
              </w:rPr>
            </w:pPr>
            <w:r w:rsidRPr="00044231">
              <w:rPr>
                <w:rFonts w:ascii="Times New Roman" w:eastAsia="MS Mincho" w:hAnsi="Times New Roman"/>
                <w:b/>
                <w:bCs/>
                <w:sz w:val="16"/>
                <w:szCs w:val="16"/>
              </w:rPr>
              <w:t xml:space="preserve">Estimated Number of </w:t>
            </w:r>
            <w:r w:rsidRPr="00E53EB2">
              <w:rPr>
                <w:rFonts w:ascii="Times New Roman" w:eastAsia="MS Mincho" w:hAnsi="Times New Roman"/>
                <w:b/>
                <w:bCs/>
                <w:sz w:val="14"/>
                <w:szCs w:val="14"/>
              </w:rPr>
              <w:t xml:space="preserve">Respondents </w:t>
            </w:r>
          </w:p>
        </w:tc>
        <w:tc>
          <w:tcPr>
            <w:tcW w:w="918" w:type="dxa"/>
          </w:tcPr>
          <w:p w14:paraId="63ED8520" w14:textId="77777777" w:rsidR="00C0245D" w:rsidRPr="00044231" w:rsidRDefault="00C0245D" w:rsidP="00B1055C">
            <w:pPr>
              <w:rPr>
                <w:rFonts w:ascii="Times New Roman" w:eastAsia="MS Mincho" w:hAnsi="Times New Roman"/>
                <w:b/>
                <w:bCs/>
                <w:sz w:val="16"/>
                <w:szCs w:val="16"/>
              </w:rPr>
            </w:pPr>
            <w:r w:rsidRPr="00044231">
              <w:rPr>
                <w:rFonts w:ascii="Times New Roman" w:eastAsia="MS Mincho" w:hAnsi="Times New Roman"/>
                <w:b/>
                <w:bCs/>
                <w:sz w:val="16"/>
                <w:szCs w:val="16"/>
              </w:rPr>
              <w:t xml:space="preserve">Estimated </w:t>
            </w:r>
            <w:r w:rsidRPr="00E53EB2">
              <w:rPr>
                <w:rFonts w:ascii="Times New Roman" w:eastAsia="MS Mincho" w:hAnsi="Times New Roman"/>
                <w:b/>
                <w:bCs/>
                <w:sz w:val="14"/>
                <w:szCs w:val="14"/>
              </w:rPr>
              <w:t>Frequency</w:t>
            </w:r>
            <w:r w:rsidRPr="00044231">
              <w:rPr>
                <w:rFonts w:ascii="Times New Roman" w:eastAsia="MS Mincho" w:hAnsi="Times New Roman"/>
                <w:b/>
                <w:bCs/>
                <w:sz w:val="16"/>
                <w:szCs w:val="16"/>
              </w:rPr>
              <w:t xml:space="preserve"> of Response </w:t>
            </w:r>
          </w:p>
        </w:tc>
        <w:tc>
          <w:tcPr>
            <w:tcW w:w="918" w:type="dxa"/>
          </w:tcPr>
          <w:p w14:paraId="2A190AD9" w14:textId="77777777" w:rsidR="00C0245D" w:rsidRPr="00044231" w:rsidRDefault="00C0245D" w:rsidP="00B1055C">
            <w:pPr>
              <w:rPr>
                <w:rFonts w:ascii="Times New Roman" w:eastAsia="MS Mincho" w:hAnsi="Times New Roman"/>
                <w:b/>
                <w:bCs/>
                <w:sz w:val="16"/>
                <w:szCs w:val="16"/>
              </w:rPr>
            </w:pPr>
            <w:r w:rsidRPr="00044231">
              <w:rPr>
                <w:rFonts w:ascii="Times New Roman" w:eastAsia="MS Mincho" w:hAnsi="Times New Roman"/>
                <w:b/>
                <w:bCs/>
                <w:sz w:val="16"/>
                <w:szCs w:val="16"/>
              </w:rPr>
              <w:t xml:space="preserve">Total Annual </w:t>
            </w:r>
            <w:r w:rsidRPr="00E53EB2">
              <w:rPr>
                <w:rFonts w:ascii="Times New Roman" w:eastAsia="MS Mincho" w:hAnsi="Times New Roman"/>
                <w:b/>
                <w:bCs/>
                <w:sz w:val="14"/>
                <w:szCs w:val="14"/>
              </w:rPr>
              <w:t xml:space="preserve">Responses </w:t>
            </w:r>
          </w:p>
        </w:tc>
        <w:tc>
          <w:tcPr>
            <w:tcW w:w="918" w:type="dxa"/>
          </w:tcPr>
          <w:p w14:paraId="1DC1E1BA" w14:textId="77777777" w:rsidR="00C0245D" w:rsidRPr="00044231" w:rsidRDefault="00C0245D" w:rsidP="00B1055C">
            <w:pPr>
              <w:rPr>
                <w:rFonts w:ascii="Times New Roman" w:eastAsia="MS Mincho" w:hAnsi="Times New Roman"/>
                <w:b/>
                <w:bCs/>
                <w:sz w:val="16"/>
                <w:szCs w:val="16"/>
              </w:rPr>
            </w:pPr>
            <w:r w:rsidRPr="00044231">
              <w:rPr>
                <w:rFonts w:ascii="Times New Roman" w:eastAsia="MS Mincho" w:hAnsi="Times New Roman"/>
                <w:b/>
                <w:bCs/>
                <w:sz w:val="16"/>
                <w:szCs w:val="16"/>
              </w:rPr>
              <w:t xml:space="preserve">Number of Burden Hours Per Response </w:t>
            </w:r>
          </w:p>
        </w:tc>
        <w:tc>
          <w:tcPr>
            <w:tcW w:w="1048" w:type="dxa"/>
          </w:tcPr>
          <w:p w14:paraId="31FD6D92" w14:textId="77777777" w:rsidR="00C0245D" w:rsidRPr="00044231" w:rsidRDefault="00C0245D" w:rsidP="00B1055C">
            <w:pPr>
              <w:rPr>
                <w:rFonts w:ascii="Times New Roman" w:eastAsia="MS Mincho" w:hAnsi="Times New Roman"/>
                <w:b/>
                <w:bCs/>
                <w:sz w:val="16"/>
                <w:szCs w:val="16"/>
              </w:rPr>
            </w:pPr>
            <w:r w:rsidRPr="00044231">
              <w:rPr>
                <w:rFonts w:ascii="Times New Roman" w:eastAsia="MS Mincho" w:hAnsi="Times New Roman"/>
                <w:b/>
                <w:bCs/>
                <w:sz w:val="16"/>
                <w:szCs w:val="16"/>
              </w:rPr>
              <w:t xml:space="preserve">Estimated Total Burden Hours </w:t>
            </w:r>
          </w:p>
        </w:tc>
        <w:tc>
          <w:tcPr>
            <w:tcW w:w="1180" w:type="dxa"/>
          </w:tcPr>
          <w:p w14:paraId="62613B13" w14:textId="77777777" w:rsidR="00C0245D" w:rsidRPr="00044231" w:rsidRDefault="00C0245D" w:rsidP="00B1055C">
            <w:pPr>
              <w:rPr>
                <w:rFonts w:ascii="Times New Roman" w:eastAsia="MS Mincho" w:hAnsi="Times New Roman"/>
                <w:b/>
                <w:bCs/>
                <w:i/>
                <w:sz w:val="16"/>
                <w:szCs w:val="16"/>
              </w:rPr>
            </w:pPr>
            <w:r w:rsidRPr="00044231">
              <w:rPr>
                <w:rFonts w:ascii="Times New Roman" w:eastAsia="MS Mincho" w:hAnsi="Times New Roman"/>
                <w:b/>
                <w:bCs/>
                <w:i/>
                <w:sz w:val="16"/>
                <w:szCs w:val="16"/>
              </w:rPr>
              <w:t>Previous Submission Total Person Hours</w:t>
            </w:r>
          </w:p>
        </w:tc>
        <w:tc>
          <w:tcPr>
            <w:tcW w:w="1048" w:type="dxa"/>
          </w:tcPr>
          <w:p w14:paraId="47243B38" w14:textId="77777777" w:rsidR="00C0245D" w:rsidRPr="00044231" w:rsidRDefault="00C0245D" w:rsidP="00B1055C">
            <w:pPr>
              <w:rPr>
                <w:rFonts w:ascii="Times New Roman" w:eastAsia="MS Mincho" w:hAnsi="Times New Roman"/>
                <w:b/>
                <w:bCs/>
                <w:i/>
                <w:sz w:val="16"/>
                <w:szCs w:val="16"/>
              </w:rPr>
            </w:pPr>
            <w:r w:rsidRPr="00044231">
              <w:rPr>
                <w:rFonts w:ascii="Times New Roman" w:eastAsia="MS Mincho" w:hAnsi="Times New Roman"/>
                <w:b/>
                <w:bCs/>
                <w:i/>
                <w:sz w:val="16"/>
                <w:szCs w:val="16"/>
              </w:rPr>
              <w:t>Difference due to Program Changes</w:t>
            </w:r>
          </w:p>
        </w:tc>
        <w:tc>
          <w:tcPr>
            <w:tcW w:w="1048" w:type="dxa"/>
          </w:tcPr>
          <w:p w14:paraId="54009BB9" w14:textId="77777777" w:rsidR="00C0245D" w:rsidRPr="00044231" w:rsidRDefault="00C0245D" w:rsidP="00B1055C">
            <w:pPr>
              <w:rPr>
                <w:rFonts w:ascii="Times New Roman" w:eastAsia="MS Mincho" w:hAnsi="Times New Roman"/>
                <w:b/>
                <w:bCs/>
                <w:i/>
                <w:sz w:val="16"/>
                <w:szCs w:val="16"/>
              </w:rPr>
            </w:pPr>
            <w:r w:rsidRPr="00044231">
              <w:rPr>
                <w:rFonts w:ascii="Times New Roman" w:eastAsia="MS Mincho" w:hAnsi="Times New Roman"/>
                <w:b/>
                <w:bCs/>
                <w:i/>
                <w:sz w:val="16"/>
                <w:szCs w:val="16"/>
              </w:rPr>
              <w:t>Differences due to adjustments</w:t>
            </w:r>
          </w:p>
        </w:tc>
        <w:tc>
          <w:tcPr>
            <w:tcW w:w="720" w:type="dxa"/>
          </w:tcPr>
          <w:p w14:paraId="3662F3E1" w14:textId="77777777" w:rsidR="00C0245D" w:rsidRPr="00044231" w:rsidRDefault="00C0245D" w:rsidP="00B1055C">
            <w:pPr>
              <w:rPr>
                <w:rFonts w:ascii="Times New Roman" w:eastAsia="MS Mincho" w:hAnsi="Times New Roman"/>
                <w:b/>
                <w:bCs/>
                <w:sz w:val="16"/>
                <w:szCs w:val="16"/>
              </w:rPr>
            </w:pPr>
            <w:r w:rsidRPr="00044231">
              <w:rPr>
                <w:rFonts w:ascii="Times New Roman" w:eastAsia="MS Mincho" w:hAnsi="Times New Roman"/>
                <w:b/>
                <w:bCs/>
                <w:sz w:val="16"/>
                <w:szCs w:val="16"/>
              </w:rPr>
              <w:t>Hourly Wage Rate*</w:t>
            </w:r>
          </w:p>
        </w:tc>
        <w:tc>
          <w:tcPr>
            <w:tcW w:w="1048" w:type="dxa"/>
          </w:tcPr>
          <w:p w14:paraId="0D32D941" w14:textId="77777777" w:rsidR="00C0245D" w:rsidRPr="00044231" w:rsidRDefault="00C0245D" w:rsidP="00B1055C">
            <w:pPr>
              <w:rPr>
                <w:rStyle w:val="Hyperlink"/>
                <w:rFonts w:ascii="Times New Roman" w:hAnsi="Times New Roman"/>
                <w:sz w:val="16"/>
                <w:szCs w:val="16"/>
              </w:rPr>
            </w:pPr>
            <w:r w:rsidRPr="00044231">
              <w:rPr>
                <w:rFonts w:ascii="Times New Roman" w:eastAsia="MS Mincho" w:hAnsi="Times New Roman"/>
                <w:b/>
                <w:bCs/>
                <w:sz w:val="16"/>
                <w:szCs w:val="16"/>
              </w:rPr>
              <w:t xml:space="preserve">Estimated Cost to </w:t>
            </w:r>
            <w:r w:rsidRPr="00E53EB2">
              <w:rPr>
                <w:rFonts w:ascii="Times New Roman" w:eastAsia="MS Mincho" w:hAnsi="Times New Roman"/>
                <w:b/>
                <w:bCs/>
                <w:sz w:val="14"/>
                <w:szCs w:val="14"/>
              </w:rPr>
              <w:t>Respondents</w:t>
            </w:r>
          </w:p>
        </w:tc>
      </w:tr>
      <w:tr w:rsidR="00C0245D" w:rsidRPr="00044231" w14:paraId="33B0F6D4" w14:textId="77777777" w:rsidTr="00E53EB2">
        <w:trPr>
          <w:trHeight w:val="462"/>
        </w:trPr>
        <w:tc>
          <w:tcPr>
            <w:tcW w:w="1048" w:type="dxa"/>
          </w:tcPr>
          <w:p w14:paraId="178B9619"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273.9(d)(6)(iii)(B)</w:t>
            </w:r>
          </w:p>
        </w:tc>
        <w:tc>
          <w:tcPr>
            <w:tcW w:w="852" w:type="dxa"/>
          </w:tcPr>
          <w:p w14:paraId="6109E877"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State Agencies</w:t>
            </w:r>
          </w:p>
        </w:tc>
        <w:tc>
          <w:tcPr>
            <w:tcW w:w="1048" w:type="dxa"/>
          </w:tcPr>
          <w:p w14:paraId="5427FD96"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53</w:t>
            </w:r>
          </w:p>
        </w:tc>
        <w:tc>
          <w:tcPr>
            <w:tcW w:w="918" w:type="dxa"/>
          </w:tcPr>
          <w:p w14:paraId="1D3853F6"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1</w:t>
            </w:r>
          </w:p>
        </w:tc>
        <w:tc>
          <w:tcPr>
            <w:tcW w:w="918" w:type="dxa"/>
          </w:tcPr>
          <w:p w14:paraId="14F9D07F"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53</w:t>
            </w:r>
          </w:p>
        </w:tc>
        <w:tc>
          <w:tcPr>
            <w:tcW w:w="918" w:type="dxa"/>
          </w:tcPr>
          <w:p w14:paraId="4EC06098"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1</w:t>
            </w:r>
          </w:p>
        </w:tc>
        <w:tc>
          <w:tcPr>
            <w:tcW w:w="1048" w:type="dxa"/>
          </w:tcPr>
          <w:p w14:paraId="4546737F"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53</w:t>
            </w:r>
          </w:p>
        </w:tc>
        <w:tc>
          <w:tcPr>
            <w:tcW w:w="1180" w:type="dxa"/>
          </w:tcPr>
          <w:p w14:paraId="3AC9A588"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530</w:t>
            </w:r>
          </w:p>
        </w:tc>
        <w:tc>
          <w:tcPr>
            <w:tcW w:w="1048" w:type="dxa"/>
          </w:tcPr>
          <w:p w14:paraId="64E01670"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477</w:t>
            </w:r>
          </w:p>
        </w:tc>
        <w:tc>
          <w:tcPr>
            <w:tcW w:w="1048" w:type="dxa"/>
          </w:tcPr>
          <w:p w14:paraId="03C9C432"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0</w:t>
            </w:r>
          </w:p>
        </w:tc>
        <w:tc>
          <w:tcPr>
            <w:tcW w:w="720" w:type="dxa"/>
          </w:tcPr>
          <w:p w14:paraId="6E786F27" w14:textId="7CD7D6FD" w:rsidR="00C0245D" w:rsidRPr="00044231" w:rsidRDefault="007B760B" w:rsidP="00B1055C">
            <w:pPr>
              <w:rPr>
                <w:rFonts w:ascii="Times New Roman" w:eastAsia="MS Mincho" w:hAnsi="Times New Roman"/>
                <w:bCs/>
                <w:sz w:val="16"/>
                <w:szCs w:val="16"/>
              </w:rPr>
            </w:pPr>
            <w:r>
              <w:rPr>
                <w:rFonts w:ascii="Times New Roman" w:eastAsia="MS Mincho" w:hAnsi="Times New Roman"/>
                <w:sz w:val="16"/>
                <w:szCs w:val="16"/>
              </w:rPr>
              <w:t xml:space="preserve">40.06 </w:t>
            </w:r>
          </w:p>
        </w:tc>
        <w:tc>
          <w:tcPr>
            <w:tcW w:w="1048" w:type="dxa"/>
          </w:tcPr>
          <w:p w14:paraId="1D4D25D4" w14:textId="5F85C2EF" w:rsidR="00C0245D" w:rsidRPr="00044231" w:rsidRDefault="00C0245D" w:rsidP="00B1055C">
            <w:pPr>
              <w:rPr>
                <w:rStyle w:val="Hyperlink"/>
                <w:rFonts w:ascii="Times New Roman" w:hAnsi="Times New Roman"/>
                <w:color w:val="auto"/>
                <w:sz w:val="16"/>
                <w:szCs w:val="16"/>
              </w:rPr>
            </w:pPr>
            <w:r w:rsidRPr="00044231">
              <w:rPr>
                <w:rFonts w:ascii="Times New Roman" w:eastAsia="MS Mincho" w:hAnsi="Times New Roman"/>
                <w:sz w:val="16"/>
                <w:szCs w:val="16"/>
              </w:rPr>
              <w:t>$</w:t>
            </w:r>
            <w:r w:rsidR="007B760B">
              <w:rPr>
                <w:rFonts w:ascii="Times New Roman" w:eastAsia="MS Mincho" w:hAnsi="Times New Roman"/>
                <w:sz w:val="16"/>
                <w:szCs w:val="16"/>
              </w:rPr>
              <w:t xml:space="preserve">2,123 </w:t>
            </w:r>
          </w:p>
        </w:tc>
      </w:tr>
      <w:tr w:rsidR="00C0245D" w:rsidRPr="00044231" w14:paraId="3E4895B5" w14:textId="77777777" w:rsidTr="00E53EB2">
        <w:trPr>
          <w:trHeight w:val="231"/>
        </w:trPr>
        <w:tc>
          <w:tcPr>
            <w:tcW w:w="1048" w:type="dxa"/>
          </w:tcPr>
          <w:p w14:paraId="26FA016D" w14:textId="77777777" w:rsidR="00C0245D" w:rsidRPr="00044231" w:rsidRDefault="00C0245D" w:rsidP="00B1055C">
            <w:pPr>
              <w:rPr>
                <w:rStyle w:val="Hyperlink"/>
                <w:rFonts w:ascii="Times New Roman" w:hAnsi="Times New Roman"/>
                <w:color w:val="auto"/>
                <w:sz w:val="16"/>
                <w:szCs w:val="16"/>
              </w:rPr>
            </w:pPr>
            <w:r w:rsidRPr="00044231">
              <w:rPr>
                <w:rStyle w:val="Hyperlink"/>
                <w:rFonts w:ascii="Times New Roman" w:hAnsi="Times New Roman"/>
                <w:color w:val="auto"/>
                <w:sz w:val="16"/>
                <w:szCs w:val="16"/>
              </w:rPr>
              <w:t>Grand Total</w:t>
            </w:r>
          </w:p>
        </w:tc>
        <w:tc>
          <w:tcPr>
            <w:tcW w:w="852" w:type="dxa"/>
          </w:tcPr>
          <w:p w14:paraId="60158757" w14:textId="77777777" w:rsidR="00C0245D" w:rsidRPr="00044231" w:rsidRDefault="00C0245D" w:rsidP="00B1055C">
            <w:pPr>
              <w:rPr>
                <w:rStyle w:val="Hyperlink"/>
                <w:rFonts w:ascii="Times New Roman" w:hAnsi="Times New Roman"/>
                <w:color w:val="auto"/>
                <w:sz w:val="16"/>
                <w:szCs w:val="16"/>
              </w:rPr>
            </w:pPr>
          </w:p>
        </w:tc>
        <w:tc>
          <w:tcPr>
            <w:tcW w:w="1048" w:type="dxa"/>
          </w:tcPr>
          <w:p w14:paraId="34F5FF28"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53</w:t>
            </w:r>
          </w:p>
        </w:tc>
        <w:tc>
          <w:tcPr>
            <w:tcW w:w="918" w:type="dxa"/>
          </w:tcPr>
          <w:p w14:paraId="5C4A603F"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1</w:t>
            </w:r>
          </w:p>
        </w:tc>
        <w:tc>
          <w:tcPr>
            <w:tcW w:w="918" w:type="dxa"/>
          </w:tcPr>
          <w:p w14:paraId="2C5B2C00"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53</w:t>
            </w:r>
          </w:p>
        </w:tc>
        <w:tc>
          <w:tcPr>
            <w:tcW w:w="918" w:type="dxa"/>
          </w:tcPr>
          <w:p w14:paraId="40B3D10B"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1</w:t>
            </w:r>
          </w:p>
        </w:tc>
        <w:tc>
          <w:tcPr>
            <w:tcW w:w="1048" w:type="dxa"/>
          </w:tcPr>
          <w:p w14:paraId="4D67730E" w14:textId="77777777" w:rsidR="00C0245D" w:rsidRPr="00044231" w:rsidRDefault="00C0245D" w:rsidP="00B1055C">
            <w:pPr>
              <w:rPr>
                <w:rFonts w:ascii="Times New Roman" w:eastAsia="MS Mincho" w:hAnsi="Times New Roman"/>
                <w:bCs/>
                <w:sz w:val="16"/>
                <w:szCs w:val="16"/>
              </w:rPr>
            </w:pPr>
            <w:r w:rsidRPr="00044231">
              <w:rPr>
                <w:rFonts w:ascii="Times New Roman" w:eastAsia="MS Mincho" w:hAnsi="Times New Roman"/>
                <w:bCs/>
                <w:sz w:val="16"/>
                <w:szCs w:val="16"/>
              </w:rPr>
              <w:t>53</w:t>
            </w:r>
          </w:p>
        </w:tc>
        <w:tc>
          <w:tcPr>
            <w:tcW w:w="1180" w:type="dxa"/>
          </w:tcPr>
          <w:p w14:paraId="14B5B4AF" w14:textId="77777777" w:rsidR="00C0245D" w:rsidRPr="00044231" w:rsidRDefault="00C0245D" w:rsidP="00B1055C">
            <w:pPr>
              <w:rPr>
                <w:rStyle w:val="Hyperlink"/>
                <w:rFonts w:ascii="Times New Roman" w:hAnsi="Times New Roman"/>
                <w:color w:val="auto"/>
                <w:sz w:val="16"/>
                <w:szCs w:val="16"/>
              </w:rPr>
            </w:pPr>
            <w:r w:rsidRPr="00044231">
              <w:rPr>
                <w:rStyle w:val="Hyperlink"/>
                <w:rFonts w:ascii="Times New Roman" w:hAnsi="Times New Roman"/>
                <w:color w:val="auto"/>
                <w:sz w:val="16"/>
                <w:szCs w:val="16"/>
              </w:rPr>
              <w:t>530</w:t>
            </w:r>
          </w:p>
        </w:tc>
        <w:tc>
          <w:tcPr>
            <w:tcW w:w="1048" w:type="dxa"/>
          </w:tcPr>
          <w:p w14:paraId="19E153D3" w14:textId="77777777" w:rsidR="00C0245D" w:rsidRPr="00044231" w:rsidRDefault="00C0245D" w:rsidP="00B1055C">
            <w:pPr>
              <w:rPr>
                <w:rStyle w:val="Hyperlink"/>
                <w:rFonts w:ascii="Times New Roman" w:hAnsi="Times New Roman"/>
                <w:color w:val="auto"/>
                <w:sz w:val="16"/>
                <w:szCs w:val="16"/>
              </w:rPr>
            </w:pPr>
            <w:r w:rsidRPr="00044231">
              <w:rPr>
                <w:rStyle w:val="Hyperlink"/>
                <w:rFonts w:ascii="Times New Roman" w:hAnsi="Times New Roman"/>
                <w:color w:val="auto"/>
                <w:sz w:val="16"/>
                <w:szCs w:val="16"/>
              </w:rPr>
              <w:t>477</w:t>
            </w:r>
          </w:p>
        </w:tc>
        <w:tc>
          <w:tcPr>
            <w:tcW w:w="1048" w:type="dxa"/>
          </w:tcPr>
          <w:p w14:paraId="74598C9B" w14:textId="77777777" w:rsidR="00C0245D" w:rsidRPr="00044231" w:rsidRDefault="00C0245D" w:rsidP="00B1055C">
            <w:pPr>
              <w:rPr>
                <w:rStyle w:val="Hyperlink"/>
                <w:rFonts w:ascii="Times New Roman" w:hAnsi="Times New Roman"/>
                <w:color w:val="auto"/>
                <w:sz w:val="16"/>
                <w:szCs w:val="16"/>
              </w:rPr>
            </w:pPr>
            <w:r w:rsidRPr="00044231">
              <w:rPr>
                <w:rStyle w:val="Hyperlink"/>
                <w:rFonts w:ascii="Times New Roman" w:hAnsi="Times New Roman"/>
                <w:color w:val="auto"/>
                <w:sz w:val="16"/>
                <w:szCs w:val="16"/>
              </w:rPr>
              <w:t>0</w:t>
            </w:r>
          </w:p>
        </w:tc>
        <w:tc>
          <w:tcPr>
            <w:tcW w:w="720" w:type="dxa"/>
          </w:tcPr>
          <w:p w14:paraId="2A741709" w14:textId="53A46301" w:rsidR="00C0245D" w:rsidRPr="007B760B" w:rsidRDefault="007B760B" w:rsidP="00B1055C">
            <w:pPr>
              <w:rPr>
                <w:rFonts w:ascii="Times New Roman" w:eastAsia="MS Mincho" w:hAnsi="Times New Roman"/>
                <w:bCs/>
                <w:sz w:val="16"/>
                <w:szCs w:val="16"/>
              </w:rPr>
            </w:pPr>
            <w:r>
              <w:rPr>
                <w:rFonts w:ascii="Times New Roman" w:eastAsia="MS Mincho" w:hAnsi="Times New Roman"/>
                <w:sz w:val="16"/>
                <w:szCs w:val="16"/>
              </w:rPr>
              <w:t xml:space="preserve"> 40.06</w:t>
            </w:r>
          </w:p>
        </w:tc>
        <w:tc>
          <w:tcPr>
            <w:tcW w:w="1048" w:type="dxa"/>
          </w:tcPr>
          <w:p w14:paraId="234A6FE3" w14:textId="48647F9E" w:rsidR="00C0245D" w:rsidRDefault="00C0245D" w:rsidP="007B760B">
            <w:pPr>
              <w:rPr>
                <w:rFonts w:ascii="Times New Roman" w:eastAsia="MS Mincho" w:hAnsi="Times New Roman"/>
                <w:sz w:val="16"/>
                <w:szCs w:val="16"/>
              </w:rPr>
            </w:pPr>
            <w:r w:rsidRPr="00044231">
              <w:rPr>
                <w:rFonts w:ascii="Times New Roman" w:eastAsia="MS Mincho" w:hAnsi="Times New Roman"/>
                <w:sz w:val="16"/>
                <w:szCs w:val="16"/>
              </w:rPr>
              <w:t>$</w:t>
            </w:r>
            <w:r w:rsidR="007B760B">
              <w:rPr>
                <w:rFonts w:ascii="Times New Roman" w:eastAsia="MS Mincho" w:hAnsi="Times New Roman"/>
                <w:sz w:val="16"/>
                <w:szCs w:val="16"/>
              </w:rPr>
              <w:t xml:space="preserve">2,123 </w:t>
            </w:r>
          </w:p>
          <w:p w14:paraId="42A49082" w14:textId="35FF6ECD" w:rsidR="007B760B" w:rsidRPr="00044231" w:rsidRDefault="007B760B" w:rsidP="007B760B">
            <w:pPr>
              <w:rPr>
                <w:rStyle w:val="Hyperlink"/>
                <w:rFonts w:ascii="Times New Roman" w:hAnsi="Times New Roman"/>
                <w:color w:val="auto"/>
                <w:sz w:val="16"/>
                <w:szCs w:val="16"/>
              </w:rPr>
            </w:pPr>
          </w:p>
        </w:tc>
      </w:tr>
    </w:tbl>
    <w:p w14:paraId="3C7749A9" w14:textId="77777777" w:rsidR="00C0245D" w:rsidRPr="00CC1ABD" w:rsidRDefault="00C0245D" w:rsidP="00C0245D">
      <w:pPr>
        <w:spacing w:before="120"/>
        <w:ind w:left="360"/>
        <w:rPr>
          <w:rFonts w:ascii="Times New Roman" w:hAnsi="Times New Roman"/>
          <w:b/>
        </w:rPr>
      </w:pPr>
    </w:p>
    <w:p w14:paraId="731F3755" w14:textId="4B9A9438" w:rsidR="005D385E" w:rsidRPr="00CC1ABD" w:rsidRDefault="005D385E" w:rsidP="005D385E">
      <w:pPr>
        <w:rPr>
          <w:rStyle w:val="Hyperlink"/>
          <w:rFonts w:ascii="Times New Roman" w:hAnsi="Times New Roman"/>
          <w:sz w:val="18"/>
          <w:szCs w:val="18"/>
        </w:rPr>
      </w:pPr>
      <w:r w:rsidRPr="00CC1ABD">
        <w:rPr>
          <w:rFonts w:ascii="Times New Roman" w:hAnsi="Times New Roman"/>
          <w:sz w:val="18"/>
          <w:szCs w:val="18"/>
        </w:rPr>
        <w:t xml:space="preserve">*Based on the Bureau of Labor Statistics May </w:t>
      </w:r>
      <w:r w:rsidR="008E54AA" w:rsidRPr="00CC1ABD">
        <w:rPr>
          <w:rFonts w:ascii="Times New Roman" w:hAnsi="Times New Roman"/>
          <w:sz w:val="18"/>
          <w:szCs w:val="18"/>
        </w:rPr>
        <w:t>201</w:t>
      </w:r>
      <w:r w:rsidR="008E54AA">
        <w:rPr>
          <w:rFonts w:ascii="Times New Roman" w:hAnsi="Times New Roman"/>
          <w:sz w:val="18"/>
          <w:szCs w:val="18"/>
        </w:rPr>
        <w:t>8</w:t>
      </w:r>
      <w:r w:rsidR="008E54AA" w:rsidRPr="00CC1ABD">
        <w:rPr>
          <w:rFonts w:ascii="Times New Roman" w:hAnsi="Times New Roman"/>
          <w:sz w:val="18"/>
          <w:szCs w:val="18"/>
        </w:rPr>
        <w:t xml:space="preserve"> </w:t>
      </w:r>
      <w:r w:rsidRPr="00CC1ABD">
        <w:rPr>
          <w:rFonts w:ascii="Times New Roman" w:hAnsi="Times New Roman"/>
          <w:sz w:val="18"/>
          <w:szCs w:val="18"/>
        </w:rPr>
        <w:t xml:space="preserve">Occupational and Wage Statistics - the salaries of the case managers are considered to be “Social Workers – other” functions performed by State and local agency staff are valued at $30.12 per staff hour 21-1029 </w:t>
      </w:r>
      <w:r w:rsidRPr="00A33ED4">
        <w:rPr>
          <w:rFonts w:ascii="Times New Roman" w:hAnsi="Times New Roman"/>
          <w:sz w:val="18"/>
          <w:szCs w:val="18"/>
        </w:rPr>
        <w:t>(</w:t>
      </w:r>
      <w:r w:rsidR="00A33ED4" w:rsidRPr="00FB2FAC">
        <w:rPr>
          <w:rFonts w:ascii="Times New Roman" w:hAnsi="Times New Roman"/>
          <w:sz w:val="18"/>
          <w:szCs w:val="18"/>
        </w:rPr>
        <w:t>https://www.bls.gov/oes/current/oes211029.htm</w:t>
      </w:r>
      <w:r w:rsidRPr="00A33ED4">
        <w:rPr>
          <w:rStyle w:val="Hyperlink"/>
          <w:rFonts w:ascii="Times New Roman" w:hAnsi="Times New Roman"/>
          <w:sz w:val="18"/>
          <w:szCs w:val="18"/>
        </w:rPr>
        <w:t>)</w:t>
      </w:r>
      <w:r w:rsidR="007B760B">
        <w:rPr>
          <w:rStyle w:val="Hyperlink"/>
          <w:rFonts w:ascii="Times New Roman" w:hAnsi="Times New Roman"/>
          <w:sz w:val="18"/>
          <w:szCs w:val="18"/>
        </w:rPr>
        <w:t xml:space="preserve">.  Base wages have been adjusted by 33% to reflect fringe benefits.  </w:t>
      </w:r>
    </w:p>
    <w:p w14:paraId="6273BDF1" w14:textId="77777777" w:rsidR="00ED28F2" w:rsidRPr="002568E6" w:rsidRDefault="00ED28F2" w:rsidP="00ED28F2">
      <w:pPr>
        <w:tabs>
          <w:tab w:val="left" w:pos="-720"/>
        </w:tabs>
        <w:suppressAutoHyphens/>
        <w:spacing w:line="480" w:lineRule="auto"/>
        <w:rPr>
          <w:rFonts w:ascii="Times New Roman" w:hAnsi="Times New Roman"/>
          <w:szCs w:val="24"/>
        </w:rPr>
      </w:pPr>
    </w:p>
    <w:p w14:paraId="6273BDF2" w14:textId="10887619" w:rsidR="0062567E" w:rsidRPr="00CF77AF" w:rsidRDefault="00FD71D3" w:rsidP="00CF77AF">
      <w:pPr>
        <w:tabs>
          <w:tab w:val="left" w:pos="0"/>
        </w:tabs>
        <w:rPr>
          <w:rFonts w:ascii="Times New Roman" w:hAnsi="Times New Roman"/>
          <w:b/>
          <w:szCs w:val="24"/>
        </w:rPr>
      </w:pPr>
      <w:r w:rsidRPr="00CF77AF">
        <w:rPr>
          <w:rFonts w:ascii="Times New Roman" w:hAnsi="Times New Roman"/>
          <w:b/>
          <w:szCs w:val="24"/>
        </w:rPr>
        <w:t>Provide estimates of annualized cost to respondents for the hour burdens for collections of information, identifying and using appropriate wage rate categories.</w:t>
      </w:r>
    </w:p>
    <w:p w14:paraId="3154E9D1" w14:textId="77777777" w:rsidR="00663348" w:rsidRDefault="00663348" w:rsidP="00CF77AF">
      <w:pPr>
        <w:spacing w:line="360" w:lineRule="auto"/>
        <w:ind w:left="-630" w:right="-720"/>
        <w:rPr>
          <w:rFonts w:ascii="Times New Roman" w:hAnsi="Times New Roman"/>
          <w:szCs w:val="24"/>
        </w:rPr>
      </w:pPr>
    </w:p>
    <w:p w14:paraId="2F393186" w14:textId="20F5B8E7" w:rsidR="00CF77AF" w:rsidRDefault="00494B91" w:rsidP="00044231">
      <w:pPr>
        <w:spacing w:line="480" w:lineRule="auto"/>
        <w:ind w:right="-720"/>
        <w:rPr>
          <w:rFonts w:ascii="Times New Roman" w:hAnsi="Times New Roman"/>
          <w:szCs w:val="24"/>
        </w:rPr>
      </w:pPr>
      <w:r w:rsidRPr="00E53EB2">
        <w:rPr>
          <w:rFonts w:ascii="Times New Roman" w:hAnsi="Times New Roman"/>
          <w:color w:val="000000"/>
          <w:szCs w:val="24"/>
        </w:rPr>
        <w:t>The estimated total annual cost to respondents with fully-loaded wages is $</w:t>
      </w:r>
      <w:r w:rsidR="007B760B">
        <w:rPr>
          <w:rFonts w:ascii="Times New Roman" w:hAnsi="Times New Roman"/>
          <w:color w:val="000000"/>
          <w:szCs w:val="24"/>
        </w:rPr>
        <w:t>2,123</w:t>
      </w:r>
      <w:r w:rsidRPr="00E53EB2">
        <w:rPr>
          <w:rFonts w:ascii="Times New Roman" w:hAnsi="Times New Roman"/>
          <w:color w:val="000000"/>
          <w:szCs w:val="24"/>
        </w:rPr>
        <w:t>(</w:t>
      </w:r>
      <w:r w:rsidRPr="00E53EB2">
        <w:rPr>
          <w:rFonts w:ascii="Times New Roman" w:hAnsi="Times New Roman"/>
          <w:bCs/>
          <w:color w:val="000000"/>
          <w:szCs w:val="24"/>
        </w:rPr>
        <w:t>$</w:t>
      </w:r>
      <w:r w:rsidR="007B760B">
        <w:rPr>
          <w:rFonts w:ascii="Times New Roman" w:hAnsi="Times New Roman"/>
          <w:bCs/>
          <w:color w:val="000000"/>
          <w:szCs w:val="24"/>
        </w:rPr>
        <w:t>1,596</w:t>
      </w:r>
      <w:r w:rsidRPr="00E53EB2">
        <w:rPr>
          <w:rFonts w:ascii="Times New Roman" w:hAnsi="Times New Roman"/>
          <w:bCs/>
          <w:color w:val="000000"/>
          <w:szCs w:val="24"/>
        </w:rPr>
        <w:t xml:space="preserve"> annual base cost + $</w:t>
      </w:r>
      <w:r w:rsidR="007B760B">
        <w:rPr>
          <w:rFonts w:ascii="Times New Roman" w:hAnsi="Times New Roman"/>
          <w:bCs/>
          <w:color w:val="000000"/>
          <w:szCs w:val="24"/>
        </w:rPr>
        <w:t>526</w:t>
      </w:r>
      <w:r w:rsidRPr="00E53EB2">
        <w:rPr>
          <w:rFonts w:ascii="Times New Roman" w:hAnsi="Times New Roman"/>
          <w:bCs/>
          <w:color w:val="000000"/>
          <w:szCs w:val="24"/>
        </w:rPr>
        <w:t>fringe benefits). FNS used the estimate of 0.33 percent to account for fully-loaded wages</w:t>
      </w:r>
      <w:r w:rsidRPr="000F7FBA">
        <w:rPr>
          <w:rFonts w:ascii="Times New Roman" w:hAnsi="Times New Roman"/>
          <w:bCs/>
          <w:color w:val="000000"/>
          <w:sz w:val="22"/>
          <w:szCs w:val="22"/>
        </w:rPr>
        <w:t xml:space="preserve">. </w:t>
      </w:r>
      <w:r w:rsidR="00C24247" w:rsidRPr="00CF77AF">
        <w:rPr>
          <w:rFonts w:ascii="Times New Roman" w:hAnsi="Times New Roman"/>
          <w:color w:val="000000"/>
        </w:rPr>
        <w:t xml:space="preserve">The estimate of respondent cost </w:t>
      </w:r>
      <w:r w:rsidR="00C24247" w:rsidRPr="003A5ACA">
        <w:rPr>
          <w:rFonts w:ascii="Times New Roman" w:hAnsi="Times New Roman"/>
          <w:color w:val="000000"/>
          <w:szCs w:val="24"/>
        </w:rPr>
        <w:t xml:space="preserve">is </w:t>
      </w:r>
      <w:r w:rsidR="007B760B" w:rsidRPr="00E53EB2">
        <w:rPr>
          <w:rFonts w:ascii="Times New Roman" w:hAnsi="Times New Roman"/>
          <w:color w:val="000000"/>
          <w:szCs w:val="24"/>
        </w:rPr>
        <w:t>$</w:t>
      </w:r>
      <w:r w:rsidR="007B760B">
        <w:rPr>
          <w:rFonts w:ascii="Times New Roman" w:hAnsi="Times New Roman"/>
          <w:color w:val="000000"/>
          <w:szCs w:val="24"/>
        </w:rPr>
        <w:t>2,123</w:t>
      </w:r>
      <w:r w:rsidR="003A5ACA" w:rsidRPr="003A5ACA">
        <w:rPr>
          <w:rFonts w:ascii="Times New Roman" w:hAnsi="Times New Roman"/>
          <w:bCs/>
          <w:color w:val="000000"/>
          <w:szCs w:val="24"/>
        </w:rPr>
        <w:t xml:space="preserve">and is </w:t>
      </w:r>
      <w:r w:rsidR="00C24247" w:rsidRPr="003A5ACA">
        <w:rPr>
          <w:rFonts w:ascii="Times New Roman" w:hAnsi="Times New Roman"/>
          <w:color w:val="000000"/>
          <w:szCs w:val="24"/>
        </w:rPr>
        <w:t xml:space="preserve">based </w:t>
      </w:r>
      <w:r w:rsidR="003A5ACA">
        <w:rPr>
          <w:rFonts w:ascii="Times New Roman" w:hAnsi="Times New Roman"/>
          <w:color w:val="000000"/>
          <w:szCs w:val="24"/>
        </w:rPr>
        <w:t>up</w:t>
      </w:r>
      <w:r w:rsidR="00C24247" w:rsidRPr="00CF77AF">
        <w:rPr>
          <w:rFonts w:ascii="Times New Roman" w:hAnsi="Times New Roman"/>
          <w:color w:val="000000"/>
        </w:rPr>
        <w:t xml:space="preserve">on the burden estimates and utilizes the U.S. Department of Labor, Bureau of Labor Statistics, May </w:t>
      </w:r>
      <w:r w:rsidRPr="00CF77AF">
        <w:rPr>
          <w:rFonts w:ascii="Times New Roman" w:hAnsi="Times New Roman"/>
          <w:color w:val="000000"/>
        </w:rPr>
        <w:t>201</w:t>
      </w:r>
      <w:r>
        <w:rPr>
          <w:rFonts w:ascii="Times New Roman" w:hAnsi="Times New Roman"/>
          <w:color w:val="000000"/>
        </w:rPr>
        <w:t>8</w:t>
      </w:r>
      <w:r w:rsidRPr="00CF77AF">
        <w:rPr>
          <w:rFonts w:ascii="Times New Roman" w:hAnsi="Times New Roman"/>
          <w:color w:val="000000"/>
        </w:rPr>
        <w:t xml:space="preserve"> </w:t>
      </w:r>
      <w:r w:rsidR="00C24247" w:rsidRPr="00CF77AF">
        <w:rPr>
          <w:rFonts w:ascii="Times New Roman" w:hAnsi="Times New Roman"/>
          <w:color w:val="000000"/>
        </w:rPr>
        <w:t>National Occupational and Wage Estimates Statistics</w:t>
      </w:r>
      <w:r w:rsidR="00FB2FAC">
        <w:rPr>
          <w:rFonts w:ascii="Times New Roman" w:hAnsi="Times New Roman"/>
          <w:color w:val="000000"/>
        </w:rPr>
        <w:t xml:space="preserve">, </w:t>
      </w:r>
      <w:r w:rsidR="00EC6E61">
        <w:rPr>
          <w:rFonts w:ascii="Times New Roman" w:hAnsi="Times New Roman"/>
          <w:color w:val="000000"/>
        </w:rPr>
        <w:t>Social Workers, 21-1029</w:t>
      </w:r>
      <w:r w:rsidR="00CF77AF" w:rsidRPr="00CF77AF">
        <w:rPr>
          <w:rFonts w:ascii="Times New Roman" w:hAnsi="Times New Roman"/>
          <w:szCs w:val="24"/>
        </w:rPr>
        <w:t xml:space="preserve"> </w:t>
      </w:r>
      <w:hyperlink r:id="rId14" w:history="1">
        <w:r w:rsidR="00CF77AF" w:rsidRPr="00CF77AF">
          <w:rPr>
            <w:rStyle w:val="Hyperlink"/>
            <w:rFonts w:ascii="Times New Roman" w:hAnsi="Times New Roman"/>
            <w:szCs w:val="24"/>
          </w:rPr>
          <w:t>http://www.bls.gov/oes/current/oes434061.htm</w:t>
        </w:r>
      </w:hyperlink>
      <w:r w:rsidR="00CF77AF" w:rsidRPr="00CF77AF">
        <w:rPr>
          <w:rFonts w:ascii="Times New Roman" w:hAnsi="Times New Roman"/>
          <w:szCs w:val="24"/>
        </w:rPr>
        <w:t xml:space="preserve">).  </w:t>
      </w:r>
      <w:r w:rsidR="00C24247" w:rsidRPr="00CF77AF">
        <w:rPr>
          <w:rFonts w:ascii="Times New Roman" w:hAnsi="Times New Roman"/>
        </w:rPr>
        <w:t>The hourly mean wage for functions performed by State agency staff is</w:t>
      </w:r>
      <w:r w:rsidR="00663348" w:rsidRPr="00CF77AF">
        <w:rPr>
          <w:rFonts w:ascii="Times New Roman" w:hAnsi="Times New Roman"/>
        </w:rPr>
        <w:t xml:space="preserve"> estimated at $</w:t>
      </w:r>
      <w:r w:rsidR="0052776E">
        <w:rPr>
          <w:rFonts w:ascii="Times New Roman" w:hAnsi="Times New Roman"/>
        </w:rPr>
        <w:t>30.12</w:t>
      </w:r>
      <w:r w:rsidR="00C24247" w:rsidRPr="00CF77AF">
        <w:rPr>
          <w:rFonts w:ascii="Times New Roman" w:hAnsi="Times New Roman"/>
        </w:rPr>
        <w:t xml:space="preserve"> per staff hour.</w:t>
      </w:r>
      <w:r w:rsidR="00E33A66">
        <w:rPr>
          <w:rFonts w:ascii="Times New Roman" w:hAnsi="Times New Roman"/>
        </w:rPr>
        <w:t xml:space="preserve">  </w:t>
      </w:r>
      <w:r w:rsidR="00CF77AF" w:rsidRPr="00663348">
        <w:rPr>
          <w:rFonts w:ascii="Times New Roman" w:hAnsi="Times New Roman"/>
          <w:szCs w:val="24"/>
        </w:rPr>
        <w:t>.</w:t>
      </w:r>
    </w:p>
    <w:p w14:paraId="320A56D2" w14:textId="77777777" w:rsidR="00CF77AF" w:rsidRDefault="00CF77AF" w:rsidP="00CF77AF">
      <w:pPr>
        <w:spacing w:line="360" w:lineRule="auto"/>
        <w:ind w:left="360" w:right="-720"/>
        <w:rPr>
          <w:rFonts w:ascii="Times New Roman" w:hAnsi="Times New Roman"/>
          <w:szCs w:val="24"/>
        </w:rPr>
      </w:pPr>
    </w:p>
    <w:p w14:paraId="6273BDF3" w14:textId="77777777" w:rsidR="00A308DB" w:rsidRDefault="00A308DB" w:rsidP="000438E8">
      <w:pPr>
        <w:tabs>
          <w:tab w:val="left" w:pos="0"/>
        </w:tabs>
        <w:suppressAutoHyphens/>
        <w:rPr>
          <w:rFonts w:ascii="Times New Roman" w:hAnsi="Times New Roman"/>
          <w:b/>
          <w:szCs w:val="24"/>
        </w:rPr>
      </w:pPr>
    </w:p>
    <w:p w14:paraId="6273BDF6" w14:textId="7B4FC122" w:rsidR="000438E8" w:rsidRPr="002568E6" w:rsidRDefault="00FD71D3" w:rsidP="0062567E">
      <w:pPr>
        <w:pStyle w:val="Heading1"/>
        <w:rPr>
          <w:szCs w:val="24"/>
        </w:rPr>
      </w:pPr>
      <w:bookmarkStart w:id="24" w:name="_Toc401831369"/>
      <w:bookmarkStart w:id="25" w:name="_Toc21705869"/>
      <w:r w:rsidRPr="00AE2B18">
        <w:rPr>
          <w:szCs w:val="24"/>
        </w:rPr>
        <w:t xml:space="preserve">13.  Estimates of other total annual cost </w:t>
      </w:r>
      <w:r w:rsidR="00ED28F2" w:rsidRPr="00AE2B18">
        <w:rPr>
          <w:szCs w:val="24"/>
        </w:rPr>
        <w:t>burden</w:t>
      </w:r>
      <w:r w:rsidRPr="00AE2B18">
        <w:rPr>
          <w:szCs w:val="24"/>
        </w:rPr>
        <w:t>.</w:t>
      </w:r>
      <w:bookmarkEnd w:id="24"/>
      <w:bookmarkEnd w:id="25"/>
    </w:p>
    <w:p w14:paraId="6273BDF7" w14:textId="77777777" w:rsidR="0062567E" w:rsidRPr="002568E6" w:rsidRDefault="0062567E" w:rsidP="000438E8">
      <w:pPr>
        <w:tabs>
          <w:tab w:val="left" w:pos="0"/>
        </w:tabs>
        <w:suppressAutoHyphens/>
        <w:rPr>
          <w:rFonts w:ascii="Times New Roman" w:hAnsi="Times New Roman"/>
          <w:b/>
          <w:szCs w:val="24"/>
        </w:rPr>
      </w:pPr>
    </w:p>
    <w:p w14:paraId="6273BDF8" w14:textId="3EBEB37A"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w:t>
      </w:r>
      <w:r w:rsidR="00E33A66">
        <w:rPr>
          <w:rFonts w:ascii="Times New Roman" w:hAnsi="Times New Roman"/>
          <w:b/>
          <w:szCs w:val="24"/>
        </w:rPr>
        <w:t xml:space="preserve"> </w:t>
      </w:r>
      <w:r w:rsidRPr="002568E6">
        <w:rPr>
          <w:rFonts w:ascii="Times New Roman" w:hAnsi="Times New Roman"/>
          <w:b/>
          <w:szCs w:val="24"/>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6273BDF9" w14:textId="77777777" w:rsidR="00ED28F2" w:rsidRPr="002568E6" w:rsidRDefault="00ED28F2" w:rsidP="00ED28F2">
      <w:pPr>
        <w:tabs>
          <w:tab w:val="left" w:pos="-720"/>
        </w:tabs>
        <w:suppressAutoHyphens/>
        <w:rPr>
          <w:rFonts w:ascii="Times New Roman" w:hAnsi="Times New Roman"/>
          <w:szCs w:val="24"/>
        </w:rPr>
      </w:pPr>
    </w:p>
    <w:p w14:paraId="01D78763" w14:textId="2860871F" w:rsidR="00E748D8" w:rsidRDefault="00E748D8" w:rsidP="00AE2B18">
      <w:pPr>
        <w:spacing w:line="360" w:lineRule="auto"/>
        <w:rPr>
          <w:rFonts w:ascii="Times New Roman" w:hAnsi="Times New Roman"/>
          <w:color w:val="000000"/>
        </w:rPr>
      </w:pPr>
      <w:r w:rsidRPr="00E748D8">
        <w:rPr>
          <w:rFonts w:ascii="Times New Roman" w:hAnsi="Times New Roman"/>
          <w:color w:val="000000"/>
        </w:rPr>
        <w:t>There is no start-up or annual maintenance costs for this collection of information.</w:t>
      </w:r>
      <w:r w:rsidR="00AE2B18">
        <w:rPr>
          <w:rFonts w:ascii="Times New Roman" w:hAnsi="Times New Roman"/>
          <w:color w:val="000000"/>
        </w:rPr>
        <w:t xml:space="preserve"> </w:t>
      </w:r>
    </w:p>
    <w:p w14:paraId="1A2C7C2B" w14:textId="77777777" w:rsidR="000407B6" w:rsidRPr="00E748D8" w:rsidRDefault="000407B6" w:rsidP="00AE2B18">
      <w:pPr>
        <w:spacing w:line="360" w:lineRule="auto"/>
        <w:rPr>
          <w:rFonts w:ascii="Times New Roman" w:hAnsi="Times New Roman"/>
          <w:color w:val="000000"/>
        </w:rPr>
      </w:pPr>
    </w:p>
    <w:p w14:paraId="6273BDFC" w14:textId="77777777" w:rsidR="00A308DB" w:rsidRPr="002568E6" w:rsidRDefault="000438E8" w:rsidP="0062567E">
      <w:pPr>
        <w:pStyle w:val="Heading1"/>
        <w:rPr>
          <w:szCs w:val="24"/>
        </w:rPr>
      </w:pPr>
      <w:bookmarkStart w:id="26" w:name="_Toc401831370"/>
      <w:bookmarkStart w:id="27" w:name="_Toc21705870"/>
      <w:r w:rsidRPr="002568E6">
        <w:rPr>
          <w:szCs w:val="24"/>
        </w:rPr>
        <w:t>A14.  Provide estimates of annualized cost to the Federal government.</w:t>
      </w:r>
      <w:bookmarkEnd w:id="26"/>
      <w:bookmarkEnd w:id="27"/>
      <w:r w:rsidR="0088245A" w:rsidRPr="002568E6">
        <w:rPr>
          <w:szCs w:val="24"/>
        </w:rPr>
        <w:t xml:space="preserve">  </w:t>
      </w:r>
    </w:p>
    <w:p w14:paraId="6273BDFD" w14:textId="77777777" w:rsidR="0062567E" w:rsidRPr="002568E6" w:rsidRDefault="0062567E" w:rsidP="000438E8">
      <w:pPr>
        <w:tabs>
          <w:tab w:val="left" w:pos="0"/>
        </w:tabs>
        <w:suppressAutoHyphens/>
        <w:rPr>
          <w:rFonts w:ascii="Times New Roman" w:hAnsi="Times New Roman"/>
          <w:szCs w:val="24"/>
        </w:rPr>
      </w:pPr>
    </w:p>
    <w:p w14:paraId="6273BDFE" w14:textId="77777777" w:rsidR="0062567E" w:rsidRPr="009212DA" w:rsidRDefault="0062567E" w:rsidP="0062567E">
      <w:pPr>
        <w:pStyle w:val="ListParagraph"/>
        <w:widowControl/>
        <w:spacing w:line="240" w:lineRule="auto"/>
        <w:ind w:left="0"/>
        <w:rPr>
          <w:b/>
          <w:szCs w:val="24"/>
        </w:rPr>
      </w:pPr>
      <w:r w:rsidRPr="002568E6">
        <w:rPr>
          <w:b/>
          <w:szCs w:val="24"/>
        </w:rPr>
        <w:t xml:space="preserve">Provide estimates of annualized cost to the Federal government.  Provide a description of the method used to estimate cost and any other expense that would not have been incurred </w:t>
      </w:r>
      <w:r w:rsidRPr="009212DA">
        <w:rPr>
          <w:b/>
          <w:szCs w:val="24"/>
        </w:rPr>
        <w:t>without this collection of information.</w:t>
      </w:r>
    </w:p>
    <w:p w14:paraId="6273BDFF" w14:textId="77777777" w:rsidR="0062567E" w:rsidRPr="009212DA" w:rsidRDefault="0062567E" w:rsidP="009212DA">
      <w:pPr>
        <w:tabs>
          <w:tab w:val="left" w:pos="0"/>
        </w:tabs>
        <w:suppressAutoHyphens/>
        <w:rPr>
          <w:rFonts w:ascii="Times New Roman" w:hAnsi="Times New Roman"/>
          <w:szCs w:val="24"/>
        </w:rPr>
      </w:pPr>
    </w:p>
    <w:p w14:paraId="46480EB2" w14:textId="31C42233" w:rsidR="007F4B1A" w:rsidRPr="007F4B1A" w:rsidRDefault="00F8734D" w:rsidP="007F4B1A">
      <w:pPr>
        <w:tabs>
          <w:tab w:val="left" w:pos="-720"/>
        </w:tabs>
        <w:suppressAutoHyphens/>
        <w:spacing w:line="480" w:lineRule="auto"/>
        <w:rPr>
          <w:rFonts w:ascii="Times New Roman" w:hAnsi="Times New Roman"/>
          <w:szCs w:val="24"/>
        </w:rPr>
      </w:pPr>
      <w:bookmarkStart w:id="28" w:name="_Toc401831371"/>
      <w:r w:rsidRPr="00FB2FAC">
        <w:rPr>
          <w:rFonts w:ascii="Times New Roman" w:hAnsi="Times New Roman"/>
        </w:rPr>
        <w:t>The estimated total annual cost to the Federal government is</w:t>
      </w:r>
      <w:r w:rsidRPr="00FB2FAC">
        <w:rPr>
          <w:rFonts w:ascii="Times New Roman" w:hAnsi="Times New Roman"/>
          <w:b/>
          <w:bCs/>
        </w:rPr>
        <w:t xml:space="preserve"> </w:t>
      </w:r>
      <w:r w:rsidR="005F3D74" w:rsidRPr="00FB2FAC">
        <w:rPr>
          <w:rFonts w:ascii="Times New Roman" w:hAnsi="Times New Roman"/>
          <w:bCs/>
        </w:rPr>
        <w:t>$6,379</w:t>
      </w:r>
      <w:r w:rsidR="00FB2FAC">
        <w:rPr>
          <w:rFonts w:ascii="Times New Roman" w:hAnsi="Times New Roman"/>
          <w:bCs/>
        </w:rPr>
        <w:t xml:space="preserve"> ($4,196</w:t>
      </w:r>
      <w:r w:rsidRPr="00FB2FAC">
        <w:rPr>
          <w:rFonts w:ascii="Times New Roman" w:hAnsi="Times New Roman"/>
          <w:b/>
          <w:bCs/>
        </w:rPr>
        <w:t xml:space="preserve"> </w:t>
      </w:r>
      <w:r w:rsidRPr="00FB2FAC">
        <w:rPr>
          <w:rFonts w:ascii="Times New Roman" w:hAnsi="Times New Roman"/>
        </w:rPr>
        <w:t>annual base cost +$</w:t>
      </w:r>
      <w:r w:rsidR="00FB2FAC">
        <w:rPr>
          <w:rFonts w:ascii="Times New Roman" w:hAnsi="Times New Roman"/>
        </w:rPr>
        <w:t>1,385</w:t>
      </w:r>
      <w:r w:rsidRPr="00FB2FAC">
        <w:rPr>
          <w:rFonts w:ascii="Times New Roman" w:hAnsi="Times New Roman"/>
        </w:rPr>
        <w:t xml:space="preserve"> fringe benefits cost + $798 reimbursement cost to the States).  State SNAP agencies’ allowable SNAP administrative costs are eligible for 50 percent Federal reimbursement, or approximately 50 percent of the $</w:t>
      </w:r>
      <w:r w:rsidR="005F3D74" w:rsidRPr="00FB2FAC">
        <w:rPr>
          <w:rFonts w:ascii="Times New Roman" w:hAnsi="Times New Roman"/>
        </w:rPr>
        <w:t>1,596</w:t>
      </w:r>
      <w:r w:rsidRPr="00FB2FAC">
        <w:rPr>
          <w:rFonts w:ascii="Times New Roman" w:hAnsi="Times New Roman"/>
        </w:rPr>
        <w:t xml:space="preserve">  </w:t>
      </w:r>
      <w:r w:rsidRPr="00FB2FAC">
        <w:rPr>
          <w:rFonts w:ascii="Times New Roman" w:hAnsi="Times New Roman"/>
          <w:color w:val="000000"/>
        </w:rPr>
        <w:t>cost estimated for State agencies which is ($</w:t>
      </w:r>
      <w:r w:rsidR="005F3D74" w:rsidRPr="00FB2FAC">
        <w:rPr>
          <w:rFonts w:ascii="Times New Roman" w:hAnsi="Times New Roman"/>
          <w:color w:val="000000"/>
        </w:rPr>
        <w:t>798</w:t>
      </w:r>
      <w:r w:rsidRPr="00FB2FAC">
        <w:rPr>
          <w:rFonts w:ascii="Times New Roman" w:hAnsi="Times New Roman"/>
          <w:color w:val="000000"/>
        </w:rPr>
        <w:t xml:space="preserve">); additionally, </w:t>
      </w:r>
      <w:r w:rsidRPr="00FB2FAC">
        <w:rPr>
          <w:rFonts w:ascii="Times New Roman" w:hAnsi="Times New Roman"/>
        </w:rPr>
        <w:t xml:space="preserve">the information collection also assumes that a total of 80 hours to draft the information collection for a Federal employee GS-12 Step 6 in the Washington-DC locality, at $45.59 per hour for a total of </w:t>
      </w:r>
      <w:r w:rsidRPr="00FB2FAC">
        <w:rPr>
          <w:rFonts w:ascii="Times New Roman" w:hAnsi="Times New Roman"/>
          <w:b/>
          <w:bCs/>
        </w:rPr>
        <w:t>$3,647.20</w:t>
      </w:r>
      <w:r w:rsidRPr="00FB2FAC">
        <w:rPr>
          <w:rFonts w:ascii="Times New Roman" w:hAnsi="Times New Roman"/>
        </w:rPr>
        <w:t xml:space="preserve"> and a 10 hours for a Branch Chief Federal employee GS 14 Step 1 to review this information collection at $54.91 per hour for a total of </w:t>
      </w:r>
      <w:r w:rsidRPr="00FB2FAC">
        <w:rPr>
          <w:rFonts w:ascii="Times New Roman" w:hAnsi="Times New Roman"/>
          <w:b/>
          <w:bCs/>
        </w:rPr>
        <w:t>$549.10</w:t>
      </w:r>
      <w:r w:rsidRPr="00FB2FAC">
        <w:rPr>
          <w:rFonts w:ascii="Times New Roman" w:hAnsi="Times New Roman"/>
        </w:rPr>
        <w:t xml:space="preserve">. </w:t>
      </w:r>
      <w:r w:rsidR="007F4B1A" w:rsidRPr="00FB2FAC">
        <w:rPr>
          <w:rFonts w:ascii="Times New Roman" w:hAnsi="Times New Roman"/>
        </w:rPr>
        <w:t xml:space="preserve"> Additionally, </w:t>
      </w:r>
      <w:r w:rsidR="007F4B1A" w:rsidRPr="00FB2FAC">
        <w:rPr>
          <w:rFonts w:ascii="Times New Roman" w:hAnsi="Times New Roman"/>
          <w:szCs w:val="24"/>
        </w:rPr>
        <w:t>the Federal government reimburse State agencies approximately 50 percent of their</w:t>
      </w:r>
      <w:r w:rsidR="007F4B1A" w:rsidRPr="007F4B1A">
        <w:rPr>
          <w:rFonts w:ascii="Times New Roman" w:hAnsi="Times New Roman"/>
          <w:szCs w:val="24"/>
        </w:rPr>
        <w:t xml:space="preserve"> State administrative cost which is </w:t>
      </w:r>
      <w:r w:rsidR="007F4B1A" w:rsidRPr="007F4B1A">
        <w:rPr>
          <w:rFonts w:ascii="Times New Roman" w:hAnsi="Times New Roman"/>
          <w:color w:val="000000"/>
          <w:szCs w:val="24"/>
        </w:rPr>
        <w:t>$1,596.  This cost is added back into the cost to the Federal government which is estimated at $798.</w:t>
      </w:r>
    </w:p>
    <w:p w14:paraId="2CC756F9" w14:textId="77777777" w:rsidR="007F4B1A" w:rsidRDefault="007F4B1A" w:rsidP="00F8734D">
      <w:pPr>
        <w:pStyle w:val="NormalSS"/>
        <w:spacing w:after="0" w:line="480" w:lineRule="auto"/>
        <w:ind w:firstLine="0"/>
      </w:pPr>
    </w:p>
    <w:p w14:paraId="65BB8D71" w14:textId="4DE38738" w:rsidR="00F8734D" w:rsidRDefault="00F8734D" w:rsidP="00F8734D">
      <w:pPr>
        <w:pStyle w:val="NormalSS"/>
        <w:spacing w:after="0" w:line="480" w:lineRule="auto"/>
        <w:ind w:firstLine="0"/>
        <w:rPr>
          <w:sz w:val="20"/>
        </w:rPr>
      </w:pPr>
      <w:r>
        <w:t>Federal employee pay rates are based on the General Schedule of the Office of Personnel Management (OPM) effective January 2019.</w:t>
      </w:r>
    </w:p>
    <w:p w14:paraId="132B5507" w14:textId="7E85BF2E" w:rsidR="009212DA" w:rsidRDefault="009212DA" w:rsidP="0062567E">
      <w:pPr>
        <w:pStyle w:val="Heading1"/>
        <w:rPr>
          <w:szCs w:val="24"/>
        </w:rPr>
      </w:pPr>
    </w:p>
    <w:p w14:paraId="6C0434E1" w14:textId="77777777" w:rsidR="00F8734D" w:rsidRPr="00F8734D" w:rsidRDefault="00F8734D" w:rsidP="00FB2FAC"/>
    <w:p w14:paraId="6273BE02" w14:textId="4502B01E" w:rsidR="000438E8" w:rsidRPr="002568E6" w:rsidRDefault="000438E8" w:rsidP="0062567E">
      <w:pPr>
        <w:pStyle w:val="Heading1"/>
        <w:rPr>
          <w:szCs w:val="24"/>
        </w:rPr>
      </w:pPr>
      <w:bookmarkStart w:id="29" w:name="_Toc21705871"/>
      <w:r w:rsidRPr="002568E6">
        <w:rPr>
          <w:szCs w:val="24"/>
        </w:rPr>
        <w:t xml:space="preserve">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28"/>
      <w:bookmarkEnd w:id="29"/>
    </w:p>
    <w:p w14:paraId="6273BE03" w14:textId="77777777" w:rsidR="0062567E" w:rsidRPr="002568E6" w:rsidRDefault="0062567E" w:rsidP="0062567E">
      <w:pPr>
        <w:tabs>
          <w:tab w:val="left" w:pos="0"/>
        </w:tabs>
        <w:suppressAutoHyphens/>
        <w:jc w:val="center"/>
        <w:rPr>
          <w:rFonts w:ascii="Times New Roman" w:hAnsi="Times New Roman"/>
          <w:b/>
          <w:szCs w:val="24"/>
        </w:rPr>
      </w:pPr>
    </w:p>
    <w:p w14:paraId="6273BE05" w14:textId="275028F4" w:rsidR="00ED28F2" w:rsidRDefault="0062567E" w:rsidP="00E748D8">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1969DA71" w14:textId="77777777" w:rsidR="00E748D8" w:rsidRDefault="00E748D8" w:rsidP="00554655">
      <w:pPr>
        <w:pStyle w:val="ListParagraph"/>
        <w:widowControl/>
        <w:spacing w:line="240" w:lineRule="auto"/>
        <w:ind w:left="0"/>
        <w:rPr>
          <w:b/>
          <w:szCs w:val="24"/>
        </w:rPr>
      </w:pPr>
    </w:p>
    <w:p w14:paraId="697C8DAF" w14:textId="6228C690" w:rsidR="005F3D74" w:rsidRDefault="009A71CE" w:rsidP="005F3D74">
      <w:pPr>
        <w:tabs>
          <w:tab w:val="center" w:pos="4680"/>
        </w:tabs>
        <w:suppressAutoHyphens/>
        <w:spacing w:line="480" w:lineRule="auto"/>
        <w:rPr>
          <w:rFonts w:ascii="Times New Roman" w:hAnsi="Times New Roman"/>
          <w:color w:val="000000"/>
        </w:rPr>
      </w:pPr>
      <w:r w:rsidRPr="009A71CE">
        <w:rPr>
          <w:rFonts w:ascii="Times New Roman" w:hAnsi="Times New Roman"/>
          <w:szCs w:val="24"/>
        </w:rPr>
        <w:t>The agency is revising the CFR as a result the FNS is requesting a new OMB control number for this information collection request</w:t>
      </w:r>
      <w:r w:rsidRPr="009A71CE" w:rsidDel="009A71CE">
        <w:rPr>
          <w:rFonts w:ascii="Times New Roman" w:hAnsi="Times New Roman"/>
          <w:szCs w:val="24"/>
        </w:rPr>
        <w:t xml:space="preserve"> </w:t>
      </w:r>
      <w:r w:rsidR="003E1D7B">
        <w:rPr>
          <w:rFonts w:ascii="Times New Roman" w:hAnsi="Times New Roman"/>
          <w:szCs w:val="24"/>
        </w:rPr>
        <w:t xml:space="preserve">with this </w:t>
      </w:r>
      <w:r w:rsidR="003E1D7B" w:rsidRPr="005D385E">
        <w:rPr>
          <w:rFonts w:ascii="Times New Roman" w:hAnsi="Times New Roman"/>
          <w:szCs w:val="24"/>
        </w:rPr>
        <w:t>proposed rule</w:t>
      </w:r>
      <w:r w:rsidR="003E1D7B">
        <w:rPr>
          <w:rFonts w:ascii="Times New Roman" w:hAnsi="Times New Roman"/>
          <w:szCs w:val="24"/>
        </w:rPr>
        <w:t>making</w:t>
      </w:r>
      <w:r w:rsidR="003E1D7B" w:rsidRPr="005D385E">
        <w:rPr>
          <w:rFonts w:ascii="Times New Roman" w:hAnsi="Times New Roman"/>
          <w:szCs w:val="24"/>
        </w:rPr>
        <w:t xml:space="preserve">, </w:t>
      </w:r>
      <w:r w:rsidR="003E1D7B" w:rsidRPr="005D385E">
        <w:rPr>
          <w:rFonts w:ascii="Times New Roman" w:hAnsi="Times New Roman"/>
        </w:rPr>
        <w:t>Standardization of State Heating and Cooling Standard Utility Allowances</w:t>
      </w:r>
      <w:r w:rsidR="003E1D7B">
        <w:rPr>
          <w:rFonts w:ascii="Times New Roman" w:hAnsi="Times New Roman"/>
        </w:rPr>
        <w:t xml:space="preserve"> (SUAs)</w:t>
      </w:r>
      <w:r w:rsidR="003E1D7B" w:rsidRPr="005D385E">
        <w:rPr>
          <w:rFonts w:ascii="Times New Roman" w:hAnsi="Times New Roman"/>
        </w:rPr>
        <w:t>,</w:t>
      </w:r>
      <w:r w:rsidR="003E1D7B">
        <w:rPr>
          <w:rFonts w:ascii="Times New Roman" w:hAnsi="Times New Roman"/>
        </w:rPr>
        <w:t xml:space="preserve"> a</w:t>
      </w:r>
      <w:r w:rsidR="00E748D8" w:rsidRPr="00554655">
        <w:rPr>
          <w:rFonts w:ascii="Times New Roman" w:hAnsi="Times New Roman"/>
        </w:rPr>
        <w:t>s</w:t>
      </w:r>
      <w:r w:rsidR="00FB2FAC">
        <w:rPr>
          <w:rFonts w:ascii="Times New Roman" w:hAnsi="Times New Roman"/>
        </w:rPr>
        <w:t xml:space="preserve"> a result</w:t>
      </w:r>
      <w:r w:rsidR="00E748D8" w:rsidRPr="00554655">
        <w:rPr>
          <w:rFonts w:ascii="Times New Roman" w:hAnsi="Times New Roman"/>
        </w:rPr>
        <w:t xml:space="preserve"> of program changes associated with rulemaking for </w:t>
      </w:r>
      <w:r w:rsidR="00E33A66" w:rsidRPr="00554655">
        <w:rPr>
          <w:rFonts w:ascii="Times New Roman" w:hAnsi="Times New Roman"/>
        </w:rPr>
        <w:t>0584-</w:t>
      </w:r>
      <w:r w:rsidR="00F5778E">
        <w:rPr>
          <w:rFonts w:ascii="Times New Roman" w:hAnsi="Times New Roman"/>
        </w:rPr>
        <w:t xml:space="preserve">AE69 </w:t>
      </w:r>
      <w:r w:rsidR="00554655" w:rsidRPr="00554655">
        <w:rPr>
          <w:rFonts w:ascii="Times New Roman" w:hAnsi="Times New Roman"/>
          <w:szCs w:val="24"/>
        </w:rPr>
        <w:t>Standardization of State Heating and Cooling Standard Utility Allowances</w:t>
      </w:r>
      <w:r w:rsidR="00E748D8" w:rsidRPr="00554655">
        <w:rPr>
          <w:rFonts w:ascii="Times New Roman" w:hAnsi="Times New Roman"/>
        </w:rPr>
        <w:t xml:space="preserve">.  </w:t>
      </w:r>
      <w:r w:rsidR="00E748D8" w:rsidRPr="00554655">
        <w:rPr>
          <w:rFonts w:ascii="Times New Roman" w:hAnsi="Times New Roman"/>
          <w:color w:val="000000"/>
        </w:rPr>
        <w:t xml:space="preserve">This information collection will increase the OMB inventory by </w:t>
      </w:r>
      <w:r w:rsidR="00554655" w:rsidRPr="00554655">
        <w:rPr>
          <w:rFonts w:ascii="Times New Roman" w:hAnsi="Times New Roman"/>
          <w:color w:val="000000"/>
        </w:rPr>
        <w:t>53</w:t>
      </w:r>
      <w:r w:rsidR="00E33A66" w:rsidRPr="00554655">
        <w:rPr>
          <w:rFonts w:ascii="Times New Roman" w:hAnsi="Times New Roman"/>
          <w:b/>
          <w:bCs/>
          <w:color w:val="000000"/>
          <w:sz w:val="16"/>
          <w:szCs w:val="16"/>
        </w:rPr>
        <w:t xml:space="preserve"> </w:t>
      </w:r>
      <w:r w:rsidR="00E748D8" w:rsidRPr="00554655">
        <w:rPr>
          <w:rFonts w:ascii="Times New Roman" w:hAnsi="Times New Roman"/>
          <w:color w:val="000000"/>
        </w:rPr>
        <w:t>burden hours</w:t>
      </w:r>
      <w:r w:rsidR="003E1D7B">
        <w:rPr>
          <w:rFonts w:ascii="Times New Roman" w:hAnsi="Times New Roman"/>
          <w:color w:val="000000"/>
        </w:rPr>
        <w:t xml:space="preserve"> and 53 total annual responses</w:t>
      </w:r>
      <w:r w:rsidR="00554655">
        <w:rPr>
          <w:rFonts w:ascii="Times New Roman" w:hAnsi="Times New Roman"/>
          <w:color w:val="000000"/>
        </w:rPr>
        <w:t>.</w:t>
      </w:r>
      <w:r w:rsidR="005F3D74">
        <w:rPr>
          <w:rFonts w:ascii="Times New Roman" w:hAnsi="Times New Roman"/>
          <w:color w:val="000000"/>
        </w:rPr>
        <w:t xml:space="preserve">  </w:t>
      </w:r>
    </w:p>
    <w:p w14:paraId="77E72069" w14:textId="77777777" w:rsidR="003E1D7B" w:rsidRDefault="003E1D7B" w:rsidP="005F3D74">
      <w:pPr>
        <w:tabs>
          <w:tab w:val="center" w:pos="4680"/>
        </w:tabs>
        <w:suppressAutoHyphens/>
        <w:spacing w:line="480" w:lineRule="auto"/>
        <w:rPr>
          <w:rFonts w:ascii="Times New Roman" w:hAnsi="Times New Roman"/>
          <w:color w:val="000000"/>
        </w:rPr>
      </w:pPr>
    </w:p>
    <w:p w14:paraId="4FA0DA5C" w14:textId="0D82AEE7" w:rsidR="00554655" w:rsidRDefault="00EC6E61" w:rsidP="005F3D74">
      <w:pPr>
        <w:tabs>
          <w:tab w:val="center" w:pos="4680"/>
        </w:tabs>
        <w:suppressAutoHyphens/>
        <w:spacing w:line="480" w:lineRule="auto"/>
        <w:rPr>
          <w:rFonts w:ascii="Times New Roman" w:hAnsi="Times New Roman"/>
          <w:color w:val="000000"/>
        </w:rPr>
      </w:pPr>
      <w:r w:rsidRPr="00EC6E61">
        <w:rPr>
          <w:rFonts w:ascii="Times New Roman" w:hAnsi="Times New Roman"/>
          <w:color w:val="000000"/>
        </w:rPr>
        <w:t>While FNS</w:t>
      </w:r>
      <w:r w:rsidR="005F3D74">
        <w:rPr>
          <w:rFonts w:ascii="Times New Roman" w:hAnsi="Times New Roman"/>
          <w:color w:val="000000"/>
        </w:rPr>
        <w:t xml:space="preserve"> </w:t>
      </w:r>
      <w:r w:rsidRPr="00EC6E61">
        <w:rPr>
          <w:rFonts w:ascii="Times New Roman" w:hAnsi="Times New Roman"/>
          <w:color w:val="000000"/>
        </w:rPr>
        <w:t>is requesting a new OMB Control</w:t>
      </w:r>
      <w:r w:rsidR="005F3D74">
        <w:rPr>
          <w:rFonts w:ascii="Times New Roman" w:hAnsi="Times New Roman"/>
          <w:color w:val="000000"/>
        </w:rPr>
        <w:t xml:space="preserve"> </w:t>
      </w:r>
      <w:r w:rsidRPr="00EC6E61">
        <w:rPr>
          <w:rFonts w:ascii="Times New Roman" w:hAnsi="Times New Roman"/>
          <w:color w:val="000000"/>
        </w:rPr>
        <w:t>Number for these requirements in this</w:t>
      </w:r>
      <w:r w:rsidR="005F3D74">
        <w:rPr>
          <w:rFonts w:ascii="Times New Roman" w:hAnsi="Times New Roman"/>
          <w:color w:val="000000"/>
        </w:rPr>
        <w:t xml:space="preserve"> </w:t>
      </w:r>
      <w:r w:rsidRPr="00EC6E61">
        <w:rPr>
          <w:rFonts w:ascii="Times New Roman" w:hAnsi="Times New Roman"/>
          <w:color w:val="000000"/>
        </w:rPr>
        <w:t>proposed rule, this proposal would</w:t>
      </w:r>
      <w:r w:rsidR="005F3D74">
        <w:rPr>
          <w:rFonts w:ascii="Times New Roman" w:hAnsi="Times New Roman"/>
          <w:color w:val="000000"/>
        </w:rPr>
        <w:t xml:space="preserve"> </w:t>
      </w:r>
      <w:r w:rsidRPr="00EC6E61">
        <w:rPr>
          <w:rFonts w:ascii="Times New Roman" w:hAnsi="Times New Roman"/>
          <w:color w:val="000000"/>
        </w:rPr>
        <w:t>reduce the existing burden on State</w:t>
      </w:r>
      <w:r w:rsidR="005F3D74">
        <w:rPr>
          <w:rFonts w:ascii="Times New Roman" w:hAnsi="Times New Roman"/>
          <w:color w:val="000000"/>
        </w:rPr>
        <w:t xml:space="preserve"> </w:t>
      </w:r>
      <w:r w:rsidRPr="00EC6E61">
        <w:rPr>
          <w:rFonts w:ascii="Times New Roman" w:hAnsi="Times New Roman"/>
          <w:color w:val="000000"/>
        </w:rPr>
        <w:t>agencies currently approved under OMB</w:t>
      </w:r>
      <w:r w:rsidR="005F3D74">
        <w:rPr>
          <w:rFonts w:ascii="Times New Roman" w:hAnsi="Times New Roman"/>
          <w:color w:val="000000"/>
        </w:rPr>
        <w:t xml:space="preserve"> </w:t>
      </w:r>
      <w:r w:rsidRPr="00EC6E61">
        <w:rPr>
          <w:rFonts w:ascii="Times New Roman" w:hAnsi="Times New Roman"/>
          <w:color w:val="000000"/>
        </w:rPr>
        <w:t>Control Number 0584–0496; Expiration</w:t>
      </w:r>
      <w:r w:rsidR="005F3D74">
        <w:rPr>
          <w:rFonts w:ascii="Times New Roman" w:hAnsi="Times New Roman"/>
          <w:color w:val="000000"/>
        </w:rPr>
        <w:t xml:space="preserve"> </w:t>
      </w:r>
      <w:r w:rsidRPr="00EC6E61">
        <w:rPr>
          <w:rFonts w:ascii="Times New Roman" w:hAnsi="Times New Roman"/>
          <w:color w:val="000000"/>
        </w:rPr>
        <w:t>Date 3/31/2020. FNS intends to merge</w:t>
      </w:r>
      <w:r w:rsidR="005F3D74">
        <w:rPr>
          <w:rFonts w:ascii="Times New Roman" w:hAnsi="Times New Roman"/>
          <w:color w:val="000000"/>
        </w:rPr>
        <w:t xml:space="preserve"> </w:t>
      </w:r>
      <w:r w:rsidR="005F3D74" w:rsidRPr="005F3D74">
        <w:rPr>
          <w:rFonts w:ascii="Times New Roman" w:hAnsi="Times New Roman"/>
          <w:color w:val="000000"/>
        </w:rPr>
        <w:t>this new collection to currently</w:t>
      </w:r>
      <w:r w:rsidR="005F3D74">
        <w:rPr>
          <w:rFonts w:ascii="Times New Roman" w:hAnsi="Times New Roman"/>
          <w:color w:val="000000"/>
        </w:rPr>
        <w:t xml:space="preserve"> </w:t>
      </w:r>
      <w:r w:rsidR="005F3D74" w:rsidRPr="005F3D74">
        <w:rPr>
          <w:rFonts w:ascii="Times New Roman" w:hAnsi="Times New Roman"/>
          <w:color w:val="000000"/>
        </w:rPr>
        <w:t>approved burden after the final</w:t>
      </w:r>
      <w:r w:rsidR="005F3D74">
        <w:rPr>
          <w:rFonts w:ascii="Times New Roman" w:hAnsi="Times New Roman"/>
          <w:color w:val="000000"/>
        </w:rPr>
        <w:t xml:space="preserve"> </w:t>
      </w:r>
      <w:r w:rsidR="005F3D74" w:rsidRPr="005F3D74">
        <w:rPr>
          <w:rFonts w:ascii="Times New Roman" w:hAnsi="Times New Roman"/>
          <w:color w:val="000000"/>
        </w:rPr>
        <w:t>rulemaking information collection</w:t>
      </w:r>
      <w:r w:rsidR="005F3D74">
        <w:rPr>
          <w:rFonts w:ascii="Times New Roman" w:hAnsi="Times New Roman"/>
          <w:color w:val="000000"/>
        </w:rPr>
        <w:t xml:space="preserve"> </w:t>
      </w:r>
      <w:r w:rsidR="005F3D74" w:rsidRPr="005F3D74">
        <w:rPr>
          <w:rFonts w:ascii="Times New Roman" w:hAnsi="Times New Roman"/>
          <w:color w:val="000000"/>
        </w:rPr>
        <w:t>request is approved.</w:t>
      </w:r>
    </w:p>
    <w:p w14:paraId="6273BE07" w14:textId="694322F4" w:rsidR="006B4BFE" w:rsidRPr="002568E6" w:rsidRDefault="00E748D8" w:rsidP="00554655">
      <w:pPr>
        <w:tabs>
          <w:tab w:val="center" w:pos="4680"/>
        </w:tabs>
        <w:suppressAutoHyphens/>
        <w:rPr>
          <w:rFonts w:ascii="Times New Roman" w:hAnsi="Times New Roman"/>
          <w:szCs w:val="24"/>
        </w:rPr>
      </w:pPr>
      <w:r w:rsidRPr="00554655">
        <w:rPr>
          <w:rFonts w:ascii="Times New Roman" w:hAnsi="Times New Roman"/>
          <w:color w:val="000000"/>
        </w:rPr>
        <w:t xml:space="preserve"> </w:t>
      </w:r>
    </w:p>
    <w:p w14:paraId="6273BE08" w14:textId="119AB303" w:rsidR="00A308DB" w:rsidRPr="002568E6" w:rsidRDefault="000438E8" w:rsidP="00554655">
      <w:pPr>
        <w:pStyle w:val="Heading1"/>
        <w:rPr>
          <w:szCs w:val="24"/>
        </w:rPr>
      </w:pPr>
      <w:bookmarkStart w:id="30" w:name="_Toc401831372"/>
      <w:bookmarkStart w:id="31" w:name="_Toc21705872"/>
      <w:r w:rsidRPr="002568E6">
        <w:rPr>
          <w:szCs w:val="24"/>
        </w:rPr>
        <w:t xml:space="preserve">16.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0"/>
      <w:bookmarkEnd w:id="31"/>
      <w:r w:rsidRPr="002568E6">
        <w:rPr>
          <w:szCs w:val="24"/>
        </w:rPr>
        <w:t xml:space="preserve"> </w:t>
      </w:r>
    </w:p>
    <w:p w14:paraId="6273BE09" w14:textId="77777777" w:rsidR="00A308DB" w:rsidRPr="002568E6" w:rsidRDefault="00A308DB" w:rsidP="000438E8">
      <w:pPr>
        <w:tabs>
          <w:tab w:val="left" w:pos="0"/>
        </w:tabs>
        <w:suppressAutoHyphens/>
        <w:rPr>
          <w:rFonts w:ascii="Times New Roman" w:hAnsi="Times New Roman"/>
          <w:b/>
          <w:szCs w:val="24"/>
        </w:rPr>
      </w:pPr>
    </w:p>
    <w:p w14:paraId="6273BE0A" w14:textId="77777777" w:rsidR="0062567E" w:rsidRDefault="0062567E" w:rsidP="009212DA">
      <w:pPr>
        <w:pStyle w:val="ListParagraph"/>
        <w:widowControl/>
        <w:spacing w:line="240" w:lineRule="auto"/>
        <w:ind w:left="0"/>
        <w:rPr>
          <w:b/>
          <w:szCs w:val="24"/>
        </w:rPr>
      </w:pPr>
      <w:r w:rsidRPr="002568E6">
        <w:rPr>
          <w:b/>
          <w:szCs w:val="24"/>
        </w:rPr>
        <w:t>For collections of information whose results are planned to be published, outline plans for tabulation and publication.</w:t>
      </w:r>
    </w:p>
    <w:p w14:paraId="51E3F861" w14:textId="77777777" w:rsidR="00383864" w:rsidRPr="002568E6" w:rsidRDefault="00383864" w:rsidP="009212DA">
      <w:pPr>
        <w:pStyle w:val="ListParagraph"/>
        <w:widowControl/>
        <w:spacing w:line="240" w:lineRule="auto"/>
        <w:ind w:left="0"/>
        <w:rPr>
          <w:b/>
          <w:szCs w:val="24"/>
        </w:rPr>
      </w:pPr>
    </w:p>
    <w:p w14:paraId="1F0FE6EF" w14:textId="77777777" w:rsidR="00383864" w:rsidRPr="00383864" w:rsidRDefault="00383864" w:rsidP="00C80D32">
      <w:pPr>
        <w:tabs>
          <w:tab w:val="left" w:pos="-720"/>
        </w:tabs>
        <w:suppressAutoHyphens/>
        <w:spacing w:line="480" w:lineRule="auto"/>
        <w:rPr>
          <w:rFonts w:ascii="Times New Roman" w:hAnsi="Times New Roman"/>
          <w:spacing w:val="-3"/>
        </w:rPr>
      </w:pPr>
      <w:r w:rsidRPr="00383864">
        <w:rPr>
          <w:rFonts w:ascii="Times New Roman" w:hAnsi="Times New Roman"/>
          <w:spacing w:val="-3"/>
        </w:rPr>
        <w:t>This collection does not entail planned statistical use and there are no plans to publish the results of this collection for statistical analyses.</w:t>
      </w:r>
    </w:p>
    <w:p w14:paraId="6273BE0B" w14:textId="77777777" w:rsidR="00ED28F2" w:rsidRPr="002568E6" w:rsidRDefault="00ED28F2" w:rsidP="00ED28F2">
      <w:pPr>
        <w:tabs>
          <w:tab w:val="left" w:pos="-720"/>
        </w:tabs>
        <w:suppressAutoHyphens/>
        <w:rPr>
          <w:rFonts w:ascii="Times New Roman" w:hAnsi="Times New Roman"/>
          <w:szCs w:val="24"/>
        </w:rPr>
      </w:pPr>
    </w:p>
    <w:p w14:paraId="6273BE0D" w14:textId="77777777" w:rsidR="000438E8" w:rsidRPr="002568E6" w:rsidRDefault="000438E8" w:rsidP="000438E8">
      <w:pPr>
        <w:tabs>
          <w:tab w:val="left" w:pos="0"/>
        </w:tabs>
        <w:suppressAutoHyphens/>
        <w:rPr>
          <w:rFonts w:ascii="Times New Roman" w:hAnsi="Times New Roman"/>
          <w:szCs w:val="24"/>
        </w:rPr>
      </w:pPr>
    </w:p>
    <w:p w14:paraId="6273BE0E" w14:textId="28C1104A" w:rsidR="00A308DB" w:rsidRPr="002568E6" w:rsidRDefault="000438E8" w:rsidP="0062567E">
      <w:pPr>
        <w:pStyle w:val="Heading1"/>
        <w:rPr>
          <w:szCs w:val="24"/>
        </w:rPr>
      </w:pPr>
      <w:bookmarkStart w:id="32" w:name="_Toc401831373"/>
      <w:bookmarkStart w:id="33" w:name="_Toc21705873"/>
      <w:r w:rsidRPr="002568E6">
        <w:rPr>
          <w:szCs w:val="24"/>
        </w:rPr>
        <w:t xml:space="preserve">17.  </w:t>
      </w:r>
      <w:r w:rsidR="001C6CBE" w:rsidRPr="002568E6">
        <w:rPr>
          <w:szCs w:val="24"/>
        </w:rPr>
        <w:t>Displaying the OMB Approval Expiration Date.</w:t>
      </w:r>
      <w:bookmarkEnd w:id="32"/>
      <w:bookmarkEnd w:id="33"/>
    </w:p>
    <w:p w14:paraId="6273BE0F" w14:textId="77777777" w:rsidR="0062567E" w:rsidRPr="002568E6" w:rsidRDefault="0062567E" w:rsidP="0062567E">
      <w:pPr>
        <w:pStyle w:val="ListParagraph"/>
        <w:widowControl/>
        <w:spacing w:line="240" w:lineRule="auto"/>
        <w:ind w:left="0"/>
        <w:rPr>
          <w:b/>
          <w:szCs w:val="24"/>
        </w:rPr>
      </w:pPr>
    </w:p>
    <w:p w14:paraId="6273BE10"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6273BE11" w14:textId="77777777" w:rsidR="00ED28F2" w:rsidRPr="002568E6" w:rsidRDefault="00ED28F2" w:rsidP="00ED28F2">
      <w:pPr>
        <w:tabs>
          <w:tab w:val="left" w:pos="-720"/>
        </w:tabs>
        <w:suppressAutoHyphens/>
        <w:rPr>
          <w:rFonts w:ascii="Times New Roman" w:hAnsi="Times New Roman"/>
          <w:szCs w:val="24"/>
        </w:rPr>
      </w:pPr>
    </w:p>
    <w:p w14:paraId="6273BE13" w14:textId="4AD9A1BA" w:rsidR="000438E8" w:rsidRDefault="00383864" w:rsidP="000438E8">
      <w:pPr>
        <w:tabs>
          <w:tab w:val="left" w:pos="0"/>
        </w:tabs>
        <w:suppressAutoHyphens/>
        <w:rPr>
          <w:rFonts w:ascii="Times New Roman" w:hAnsi="Times New Roman"/>
          <w:szCs w:val="24"/>
        </w:rPr>
      </w:pPr>
      <w:r w:rsidRPr="00383864">
        <w:rPr>
          <w:rFonts w:ascii="Times New Roman" w:hAnsi="Times New Roman"/>
          <w:szCs w:val="24"/>
        </w:rPr>
        <w:t>We are not seeking approval concerning the display of the expiration date.</w:t>
      </w:r>
    </w:p>
    <w:p w14:paraId="1A1E398F" w14:textId="77777777" w:rsidR="00383864" w:rsidRPr="002568E6" w:rsidRDefault="00383864" w:rsidP="000438E8">
      <w:pPr>
        <w:tabs>
          <w:tab w:val="left" w:pos="0"/>
        </w:tabs>
        <w:suppressAutoHyphens/>
        <w:rPr>
          <w:rFonts w:ascii="Times New Roman" w:hAnsi="Times New Roman"/>
          <w:szCs w:val="24"/>
        </w:rPr>
      </w:pPr>
    </w:p>
    <w:p w14:paraId="6273BE14" w14:textId="2A6CBDFB" w:rsidR="00A308DB" w:rsidRPr="002568E6" w:rsidRDefault="000438E8" w:rsidP="0062567E">
      <w:pPr>
        <w:pStyle w:val="Heading1"/>
        <w:rPr>
          <w:szCs w:val="24"/>
        </w:rPr>
      </w:pPr>
      <w:bookmarkStart w:id="34" w:name="_Toc401831374"/>
      <w:bookmarkStart w:id="35" w:name="_Toc21705874"/>
      <w:r w:rsidRPr="002568E6">
        <w:rPr>
          <w:szCs w:val="24"/>
        </w:rPr>
        <w:t>18.  Exception</w:t>
      </w:r>
      <w:r w:rsidR="002568E6">
        <w:rPr>
          <w:szCs w:val="24"/>
        </w:rPr>
        <w:t>s</w:t>
      </w:r>
      <w:r w:rsidRPr="002568E6">
        <w:rPr>
          <w:szCs w:val="24"/>
        </w:rPr>
        <w:t xml:space="preserve"> to the certification statement identified in Item 19.</w:t>
      </w:r>
      <w:bookmarkEnd w:id="34"/>
      <w:bookmarkEnd w:id="35"/>
      <w:r w:rsidR="006F346E" w:rsidRPr="002568E6">
        <w:rPr>
          <w:szCs w:val="24"/>
        </w:rPr>
        <w:t xml:space="preserve">  </w:t>
      </w:r>
    </w:p>
    <w:p w14:paraId="6273BE15" w14:textId="77777777" w:rsidR="0062567E" w:rsidRPr="002568E6" w:rsidRDefault="0062567E" w:rsidP="000438E8">
      <w:pPr>
        <w:tabs>
          <w:tab w:val="left" w:pos="0"/>
        </w:tabs>
        <w:suppressAutoHyphens/>
        <w:rPr>
          <w:rFonts w:ascii="Times New Roman" w:hAnsi="Times New Roman"/>
          <w:b/>
          <w:szCs w:val="24"/>
        </w:rPr>
      </w:pPr>
    </w:p>
    <w:p w14:paraId="6273BE16" w14:textId="1ABD92B5"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14:paraId="6273BE17" w14:textId="77777777" w:rsidR="00ED28F2" w:rsidRPr="002568E6" w:rsidRDefault="00ED28F2" w:rsidP="00ED28F2">
      <w:pPr>
        <w:tabs>
          <w:tab w:val="left" w:pos="-720"/>
        </w:tabs>
        <w:suppressAutoHyphens/>
        <w:rPr>
          <w:rFonts w:ascii="Times New Roman" w:hAnsi="Times New Roman"/>
          <w:szCs w:val="24"/>
        </w:rPr>
      </w:pPr>
    </w:p>
    <w:p w14:paraId="6273BE19" w14:textId="3E1586D6" w:rsidR="006F346E" w:rsidRPr="002568E6" w:rsidRDefault="00383864" w:rsidP="00ED28F2">
      <w:pPr>
        <w:tabs>
          <w:tab w:val="left" w:pos="0"/>
        </w:tabs>
        <w:suppressAutoHyphens/>
        <w:rPr>
          <w:rFonts w:ascii="Times New Roman" w:hAnsi="Times New Roman"/>
          <w:szCs w:val="24"/>
        </w:rPr>
      </w:pPr>
      <w:r w:rsidRPr="00383864">
        <w:rPr>
          <w:rFonts w:ascii="Times New Roman" w:hAnsi="Times New Roman"/>
          <w:szCs w:val="24"/>
        </w:rPr>
        <w:t>There are no exceptions to the certification statement.</w:t>
      </w:r>
    </w:p>
    <w:sectPr w:rsidR="006F346E" w:rsidRPr="002568E6" w:rsidSect="002568E6">
      <w:footerReference w:type="default" r:id="rId15"/>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D15D5" w14:textId="77777777" w:rsidR="00A34037" w:rsidRDefault="00A34037">
      <w:pPr>
        <w:spacing w:line="20" w:lineRule="exact"/>
      </w:pPr>
    </w:p>
  </w:endnote>
  <w:endnote w:type="continuationSeparator" w:id="0">
    <w:p w14:paraId="361FD758" w14:textId="77777777" w:rsidR="00A34037" w:rsidRDefault="00A34037">
      <w:r>
        <w:t xml:space="preserve"> </w:t>
      </w:r>
    </w:p>
  </w:endnote>
  <w:endnote w:type="continuationNotice" w:id="1">
    <w:p w14:paraId="3AB4CABE" w14:textId="77777777" w:rsidR="00A34037" w:rsidRDefault="00A340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6273BE28" w14:textId="66C7B98C"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DE7244">
          <w:rPr>
            <w:rFonts w:ascii="Times New Roman" w:hAnsi="Times New Roman"/>
            <w:noProof/>
          </w:rPr>
          <w:t>2</w:t>
        </w:r>
        <w:r w:rsidRPr="002568E6">
          <w:rPr>
            <w:rFonts w:ascii="Times New Roman" w:hAnsi="Times New Roman"/>
            <w:noProof/>
          </w:rPr>
          <w:fldChar w:fldCharType="end"/>
        </w:r>
      </w:p>
    </w:sdtContent>
  </w:sdt>
  <w:p w14:paraId="6273BE29"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2D036" w14:textId="77777777" w:rsidR="00A34037" w:rsidRDefault="00A34037">
      <w:r>
        <w:separator/>
      </w:r>
    </w:p>
  </w:footnote>
  <w:footnote w:type="continuationSeparator" w:id="0">
    <w:p w14:paraId="28907032" w14:textId="77777777" w:rsidR="00A34037" w:rsidRDefault="00A34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482E12"/>
    <w:multiLevelType w:val="hybridMultilevel"/>
    <w:tmpl w:val="FBFC94D8"/>
    <w:lvl w:ilvl="0" w:tplc="F81CE5A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7"/>
  </w:num>
  <w:num w:numId="4">
    <w:abstractNumId w:val="11"/>
  </w:num>
  <w:num w:numId="5">
    <w:abstractNumId w:val="19"/>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6865">
      <o:colormru v:ext="edit" colors="#ffc"/>
      <o:colormenu v:ext="edit" fillcolor="none"/>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6EB7"/>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07B6"/>
    <w:rsid w:val="000417D2"/>
    <w:rsid w:val="000431A5"/>
    <w:rsid w:val="0004364B"/>
    <w:rsid w:val="000438E8"/>
    <w:rsid w:val="00044231"/>
    <w:rsid w:val="000447C0"/>
    <w:rsid w:val="0004539F"/>
    <w:rsid w:val="000460EC"/>
    <w:rsid w:val="0004668E"/>
    <w:rsid w:val="00047338"/>
    <w:rsid w:val="000507EA"/>
    <w:rsid w:val="0005143C"/>
    <w:rsid w:val="000516AC"/>
    <w:rsid w:val="00052C5C"/>
    <w:rsid w:val="00053AB5"/>
    <w:rsid w:val="00054647"/>
    <w:rsid w:val="00054E5E"/>
    <w:rsid w:val="000562DC"/>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0B6D"/>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08F"/>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1F74C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2256"/>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035"/>
    <w:rsid w:val="00272DD6"/>
    <w:rsid w:val="002737E9"/>
    <w:rsid w:val="00275494"/>
    <w:rsid w:val="0027695F"/>
    <w:rsid w:val="00283364"/>
    <w:rsid w:val="002900F6"/>
    <w:rsid w:val="002954B1"/>
    <w:rsid w:val="00295887"/>
    <w:rsid w:val="002A1B3D"/>
    <w:rsid w:val="002A621E"/>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1CC3"/>
    <w:rsid w:val="00304807"/>
    <w:rsid w:val="00307D2B"/>
    <w:rsid w:val="0031071F"/>
    <w:rsid w:val="003125D7"/>
    <w:rsid w:val="00312A60"/>
    <w:rsid w:val="00313A06"/>
    <w:rsid w:val="003140F4"/>
    <w:rsid w:val="00315029"/>
    <w:rsid w:val="003164E9"/>
    <w:rsid w:val="003166FD"/>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461B1"/>
    <w:rsid w:val="00350550"/>
    <w:rsid w:val="003521A9"/>
    <w:rsid w:val="00354C03"/>
    <w:rsid w:val="00355457"/>
    <w:rsid w:val="00356D92"/>
    <w:rsid w:val="00360B8B"/>
    <w:rsid w:val="003637E7"/>
    <w:rsid w:val="0036497A"/>
    <w:rsid w:val="00366BB8"/>
    <w:rsid w:val="0037115C"/>
    <w:rsid w:val="00372784"/>
    <w:rsid w:val="00376E39"/>
    <w:rsid w:val="003770FE"/>
    <w:rsid w:val="003837F2"/>
    <w:rsid w:val="00383864"/>
    <w:rsid w:val="00383C0A"/>
    <w:rsid w:val="00385A58"/>
    <w:rsid w:val="00386068"/>
    <w:rsid w:val="003874A5"/>
    <w:rsid w:val="0039300F"/>
    <w:rsid w:val="00393405"/>
    <w:rsid w:val="00395831"/>
    <w:rsid w:val="00396E91"/>
    <w:rsid w:val="003A222F"/>
    <w:rsid w:val="003A4F9D"/>
    <w:rsid w:val="003A556E"/>
    <w:rsid w:val="003A5ACA"/>
    <w:rsid w:val="003A7703"/>
    <w:rsid w:val="003B0FD0"/>
    <w:rsid w:val="003B10E4"/>
    <w:rsid w:val="003B1199"/>
    <w:rsid w:val="003B1D07"/>
    <w:rsid w:val="003B28E2"/>
    <w:rsid w:val="003B2C20"/>
    <w:rsid w:val="003B3916"/>
    <w:rsid w:val="003B4C92"/>
    <w:rsid w:val="003C1164"/>
    <w:rsid w:val="003C2346"/>
    <w:rsid w:val="003C3FCC"/>
    <w:rsid w:val="003C41FC"/>
    <w:rsid w:val="003C5E7D"/>
    <w:rsid w:val="003C646A"/>
    <w:rsid w:val="003C6BDD"/>
    <w:rsid w:val="003D2FA4"/>
    <w:rsid w:val="003D3135"/>
    <w:rsid w:val="003D6927"/>
    <w:rsid w:val="003E0D93"/>
    <w:rsid w:val="003E1D7B"/>
    <w:rsid w:val="003E2F2D"/>
    <w:rsid w:val="003E64F6"/>
    <w:rsid w:val="003F7EFD"/>
    <w:rsid w:val="004000FA"/>
    <w:rsid w:val="00400754"/>
    <w:rsid w:val="004033DD"/>
    <w:rsid w:val="004037F9"/>
    <w:rsid w:val="0040495B"/>
    <w:rsid w:val="004060BE"/>
    <w:rsid w:val="004061F0"/>
    <w:rsid w:val="00407AEA"/>
    <w:rsid w:val="004113AB"/>
    <w:rsid w:val="00411CE3"/>
    <w:rsid w:val="004127EA"/>
    <w:rsid w:val="004155F3"/>
    <w:rsid w:val="00415AE6"/>
    <w:rsid w:val="00417C54"/>
    <w:rsid w:val="00422327"/>
    <w:rsid w:val="0043148A"/>
    <w:rsid w:val="00431975"/>
    <w:rsid w:val="00432716"/>
    <w:rsid w:val="0043383F"/>
    <w:rsid w:val="00434CC6"/>
    <w:rsid w:val="00435AB5"/>
    <w:rsid w:val="00437234"/>
    <w:rsid w:val="00437471"/>
    <w:rsid w:val="00440392"/>
    <w:rsid w:val="00442B73"/>
    <w:rsid w:val="00443A6D"/>
    <w:rsid w:val="004459C6"/>
    <w:rsid w:val="00446314"/>
    <w:rsid w:val="004470D5"/>
    <w:rsid w:val="00447C1E"/>
    <w:rsid w:val="00451DEC"/>
    <w:rsid w:val="00452E03"/>
    <w:rsid w:val="00455134"/>
    <w:rsid w:val="00456BF5"/>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94B91"/>
    <w:rsid w:val="004A2D34"/>
    <w:rsid w:val="004A2F08"/>
    <w:rsid w:val="004A48CA"/>
    <w:rsid w:val="004A543C"/>
    <w:rsid w:val="004A6286"/>
    <w:rsid w:val="004A6581"/>
    <w:rsid w:val="004B46EC"/>
    <w:rsid w:val="004C2E49"/>
    <w:rsid w:val="004C50AE"/>
    <w:rsid w:val="004C615B"/>
    <w:rsid w:val="004C69A7"/>
    <w:rsid w:val="004D04AD"/>
    <w:rsid w:val="004D1FDB"/>
    <w:rsid w:val="004D245A"/>
    <w:rsid w:val="004D3638"/>
    <w:rsid w:val="004D43D3"/>
    <w:rsid w:val="004D5E86"/>
    <w:rsid w:val="004E11D8"/>
    <w:rsid w:val="004E160F"/>
    <w:rsid w:val="004E4959"/>
    <w:rsid w:val="004E5D8C"/>
    <w:rsid w:val="004E5F80"/>
    <w:rsid w:val="004E6BFA"/>
    <w:rsid w:val="004E72D3"/>
    <w:rsid w:val="004E7651"/>
    <w:rsid w:val="004E7FD0"/>
    <w:rsid w:val="004F2540"/>
    <w:rsid w:val="004F2F32"/>
    <w:rsid w:val="004F2F54"/>
    <w:rsid w:val="004F4886"/>
    <w:rsid w:val="004F6EDF"/>
    <w:rsid w:val="004F72C7"/>
    <w:rsid w:val="004F77ED"/>
    <w:rsid w:val="0050255B"/>
    <w:rsid w:val="00502B4F"/>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2776E"/>
    <w:rsid w:val="005358BC"/>
    <w:rsid w:val="005364A3"/>
    <w:rsid w:val="0053713F"/>
    <w:rsid w:val="005372B1"/>
    <w:rsid w:val="00540608"/>
    <w:rsid w:val="00542038"/>
    <w:rsid w:val="00542051"/>
    <w:rsid w:val="00542C4F"/>
    <w:rsid w:val="005445BE"/>
    <w:rsid w:val="00545890"/>
    <w:rsid w:val="0054678C"/>
    <w:rsid w:val="00550A3B"/>
    <w:rsid w:val="00550E21"/>
    <w:rsid w:val="0055158F"/>
    <w:rsid w:val="005524A2"/>
    <w:rsid w:val="00554655"/>
    <w:rsid w:val="005547E1"/>
    <w:rsid w:val="005601C3"/>
    <w:rsid w:val="00560A01"/>
    <w:rsid w:val="00563EAF"/>
    <w:rsid w:val="0056518C"/>
    <w:rsid w:val="00565D5B"/>
    <w:rsid w:val="005674F7"/>
    <w:rsid w:val="00567DE7"/>
    <w:rsid w:val="005721E3"/>
    <w:rsid w:val="00580507"/>
    <w:rsid w:val="00581E48"/>
    <w:rsid w:val="005827E8"/>
    <w:rsid w:val="00586F6C"/>
    <w:rsid w:val="00587D88"/>
    <w:rsid w:val="005901E0"/>
    <w:rsid w:val="0059097A"/>
    <w:rsid w:val="005912FB"/>
    <w:rsid w:val="005917B8"/>
    <w:rsid w:val="00591AD7"/>
    <w:rsid w:val="005940EB"/>
    <w:rsid w:val="0059545A"/>
    <w:rsid w:val="005955C7"/>
    <w:rsid w:val="00596675"/>
    <w:rsid w:val="005967BB"/>
    <w:rsid w:val="005A0C2E"/>
    <w:rsid w:val="005A3F80"/>
    <w:rsid w:val="005A4F79"/>
    <w:rsid w:val="005A598F"/>
    <w:rsid w:val="005A79F0"/>
    <w:rsid w:val="005A7B55"/>
    <w:rsid w:val="005B172E"/>
    <w:rsid w:val="005B2A87"/>
    <w:rsid w:val="005C04BB"/>
    <w:rsid w:val="005C286E"/>
    <w:rsid w:val="005C33B4"/>
    <w:rsid w:val="005C423C"/>
    <w:rsid w:val="005C50FC"/>
    <w:rsid w:val="005C54B0"/>
    <w:rsid w:val="005C6321"/>
    <w:rsid w:val="005D021A"/>
    <w:rsid w:val="005D385E"/>
    <w:rsid w:val="005D4603"/>
    <w:rsid w:val="005D532E"/>
    <w:rsid w:val="005D7CF3"/>
    <w:rsid w:val="005E0A1A"/>
    <w:rsid w:val="005E22A5"/>
    <w:rsid w:val="005E292E"/>
    <w:rsid w:val="005E3E1E"/>
    <w:rsid w:val="005E3F10"/>
    <w:rsid w:val="005E6A3C"/>
    <w:rsid w:val="005E7295"/>
    <w:rsid w:val="005F0A77"/>
    <w:rsid w:val="005F2D36"/>
    <w:rsid w:val="005F31C0"/>
    <w:rsid w:val="005F3D74"/>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3B70"/>
    <w:rsid w:val="0064431B"/>
    <w:rsid w:val="006469D1"/>
    <w:rsid w:val="00646DDA"/>
    <w:rsid w:val="0065006B"/>
    <w:rsid w:val="00650EBF"/>
    <w:rsid w:val="00653606"/>
    <w:rsid w:val="00655D39"/>
    <w:rsid w:val="0065657E"/>
    <w:rsid w:val="0066069C"/>
    <w:rsid w:val="00661AF9"/>
    <w:rsid w:val="00661B51"/>
    <w:rsid w:val="00663348"/>
    <w:rsid w:val="00664AD0"/>
    <w:rsid w:val="00664C7C"/>
    <w:rsid w:val="0066583A"/>
    <w:rsid w:val="00665B4D"/>
    <w:rsid w:val="0066688F"/>
    <w:rsid w:val="00666F6E"/>
    <w:rsid w:val="00673E6A"/>
    <w:rsid w:val="00675EDB"/>
    <w:rsid w:val="00676E4D"/>
    <w:rsid w:val="00677034"/>
    <w:rsid w:val="0068067E"/>
    <w:rsid w:val="00682090"/>
    <w:rsid w:val="0068319C"/>
    <w:rsid w:val="0068556E"/>
    <w:rsid w:val="00686481"/>
    <w:rsid w:val="00686BB3"/>
    <w:rsid w:val="00687C66"/>
    <w:rsid w:val="006929FB"/>
    <w:rsid w:val="00694161"/>
    <w:rsid w:val="00694A12"/>
    <w:rsid w:val="00695911"/>
    <w:rsid w:val="00696634"/>
    <w:rsid w:val="006A131B"/>
    <w:rsid w:val="006A2F48"/>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1B33"/>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85D"/>
    <w:rsid w:val="00701E5A"/>
    <w:rsid w:val="00702822"/>
    <w:rsid w:val="0070367B"/>
    <w:rsid w:val="00707ED6"/>
    <w:rsid w:val="00710CF7"/>
    <w:rsid w:val="0071282D"/>
    <w:rsid w:val="007135AF"/>
    <w:rsid w:val="00717835"/>
    <w:rsid w:val="00720489"/>
    <w:rsid w:val="0072072E"/>
    <w:rsid w:val="00720BC7"/>
    <w:rsid w:val="00722B78"/>
    <w:rsid w:val="00723374"/>
    <w:rsid w:val="0072466C"/>
    <w:rsid w:val="00730697"/>
    <w:rsid w:val="0073096B"/>
    <w:rsid w:val="007317BC"/>
    <w:rsid w:val="0073357B"/>
    <w:rsid w:val="00733A77"/>
    <w:rsid w:val="00734D74"/>
    <w:rsid w:val="00736CE0"/>
    <w:rsid w:val="00737760"/>
    <w:rsid w:val="007377F1"/>
    <w:rsid w:val="0074205E"/>
    <w:rsid w:val="00742246"/>
    <w:rsid w:val="007439F4"/>
    <w:rsid w:val="00745F3B"/>
    <w:rsid w:val="0074676D"/>
    <w:rsid w:val="00746993"/>
    <w:rsid w:val="00747267"/>
    <w:rsid w:val="007505B0"/>
    <w:rsid w:val="00750B8F"/>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5F4"/>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B760B"/>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7F4B1A"/>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50D7"/>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4AA"/>
    <w:rsid w:val="008E569D"/>
    <w:rsid w:val="008F0099"/>
    <w:rsid w:val="008F0605"/>
    <w:rsid w:val="008F0A60"/>
    <w:rsid w:val="008F2DEC"/>
    <w:rsid w:val="008F3F14"/>
    <w:rsid w:val="00902E57"/>
    <w:rsid w:val="00903920"/>
    <w:rsid w:val="00904305"/>
    <w:rsid w:val="009049D1"/>
    <w:rsid w:val="00904B63"/>
    <w:rsid w:val="00905931"/>
    <w:rsid w:val="00905A5F"/>
    <w:rsid w:val="009062BF"/>
    <w:rsid w:val="00906F7A"/>
    <w:rsid w:val="00910330"/>
    <w:rsid w:val="00910824"/>
    <w:rsid w:val="00910CCC"/>
    <w:rsid w:val="009141DF"/>
    <w:rsid w:val="00917120"/>
    <w:rsid w:val="009171A0"/>
    <w:rsid w:val="00920B77"/>
    <w:rsid w:val="009212DA"/>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35B6"/>
    <w:rsid w:val="00963B94"/>
    <w:rsid w:val="00964E59"/>
    <w:rsid w:val="009666C0"/>
    <w:rsid w:val="00966860"/>
    <w:rsid w:val="00967F46"/>
    <w:rsid w:val="00971C3A"/>
    <w:rsid w:val="00972641"/>
    <w:rsid w:val="009727E2"/>
    <w:rsid w:val="00973A02"/>
    <w:rsid w:val="00974A06"/>
    <w:rsid w:val="00974B18"/>
    <w:rsid w:val="009751DC"/>
    <w:rsid w:val="00976857"/>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1CE"/>
    <w:rsid w:val="009A7BE0"/>
    <w:rsid w:val="009B2E15"/>
    <w:rsid w:val="009B4B0D"/>
    <w:rsid w:val="009B6105"/>
    <w:rsid w:val="009C00BB"/>
    <w:rsid w:val="009C1A67"/>
    <w:rsid w:val="009C32A5"/>
    <w:rsid w:val="009C419C"/>
    <w:rsid w:val="009C5170"/>
    <w:rsid w:val="009C5B28"/>
    <w:rsid w:val="009C7411"/>
    <w:rsid w:val="009C7564"/>
    <w:rsid w:val="009D29DA"/>
    <w:rsid w:val="009D2F27"/>
    <w:rsid w:val="009D3BE9"/>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1D25"/>
    <w:rsid w:val="009F228E"/>
    <w:rsid w:val="009F48EC"/>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3ED4"/>
    <w:rsid w:val="00A34037"/>
    <w:rsid w:val="00A37C87"/>
    <w:rsid w:val="00A37FCA"/>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11A1"/>
    <w:rsid w:val="00AB4A10"/>
    <w:rsid w:val="00AB5F42"/>
    <w:rsid w:val="00AB67B2"/>
    <w:rsid w:val="00AB6B56"/>
    <w:rsid w:val="00AC0DA1"/>
    <w:rsid w:val="00AC1CF7"/>
    <w:rsid w:val="00AC2B52"/>
    <w:rsid w:val="00AC61A8"/>
    <w:rsid w:val="00AD1B31"/>
    <w:rsid w:val="00AD2642"/>
    <w:rsid w:val="00AD2800"/>
    <w:rsid w:val="00AD4629"/>
    <w:rsid w:val="00AD6ECF"/>
    <w:rsid w:val="00AE0DA1"/>
    <w:rsid w:val="00AE1915"/>
    <w:rsid w:val="00AE2B18"/>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3638"/>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0AD0"/>
    <w:rsid w:val="00C02236"/>
    <w:rsid w:val="00C0245D"/>
    <w:rsid w:val="00C02C23"/>
    <w:rsid w:val="00C02C6A"/>
    <w:rsid w:val="00C05443"/>
    <w:rsid w:val="00C05589"/>
    <w:rsid w:val="00C075A4"/>
    <w:rsid w:val="00C10D1F"/>
    <w:rsid w:val="00C13E67"/>
    <w:rsid w:val="00C15742"/>
    <w:rsid w:val="00C15AB7"/>
    <w:rsid w:val="00C16031"/>
    <w:rsid w:val="00C17A13"/>
    <w:rsid w:val="00C24247"/>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0D32"/>
    <w:rsid w:val="00C81187"/>
    <w:rsid w:val="00C819A2"/>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1A73"/>
    <w:rsid w:val="00CB462E"/>
    <w:rsid w:val="00CB4BAA"/>
    <w:rsid w:val="00CC03DA"/>
    <w:rsid w:val="00CC1ABD"/>
    <w:rsid w:val="00CC3B51"/>
    <w:rsid w:val="00CC400E"/>
    <w:rsid w:val="00CC5EE3"/>
    <w:rsid w:val="00CC78E0"/>
    <w:rsid w:val="00CC7D21"/>
    <w:rsid w:val="00CD11B6"/>
    <w:rsid w:val="00CD4315"/>
    <w:rsid w:val="00CD4EFE"/>
    <w:rsid w:val="00CE2F33"/>
    <w:rsid w:val="00CE5DF7"/>
    <w:rsid w:val="00CE7C2B"/>
    <w:rsid w:val="00CF0312"/>
    <w:rsid w:val="00CF0BBA"/>
    <w:rsid w:val="00CF198E"/>
    <w:rsid w:val="00CF2F46"/>
    <w:rsid w:val="00CF3028"/>
    <w:rsid w:val="00CF7201"/>
    <w:rsid w:val="00CF77AF"/>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5691"/>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21B6"/>
    <w:rsid w:val="00D93106"/>
    <w:rsid w:val="00D93DB0"/>
    <w:rsid w:val="00D94CD1"/>
    <w:rsid w:val="00D96C21"/>
    <w:rsid w:val="00DA0E06"/>
    <w:rsid w:val="00DA40F0"/>
    <w:rsid w:val="00DA5801"/>
    <w:rsid w:val="00DA5D9F"/>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2F4D"/>
    <w:rsid w:val="00DD4661"/>
    <w:rsid w:val="00DD5C89"/>
    <w:rsid w:val="00DD7880"/>
    <w:rsid w:val="00DD7A23"/>
    <w:rsid w:val="00DE13FD"/>
    <w:rsid w:val="00DE1D1B"/>
    <w:rsid w:val="00DE23F4"/>
    <w:rsid w:val="00DE2494"/>
    <w:rsid w:val="00DE283C"/>
    <w:rsid w:val="00DE4085"/>
    <w:rsid w:val="00DE7244"/>
    <w:rsid w:val="00DF0354"/>
    <w:rsid w:val="00DF2C39"/>
    <w:rsid w:val="00DF2F7E"/>
    <w:rsid w:val="00DF5756"/>
    <w:rsid w:val="00DF57F1"/>
    <w:rsid w:val="00DF6F8F"/>
    <w:rsid w:val="00DF70D9"/>
    <w:rsid w:val="00E00927"/>
    <w:rsid w:val="00E03580"/>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3A66"/>
    <w:rsid w:val="00E349E7"/>
    <w:rsid w:val="00E35B7D"/>
    <w:rsid w:val="00E368D6"/>
    <w:rsid w:val="00E37B85"/>
    <w:rsid w:val="00E37CF7"/>
    <w:rsid w:val="00E403BF"/>
    <w:rsid w:val="00E41819"/>
    <w:rsid w:val="00E41939"/>
    <w:rsid w:val="00E4401A"/>
    <w:rsid w:val="00E44AE6"/>
    <w:rsid w:val="00E46F66"/>
    <w:rsid w:val="00E47383"/>
    <w:rsid w:val="00E52126"/>
    <w:rsid w:val="00E534EB"/>
    <w:rsid w:val="00E53EB2"/>
    <w:rsid w:val="00E5460E"/>
    <w:rsid w:val="00E546CF"/>
    <w:rsid w:val="00E55327"/>
    <w:rsid w:val="00E563A4"/>
    <w:rsid w:val="00E57A43"/>
    <w:rsid w:val="00E606B2"/>
    <w:rsid w:val="00E63ADA"/>
    <w:rsid w:val="00E63BDA"/>
    <w:rsid w:val="00E674D5"/>
    <w:rsid w:val="00E70ABD"/>
    <w:rsid w:val="00E724EC"/>
    <w:rsid w:val="00E730BC"/>
    <w:rsid w:val="00E748D8"/>
    <w:rsid w:val="00E757B4"/>
    <w:rsid w:val="00E76258"/>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C6E61"/>
    <w:rsid w:val="00ED28F2"/>
    <w:rsid w:val="00ED3465"/>
    <w:rsid w:val="00ED3E7D"/>
    <w:rsid w:val="00ED5039"/>
    <w:rsid w:val="00EE0069"/>
    <w:rsid w:val="00EE4B08"/>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213"/>
    <w:rsid w:val="00F45742"/>
    <w:rsid w:val="00F507F6"/>
    <w:rsid w:val="00F51A73"/>
    <w:rsid w:val="00F54087"/>
    <w:rsid w:val="00F55F14"/>
    <w:rsid w:val="00F56824"/>
    <w:rsid w:val="00F570E0"/>
    <w:rsid w:val="00F5778E"/>
    <w:rsid w:val="00F62E54"/>
    <w:rsid w:val="00F63FAF"/>
    <w:rsid w:val="00F64EFC"/>
    <w:rsid w:val="00F65818"/>
    <w:rsid w:val="00F7052B"/>
    <w:rsid w:val="00F7632B"/>
    <w:rsid w:val="00F80F6C"/>
    <w:rsid w:val="00F8269D"/>
    <w:rsid w:val="00F82BCE"/>
    <w:rsid w:val="00F84248"/>
    <w:rsid w:val="00F854FE"/>
    <w:rsid w:val="00F868A2"/>
    <w:rsid w:val="00F8734D"/>
    <w:rsid w:val="00F8793E"/>
    <w:rsid w:val="00F91587"/>
    <w:rsid w:val="00F943AD"/>
    <w:rsid w:val="00F95373"/>
    <w:rsid w:val="00F960C4"/>
    <w:rsid w:val="00F96207"/>
    <w:rsid w:val="00F97372"/>
    <w:rsid w:val="00FA03F2"/>
    <w:rsid w:val="00FA2369"/>
    <w:rsid w:val="00FA37DD"/>
    <w:rsid w:val="00FA5256"/>
    <w:rsid w:val="00FB2FAC"/>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ffc"/>
      <o:colormenu v:ext="edit" fillcolor="none"/>
    </o:shapedefaults>
    <o:shapelayout v:ext="edit">
      <o:idmap v:ext="edit" data="1"/>
    </o:shapelayout>
  </w:shapeDefaults>
  <w:decimalSymbol w:val="."/>
  <w:listSeparator w:val=","/>
  <w14:docId w14:val="6273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F45213"/>
    <w:rPr>
      <w:rFonts w:ascii="Courier" w:hAnsi="Courier"/>
      <w:sz w:val="24"/>
    </w:rPr>
  </w:style>
  <w:style w:type="paragraph" w:styleId="BodyTextIndent3">
    <w:name w:val="Body Text Indent 3"/>
    <w:basedOn w:val="Normal"/>
    <w:link w:val="BodyTextIndent3Char"/>
    <w:rsid w:val="00F45213"/>
    <w:pPr>
      <w:widowControl/>
      <w:overflowPunct/>
      <w:autoSpaceDE/>
      <w:autoSpaceDN/>
      <w:adjustRightInd/>
      <w:spacing w:after="120"/>
      <w:ind w:left="360"/>
      <w:textAlignment w:val="auto"/>
    </w:pPr>
    <w:rPr>
      <w:rFonts w:ascii="Times New Roman" w:hAnsi="Times New Roman"/>
      <w:sz w:val="16"/>
      <w:szCs w:val="16"/>
    </w:rPr>
  </w:style>
  <w:style w:type="character" w:customStyle="1" w:styleId="BodyTextIndent3Char">
    <w:name w:val="Body Text Indent 3 Char"/>
    <w:basedOn w:val="DefaultParagraphFont"/>
    <w:link w:val="BodyTextIndent3"/>
    <w:rsid w:val="00F45213"/>
    <w:rPr>
      <w:sz w:val="16"/>
      <w:szCs w:val="16"/>
    </w:rPr>
  </w:style>
  <w:style w:type="character" w:customStyle="1" w:styleId="CommentTextChar">
    <w:name w:val="Comment Text Char"/>
    <w:basedOn w:val="DefaultParagraphFont"/>
    <w:link w:val="CommentText"/>
    <w:uiPriority w:val="99"/>
    <w:rsid w:val="00E76258"/>
    <w:rPr>
      <w:rFonts w:ascii="Courier" w:hAnsi="Courier"/>
    </w:rPr>
  </w:style>
  <w:style w:type="paragraph" w:customStyle="1" w:styleId="NormalSS">
    <w:name w:val="NormalSS"/>
    <w:basedOn w:val="Normal"/>
    <w:link w:val="NormalSSChar"/>
    <w:qFormat/>
    <w:rsid w:val="009D29DA"/>
    <w:pPr>
      <w:widowControl/>
      <w:overflowPunct/>
      <w:autoSpaceDE/>
      <w:autoSpaceDN/>
      <w:adjustRightInd/>
      <w:spacing w:after="240"/>
      <w:ind w:firstLine="432"/>
      <w:textAlignment w:val="auto"/>
    </w:pPr>
    <w:rPr>
      <w:rFonts w:ascii="Times New Roman" w:hAnsi="Times New Roman"/>
    </w:rPr>
  </w:style>
  <w:style w:type="character" w:customStyle="1" w:styleId="NormalSSChar">
    <w:name w:val="NormalSS Char"/>
    <w:basedOn w:val="DefaultParagraphFont"/>
    <w:link w:val="NormalSS"/>
    <w:rsid w:val="009D29D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F45213"/>
    <w:rPr>
      <w:rFonts w:ascii="Courier" w:hAnsi="Courier"/>
      <w:sz w:val="24"/>
    </w:rPr>
  </w:style>
  <w:style w:type="paragraph" w:styleId="BodyTextIndent3">
    <w:name w:val="Body Text Indent 3"/>
    <w:basedOn w:val="Normal"/>
    <w:link w:val="BodyTextIndent3Char"/>
    <w:rsid w:val="00F45213"/>
    <w:pPr>
      <w:widowControl/>
      <w:overflowPunct/>
      <w:autoSpaceDE/>
      <w:autoSpaceDN/>
      <w:adjustRightInd/>
      <w:spacing w:after="120"/>
      <w:ind w:left="360"/>
      <w:textAlignment w:val="auto"/>
    </w:pPr>
    <w:rPr>
      <w:rFonts w:ascii="Times New Roman" w:hAnsi="Times New Roman"/>
      <w:sz w:val="16"/>
      <w:szCs w:val="16"/>
    </w:rPr>
  </w:style>
  <w:style w:type="character" w:customStyle="1" w:styleId="BodyTextIndent3Char">
    <w:name w:val="Body Text Indent 3 Char"/>
    <w:basedOn w:val="DefaultParagraphFont"/>
    <w:link w:val="BodyTextIndent3"/>
    <w:rsid w:val="00F45213"/>
    <w:rPr>
      <w:sz w:val="16"/>
      <w:szCs w:val="16"/>
    </w:rPr>
  </w:style>
  <w:style w:type="character" w:customStyle="1" w:styleId="CommentTextChar">
    <w:name w:val="Comment Text Char"/>
    <w:basedOn w:val="DefaultParagraphFont"/>
    <w:link w:val="CommentText"/>
    <w:uiPriority w:val="99"/>
    <w:rsid w:val="00E76258"/>
    <w:rPr>
      <w:rFonts w:ascii="Courier" w:hAnsi="Courier"/>
    </w:rPr>
  </w:style>
  <w:style w:type="paragraph" w:customStyle="1" w:styleId="NormalSS">
    <w:name w:val="NormalSS"/>
    <w:basedOn w:val="Normal"/>
    <w:link w:val="NormalSSChar"/>
    <w:qFormat/>
    <w:rsid w:val="009D29DA"/>
    <w:pPr>
      <w:widowControl/>
      <w:overflowPunct/>
      <w:autoSpaceDE/>
      <w:autoSpaceDN/>
      <w:adjustRightInd/>
      <w:spacing w:after="240"/>
      <w:ind w:firstLine="432"/>
      <w:textAlignment w:val="auto"/>
    </w:pPr>
    <w:rPr>
      <w:rFonts w:ascii="Times New Roman" w:hAnsi="Times New Roman"/>
    </w:rPr>
  </w:style>
  <w:style w:type="character" w:customStyle="1" w:styleId="NormalSSChar">
    <w:name w:val="NormalSS Char"/>
    <w:basedOn w:val="DefaultParagraphFont"/>
    <w:link w:val="NormalSS"/>
    <w:rsid w:val="009D29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73761337">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1107551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7383656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4340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5DD7420-095D-468C-BC80-9E7A41869B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962400d-f753-4618-8b3a-acffb4d00039"/>
    <ds:schemaRef ds:uri="e7af00a0-4db2-4e43-90e3-8e4b091aeec2"/>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76F3A4-784E-4056-A942-15758A653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3211</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21478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2019-10-11T20:55:00Z</cp:lastPrinted>
  <dcterms:created xsi:type="dcterms:W3CDTF">2019-11-01T15:59:00Z</dcterms:created>
  <dcterms:modified xsi:type="dcterms:W3CDTF">2019-11-01T15:59:00Z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