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CD7C53" w:rsidP="00CD7C53" w:rsidRDefault="00CD7C53" w14:paraId="12CFD480" w14:textId="154F9EBA">
      <w:pPr>
        <w:pStyle w:val="DocTitle-IPR"/>
        <w:spacing w:after="480"/>
      </w:pPr>
      <w:r w:rsidRPr="00542621">
        <w:t>A</w:t>
      </w:r>
      <w:r w:rsidR="00D5719B">
        <w:t>ttachment</w:t>
      </w:r>
      <w:r w:rsidRPr="00542621">
        <w:t xml:space="preserve"> </w:t>
      </w:r>
      <w:r w:rsidR="00B24CCC">
        <w:t>O</w:t>
      </w:r>
      <w:r w:rsidRPr="00542621">
        <w:t>.</w:t>
      </w:r>
      <w:r>
        <w:t xml:space="preserve"> </w:t>
      </w:r>
      <w:r w:rsidR="00D35B8C">
        <w:t xml:space="preserve">Use of </w:t>
      </w:r>
      <w:r w:rsidR="00111BAD">
        <w:t>Tokens of Appreciation</w:t>
      </w:r>
    </w:p>
    <w:p w:rsidRPr="00267BFC" w:rsidR="00CD7C53" w:rsidP="00E05FB4" w:rsidRDefault="00CD7C53" w14:paraId="4A17F45D" w14:textId="77777777">
      <w:pPr>
        <w:spacing w:before="1320" w:after="1320"/>
        <w:jc w:val="center"/>
        <w:rPr>
          <w:rFonts w:ascii="Candara" w:hAnsi="Candara"/>
          <w:bCs/>
          <w:sz w:val="36"/>
          <w:szCs w:val="52"/>
        </w:rPr>
      </w:pPr>
      <w:r w:rsidRPr="00267BFC">
        <w:rPr>
          <w:rFonts w:ascii="Candara" w:hAnsi="Candara"/>
          <w:bCs/>
          <w:sz w:val="36"/>
          <w:szCs w:val="52"/>
        </w:rPr>
        <w:t>OMB No. 0584-[NEW]</w:t>
      </w:r>
    </w:p>
    <w:p w:rsidR="003E79F5" w:rsidP="00E05FB4" w:rsidRDefault="003E79F5" w14:paraId="20841A05"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Pr="00267BFC" w:rsidR="00CD7C53" w:rsidP="00E05FB4" w:rsidRDefault="0031612C" w14:paraId="53B71B2B" w14:textId="185F8238">
      <w:pPr>
        <w:spacing w:before="1320" w:after="1320"/>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C24ABA">
        <w:rPr>
          <w:rFonts w:ascii="Calibri" w:hAnsi="Calibri" w:cs="Lucida Sans Unicode"/>
          <w:noProof/>
        </w:rPr>
        <w:t>March 12, 2020</w:t>
      </w:r>
      <w:r>
        <w:rPr>
          <w:rFonts w:ascii="Calibri" w:hAnsi="Calibri" w:cs="Lucida Sans Unicode"/>
        </w:rPr>
        <w:fldChar w:fldCharType="end"/>
      </w:r>
    </w:p>
    <w:p w:rsidRPr="008D5210" w:rsidR="00CD7C53" w:rsidP="00CD7C53" w:rsidRDefault="00CD7C53" w14:paraId="329A306A" w14:textId="4E1019CE">
      <w:pPr>
        <w:pStyle w:val="TableText-IPR"/>
        <w:spacing w:after="120"/>
        <w:jc w:val="center"/>
        <w:rPr>
          <w:b/>
          <w:sz w:val="24"/>
          <w:szCs w:val="24"/>
        </w:rPr>
      </w:pPr>
      <w:r w:rsidRPr="008D5210">
        <w:rPr>
          <w:b/>
          <w:sz w:val="24"/>
          <w:szCs w:val="24"/>
        </w:rPr>
        <w:t xml:space="preserve">Project Officer: </w:t>
      </w:r>
      <w:r w:rsidR="003E79F5">
        <w:rPr>
          <w:b/>
          <w:sz w:val="24"/>
          <w:szCs w:val="24"/>
        </w:rPr>
        <w:t>Danielle Deemer</w:t>
      </w:r>
    </w:p>
    <w:p w:rsidRPr="00E01F29" w:rsidR="00CD7C53" w:rsidP="00CD7C53" w:rsidRDefault="00CD7C53" w14:paraId="60402CA5" w14:textId="77777777">
      <w:pPr>
        <w:pStyle w:val="TableText-IPR"/>
        <w:jc w:val="center"/>
        <w:rPr>
          <w:sz w:val="22"/>
          <w:szCs w:val="24"/>
        </w:rPr>
      </w:pPr>
      <w:r w:rsidRPr="00E01F29">
        <w:rPr>
          <w:sz w:val="22"/>
          <w:szCs w:val="24"/>
        </w:rPr>
        <w:t>Office of Policy Support</w:t>
      </w:r>
    </w:p>
    <w:p w:rsidRPr="00E01F29" w:rsidR="00CD7C53" w:rsidP="00CD7C53" w:rsidRDefault="00CD7C53" w14:paraId="18FDA37D" w14:textId="77777777">
      <w:pPr>
        <w:pStyle w:val="TableText-IPR"/>
        <w:jc w:val="center"/>
        <w:rPr>
          <w:sz w:val="22"/>
          <w:szCs w:val="24"/>
        </w:rPr>
      </w:pPr>
      <w:r w:rsidRPr="00E01F29">
        <w:rPr>
          <w:sz w:val="22"/>
          <w:szCs w:val="24"/>
        </w:rPr>
        <w:t>Food and Nutrition Service</w:t>
      </w:r>
    </w:p>
    <w:p w:rsidRPr="00E01F29" w:rsidR="00CD7C53" w:rsidP="00CD7C53" w:rsidRDefault="00CD7C53" w14:paraId="5575BB50" w14:textId="77777777">
      <w:pPr>
        <w:pStyle w:val="TableText-IPR"/>
        <w:jc w:val="center"/>
        <w:rPr>
          <w:sz w:val="22"/>
          <w:szCs w:val="24"/>
        </w:rPr>
      </w:pPr>
      <w:r w:rsidRPr="00E01F29">
        <w:rPr>
          <w:sz w:val="22"/>
          <w:szCs w:val="24"/>
        </w:rPr>
        <w:t>U.S. Department of Agriculture</w:t>
      </w:r>
    </w:p>
    <w:p w:rsidR="00CD7C53" w:rsidP="00CD7C53" w:rsidRDefault="0031612C" w14:paraId="30B3AFD6" w14:textId="6B481F2E">
      <w:pPr>
        <w:pStyle w:val="TableText-IPR"/>
        <w:jc w:val="center"/>
        <w:rPr>
          <w:sz w:val="22"/>
          <w:szCs w:val="24"/>
        </w:rPr>
      </w:pPr>
      <w:r>
        <w:rPr>
          <w:sz w:val="22"/>
          <w:szCs w:val="24"/>
        </w:rPr>
        <w:t>1320 Braddock Place</w:t>
      </w:r>
    </w:p>
    <w:p w:rsidRPr="00E01F29" w:rsidR="0031612C" w:rsidP="00CD7C53" w:rsidRDefault="0031612C" w14:paraId="48E11110" w14:textId="61244917">
      <w:pPr>
        <w:pStyle w:val="TableText-IPR"/>
        <w:jc w:val="center"/>
        <w:rPr>
          <w:sz w:val="22"/>
          <w:szCs w:val="24"/>
        </w:rPr>
      </w:pPr>
      <w:r>
        <w:rPr>
          <w:sz w:val="22"/>
          <w:szCs w:val="24"/>
        </w:rPr>
        <w:t>Alexandria, VA 22314</w:t>
      </w:r>
    </w:p>
    <w:p w:rsidR="00865DC9" w:rsidP="003E79F5" w:rsidRDefault="003E79F5" w14:paraId="6B4EBDE3" w14:textId="508DC5D7">
      <w:pPr>
        <w:pStyle w:val="TableText-IPR"/>
        <w:jc w:val="center"/>
        <w:rPr>
          <w:sz w:val="22"/>
          <w:szCs w:val="24"/>
        </w:rPr>
      </w:pPr>
      <w:r>
        <w:rPr>
          <w:sz w:val="22"/>
          <w:szCs w:val="24"/>
        </w:rPr>
        <w:t>703</w:t>
      </w:r>
      <w:r w:rsidR="004E1573">
        <w:rPr>
          <w:sz w:val="22"/>
          <w:szCs w:val="24"/>
        </w:rPr>
        <w:t>.</w:t>
      </w:r>
      <w:r w:rsidRPr="003E79F5">
        <w:rPr>
          <w:sz w:val="22"/>
          <w:szCs w:val="24"/>
        </w:rPr>
        <w:t>305</w:t>
      </w:r>
      <w:r w:rsidR="004E1573">
        <w:rPr>
          <w:sz w:val="22"/>
          <w:szCs w:val="24"/>
        </w:rPr>
        <w:t>.</w:t>
      </w:r>
      <w:r w:rsidRPr="003E79F5">
        <w:rPr>
          <w:sz w:val="22"/>
          <w:szCs w:val="24"/>
        </w:rPr>
        <w:t>2952</w:t>
      </w:r>
    </w:p>
    <w:p w:rsidR="00C05E57" w:rsidP="00C05E57" w:rsidRDefault="000B61B6" w14:paraId="17BD9A6B" w14:textId="3EBC03AD">
      <w:pPr>
        <w:pStyle w:val="TableText-IPR"/>
        <w:jc w:val="center"/>
      </w:pPr>
      <w:r>
        <w:rPr>
          <w:sz w:val="22"/>
          <w:szCs w:val="24"/>
        </w:rPr>
        <w:t>danielle.deemer@</w:t>
      </w:r>
      <w:r w:rsidR="00865DC9">
        <w:rPr>
          <w:sz w:val="22"/>
          <w:szCs w:val="24"/>
        </w:rPr>
        <w:t>usda.gov</w:t>
      </w:r>
    </w:p>
    <w:p w:rsidR="00C05E57" w:rsidP="00271D63" w:rsidRDefault="00C05E57" w14:paraId="4BC91ABA" w14:textId="77777777">
      <w:pPr>
        <w:pStyle w:val="Body11ptCalibrDBi-IPR"/>
        <w:rPr>
          <w:rFonts w:eastAsiaTheme="minorEastAsia"/>
        </w:rPr>
      </w:pPr>
    </w:p>
    <w:p w:rsidR="00C05E57" w:rsidP="00271D63" w:rsidRDefault="00C05E57" w14:paraId="6FFB8181" w14:textId="2825C37B">
      <w:pPr>
        <w:pStyle w:val="Body11ptCalibrDBi-IPR"/>
        <w:rPr>
          <w:rFonts w:eastAsiaTheme="minorEastAsia"/>
        </w:rPr>
        <w:sectPr w:rsidR="00C05E57" w:rsidSect="00C05E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6D38F0" w:rsidP="006D38F0" w:rsidRDefault="00C24ABA" w14:paraId="68F5E35C" w14:textId="6CA84362">
      <w:pPr>
        <w:pStyle w:val="Heading1-IPR"/>
      </w:pPr>
      <w:r>
        <w:rPr>
          <w:noProof/>
        </w:rPr>
        <w:lastRenderedPageBreak/>
        <w:drawing>
          <wp:anchor distT="0" distB="0" distL="114300" distR="114300" simplePos="0" relativeHeight="251661312" behindDoc="0" locked="0" layoutInCell="1" allowOverlap="1" wp14:editId="5E368D13" wp14:anchorId="54CACA03">
            <wp:simplePos x="0" y="0"/>
            <wp:positionH relativeFrom="margin">
              <wp:align>right</wp:align>
            </wp:positionH>
            <wp:positionV relativeFrom="paragraph">
              <wp:posOffset>-447647</wp:posOffset>
            </wp:positionV>
            <wp:extent cx="1600200"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006D38F0">
        <w:t>Overview of Use of Tokens of Appreciation for the Study</w:t>
      </w:r>
    </w:p>
    <w:p w:rsidRPr="006D38F0" w:rsidR="00BF5BB4" w:rsidP="00C05E57" w:rsidRDefault="008D7BDE" w14:paraId="46DDDA2C" w14:textId="36BF86EF">
      <w:pPr>
        <w:pStyle w:val="BodyText-IPR"/>
      </w:pPr>
      <w:r>
        <w:t xml:space="preserve">Former and current SNAP E&amp;T participants </w:t>
      </w:r>
      <w:r w:rsidRPr="006D38F0" w:rsidR="00254F6F">
        <w:t>who complete an interview for this study will receive a token of appreciation in the form of a</w:t>
      </w:r>
      <w:r w:rsidR="00AF09EB">
        <w:t xml:space="preserve"> generic</w:t>
      </w:r>
      <w:r w:rsidRPr="006D38F0" w:rsidR="00254F6F">
        <w:t xml:space="preserve"> $30 gift card. </w:t>
      </w:r>
      <w:r w:rsidRPr="006D38F0" w:rsidR="001A2752">
        <w:t>The token</w:t>
      </w:r>
      <w:r w:rsidRPr="006D38F0" w:rsidR="00BF5BB4">
        <w:t>s</w:t>
      </w:r>
      <w:r w:rsidRPr="006D38F0" w:rsidR="001A2752">
        <w:t xml:space="preserve"> of appreciation</w:t>
      </w:r>
      <w:r w:rsidRPr="006D38F0" w:rsidR="006D38F0">
        <w:t xml:space="preserve"> for</w:t>
      </w:r>
      <w:r w:rsidRPr="006D38F0" w:rsidR="00BF5BB4">
        <w:t xml:space="preserve"> </w:t>
      </w:r>
      <w:r w:rsidRPr="006D38F0" w:rsidR="001A2752">
        <w:t>interview</w:t>
      </w:r>
      <w:r w:rsidRPr="006D38F0" w:rsidR="00BF5BB4">
        <w:t xml:space="preserve"> respondents are an essential component of the multiple methods that will be used to </w:t>
      </w:r>
      <w:r w:rsidRPr="006D38F0" w:rsidR="00254F6F">
        <w:t>ensure the necessary sample sizes are met, improve data quality, and reduce nonresponse bias.</w:t>
      </w:r>
      <w:r w:rsidRPr="006D38F0" w:rsidR="006D38F0">
        <w:t xml:space="preserve"> </w:t>
      </w:r>
      <w:r w:rsidRPr="006D38F0" w:rsidR="00BF5BB4">
        <w:t xml:space="preserve">A primary objective of this study </w:t>
      </w:r>
      <w:r w:rsidR="009A259F">
        <w:t>(</w:t>
      </w:r>
      <w:r w:rsidRPr="006D38F0" w:rsidR="00BF5BB4">
        <w:t xml:space="preserve">as noted in </w:t>
      </w:r>
      <w:r w:rsidR="00BC3633">
        <w:t>a</w:t>
      </w:r>
      <w:r w:rsidR="003B4AB1">
        <w:t xml:space="preserve">ppendix </w:t>
      </w:r>
      <w:proofErr w:type="gramStart"/>
      <w:r w:rsidR="003B4AB1">
        <w:t>B</w:t>
      </w:r>
      <w:r w:rsidR="00BC3633">
        <w:t>:</w:t>
      </w:r>
      <w:proofErr w:type="gramEnd"/>
      <w:r w:rsidR="00BC3633">
        <w:t xml:space="preserve"> </w:t>
      </w:r>
      <w:r w:rsidRPr="006D38F0" w:rsidR="001A2752">
        <w:t>Research Objectives and Questions by Data Source</w:t>
      </w:r>
      <w:r w:rsidR="009A259F">
        <w:t>)</w:t>
      </w:r>
      <w:r w:rsidRPr="006D38F0" w:rsidR="001A2752">
        <w:t xml:space="preserve"> </w:t>
      </w:r>
      <w:r w:rsidRPr="006D38F0" w:rsidR="00BF5BB4">
        <w:t xml:space="preserve">is to </w:t>
      </w:r>
      <w:r w:rsidRPr="006D38F0" w:rsidR="001A2752">
        <w:t>conduct in-depth participant interviews to understand client perceptions of job s</w:t>
      </w:r>
      <w:bookmarkStart w:name="_GoBack" w:id="0"/>
      <w:bookmarkEnd w:id="0"/>
      <w:r w:rsidRPr="006D38F0" w:rsidR="001A2752">
        <w:t>earch outcomes.</w:t>
      </w:r>
      <w:r w:rsidRPr="006D38F0" w:rsidR="00BF5BB4">
        <w:t xml:space="preserve"> </w:t>
      </w:r>
      <w:r w:rsidR="00900E54">
        <w:t xml:space="preserve">Because individuals may come to job search with different backgrounds, skills, and expectations, and </w:t>
      </w:r>
      <w:r w:rsidR="00BB042A">
        <w:t>as a result</w:t>
      </w:r>
      <w:r w:rsidR="00900E54">
        <w:t xml:space="preserve"> may have a range of experiences with and outcomes from job search</w:t>
      </w:r>
      <w:r w:rsidRPr="006D38F0" w:rsidR="00BF5BB4">
        <w:t xml:space="preserve">, a </w:t>
      </w:r>
      <w:r w:rsidR="009A3741">
        <w:t xml:space="preserve">sufficiently </w:t>
      </w:r>
      <w:r w:rsidRPr="006D38F0" w:rsidR="00BF5BB4">
        <w:t>large</w:t>
      </w:r>
      <w:r w:rsidR="009A3741">
        <w:t xml:space="preserve"> </w:t>
      </w:r>
      <w:r w:rsidRPr="006D38F0" w:rsidR="00BF5BB4">
        <w:t xml:space="preserve">sample of completed interviews is required to </w:t>
      </w:r>
      <w:r w:rsidR="005A490E">
        <w:t>collect information on the range of participant experiences</w:t>
      </w:r>
      <w:r w:rsidR="00900E54">
        <w:t xml:space="preserve"> with job search in a given State</w:t>
      </w:r>
      <w:r w:rsidRPr="006D38F0" w:rsidR="00BF5BB4">
        <w:t>.</w:t>
      </w:r>
      <w:r w:rsidR="003E3790">
        <w:t xml:space="preserve"> </w:t>
      </w:r>
    </w:p>
    <w:p w:rsidR="006D38F0" w:rsidP="00D23E4F" w:rsidRDefault="006D38F0" w14:paraId="6266E94A" w14:textId="7D9ED851">
      <w:pPr>
        <w:pStyle w:val="Heading2-IPR"/>
      </w:pPr>
      <w:r>
        <w:t>Factors Supporting the Use of Tokens of Appreciation</w:t>
      </w:r>
    </w:p>
    <w:p w:rsidRPr="006D38F0" w:rsidR="00BF5BB4" w:rsidP="00C05E57" w:rsidRDefault="00521A77" w14:paraId="5BDE317C" w14:textId="7E02AFCA">
      <w:pPr>
        <w:pStyle w:val="BodyText-IPR"/>
      </w:pPr>
      <w:r>
        <w:t>In this section,</w:t>
      </w:r>
      <w:r w:rsidRPr="006D38F0" w:rsidR="00BF5BB4">
        <w:t xml:space="preserve"> we provide more detail on the decision to provide </w:t>
      </w:r>
      <w:r>
        <w:t xml:space="preserve">a </w:t>
      </w:r>
      <w:r w:rsidRPr="006D38F0" w:rsidR="00631202">
        <w:t>token of appreciation</w:t>
      </w:r>
      <w:r w:rsidRPr="006D38F0" w:rsidR="00BF5BB4">
        <w:t xml:space="preserve"> and the amount of the </w:t>
      </w:r>
      <w:r w:rsidRPr="006D38F0" w:rsidR="00631202">
        <w:t>token of appreciation</w:t>
      </w:r>
      <w:r w:rsidRPr="006D38F0" w:rsidR="00BF5BB4">
        <w:t xml:space="preserve">. </w:t>
      </w:r>
    </w:p>
    <w:p w:rsidR="00D23E4F" w:rsidP="00C05E57" w:rsidRDefault="00D23E4F" w14:paraId="534E32F1" w14:textId="1F35D536">
      <w:pPr>
        <w:pStyle w:val="Heading3-IPR"/>
        <w:ind w:left="360"/>
      </w:pPr>
      <w:r>
        <w:t>Improve data quality</w:t>
      </w:r>
    </w:p>
    <w:p w:rsidRPr="00B83FA7" w:rsidR="00BF5BB4" w:rsidP="00C05E57" w:rsidRDefault="00BF5BB4" w14:paraId="67447169" w14:textId="6675C23A">
      <w:pPr>
        <w:pStyle w:val="BodyText-IPR"/>
      </w:pPr>
      <w:r w:rsidRPr="006D38F0">
        <w:t>A</w:t>
      </w:r>
      <w:r w:rsidRPr="006D38F0" w:rsidR="00631202">
        <w:t xml:space="preserve"> </w:t>
      </w:r>
      <w:r w:rsidRPr="00B83FA7" w:rsidR="00631202">
        <w:t xml:space="preserve">token of appreciation </w:t>
      </w:r>
      <w:r w:rsidRPr="00B83FA7">
        <w:t xml:space="preserve">is essential to obtain the sample sizes needed to </w:t>
      </w:r>
      <w:r w:rsidRPr="00B83FA7" w:rsidR="00900E54">
        <w:t>understand the full range of various participants’ experiences with job search</w:t>
      </w:r>
      <w:r w:rsidRPr="00B83FA7">
        <w:t xml:space="preserve">. </w:t>
      </w:r>
      <w:r w:rsidRPr="00B83FA7" w:rsidR="00900E54">
        <w:t>R</w:t>
      </w:r>
      <w:r w:rsidRPr="00B83FA7">
        <w:t xml:space="preserve">esponse rates </w:t>
      </w:r>
      <w:r w:rsidRPr="00B83FA7" w:rsidR="00D22D87">
        <w:t>for</w:t>
      </w:r>
      <w:r w:rsidRPr="00B83FA7" w:rsidR="00900E54">
        <w:t xml:space="preserve"> research </w:t>
      </w:r>
      <w:r w:rsidRPr="00B83FA7">
        <w:t xml:space="preserve">have declined in recent years (Brick </w:t>
      </w:r>
      <w:r w:rsidRPr="00B83FA7" w:rsidR="00DA64E6">
        <w:t>&amp;</w:t>
      </w:r>
      <w:r w:rsidRPr="00B83FA7">
        <w:t xml:space="preserve"> Williams</w:t>
      </w:r>
      <w:r w:rsidRPr="00B83FA7" w:rsidR="00550446">
        <w:t>,</w:t>
      </w:r>
      <w:r w:rsidRPr="00B83FA7">
        <w:t xml:space="preserve"> 2013; Curtin, Presser, </w:t>
      </w:r>
      <w:r w:rsidRPr="00B83FA7" w:rsidR="00B06475">
        <w:t>&amp;</w:t>
      </w:r>
      <w:r w:rsidRPr="00B83FA7">
        <w:t xml:space="preserve"> Singer</w:t>
      </w:r>
      <w:r w:rsidRPr="00B83FA7" w:rsidR="00B06475">
        <w:t>,</w:t>
      </w:r>
      <w:r w:rsidRPr="00B83FA7">
        <w:t xml:space="preserve"> 2005). Offering </w:t>
      </w:r>
      <w:r w:rsidRPr="00B83FA7" w:rsidR="00631202">
        <w:t>token</w:t>
      </w:r>
      <w:r w:rsidRPr="00B83FA7" w:rsidR="009A259F">
        <w:t>s</w:t>
      </w:r>
      <w:r w:rsidRPr="00B83FA7" w:rsidR="00631202">
        <w:t xml:space="preserve"> of appreciation</w:t>
      </w:r>
      <w:r w:rsidRPr="00B83FA7">
        <w:t xml:space="preserve"> is an effective method for improving response rates without compromising the quality of the data (Singer </w:t>
      </w:r>
      <w:r w:rsidRPr="00B83FA7" w:rsidR="00B06475">
        <w:t>&amp;</w:t>
      </w:r>
      <w:r w:rsidRPr="00B83FA7">
        <w:t xml:space="preserve"> Ye</w:t>
      </w:r>
      <w:r w:rsidRPr="00B83FA7" w:rsidR="00B06475">
        <w:t>,</w:t>
      </w:r>
      <w:r w:rsidRPr="00B83FA7">
        <w:t xml:space="preserve"> 2013). The knowledge that respondents will </w:t>
      </w:r>
      <w:r w:rsidR="00BF5219">
        <w:t>receive a monetary incentive to</w:t>
      </w:r>
      <w:r w:rsidRPr="00B83FA7">
        <w:t xml:space="preserve"> complet</w:t>
      </w:r>
      <w:r w:rsidRPr="00B83FA7" w:rsidR="00923053">
        <w:t>e</w:t>
      </w:r>
      <w:r w:rsidRPr="00B83FA7" w:rsidR="004F6A35">
        <w:t xml:space="preserve"> a</w:t>
      </w:r>
      <w:r w:rsidRPr="00B83FA7">
        <w:t xml:space="preserve"> survey is expected to increase their likelihood of spending the time to respond. In a recent study, Mercer </w:t>
      </w:r>
      <w:r w:rsidRPr="00B83FA7" w:rsidR="0079596B">
        <w:t>and colleagues</w:t>
      </w:r>
      <w:r w:rsidRPr="00B83FA7">
        <w:t xml:space="preserve"> (2015) conducted a meta-analysis of the dose-response association between </w:t>
      </w:r>
      <w:r w:rsidRPr="00B83FA7" w:rsidR="00631202">
        <w:t>token</w:t>
      </w:r>
      <w:r w:rsidRPr="00B83FA7" w:rsidR="009A259F">
        <w:t>s</w:t>
      </w:r>
      <w:r w:rsidRPr="00B83FA7" w:rsidR="00631202">
        <w:t xml:space="preserve"> of appreciation</w:t>
      </w:r>
      <w:r w:rsidRPr="00B83FA7">
        <w:t xml:space="preserve"> and response and found a positive relationship between </w:t>
      </w:r>
      <w:r w:rsidRPr="00B83FA7" w:rsidR="00631202">
        <w:t>token</w:t>
      </w:r>
      <w:r w:rsidRPr="00B83FA7" w:rsidR="009A259F">
        <w:t>s</w:t>
      </w:r>
      <w:r w:rsidRPr="00B83FA7" w:rsidR="00631202">
        <w:t xml:space="preserve"> of appreciation</w:t>
      </w:r>
      <w:r w:rsidRPr="00B83FA7">
        <w:t xml:space="preserve"> </w:t>
      </w:r>
      <w:r w:rsidRPr="00B83FA7" w:rsidR="001526CD">
        <w:t xml:space="preserve">with a greater monetary value </w:t>
      </w:r>
      <w:r w:rsidRPr="00B83FA7">
        <w:t xml:space="preserve">and response rates for household telephone surveys offering </w:t>
      </w:r>
      <w:r w:rsidRPr="00B83FA7" w:rsidR="00631202">
        <w:t>token</w:t>
      </w:r>
      <w:r w:rsidRPr="00B83FA7" w:rsidR="009A259F">
        <w:t>s</w:t>
      </w:r>
      <w:r w:rsidRPr="00B83FA7" w:rsidR="00631202">
        <w:t xml:space="preserve"> of appreciation</w:t>
      </w:r>
      <w:r w:rsidRPr="00B83FA7">
        <w:t xml:space="preserve">. Respondent </w:t>
      </w:r>
      <w:r w:rsidR="00BF5219">
        <w:t>incentives</w:t>
      </w:r>
      <w:r w:rsidRPr="00B83FA7" w:rsidR="00BF5219">
        <w:t xml:space="preserve"> </w:t>
      </w:r>
      <w:r w:rsidRPr="00B83FA7">
        <w:t xml:space="preserve">are particularly effective at increasing response rates for populations similar to </w:t>
      </w:r>
      <w:r w:rsidRPr="00B83FA7" w:rsidR="009A259F">
        <w:t xml:space="preserve">SNAP </w:t>
      </w:r>
      <w:r w:rsidRPr="00B83FA7">
        <w:t>participant</w:t>
      </w:r>
      <w:r w:rsidRPr="00B83FA7" w:rsidR="00577988">
        <w:t>s</w:t>
      </w:r>
      <w:r w:rsidR="006D7CB5">
        <w:t xml:space="preserve">, </w:t>
      </w:r>
      <w:r w:rsidRPr="00B83FA7" w:rsidR="001526CD">
        <w:t xml:space="preserve">which </w:t>
      </w:r>
      <w:r w:rsidRPr="00B83FA7">
        <w:t>includ</w:t>
      </w:r>
      <w:r w:rsidRPr="00B83FA7" w:rsidR="001526CD">
        <w:t>e</w:t>
      </w:r>
      <w:r w:rsidRPr="00B83FA7">
        <w:t xml:space="preserve"> people with low income and lower educational level</w:t>
      </w:r>
      <w:r w:rsidRPr="00B83FA7" w:rsidR="004A0842">
        <w:t>s</w:t>
      </w:r>
      <w:r w:rsidRPr="00B83FA7">
        <w:t>.</w:t>
      </w:r>
    </w:p>
    <w:p w:rsidRPr="00B83FA7" w:rsidR="00D23E4F" w:rsidP="00C05E57" w:rsidRDefault="00254F6F" w14:paraId="6F413349" w14:textId="30F757B1">
      <w:pPr>
        <w:pStyle w:val="Heading3-IPR"/>
        <w:ind w:left="360"/>
      </w:pPr>
      <w:r w:rsidRPr="00B83FA7">
        <w:t>Improve</w:t>
      </w:r>
      <w:r w:rsidRPr="00B83FA7" w:rsidR="00BF5BB4">
        <w:t xml:space="preserve"> coverage of hard-to-r</w:t>
      </w:r>
      <w:r w:rsidRPr="00B83FA7" w:rsidR="00D23E4F">
        <w:t>each or specialized respondents</w:t>
      </w:r>
      <w:r w:rsidRPr="00B83FA7" w:rsidR="003E3790">
        <w:t xml:space="preserve"> </w:t>
      </w:r>
    </w:p>
    <w:p w:rsidR="00BF5BB4" w:rsidP="00C05E57" w:rsidRDefault="00C24ABA" w14:paraId="47BFB112" w14:textId="57DB07D3">
      <w:pPr>
        <w:pStyle w:val="BodyText-IPR"/>
      </w:pPr>
      <w:r w:rsidRPr="002046B6">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731FD6E2" wp14:anchorId="260462F9">
                <wp:simplePos x="0" y="0"/>
                <wp:positionH relativeFrom="margin">
                  <wp:align>right</wp:align>
                </wp:positionH>
                <wp:positionV relativeFrom="margin">
                  <wp:posOffset>7173844</wp:posOffset>
                </wp:positionV>
                <wp:extent cx="5949950" cy="1064260"/>
                <wp:effectExtent l="0" t="0" r="0" b="2540"/>
                <wp:wrapSquare wrapText="bothSides"/>
                <wp:docPr id="1" name="Text Box 6"/>
                <wp:cNvGraphicFramePr/>
                <a:graphic xmlns:a="http://schemas.openxmlformats.org/drawingml/2006/main">
                  <a:graphicData uri="http://schemas.microsoft.com/office/word/2010/wordprocessingShape">
                    <wps:wsp>
                      <wps:cNvSpPr txBox="1"/>
                      <wps:spPr>
                        <a:xfrm>
                          <a:off x="0" y="0"/>
                          <a:ext cx="5949950" cy="1064260"/>
                        </a:xfrm>
                        <a:prstGeom prst="rect">
                          <a:avLst/>
                        </a:prstGeom>
                        <a:solidFill>
                          <a:sysClr val="window" lastClr="FFFFFF">
                            <a:lumMod val="95000"/>
                          </a:sysClr>
                        </a:solidFill>
                        <a:ln w="6350">
                          <a:noFill/>
                        </a:ln>
                        <a:effectLst/>
                      </wps:spPr>
                      <wps:txbx>
                        <w:txbxContent>
                          <w:p w:rsidR="00C24ABA" w:rsidP="00C24ABA" w:rsidRDefault="00C24ABA" w14:paraId="53D9A407" w14:textId="79DD951D">
                            <w:pPr>
                              <w:widowControl w:val="0"/>
                              <w:spacing w:after="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is </w:t>
                            </w:r>
                            <w:r>
                              <w:rPr>
                                <w:rFonts w:ascii="Calibri" w:hAnsi="Calibri" w:cs="Calibri"/>
                                <w:i/>
                                <w:sz w:val="18"/>
                                <w:szCs w:val="18"/>
                              </w:rPr>
                              <w:t>a reference</w:t>
                            </w:r>
                            <w:r>
                              <w:rPr>
                                <w:rFonts w:ascii="Calibri" w:hAnsi="Calibri" w:cs="Calibri"/>
                                <w:i/>
                                <w:sz w:val="18"/>
                                <w:szCs w:val="18"/>
                              </w:rPr>
                              <w:t xml:space="preserve"> document and no burden is associated with this document; it will not be sent to respondents.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0462F9">
                <v:stroke joinstyle="miter"/>
                <v:path gradientshapeok="t" o:connecttype="rect"/>
              </v:shapetype>
              <v:shape id="Text Box 6" style="position:absolute;margin-left:417.3pt;margin-top:564.85pt;width:468.5pt;height:8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">
                <v:textbox inset="3.6pt,,3.6pt">
                  <w:txbxContent>
                    <w:p w:rsidR="00C24ABA" w:rsidP="00C24ABA" w:rsidRDefault="00C24ABA" w14:paraId="53D9A407" w14:textId="79DD951D">
                      <w:pPr>
                        <w:widowControl w:val="0"/>
                        <w:spacing w:after="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is </w:t>
                      </w:r>
                      <w:r>
                        <w:rPr>
                          <w:rFonts w:ascii="Calibri" w:hAnsi="Calibri" w:cs="Calibri"/>
                          <w:i/>
                          <w:sz w:val="18"/>
                          <w:szCs w:val="18"/>
                        </w:rPr>
                        <w:t>a reference</w:t>
                      </w:r>
                      <w:r>
                        <w:rPr>
                          <w:rFonts w:ascii="Calibri" w:hAnsi="Calibri" w:cs="Calibri"/>
                          <w:i/>
                          <w:sz w:val="18"/>
                          <w:szCs w:val="18"/>
                        </w:rPr>
                        <w:t xml:space="preserve"> document and no burden is associated with this document; it will not be sent to respondents.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v:textbox>
                <w10:wrap type="square" anchorx="margin" anchory="margin"/>
              </v:shape>
            </w:pict>
          </mc:Fallback>
        </mc:AlternateContent>
      </w:r>
      <w:r w:rsidRPr="00B83FA7" w:rsidR="00BF5BB4">
        <w:t xml:space="preserve">The target populations </w:t>
      </w:r>
      <w:r w:rsidRPr="00B83FA7" w:rsidR="00631202">
        <w:t xml:space="preserve">for the interviews </w:t>
      </w:r>
      <w:r w:rsidRPr="00B83FA7" w:rsidR="00BF5BB4">
        <w:t>are socially disadvantaged groups, namely low-inco</w:t>
      </w:r>
      <w:r w:rsidRPr="00B83FA7" w:rsidR="00631202">
        <w:t>me SNAP participants and former SNAP</w:t>
      </w:r>
      <w:r w:rsidRPr="00B83FA7" w:rsidR="00BF5BB4">
        <w:t xml:space="preserve"> participants, </w:t>
      </w:r>
      <w:r w:rsidRPr="00B83FA7" w:rsidR="004F6A35">
        <w:t>who</w:t>
      </w:r>
      <w:r w:rsidRPr="00B83FA7" w:rsidR="00BF5BB4">
        <w:t xml:space="preserve"> are considered hard</w:t>
      </w:r>
      <w:r w:rsidRPr="00B83FA7" w:rsidR="00947A91">
        <w:t xml:space="preserve"> </w:t>
      </w:r>
      <w:r w:rsidRPr="00B83FA7" w:rsidR="00BF5BB4">
        <w:t>to</w:t>
      </w:r>
      <w:r w:rsidRPr="00B83FA7" w:rsidR="00947A91">
        <w:t xml:space="preserve"> </w:t>
      </w:r>
      <w:r w:rsidRPr="00B83FA7" w:rsidR="00BF5BB4">
        <w:t>reach (</w:t>
      </w:r>
      <w:proofErr w:type="spellStart"/>
      <w:r w:rsidRPr="00B83FA7" w:rsidR="00BF5BB4">
        <w:t>Bonevski</w:t>
      </w:r>
      <w:proofErr w:type="spellEnd"/>
      <w:r w:rsidRPr="00B83FA7" w:rsidR="00BF5BB4">
        <w:t xml:space="preserve"> et al.</w:t>
      </w:r>
      <w:r w:rsidRPr="00B83FA7" w:rsidR="004F6A35">
        <w:t>,</w:t>
      </w:r>
      <w:r w:rsidRPr="00B83FA7" w:rsidR="00BF5BB4">
        <w:t xml:space="preserve"> 2014). </w:t>
      </w:r>
      <w:r w:rsidRPr="00B83FA7" w:rsidR="004F6A35">
        <w:t>Moreover</w:t>
      </w:r>
      <w:r w:rsidRPr="00B83FA7" w:rsidR="00BF5BB4">
        <w:t xml:space="preserve">, households in the study are specialized respondents because they are limited in number and difficult to recruit, and their lack of participation jeopardizes the </w:t>
      </w:r>
      <w:r w:rsidRPr="00B83FA7" w:rsidR="00631202">
        <w:t>outcomes evaluation</w:t>
      </w:r>
      <w:r w:rsidRPr="00B83FA7" w:rsidR="00BF5BB4">
        <w:t>. These groups may also have work and childcare schedules tha</w:t>
      </w:r>
      <w:r w:rsidRPr="00B83FA7" w:rsidR="00631202">
        <w:t>t make it difficult to reach SNAP</w:t>
      </w:r>
      <w:r w:rsidRPr="00B83FA7" w:rsidR="00BF5BB4">
        <w:t xml:space="preserve"> participant</w:t>
      </w:r>
      <w:r w:rsidRPr="00B83FA7" w:rsidR="00631202">
        <w:t>s</w:t>
      </w:r>
      <w:r w:rsidRPr="00B83FA7" w:rsidR="009A259F">
        <w:t>.</w:t>
      </w:r>
      <w:r w:rsidRPr="00B83FA7" w:rsidR="00BF5BB4">
        <w:t xml:space="preserve"> </w:t>
      </w:r>
      <w:r w:rsidRPr="00B83FA7" w:rsidR="00631202">
        <w:t>Tokens of appreciation</w:t>
      </w:r>
      <w:r w:rsidRPr="00B83FA7" w:rsidR="00BF5BB4">
        <w:t xml:space="preserve"> may encourage greater participation among these groups. </w:t>
      </w:r>
    </w:p>
    <w:p w:rsidRPr="00B83FA7" w:rsidR="00C24ABA" w:rsidP="00C05E57" w:rsidRDefault="00C24ABA" w14:paraId="35269A8C" w14:textId="2A108C17">
      <w:pPr>
        <w:pStyle w:val="BodyText-IPR"/>
      </w:pPr>
    </w:p>
    <w:p w:rsidRPr="00B83FA7" w:rsidR="00D23E4F" w:rsidP="00C05E57" w:rsidRDefault="00254F6F" w14:paraId="7897B9B6" w14:textId="613D06E8">
      <w:pPr>
        <w:pStyle w:val="Heading3-IPR"/>
        <w:ind w:left="360"/>
      </w:pPr>
      <w:r w:rsidRPr="00B83FA7">
        <w:t>Reduce</w:t>
      </w:r>
      <w:r w:rsidRPr="00B83FA7" w:rsidR="00BF5BB4">
        <w:t xml:space="preserve"> respondent burden </w:t>
      </w:r>
    </w:p>
    <w:p w:rsidRPr="00B83FA7" w:rsidR="00BF5BB4" w:rsidP="00C05E57" w:rsidRDefault="002D6110" w14:paraId="1FF8D6E8" w14:textId="1F2AA731">
      <w:pPr>
        <w:pStyle w:val="BodyText-IPR"/>
      </w:pPr>
      <w:proofErr w:type="gramStart"/>
      <w:r w:rsidRPr="00B83FA7">
        <w:t xml:space="preserve">The </w:t>
      </w:r>
      <w:r w:rsidRPr="00B83FA7" w:rsidR="00631202">
        <w:t>tokens of appreciation</w:t>
      </w:r>
      <w:r w:rsidRPr="00B83FA7">
        <w:t xml:space="preserve"> will reduce respondent burden because they can help offset the costs associated with participation, including childcare that may be needed while respondents complete the interview, cell phone and data usage costs associated with calls and texts needed to set up appointments </w:t>
      </w:r>
      <w:r w:rsidRPr="00B83FA7" w:rsidR="009B6CDD">
        <w:t>as well as the telephone interviews themselves</w:t>
      </w:r>
      <w:r w:rsidRPr="00B83FA7">
        <w:t xml:space="preserve">, and potential lost wages </w:t>
      </w:r>
      <w:r w:rsidRPr="00B83FA7" w:rsidR="00BF5BB4">
        <w:t>(assuming a minimum wage of $7.25</w:t>
      </w:r>
      <w:r w:rsidRPr="00B83FA7" w:rsidR="00631202">
        <w:t xml:space="preserve"> per hour).</w:t>
      </w:r>
      <w:proofErr w:type="gramEnd"/>
      <w:r w:rsidRPr="00B83FA7" w:rsidR="00631202">
        <w:t xml:space="preserve"> SNAP</w:t>
      </w:r>
      <w:r w:rsidRPr="00B83FA7" w:rsidR="00BF5BB4">
        <w:t xml:space="preserve"> agencies have indicated that their low-income populations often use “pay-as-you-go” cell phones</w:t>
      </w:r>
      <w:r w:rsidRPr="00B83FA7" w:rsidR="00900E54">
        <w:t>,</w:t>
      </w:r>
      <w:r w:rsidRPr="00B83FA7" w:rsidR="00BF5BB4">
        <w:t xml:space="preserve"> which incur costs at a standard rate of $0.10 per minute. Others face limits on data usage and may </w:t>
      </w:r>
      <w:r w:rsidRPr="00B83FA7" w:rsidR="00407B3F">
        <w:t>incur</w:t>
      </w:r>
      <w:r w:rsidRPr="00B83FA7" w:rsidR="00BF5BB4">
        <w:t xml:space="preserve"> fees for exceeding those limi</w:t>
      </w:r>
      <w:r w:rsidRPr="00B83FA7" w:rsidR="00631202">
        <w:t>ts. Finally, some low-income SNAP</w:t>
      </w:r>
      <w:r w:rsidRPr="00B83FA7" w:rsidR="00BF5BB4">
        <w:t xml:space="preserve"> participants without a </w:t>
      </w:r>
      <w:r w:rsidRPr="00B83FA7" w:rsidR="00B97C6F">
        <w:t>tele</w:t>
      </w:r>
      <w:r w:rsidRPr="00B83FA7" w:rsidR="00BF5BB4">
        <w:t xml:space="preserve">phone may have to travel to a location with telephone service. </w:t>
      </w:r>
      <w:r w:rsidRPr="00B83FA7" w:rsidR="00631202">
        <w:t>Token</w:t>
      </w:r>
      <w:r w:rsidRPr="00B83FA7" w:rsidR="009A259F">
        <w:t>s</w:t>
      </w:r>
      <w:r w:rsidRPr="00B83FA7" w:rsidR="00631202">
        <w:t xml:space="preserve"> of appreciation</w:t>
      </w:r>
      <w:r w:rsidRPr="00B83FA7" w:rsidR="00BF5BB4">
        <w:t xml:space="preserve"> will help cover these costs of participating.</w:t>
      </w:r>
    </w:p>
    <w:p w:rsidRPr="00B83FA7" w:rsidR="00D23E4F" w:rsidP="00C05E57" w:rsidRDefault="00D23E4F" w14:paraId="3CFAB528" w14:textId="425CB59A">
      <w:pPr>
        <w:pStyle w:val="Heading3-IPR"/>
        <w:ind w:left="360"/>
      </w:pPr>
      <w:r w:rsidRPr="00B83FA7">
        <w:t xml:space="preserve">Reduce </w:t>
      </w:r>
      <w:r w:rsidRPr="00B83FA7" w:rsidR="00F23717">
        <w:t>nonresponse bias and improve sample representative</w:t>
      </w:r>
      <w:r w:rsidRPr="00B83FA7" w:rsidR="004041FC">
        <w:t>ness</w:t>
      </w:r>
    </w:p>
    <w:p w:rsidRPr="00B83FA7" w:rsidR="009F26EB" w:rsidP="00C05E57" w:rsidRDefault="009F26EB" w14:paraId="2BCAD308" w14:textId="0595F799">
      <w:pPr>
        <w:pStyle w:val="BodyText-IPR"/>
      </w:pPr>
      <w:r w:rsidRPr="00B83FA7">
        <w:t xml:space="preserve">Low response rates are problematic because they can lead to increased nonresponse bias (Groves </w:t>
      </w:r>
      <w:r w:rsidRPr="00B83FA7" w:rsidR="002A171F">
        <w:t>et al</w:t>
      </w:r>
      <w:r w:rsidRPr="00B83FA7" w:rsidR="00900E54">
        <w:t>.</w:t>
      </w:r>
      <w:r w:rsidRPr="00B83FA7" w:rsidR="002B554C">
        <w:t>,</w:t>
      </w:r>
      <w:r w:rsidRPr="00B83FA7" w:rsidR="002A171F">
        <w:t xml:space="preserve"> </w:t>
      </w:r>
      <w:r w:rsidRPr="00B83FA7">
        <w:t xml:space="preserve">2006). Tokens of appreciation reduce efforts to recruit low-income study participants and lower overall survey costs and time to achieve completion rates without affecting data quality </w:t>
      </w:r>
      <w:r w:rsidRPr="00B83FA7" w:rsidR="001F46A9">
        <w:t>(</w:t>
      </w:r>
      <w:proofErr w:type="spellStart"/>
      <w:r w:rsidRPr="00B83FA7" w:rsidR="001F46A9">
        <w:t>Dillman</w:t>
      </w:r>
      <w:proofErr w:type="spellEnd"/>
      <w:r w:rsidRPr="00B83FA7" w:rsidR="00BE404F">
        <w:t>,</w:t>
      </w:r>
      <w:r w:rsidRPr="00B83FA7" w:rsidR="001F46A9">
        <w:t xml:space="preserve"> 2000</w:t>
      </w:r>
      <w:r w:rsidRPr="00B83FA7" w:rsidR="00BE404F">
        <w:t>;</w:t>
      </w:r>
      <w:r w:rsidRPr="00B83FA7" w:rsidR="001F46A9">
        <w:t xml:space="preserve"> Singer</w:t>
      </w:r>
      <w:r w:rsidRPr="00B83FA7" w:rsidR="00BE404F">
        <w:t>,</w:t>
      </w:r>
      <w:r w:rsidRPr="00B83FA7">
        <w:t xml:space="preserve"> 2006)</w:t>
      </w:r>
      <w:r w:rsidRPr="00B83FA7" w:rsidR="004041FC">
        <w:t>.</w:t>
      </w:r>
      <w:r w:rsidRPr="00B83FA7">
        <w:t xml:space="preserve"> In a meta-analysis, Mercer and colleagues </w:t>
      </w:r>
      <w:r w:rsidRPr="00B83FA7" w:rsidR="004F0843">
        <w:t xml:space="preserve">(2015) </w:t>
      </w:r>
      <w:r w:rsidRPr="00B83FA7">
        <w:t xml:space="preserve">estimated </w:t>
      </w:r>
      <w:r w:rsidRPr="00B83FA7" w:rsidR="009E5DFF">
        <w:t xml:space="preserve">that </w:t>
      </w:r>
      <w:r w:rsidRPr="00B83FA7">
        <w:t xml:space="preserve">surveys that promised $10 </w:t>
      </w:r>
      <w:r w:rsidRPr="00B83FA7" w:rsidR="009E5DFF">
        <w:t xml:space="preserve">generated response rates 5 percentage points greater than </w:t>
      </w:r>
      <w:r w:rsidR="006D7CB5">
        <w:t>surveys that offered no token of appreciation</w:t>
      </w:r>
      <w:r w:rsidRPr="00B83FA7">
        <w:t xml:space="preserve">. Frederickson </w:t>
      </w:r>
      <w:r w:rsidRPr="00B83FA7" w:rsidR="004F0843">
        <w:t>and colleagues</w:t>
      </w:r>
      <w:r w:rsidRPr="00B83FA7">
        <w:t xml:space="preserve"> (2005) found a $10 contingent token of </w:t>
      </w:r>
      <w:proofErr w:type="gramStart"/>
      <w:r w:rsidRPr="00B83FA7">
        <w:t>appreciation increase</w:t>
      </w:r>
      <w:r w:rsidRPr="00B83FA7" w:rsidR="009E5DFF">
        <w:t>d</w:t>
      </w:r>
      <w:proofErr w:type="gramEnd"/>
      <w:r w:rsidRPr="00B83FA7">
        <w:t xml:space="preserve"> responses by 20 percentage points among Medicaid recipients, a similar population to those being recruited </w:t>
      </w:r>
      <w:r w:rsidRPr="00B83FA7" w:rsidR="00BA460A">
        <w:t>for</w:t>
      </w:r>
      <w:r w:rsidRPr="00B83FA7">
        <w:t xml:space="preserve"> this study. </w:t>
      </w:r>
      <w:r w:rsidR="00CD72EC">
        <w:t>(</w:t>
      </w:r>
      <w:r w:rsidRPr="00B83FA7">
        <w:t xml:space="preserve">Children’s </w:t>
      </w:r>
      <w:r w:rsidRPr="00B83FA7" w:rsidR="00532B6B">
        <w:t xml:space="preserve">income </w:t>
      </w:r>
      <w:r w:rsidRPr="00B83FA7">
        <w:t>eligibility for Medicaid is at least 133</w:t>
      </w:r>
      <w:r w:rsidRPr="00B83FA7" w:rsidR="00900E54">
        <w:t xml:space="preserve"> percent </w:t>
      </w:r>
      <w:r w:rsidRPr="00B83FA7">
        <w:t>of the Federal Poverty Level (FPL)</w:t>
      </w:r>
      <w:r w:rsidRPr="00B83FA7" w:rsidR="004A50C4">
        <w:t xml:space="preserve"> but is</w:t>
      </w:r>
      <w:r w:rsidRPr="00B83FA7">
        <w:t xml:space="preserve"> higher in many </w:t>
      </w:r>
      <w:r w:rsidRPr="00B83FA7" w:rsidR="00900E54">
        <w:t>S</w:t>
      </w:r>
      <w:r w:rsidRPr="00B83FA7">
        <w:t>tates, and SNAP income eligibility is set at 130</w:t>
      </w:r>
      <w:r w:rsidRPr="00B83FA7" w:rsidR="00900E54">
        <w:t xml:space="preserve"> percent</w:t>
      </w:r>
      <w:r w:rsidRPr="00B83FA7">
        <w:t xml:space="preserve"> of the FPL for the household size.</w:t>
      </w:r>
      <w:r w:rsidR="00CD72EC">
        <w:t>)</w:t>
      </w:r>
      <w:r w:rsidRPr="00B83FA7">
        <w:t xml:space="preserve"> </w:t>
      </w:r>
    </w:p>
    <w:p w:rsidRPr="006D38F0" w:rsidR="00271D63" w:rsidP="00C05E57" w:rsidRDefault="009F26EB" w14:paraId="768ECD5B" w14:textId="06F8423E">
      <w:pPr>
        <w:pStyle w:val="BodyText-IPR"/>
      </w:pPr>
      <w:r w:rsidRPr="00B83FA7">
        <w:t xml:space="preserve">Providing interview participants with a monetary token of appreciation reduces nonresponse bias and </w:t>
      </w:r>
      <w:r w:rsidRPr="00B83FA7" w:rsidR="00900E54">
        <w:t>ensures a full range of job search experiences are reflected in the data</w:t>
      </w:r>
      <w:r w:rsidRPr="00B83FA7">
        <w:t>, especially in populations defined as being in poverty</w:t>
      </w:r>
      <w:r w:rsidRPr="00B83FA7" w:rsidR="00900E54">
        <w:t xml:space="preserve">; </w:t>
      </w:r>
      <w:r w:rsidRPr="00B83FA7">
        <w:t>monetary token</w:t>
      </w:r>
      <w:r w:rsidRPr="00B83FA7" w:rsidR="00900E54">
        <w:t>s</w:t>
      </w:r>
      <w:r w:rsidRPr="00B83FA7">
        <w:t xml:space="preserve"> of appreciation </w:t>
      </w:r>
      <w:r w:rsidRPr="00B83FA7" w:rsidR="00900E54">
        <w:t xml:space="preserve">are particularly effective relative to </w:t>
      </w:r>
      <w:r w:rsidRPr="00B83FA7">
        <w:t xml:space="preserve">other </w:t>
      </w:r>
      <w:r w:rsidRPr="00B83FA7" w:rsidR="00383410">
        <w:t xml:space="preserve">types </w:t>
      </w:r>
      <w:r w:rsidRPr="00B83FA7">
        <w:t>(Singer, 2002</w:t>
      </w:r>
      <w:r w:rsidRPr="00B83FA7" w:rsidR="00900E54">
        <w:t>;</w:t>
      </w:r>
      <w:r w:rsidRPr="00B83FA7">
        <w:t xml:space="preserve"> James, 199</w:t>
      </w:r>
      <w:r w:rsidRPr="00B83FA7" w:rsidR="007C5BC7">
        <w:t>7</w:t>
      </w:r>
      <w:r w:rsidRPr="00B83FA7" w:rsidR="00900E54">
        <w:t xml:space="preserve">; </w:t>
      </w:r>
      <w:r w:rsidRPr="00B83FA7">
        <w:t>Groves</w:t>
      </w:r>
      <w:r w:rsidRPr="00B83FA7" w:rsidR="004F0843">
        <w:t xml:space="preserve"> </w:t>
      </w:r>
      <w:r w:rsidRPr="00B83FA7" w:rsidR="002A171F">
        <w:t>et al</w:t>
      </w:r>
      <w:r w:rsidRPr="00B83FA7" w:rsidR="00900E54">
        <w:t>.</w:t>
      </w:r>
      <w:r w:rsidRPr="00B83FA7" w:rsidR="004F0843">
        <w:t>,</w:t>
      </w:r>
      <w:r w:rsidRPr="00B83FA7" w:rsidR="002A171F">
        <w:t xml:space="preserve"> </w:t>
      </w:r>
      <w:r w:rsidRPr="00B83FA7">
        <w:t>2009</w:t>
      </w:r>
      <w:r w:rsidRPr="00B83FA7" w:rsidR="00900E54">
        <w:t>;</w:t>
      </w:r>
      <w:r w:rsidRPr="00B83FA7">
        <w:t xml:space="preserve"> Singer</w:t>
      </w:r>
      <w:r w:rsidRPr="00B83FA7" w:rsidR="00E06CAD">
        <w:t xml:space="preserve"> &amp; Ye</w:t>
      </w:r>
      <w:r w:rsidRPr="00B83FA7" w:rsidR="004F0843">
        <w:t>,</w:t>
      </w:r>
      <w:r w:rsidRPr="00B83FA7">
        <w:t xml:space="preserve"> 2013). </w:t>
      </w:r>
      <w:r w:rsidRPr="00B83FA7" w:rsidR="000765EA">
        <w:t>T</w:t>
      </w:r>
      <w:r w:rsidRPr="00B83FA7">
        <w:t>okens of appreciation can improve sample representativeness and reduce nonresponse bias</w:t>
      </w:r>
      <w:r w:rsidRPr="00B83FA7" w:rsidR="001F46A9">
        <w:t xml:space="preserve"> (Groves et al</w:t>
      </w:r>
      <w:r w:rsidRPr="00B83FA7" w:rsidR="00FD66EC">
        <w:t>.,</w:t>
      </w:r>
      <w:r w:rsidRPr="00B83FA7" w:rsidR="001F46A9">
        <w:t xml:space="preserve"> 2000</w:t>
      </w:r>
      <w:r w:rsidRPr="00B83FA7" w:rsidR="00FD66EC">
        <w:t>;</w:t>
      </w:r>
      <w:r w:rsidRPr="00B83FA7" w:rsidR="001F46A9">
        <w:t xml:space="preserve"> Messer</w:t>
      </w:r>
      <w:r w:rsidRPr="00B83FA7">
        <w:t xml:space="preserve"> </w:t>
      </w:r>
      <w:r w:rsidRPr="00B83FA7" w:rsidR="00FD66EC">
        <w:t>&amp;</w:t>
      </w:r>
      <w:r w:rsidRPr="00B83FA7" w:rsidR="001F46A9">
        <w:t xml:space="preserve"> </w:t>
      </w:r>
      <w:proofErr w:type="spellStart"/>
      <w:r w:rsidRPr="00B83FA7" w:rsidR="001F46A9">
        <w:t>Dillman</w:t>
      </w:r>
      <w:proofErr w:type="spellEnd"/>
      <w:r w:rsidRPr="00B83FA7" w:rsidR="00FD66EC">
        <w:t>,</w:t>
      </w:r>
      <w:r w:rsidRPr="00B83FA7" w:rsidR="00EF58E6">
        <w:t xml:space="preserve"> </w:t>
      </w:r>
      <w:r w:rsidRPr="00B83FA7">
        <w:t>2011) by encouraging those less interested in research to participate, including low-income respondents</w:t>
      </w:r>
      <w:r w:rsidRPr="00B83FA7" w:rsidR="001F46A9">
        <w:t xml:space="preserve"> (Groves</w:t>
      </w:r>
      <w:r w:rsidRPr="00B83FA7">
        <w:t xml:space="preserve"> </w:t>
      </w:r>
      <w:r w:rsidRPr="00B83FA7" w:rsidR="002A171F">
        <w:t>et al</w:t>
      </w:r>
      <w:r w:rsidRPr="00B83FA7" w:rsidR="003E3790">
        <w:t>.</w:t>
      </w:r>
      <w:r w:rsidRPr="00B83FA7" w:rsidR="00FD66EC">
        <w:t>,</w:t>
      </w:r>
      <w:r w:rsidRPr="00B83FA7" w:rsidR="002A171F">
        <w:t xml:space="preserve"> </w:t>
      </w:r>
      <w:r w:rsidRPr="00B83FA7" w:rsidR="001F46A9">
        <w:t>2006</w:t>
      </w:r>
      <w:r w:rsidRPr="00B83FA7" w:rsidR="003E3790">
        <w:t>;</w:t>
      </w:r>
      <w:r w:rsidRPr="00B83FA7" w:rsidR="001F46A9">
        <w:t xml:space="preserve"> Singer</w:t>
      </w:r>
      <w:r w:rsidRPr="00B83FA7" w:rsidR="00BB39AE">
        <w:t xml:space="preserve"> &amp; </w:t>
      </w:r>
      <w:proofErr w:type="spellStart"/>
      <w:r w:rsidRPr="00B83FA7" w:rsidR="00BB39AE">
        <w:t>Kulka</w:t>
      </w:r>
      <w:proofErr w:type="spellEnd"/>
      <w:r w:rsidRPr="00B83FA7" w:rsidR="00FD66EC">
        <w:t>,</w:t>
      </w:r>
      <w:r w:rsidRPr="00B83FA7">
        <w:t xml:space="preserve"> 2002). </w:t>
      </w:r>
      <w:r w:rsidRPr="00B83FA7" w:rsidR="00271D63">
        <w:t xml:space="preserve">Several studies </w:t>
      </w:r>
      <w:r w:rsidRPr="00B83FA7" w:rsidR="00E52D29">
        <w:t>have shown</w:t>
      </w:r>
      <w:r w:rsidRPr="00B83FA7" w:rsidR="00271D63">
        <w:t xml:space="preserve"> offering </w:t>
      </w:r>
      <w:r w:rsidRPr="00B83FA7" w:rsidR="00631202">
        <w:t>token</w:t>
      </w:r>
      <w:r w:rsidRPr="00B83FA7" w:rsidR="009A259F">
        <w:t>s</w:t>
      </w:r>
      <w:r w:rsidRPr="00B83FA7" w:rsidR="00631202">
        <w:t xml:space="preserve"> of appreciation</w:t>
      </w:r>
      <w:r w:rsidRPr="00B83FA7" w:rsidR="00271D63">
        <w:t xml:space="preserve"> may improve representation for low-education, low-income, and ethnic minority subgroups. Response rates among minorities and those with low education are generally lower for all types of surveys, especially those conducted by mail. For example, in a survey for the National Cancer Institute, the sample </w:t>
      </w:r>
      <w:r w:rsidRPr="00B83FA7" w:rsidR="003E3790">
        <w:t xml:space="preserve">was </w:t>
      </w:r>
      <w:r w:rsidRPr="00B83FA7" w:rsidR="00271D63">
        <w:t>divided into two strata</w:t>
      </w:r>
      <w:r w:rsidRPr="00B83FA7" w:rsidR="00E52D29">
        <w:t>:</w:t>
      </w:r>
      <w:r w:rsidRPr="00B83FA7" w:rsidR="00271D63">
        <w:t xml:space="preserve"> (1)</w:t>
      </w:r>
      <w:r w:rsidRPr="00B83FA7" w:rsidR="0059765F">
        <w:t xml:space="preserve"> one with a</w:t>
      </w:r>
      <w:r w:rsidRPr="00B83FA7" w:rsidR="00271D63">
        <w:t xml:space="preserve"> </w:t>
      </w:r>
      <w:r w:rsidRPr="00B83FA7" w:rsidR="0059765F">
        <w:t>greater percentage of</w:t>
      </w:r>
      <w:r w:rsidRPr="00B83FA7" w:rsidR="00271D63">
        <w:t xml:space="preserve"> minority</w:t>
      </w:r>
      <w:r w:rsidRPr="00B83FA7" w:rsidR="0059765F">
        <w:t xml:space="preserve"> individuals, </w:t>
      </w:r>
      <w:r w:rsidRPr="00B83FA7" w:rsidR="00271D63">
        <w:t xml:space="preserve">and (2) </w:t>
      </w:r>
      <w:r w:rsidRPr="00B83FA7" w:rsidR="0059765F">
        <w:t>one with a smaller percentage</w:t>
      </w:r>
      <w:r w:rsidRPr="00B83FA7" w:rsidR="00271D63">
        <w:t xml:space="preserve">. The response rate to the strata </w:t>
      </w:r>
      <w:r w:rsidRPr="00B83FA7" w:rsidR="0059765F">
        <w:t xml:space="preserve">with a greater proportion of minority individuals </w:t>
      </w:r>
      <w:r w:rsidRPr="00B83FA7" w:rsidR="003E3790">
        <w:t>wa</w:t>
      </w:r>
      <w:r w:rsidRPr="00B83FA7" w:rsidR="00271D63">
        <w:t xml:space="preserve">s 12 percentage points </w:t>
      </w:r>
      <w:r w:rsidRPr="00B83FA7" w:rsidR="00E52D29">
        <w:t xml:space="preserve">lower than the rate for </w:t>
      </w:r>
      <w:r w:rsidRPr="00B83FA7" w:rsidR="00271D63">
        <w:t xml:space="preserve">the </w:t>
      </w:r>
      <w:r w:rsidRPr="00B83FA7" w:rsidR="0059765F">
        <w:t>strata with a smaller proportion</w:t>
      </w:r>
      <w:r w:rsidRPr="00B83FA7" w:rsidR="00787826">
        <w:t xml:space="preserve"> (23</w:t>
      </w:r>
      <w:r w:rsidRPr="00B83FA7" w:rsidR="003E3790">
        <w:t xml:space="preserve"> percent</w:t>
      </w:r>
      <w:r w:rsidRPr="00B83FA7" w:rsidR="00787826">
        <w:t xml:space="preserve"> v</w:t>
      </w:r>
      <w:r w:rsidRPr="00B83FA7" w:rsidR="003E3790">
        <w:t>ersus</w:t>
      </w:r>
      <w:r w:rsidRPr="00B83FA7" w:rsidR="00787826">
        <w:t xml:space="preserve"> 35</w:t>
      </w:r>
      <w:r w:rsidRPr="00B83FA7" w:rsidR="003E3790">
        <w:t xml:space="preserve"> percent</w:t>
      </w:r>
      <w:r w:rsidRPr="00B83FA7" w:rsidR="000A637A">
        <w:t>;</w:t>
      </w:r>
      <w:r w:rsidRPr="00B83FA7" w:rsidR="00787826">
        <w:t xml:space="preserve"> </w:t>
      </w:r>
      <w:proofErr w:type="spellStart"/>
      <w:r w:rsidRPr="00B83FA7" w:rsidR="00787826">
        <w:t>Westat</w:t>
      </w:r>
      <w:proofErr w:type="spellEnd"/>
      <w:r w:rsidRPr="00B83FA7" w:rsidR="000A637A">
        <w:t>,</w:t>
      </w:r>
      <w:r w:rsidRPr="00B83FA7" w:rsidR="00787826">
        <w:t xml:space="preserve"> 2017).</w:t>
      </w:r>
      <w:r w:rsidRPr="00B83FA7" w:rsidR="003E3790">
        <w:t xml:space="preserve"> </w:t>
      </w:r>
      <w:r w:rsidRPr="00B83FA7" w:rsidR="00271D63">
        <w:t xml:space="preserve">Similarly, when testing within household selection procedures, </w:t>
      </w:r>
      <w:r w:rsidRPr="00B83FA7" w:rsidR="005C269F">
        <w:t>Olson and colleagues</w:t>
      </w:r>
      <w:r w:rsidRPr="00B83FA7" w:rsidR="00271D63">
        <w:t xml:space="preserve"> (2014) found all procedures led to underrepresenting non-</w:t>
      </w:r>
      <w:r w:rsidRPr="00B83FA7" w:rsidR="00963706">
        <w:t>W</w:t>
      </w:r>
      <w:r w:rsidRPr="00B83FA7" w:rsidR="00271D63">
        <w:t xml:space="preserve">hites, Hispanics, </w:t>
      </w:r>
      <w:r w:rsidRPr="00B83FA7" w:rsidR="00963706">
        <w:t>individuals</w:t>
      </w:r>
      <w:r w:rsidRPr="00B83FA7" w:rsidR="00271D63">
        <w:t xml:space="preserve"> with </w:t>
      </w:r>
      <w:r w:rsidRPr="00B83FA7" w:rsidR="00963706">
        <w:t>less</w:t>
      </w:r>
      <w:r w:rsidRPr="00B83FA7" w:rsidR="00271D63">
        <w:t xml:space="preserve"> education</w:t>
      </w:r>
      <w:r w:rsidRPr="00B83FA7" w:rsidR="00963706">
        <w:t>,</w:t>
      </w:r>
      <w:r w:rsidRPr="00B83FA7" w:rsidR="00271D63">
        <w:t xml:space="preserve"> and </w:t>
      </w:r>
      <w:r w:rsidRPr="00B83FA7" w:rsidR="00963706">
        <w:t>individuals</w:t>
      </w:r>
      <w:r w:rsidRPr="00B83FA7" w:rsidR="00787826">
        <w:t xml:space="preserve"> in the lowest income groups.</w:t>
      </w:r>
      <w:r w:rsidRPr="00B83FA7" w:rsidR="00271D63">
        <w:t xml:space="preserve"> The population of interest in the current study is comparable to the populations discussed </w:t>
      </w:r>
      <w:r w:rsidRPr="00B83FA7" w:rsidR="000123D7">
        <w:t>earlier in this section</w:t>
      </w:r>
      <w:r w:rsidRPr="00B83FA7" w:rsidR="00271D63">
        <w:t xml:space="preserve">. </w:t>
      </w:r>
      <w:r w:rsidRPr="00B83FA7" w:rsidR="000123D7">
        <w:t>T</w:t>
      </w:r>
      <w:r w:rsidRPr="00B83FA7" w:rsidR="00271D63">
        <w:t xml:space="preserve">he current study will be recruiting participants </w:t>
      </w:r>
      <w:r w:rsidRPr="00B83FA7" w:rsidR="00DF6E83">
        <w:t>who</w:t>
      </w:r>
      <w:r w:rsidRPr="00B83FA7" w:rsidR="00271D63">
        <w:t xml:space="preserve"> </w:t>
      </w:r>
      <w:r w:rsidRPr="00B83FA7" w:rsidR="009866F2">
        <w:t>currently participat</w:t>
      </w:r>
      <w:r w:rsidRPr="00B83FA7" w:rsidR="000123D7">
        <w:t>e</w:t>
      </w:r>
      <w:r w:rsidRPr="00B83FA7" w:rsidR="00271D63">
        <w:t xml:space="preserve"> or previously participated</w:t>
      </w:r>
      <w:r w:rsidRPr="006D38F0" w:rsidR="00271D63">
        <w:t xml:space="preserve"> in </w:t>
      </w:r>
      <w:r w:rsidR="009866F2">
        <w:t>SNAP E&amp;T</w:t>
      </w:r>
      <w:r w:rsidRPr="006D38F0" w:rsidR="00271D63">
        <w:t xml:space="preserve">. </w:t>
      </w:r>
    </w:p>
    <w:p w:rsidR="009F26EB" w:rsidP="009F26EB" w:rsidRDefault="009F26EB" w14:paraId="3613A429" w14:textId="479586EB">
      <w:pPr>
        <w:pStyle w:val="Heading2-IPR"/>
      </w:pPr>
      <w:r w:rsidRPr="00577988">
        <w:lastRenderedPageBreak/>
        <w:t xml:space="preserve">Past </w:t>
      </w:r>
      <w:r w:rsidRPr="00577988" w:rsidR="000123D7">
        <w:t>Experience Using Tok</w:t>
      </w:r>
      <w:r w:rsidRPr="00577988">
        <w:t>en</w:t>
      </w:r>
      <w:r>
        <w:t>s</w:t>
      </w:r>
      <w:r w:rsidRPr="00577988">
        <w:t xml:space="preserve"> of </w:t>
      </w:r>
      <w:r w:rsidRPr="00577988" w:rsidR="000123D7">
        <w:t xml:space="preserve">Appreciation </w:t>
      </w:r>
      <w:r w:rsidRPr="00577988">
        <w:t xml:space="preserve">in </w:t>
      </w:r>
      <w:r w:rsidRPr="00577988" w:rsidR="000123D7">
        <w:t xml:space="preserve">Telephone </w:t>
      </w:r>
      <w:r w:rsidR="000123D7">
        <w:t xml:space="preserve">Interviews </w:t>
      </w:r>
      <w:r w:rsidRPr="00577988" w:rsidR="000123D7">
        <w:t>With</w:t>
      </w:r>
      <w:r w:rsidR="000123D7">
        <w:t xml:space="preserve"> Similar Low-Income Populati</w:t>
      </w:r>
      <w:r>
        <w:t>ons</w:t>
      </w:r>
    </w:p>
    <w:p w:rsidRPr="009C0B59" w:rsidR="009F26EB" w:rsidP="00C05E57" w:rsidRDefault="009F26EB" w14:paraId="2A8D9728" w14:textId="5DDC5FC7">
      <w:pPr>
        <w:pStyle w:val="BodyText-IPR"/>
      </w:pPr>
      <w:r w:rsidRPr="00D23E4F">
        <w:t xml:space="preserve">The study team is proposing that respondents </w:t>
      </w:r>
      <w:r w:rsidR="00EC1E09">
        <w:t>who complete</w:t>
      </w:r>
      <w:r w:rsidRPr="00D23E4F">
        <w:t xml:space="preserve"> the </w:t>
      </w:r>
      <w:r>
        <w:t xml:space="preserve">30-minute </w:t>
      </w:r>
      <w:r w:rsidRPr="00D23E4F">
        <w:t>telephone intervi</w:t>
      </w:r>
      <w:r w:rsidR="00205E70">
        <w:t>ew (</w:t>
      </w:r>
      <w:r w:rsidR="00EC1E09">
        <w:t xml:space="preserve">see </w:t>
      </w:r>
      <w:r w:rsidR="00205E70">
        <w:t>appendix M</w:t>
      </w:r>
      <w:r w:rsidR="00EC1E09">
        <w:t>:</w:t>
      </w:r>
      <w:r w:rsidRPr="00D23E4F">
        <w:t xml:space="preserve"> Participant Protocol) receive a $30 token of appreciation</w:t>
      </w:r>
      <w:r>
        <w:t>,</w:t>
      </w:r>
      <w:r w:rsidRPr="00D23E4F">
        <w:t xml:space="preserve"> </w:t>
      </w:r>
      <w:r>
        <w:t>an amount</w:t>
      </w:r>
      <w:r w:rsidRPr="00D23E4F">
        <w:t xml:space="preserve"> based </w:t>
      </w:r>
      <w:r w:rsidR="006D7CB5">
        <w:t xml:space="preserve">on tokens of appreciation </w:t>
      </w:r>
      <w:r w:rsidRPr="00D23E4F">
        <w:t xml:space="preserve">that were approved for similar data collections in other recent studies with similar </w:t>
      </w:r>
      <w:r>
        <w:t xml:space="preserve">burden among </w:t>
      </w:r>
      <w:r w:rsidRPr="00D23E4F">
        <w:t>low-income populations</w:t>
      </w:r>
      <w:r>
        <w:t xml:space="preserve">. </w:t>
      </w:r>
      <w:proofErr w:type="gramStart"/>
      <w:r w:rsidRPr="00D23E4F">
        <w:t>For example, the WIC Cost Containment Study (O</w:t>
      </w:r>
      <w:r w:rsidR="00403929">
        <w:t xml:space="preserve">ffice of </w:t>
      </w:r>
      <w:r w:rsidRPr="00D23E4F">
        <w:t>M</w:t>
      </w:r>
      <w:r w:rsidR="00403929">
        <w:t xml:space="preserve">anagement and </w:t>
      </w:r>
      <w:r w:rsidRPr="009C0B59">
        <w:t>B</w:t>
      </w:r>
      <w:r w:rsidRPr="009C0B59" w:rsidR="00403929">
        <w:t>udget [OMB]</w:t>
      </w:r>
      <w:r w:rsidRPr="009C0B59">
        <w:t xml:space="preserve"> Control N</w:t>
      </w:r>
      <w:r w:rsidRPr="009C0B59" w:rsidR="0097279F">
        <w:t>umber</w:t>
      </w:r>
      <w:r w:rsidRPr="009C0B59">
        <w:t xml:space="preserve"> 0584-0627; </w:t>
      </w:r>
      <w:r w:rsidRPr="009C0B59" w:rsidR="0097279F">
        <w:t xml:space="preserve">expiration date </w:t>
      </w:r>
      <w:r w:rsidRPr="009C0B59" w:rsidR="0019169E">
        <w:t xml:space="preserve">September 30, </w:t>
      </w:r>
      <w:r w:rsidRPr="009C0B59">
        <w:t xml:space="preserve">2020) provided a $30 token of appreciation to </w:t>
      </w:r>
      <w:r w:rsidRPr="009C0B59" w:rsidR="00C47AB0">
        <w:t>Special Supplemental Nutrition Program for Women, Infants, and Children (</w:t>
      </w:r>
      <w:r w:rsidRPr="009C0B59">
        <w:t>WIC</w:t>
      </w:r>
      <w:r w:rsidRPr="009C0B59" w:rsidR="00C47AB0">
        <w:t>)</w:t>
      </w:r>
      <w:r w:rsidRPr="009C0B59">
        <w:t xml:space="preserve"> participants </w:t>
      </w:r>
      <w:r w:rsidRPr="009C0B59" w:rsidR="00F87778">
        <w:t>to complete</w:t>
      </w:r>
      <w:r w:rsidRPr="009C0B59">
        <w:t xml:space="preserve"> a 30-minute telephone survey and a $30 token of appreciation to former WIC participants to complete a 20-minute telephone survey.</w:t>
      </w:r>
      <w:proofErr w:type="gramEnd"/>
      <w:r w:rsidRPr="009C0B59">
        <w:t xml:space="preserve"> For the Evaluation of the Pilot Project for Canned, Frozen, or Dried Fruits and Vegetables in the Fresh Fruit and Vegetable Program for FNS (OMB Control Number 0584-0598</w:t>
      </w:r>
      <w:r w:rsidRPr="009C0B59" w:rsidR="0097279F">
        <w:t>;</w:t>
      </w:r>
      <w:r w:rsidRPr="009C0B59">
        <w:t xml:space="preserve"> </w:t>
      </w:r>
      <w:r w:rsidRPr="009C0B59" w:rsidR="0097279F">
        <w:t xml:space="preserve">expiration date </w:t>
      </w:r>
      <w:r w:rsidRPr="009C0B59">
        <w:t>September 30, 2017)</w:t>
      </w:r>
      <w:r w:rsidRPr="009C0B59" w:rsidR="00E133DA">
        <w:t>,</w:t>
      </w:r>
      <w:r w:rsidRPr="009C0B59">
        <w:t xml:space="preserve"> $50 tokens of appreciation were offered to community members, including low-income parents, </w:t>
      </w:r>
      <w:r w:rsidRPr="009C0B59" w:rsidR="00E133DA">
        <w:t>who completed</w:t>
      </w:r>
      <w:r w:rsidRPr="009C0B59">
        <w:t xml:space="preserve"> 1-hour telephone interviews. The Evaluation of the Summer Food Service Program Participant Characteristics used $25 prepaid </w:t>
      </w:r>
      <w:r w:rsidRPr="009C0B59" w:rsidR="00B56D97">
        <w:t>gift</w:t>
      </w:r>
      <w:r w:rsidRPr="009C0B59">
        <w:t xml:space="preserve"> cards to increase</w:t>
      </w:r>
      <w:r w:rsidRPr="009C0B59" w:rsidR="00B50E63">
        <w:t xml:space="preserve"> the</w:t>
      </w:r>
      <w:r w:rsidRPr="009C0B59">
        <w:t xml:space="preserve"> participation of parents/caregivers of participants and eligible nonparticipants in 30-minute telephone interviews (OMB Control Number 0584-0595</w:t>
      </w:r>
      <w:r w:rsidRPr="009C0B59" w:rsidR="00EF2C6E">
        <w:t>;</w:t>
      </w:r>
      <w:r w:rsidRPr="009C0B59">
        <w:t xml:space="preserve"> </w:t>
      </w:r>
      <w:r w:rsidRPr="009C0B59" w:rsidR="00EF2C6E">
        <w:t xml:space="preserve">expiration date </w:t>
      </w:r>
      <w:r w:rsidRPr="009C0B59">
        <w:t xml:space="preserve">April 30, 2016). </w:t>
      </w:r>
    </w:p>
    <w:p w:rsidRPr="009C0B59" w:rsidR="009F26EB" w:rsidP="00C05E57" w:rsidRDefault="00B50E63" w14:paraId="35C0874F" w14:textId="6A9E27DB">
      <w:pPr>
        <w:pStyle w:val="BodyText-IPR"/>
      </w:pPr>
      <w:r w:rsidRPr="009C0B59">
        <w:t xml:space="preserve">The </w:t>
      </w:r>
      <w:r w:rsidRPr="009C0B59" w:rsidR="003E3790">
        <w:t>National Survey of WIC Participants II (NSWP</w:t>
      </w:r>
      <w:r w:rsidRPr="009C0B59" w:rsidR="009F26EB">
        <w:t>-II</w:t>
      </w:r>
      <w:r w:rsidRPr="009C0B59" w:rsidR="003E3790">
        <w:t>)</w:t>
      </w:r>
      <w:r w:rsidRPr="009C0B59" w:rsidR="009F26EB">
        <w:t xml:space="preserve"> obtained complete data for approximately 81 percent of participants for the in-person interviews</w:t>
      </w:r>
      <w:r w:rsidRPr="009C0B59">
        <w:t xml:space="preserve">; </w:t>
      </w:r>
      <w:r w:rsidRPr="009C0B59" w:rsidR="009F26EB">
        <w:t>respondents</w:t>
      </w:r>
      <w:r w:rsidRPr="009C0B59">
        <w:t xml:space="preserve"> who completed the interview</w:t>
      </w:r>
      <w:r w:rsidRPr="009C0B59" w:rsidR="009F26EB">
        <w:t xml:space="preserve"> receiv</w:t>
      </w:r>
      <w:r w:rsidRPr="009C0B59">
        <w:t>ed a $20</w:t>
      </w:r>
      <w:r w:rsidRPr="009C0B59" w:rsidR="009F26EB">
        <w:t xml:space="preserve"> token of appreciation</w:t>
      </w:r>
      <w:r w:rsidR="006D7CB5">
        <w:t xml:space="preserve">. However, such </w:t>
      </w:r>
      <w:r w:rsidRPr="009C0B59" w:rsidR="009F26EB">
        <w:t xml:space="preserve">tokens of appreciation were not provided for </w:t>
      </w:r>
      <w:r w:rsidRPr="009C0B59" w:rsidR="000B3232">
        <w:t xml:space="preserve">NSWP-II </w:t>
      </w:r>
      <w:r w:rsidRPr="009C0B59" w:rsidR="009F26EB">
        <w:t>interviews conducted over the telephone</w:t>
      </w:r>
      <w:r w:rsidRPr="009C0B59" w:rsidR="000B3232">
        <w:t xml:space="preserve">; those surveys generated </w:t>
      </w:r>
      <w:r w:rsidRPr="009C0B59" w:rsidR="009F26EB">
        <w:t>a</w:t>
      </w:r>
      <w:r w:rsidRPr="009C0B59" w:rsidR="000B3232">
        <w:t>n overall</w:t>
      </w:r>
      <w:r w:rsidRPr="009C0B59" w:rsidR="009F26EB">
        <w:t xml:space="preserve"> response rate</w:t>
      </w:r>
      <w:r w:rsidRPr="009C0B59" w:rsidR="000B3232">
        <w:t xml:space="preserve"> of only</w:t>
      </w:r>
      <w:r w:rsidRPr="009C0B59" w:rsidR="009F26EB">
        <w:t xml:space="preserve"> 51.3 percent (</w:t>
      </w:r>
      <w:r w:rsidRPr="009C0B59" w:rsidR="00A57756">
        <w:t xml:space="preserve">Huang et al., </w:t>
      </w:r>
      <w:r w:rsidRPr="009C0B59" w:rsidR="009F26EB">
        <w:t>2012</w:t>
      </w:r>
      <w:r w:rsidRPr="009C0B59" w:rsidR="00E06CAD">
        <w:t>a</w:t>
      </w:r>
      <w:r w:rsidRPr="009C0B59" w:rsidR="009F26EB">
        <w:t xml:space="preserve">). </w:t>
      </w:r>
      <w:r w:rsidRPr="009C0B59" w:rsidR="000B3232">
        <w:t xml:space="preserve">A </w:t>
      </w:r>
      <w:r w:rsidRPr="009C0B59" w:rsidR="009F26EB">
        <w:t xml:space="preserve">nonresponse bias analysis </w:t>
      </w:r>
      <w:r w:rsidRPr="009C0B59" w:rsidR="000B3232">
        <w:t>conducted for NSWP-II showed</w:t>
      </w:r>
      <w:r w:rsidRPr="009C0B59" w:rsidR="009F26EB">
        <w:t xml:space="preserve"> nonresponse did lead to some potential bias in the telephone survey results (</w:t>
      </w:r>
      <w:r w:rsidRPr="009C0B59" w:rsidR="00A57756">
        <w:t>Huang et al.</w:t>
      </w:r>
      <w:r w:rsidRPr="009C0B59" w:rsidR="000B3232">
        <w:t>,</w:t>
      </w:r>
      <w:r w:rsidRPr="009C0B59" w:rsidR="009F26EB">
        <w:t xml:space="preserve"> 2012</w:t>
      </w:r>
      <w:r w:rsidRPr="009C0B59" w:rsidR="00E06CAD">
        <w:t>b</w:t>
      </w:r>
      <w:r w:rsidRPr="009C0B59" w:rsidR="009F26EB">
        <w:t xml:space="preserve">). Therefore, </w:t>
      </w:r>
      <w:r w:rsidRPr="009C0B59" w:rsidR="00AC30C6">
        <w:t xml:space="preserve">the </w:t>
      </w:r>
      <w:r w:rsidRPr="009C0B59" w:rsidR="009F26EB">
        <w:t>study</w:t>
      </w:r>
      <w:r w:rsidRPr="009C0B59" w:rsidR="00AC30C6">
        <w:t>’s research team</w:t>
      </w:r>
      <w:r w:rsidRPr="009C0B59" w:rsidR="009F26EB">
        <w:t xml:space="preserve"> </w:t>
      </w:r>
      <w:r w:rsidRPr="009C0B59" w:rsidR="008E050D">
        <w:t xml:space="preserve">advised </w:t>
      </w:r>
      <w:r w:rsidRPr="009C0B59" w:rsidR="009F26EB">
        <w:t>caution</w:t>
      </w:r>
      <w:r w:rsidRPr="009C0B59" w:rsidR="008E050D">
        <w:t xml:space="preserve"> when interpreting</w:t>
      </w:r>
      <w:r w:rsidRPr="009C0B59" w:rsidR="009F26EB">
        <w:t xml:space="preserve"> the results from the telephone survey. </w:t>
      </w:r>
      <w:r w:rsidRPr="009C0B59" w:rsidR="00E06CAD">
        <w:t>Respondents for t</w:t>
      </w:r>
      <w:r w:rsidRPr="009C0B59" w:rsidR="009F26EB">
        <w:t>he USDA Healthy Incentive Pilot (HIP)</w:t>
      </w:r>
      <w:r w:rsidRPr="009C0B59" w:rsidR="00E06CAD">
        <w:t>, which</w:t>
      </w:r>
      <w:r w:rsidRPr="009C0B59" w:rsidR="009F26EB">
        <w:t xml:space="preserve"> surveyed SNAP participants in Massachusetts</w:t>
      </w:r>
      <w:r w:rsidRPr="009C0B59" w:rsidR="00E06CAD">
        <w:t xml:space="preserve">, </w:t>
      </w:r>
      <w:r w:rsidRPr="009C0B59" w:rsidR="009F26EB">
        <w:t xml:space="preserve">were provided </w:t>
      </w:r>
      <w:r w:rsidRPr="009C0B59" w:rsidR="00BE6B2D">
        <w:t xml:space="preserve">monetary </w:t>
      </w:r>
      <w:r w:rsidRPr="009C0B59" w:rsidR="00E06CAD">
        <w:t xml:space="preserve">tokens of appreciation </w:t>
      </w:r>
      <w:r w:rsidRPr="009C0B59" w:rsidR="00CC6160">
        <w:t>(</w:t>
      </w:r>
      <w:r w:rsidRPr="009C0B59" w:rsidR="00E06CAD">
        <w:t xml:space="preserve">Bartlett, </w:t>
      </w:r>
      <w:proofErr w:type="spellStart"/>
      <w:r w:rsidRPr="009C0B59" w:rsidR="00E06CAD">
        <w:t>Klerman</w:t>
      </w:r>
      <w:proofErr w:type="spellEnd"/>
      <w:r w:rsidRPr="009C0B59" w:rsidR="00E06CAD">
        <w:t xml:space="preserve">, </w:t>
      </w:r>
      <w:proofErr w:type="spellStart"/>
      <w:r w:rsidRPr="009C0B59" w:rsidR="00E06CAD">
        <w:t>Olsho</w:t>
      </w:r>
      <w:proofErr w:type="spellEnd"/>
      <w:r w:rsidRPr="009C0B59" w:rsidR="00E06CAD">
        <w:t xml:space="preserve">, et al., 2014). </w:t>
      </w:r>
      <w:proofErr w:type="gramStart"/>
      <w:r w:rsidRPr="009C0B59" w:rsidR="00E06CAD">
        <w:t xml:space="preserve">Respondents were provided </w:t>
      </w:r>
      <w:r w:rsidRPr="009C0B59" w:rsidR="009F26EB">
        <w:t>a $20 token of appreciation for the baseline telephone interview, which achieved a 63</w:t>
      </w:r>
      <w:r w:rsidRPr="009C0B59" w:rsidR="00901D8A">
        <w:t>-</w:t>
      </w:r>
      <w:r w:rsidRPr="009C0B59" w:rsidR="003E3790">
        <w:t>percent</w:t>
      </w:r>
      <w:r w:rsidRPr="009C0B59" w:rsidR="009F26EB">
        <w:t xml:space="preserve"> response rate; $30 for the </w:t>
      </w:r>
      <w:r w:rsidRPr="009C0B59" w:rsidR="00FC1052">
        <w:t>r</w:t>
      </w:r>
      <w:r w:rsidRPr="009C0B59" w:rsidR="009F26EB">
        <w:t>ound 2 interview (3</w:t>
      </w:r>
      <w:r w:rsidRPr="009C0B59" w:rsidR="00901D8A">
        <w:t>–</w:t>
      </w:r>
      <w:r w:rsidRPr="009C0B59" w:rsidR="009F26EB">
        <w:t>6 months after baseline)</w:t>
      </w:r>
      <w:r w:rsidRPr="009C0B59" w:rsidR="003E3790">
        <w:t>,</w:t>
      </w:r>
      <w:r w:rsidRPr="009C0B59" w:rsidR="009F26EB">
        <w:t xml:space="preserve"> which achieved an 83</w:t>
      </w:r>
      <w:r w:rsidRPr="009C0B59" w:rsidR="00445845">
        <w:t>-</w:t>
      </w:r>
      <w:r w:rsidRPr="009C0B59" w:rsidR="003E3790">
        <w:t>percent</w:t>
      </w:r>
      <w:r w:rsidRPr="009C0B59" w:rsidR="009F26EB">
        <w:t xml:space="preserve"> response rate; and $40 for the </w:t>
      </w:r>
      <w:r w:rsidRPr="009C0B59" w:rsidR="00FC1052">
        <w:t>r</w:t>
      </w:r>
      <w:r w:rsidRPr="009C0B59" w:rsidR="009F26EB">
        <w:t>ound 3 interview (11</w:t>
      </w:r>
      <w:r w:rsidRPr="009C0B59" w:rsidR="00445845">
        <w:t>–</w:t>
      </w:r>
      <w:r w:rsidRPr="009C0B59" w:rsidR="009F26EB">
        <w:t>13 months after baseline), which achieved an 81</w:t>
      </w:r>
      <w:r w:rsidRPr="009C0B59" w:rsidR="00445845">
        <w:t>-</w:t>
      </w:r>
      <w:r w:rsidRPr="009C0B59" w:rsidR="003E3790">
        <w:t>percent</w:t>
      </w:r>
      <w:r w:rsidRPr="009C0B59" w:rsidR="009F26EB">
        <w:t xml:space="preserve"> response rate (OMB Control Number 0584-0584</w:t>
      </w:r>
      <w:r w:rsidRPr="009C0B59" w:rsidR="00FC1052">
        <w:t>;</w:t>
      </w:r>
      <w:r w:rsidRPr="009C0B59" w:rsidR="009F26EB">
        <w:t xml:space="preserve"> </w:t>
      </w:r>
      <w:r w:rsidRPr="009C0B59" w:rsidR="00FC1052">
        <w:t>e</w:t>
      </w:r>
      <w:r w:rsidRPr="009C0B59" w:rsidR="009F26EB">
        <w:t xml:space="preserve">xpiration </w:t>
      </w:r>
      <w:r w:rsidRPr="009C0B59" w:rsidR="00FC1052">
        <w:t>d</w:t>
      </w:r>
      <w:r w:rsidRPr="009C0B59" w:rsidR="009F26EB">
        <w:t>ate August 31, 2014</w:t>
      </w:r>
      <w:r w:rsidRPr="009C0B59" w:rsidR="00E06CAD">
        <w:t>).</w:t>
      </w:r>
      <w:proofErr w:type="gramEnd"/>
      <w:r w:rsidRPr="009C0B59" w:rsidR="00F02DD0">
        <w:t xml:space="preserve"> </w:t>
      </w:r>
    </w:p>
    <w:p w:rsidR="009866F2" w:rsidP="00C05E57" w:rsidRDefault="009866F2" w14:paraId="334AC97C" w14:textId="59B5978C">
      <w:pPr>
        <w:pStyle w:val="BodyText-IPR"/>
      </w:pPr>
      <w:r w:rsidRPr="009C0B59">
        <w:t xml:space="preserve">The tokens of appreciation </w:t>
      </w:r>
      <w:r w:rsidRPr="009C0B59" w:rsidR="003E3790">
        <w:t xml:space="preserve">for the current study </w:t>
      </w:r>
      <w:r w:rsidRPr="009C0B59">
        <w:t>will be offered equally to all potent</w:t>
      </w:r>
      <w:r w:rsidR="006D7CB5">
        <w:t xml:space="preserve">ial interview participants. The </w:t>
      </w:r>
      <w:r w:rsidRPr="009C0B59">
        <w:t>tokens of appreciation will not be targeted to specific subgroups, nor will they be used to convert refusals.</w:t>
      </w:r>
      <w:r w:rsidRPr="009C0B59" w:rsidR="00254EFB">
        <w:t xml:space="preserve"> I</w:t>
      </w:r>
      <w:r w:rsidRPr="009C0B59">
        <w:t xml:space="preserve">f tokens of appreciation were to be offered only to the most disadvantaged households or those incurring the highest participation costs, the differing motivations to participate used would limit and bias the responses. Based on the evidence discussed </w:t>
      </w:r>
      <w:r w:rsidRPr="009C0B59" w:rsidR="00254EFB">
        <w:t>earlier in this section</w:t>
      </w:r>
      <w:r w:rsidRPr="009C0B59">
        <w:t>, the contractor plans to offer all respondents to the interview a $30 token of appreciation, which will be mailed to the respondents after they complete the interview. As discussed in the pretest memorandum</w:t>
      </w:r>
      <w:r w:rsidRPr="009C0B59" w:rsidR="00205E70">
        <w:t xml:space="preserve"> (see </w:t>
      </w:r>
      <w:r w:rsidRPr="009C0B59" w:rsidR="00254EFB">
        <w:t>a</w:t>
      </w:r>
      <w:r w:rsidRPr="009C0B59" w:rsidR="00205E70">
        <w:t>ppendix P</w:t>
      </w:r>
      <w:r w:rsidRPr="009C0B59">
        <w:t xml:space="preserve">), pretest respondents were sent a $30 </w:t>
      </w:r>
      <w:r w:rsidRPr="009C0B59" w:rsidR="003E3790">
        <w:t xml:space="preserve">gift card </w:t>
      </w:r>
      <w:r w:rsidRPr="009C0B59">
        <w:t>for participating in the pretest. Further</w:t>
      </w:r>
      <w:r w:rsidRPr="009C0B59" w:rsidR="0029785F">
        <w:t>more</w:t>
      </w:r>
      <w:r w:rsidRPr="009C0B59">
        <w:t>, pretest respondents are not part of the study and cannot receive the token of appreciation again.</w:t>
      </w:r>
    </w:p>
    <w:p w:rsidR="00C05E57" w:rsidP="00C05E57" w:rsidRDefault="00577988" w14:paraId="50069907" w14:textId="18226868">
      <w:pPr>
        <w:pStyle w:val="BodyText-IPR"/>
      </w:pPr>
      <w:r>
        <w:t>I</w:t>
      </w:r>
      <w:r w:rsidRPr="006D38F0" w:rsidR="002D6110">
        <w:t>n summary, the planned tokens of appreciation for the current and former SNAP E&amp;T participant interviews are designed to promote cooperation and improve data quality by minimizing nonresponse bias</w:t>
      </w:r>
      <w:r w:rsidR="008D7BDE">
        <w:t xml:space="preserve"> and improving sample representativeness</w:t>
      </w:r>
      <w:r w:rsidRPr="006D38F0" w:rsidR="002D6110">
        <w:t xml:space="preserve">. If all the other strategies to achieve high response rates </w:t>
      </w:r>
      <w:r w:rsidRPr="006D38F0" w:rsidR="002D6110">
        <w:lastRenderedPageBreak/>
        <w:t xml:space="preserve">are used without </w:t>
      </w:r>
      <w:r w:rsidR="00177F81">
        <w:t xml:space="preserve">also offering </w:t>
      </w:r>
      <w:r w:rsidRPr="006D38F0" w:rsidR="002D6110">
        <w:t xml:space="preserve">the planned </w:t>
      </w:r>
      <w:r w:rsidRPr="006D38F0" w:rsidR="00631202">
        <w:t>token</w:t>
      </w:r>
      <w:r w:rsidR="009A259F">
        <w:t>s</w:t>
      </w:r>
      <w:r w:rsidRPr="006D38F0" w:rsidR="00631202">
        <w:t xml:space="preserve"> of appreciation</w:t>
      </w:r>
      <w:r w:rsidRPr="006D38F0" w:rsidR="002D6110">
        <w:t xml:space="preserve">, the nonresponse bias will be higher, resulting in poor data quality. The likelihood of detecting </w:t>
      </w:r>
      <w:r w:rsidR="003E3790">
        <w:t xml:space="preserve">the full range of job search experiences and </w:t>
      </w:r>
      <w:r w:rsidRPr="006D38F0" w:rsidR="008D7BDE">
        <w:t xml:space="preserve">client perceptions of job search outcomes </w:t>
      </w:r>
      <w:r w:rsidR="00A809CF">
        <w:t>will</w:t>
      </w:r>
      <w:r w:rsidRPr="006D38F0" w:rsidR="002D6110">
        <w:t xml:space="preserve"> be significantly compromised.</w:t>
      </w:r>
      <w:r w:rsidR="00C05E57">
        <w:br w:type="page"/>
      </w:r>
    </w:p>
    <w:p w:rsidRPr="00BD6628" w:rsidR="00787826" w:rsidP="00787826" w:rsidRDefault="00787826" w14:paraId="771949D6" w14:textId="14B53B97">
      <w:pPr>
        <w:pStyle w:val="Heading1-IPR"/>
      </w:pPr>
      <w:r w:rsidRPr="00BD6628">
        <w:lastRenderedPageBreak/>
        <w:t>References</w:t>
      </w:r>
    </w:p>
    <w:p w:rsidRPr="00BD6628" w:rsidR="00341D65" w:rsidP="00341D65" w:rsidRDefault="00341D65" w14:paraId="426051A7" w14:textId="2C36E23E">
      <w:pPr>
        <w:pStyle w:val="References-IPR"/>
      </w:pPr>
      <w:r w:rsidRPr="00BD6628">
        <w:t>Bartlett, S</w:t>
      </w:r>
      <w:r w:rsidRPr="00BD6628" w:rsidR="00F02DD0">
        <w:t xml:space="preserve">., </w:t>
      </w:r>
      <w:proofErr w:type="spellStart"/>
      <w:r w:rsidRPr="00BD6628">
        <w:t>Klerman</w:t>
      </w:r>
      <w:proofErr w:type="spellEnd"/>
      <w:r w:rsidRPr="00BD6628" w:rsidR="00F02DD0">
        <w:t xml:space="preserve">, J., </w:t>
      </w:r>
      <w:proofErr w:type="spellStart"/>
      <w:r w:rsidRPr="00BD6628">
        <w:t>Olsho</w:t>
      </w:r>
      <w:proofErr w:type="spellEnd"/>
      <w:r w:rsidRPr="00BD6628" w:rsidR="00F02DD0">
        <w:t>, L.</w:t>
      </w:r>
      <w:r w:rsidRPr="00BD6628">
        <w:t xml:space="preserve">, et al. </w:t>
      </w:r>
      <w:r w:rsidRPr="00BD6628" w:rsidR="00F02DD0">
        <w:t xml:space="preserve">(2014). </w:t>
      </w:r>
      <w:r w:rsidRPr="00BD6628">
        <w:rPr>
          <w:i/>
        </w:rPr>
        <w:t xml:space="preserve">Evaluation of the Healthy Incentives Pilot (HIP): Final </w:t>
      </w:r>
      <w:r w:rsidRPr="00BD6628" w:rsidR="00F02DD0">
        <w:rPr>
          <w:i/>
        </w:rPr>
        <w:t>r</w:t>
      </w:r>
      <w:r w:rsidRPr="00BD6628">
        <w:rPr>
          <w:i/>
        </w:rPr>
        <w:t>eport.</w:t>
      </w:r>
      <w:r w:rsidRPr="00BD6628">
        <w:t xml:space="preserve"> </w:t>
      </w:r>
      <w:r w:rsidRPr="00BD6628" w:rsidR="00566CE2">
        <w:t xml:space="preserve">Retrieved </w:t>
      </w:r>
      <w:proofErr w:type="gramStart"/>
      <w:r w:rsidRPr="00BD6628" w:rsidR="00566CE2">
        <w:t>from  https</w:t>
      </w:r>
      <w:proofErr w:type="gramEnd"/>
      <w:r w:rsidRPr="00BD6628" w:rsidR="00566CE2">
        <w:t>://fns-prod.azureedge.net/sites/default/files/ops/HIP-Final.pdf</w:t>
      </w:r>
      <w:r w:rsidRPr="00BD6628">
        <w:t xml:space="preserve"> </w:t>
      </w:r>
    </w:p>
    <w:p w:rsidR="00341D65" w:rsidP="00341D65" w:rsidRDefault="00341D65" w14:paraId="3F4FBDC9" w14:textId="31B320CD">
      <w:pPr>
        <w:pStyle w:val="References-IPR"/>
      </w:pPr>
      <w:proofErr w:type="spellStart"/>
      <w:r w:rsidRPr="00BD6628">
        <w:t>Bonevski</w:t>
      </w:r>
      <w:proofErr w:type="spellEnd"/>
      <w:r w:rsidRPr="00BD6628">
        <w:t xml:space="preserve">, B., </w:t>
      </w:r>
      <w:proofErr w:type="spellStart"/>
      <w:r w:rsidRPr="00BD6628">
        <w:t>Randell</w:t>
      </w:r>
      <w:proofErr w:type="spellEnd"/>
      <w:r w:rsidRPr="00BD6628">
        <w:t xml:space="preserve">, </w:t>
      </w:r>
      <w:r w:rsidRPr="00BD6628" w:rsidR="00364773">
        <w:t xml:space="preserve">M., </w:t>
      </w:r>
      <w:r w:rsidRPr="00BD6628">
        <w:t xml:space="preserve">Paul, </w:t>
      </w:r>
      <w:r w:rsidRPr="00BD6628" w:rsidR="00364773">
        <w:t xml:space="preserve">C., </w:t>
      </w:r>
      <w:r w:rsidRPr="00BD6628">
        <w:t xml:space="preserve">Chapman, </w:t>
      </w:r>
      <w:r w:rsidRPr="00BD6628" w:rsidR="00364773">
        <w:t xml:space="preserve">K., </w:t>
      </w:r>
      <w:proofErr w:type="spellStart"/>
      <w:r w:rsidRPr="00BD6628">
        <w:t>Twyman</w:t>
      </w:r>
      <w:proofErr w:type="spellEnd"/>
      <w:r w:rsidRPr="00BD6628">
        <w:t xml:space="preserve">, </w:t>
      </w:r>
      <w:r w:rsidRPr="00BD6628" w:rsidR="00364773">
        <w:t xml:space="preserve">L., </w:t>
      </w:r>
      <w:r w:rsidRPr="00BD6628">
        <w:t xml:space="preserve">Bryant, </w:t>
      </w:r>
      <w:r w:rsidRPr="00BD6628" w:rsidR="005E0139">
        <w:t xml:space="preserve">J., </w:t>
      </w:r>
      <w:proofErr w:type="spellStart"/>
      <w:r w:rsidRPr="00BD6628">
        <w:t>Brozek</w:t>
      </w:r>
      <w:proofErr w:type="spellEnd"/>
      <w:r w:rsidRPr="00BD6628">
        <w:t xml:space="preserve">, </w:t>
      </w:r>
      <w:r w:rsidRPr="00BD6628" w:rsidR="005E0139">
        <w:t xml:space="preserve">I., </w:t>
      </w:r>
      <w:r w:rsidRPr="00BD6628" w:rsidR="00364773">
        <w:t>&amp;</w:t>
      </w:r>
      <w:r w:rsidRPr="00BD6628">
        <w:t xml:space="preserve"> C. Hughes. </w:t>
      </w:r>
      <w:r w:rsidRPr="00BD6628" w:rsidR="0069318F">
        <w:t xml:space="preserve">(2014). </w:t>
      </w:r>
      <w:proofErr w:type="gramStart"/>
      <w:r w:rsidRPr="00BD6628">
        <w:t>Reaching</w:t>
      </w:r>
      <w:proofErr w:type="gramEnd"/>
      <w:r w:rsidRPr="00BD6628">
        <w:t xml:space="preserve"> the </w:t>
      </w:r>
      <w:r w:rsidRPr="00BD6628" w:rsidR="0069318F">
        <w:t>hard-to-reach</w:t>
      </w:r>
      <w:r w:rsidRPr="00BD6628">
        <w:t xml:space="preserve">: A </w:t>
      </w:r>
      <w:r w:rsidRPr="00BD6628" w:rsidR="0069318F">
        <w:t>systematic review of strategies for improving health and medical research with socially disadvantaged group</w:t>
      </w:r>
      <w:r w:rsidRPr="00BD6628">
        <w:t xml:space="preserve">s. </w:t>
      </w:r>
      <w:r w:rsidRPr="00BD6628">
        <w:rPr>
          <w:i/>
        </w:rPr>
        <w:t xml:space="preserve">BMC Medical Research Methodology, </w:t>
      </w:r>
      <w:r w:rsidRPr="00BD6628" w:rsidR="0069318F">
        <w:rPr>
          <w:i/>
        </w:rPr>
        <w:t>(</w:t>
      </w:r>
      <w:r w:rsidRPr="00BD6628">
        <w:rPr>
          <w:i/>
        </w:rPr>
        <w:t>14</w:t>
      </w:r>
      <w:r w:rsidRPr="00BD6628" w:rsidR="0069318F">
        <w:rPr>
          <w:i/>
        </w:rPr>
        <w:t>)</w:t>
      </w:r>
      <w:r w:rsidRPr="00BD6628">
        <w:t>42.</w:t>
      </w:r>
    </w:p>
    <w:p w:rsidR="00F5310C" w:rsidP="00873029" w:rsidRDefault="00F5310C" w14:paraId="73E26701" w14:textId="4DB76761">
      <w:pPr>
        <w:pStyle w:val="References-IPR"/>
        <w:rPr>
          <w:color w:val="000000"/>
        </w:rPr>
      </w:pPr>
      <w:r>
        <w:rPr>
          <w:shd w:val="clear" w:color="auto" w:fill="FFFFFF"/>
        </w:rPr>
        <w:t>Brick, J. M., &amp; Williams, D. (2013). Explaining rising nonresponse rates in cross-sectional surveys. </w:t>
      </w:r>
      <w:r>
        <w:rPr>
          <w:i/>
          <w:iCs/>
          <w:shd w:val="clear" w:color="auto" w:fill="FFFFFF"/>
        </w:rPr>
        <w:t xml:space="preserve">The ANNALS of the American </w:t>
      </w:r>
      <w:r w:rsidR="006D32C0">
        <w:rPr>
          <w:i/>
          <w:iCs/>
          <w:shd w:val="clear" w:color="auto" w:fill="FFFFFF"/>
        </w:rPr>
        <w:t>Academy of Political and Social Science</w:t>
      </w:r>
      <w:r>
        <w:rPr>
          <w:shd w:val="clear" w:color="auto" w:fill="FFFFFF"/>
        </w:rPr>
        <w:t>, </w:t>
      </w:r>
      <w:r>
        <w:rPr>
          <w:i/>
          <w:iCs/>
          <w:shd w:val="clear" w:color="auto" w:fill="FFFFFF"/>
        </w:rPr>
        <w:t>645</w:t>
      </w:r>
      <w:r>
        <w:rPr>
          <w:shd w:val="clear" w:color="auto" w:fill="FFFFFF"/>
        </w:rPr>
        <w:t>(1), 36</w:t>
      </w:r>
      <w:r w:rsidR="006D32C0">
        <w:rPr>
          <w:shd w:val="clear" w:color="auto" w:fill="FFFFFF"/>
        </w:rPr>
        <w:t>–</w:t>
      </w:r>
      <w:r>
        <w:rPr>
          <w:shd w:val="clear" w:color="auto" w:fill="FFFFFF"/>
        </w:rPr>
        <w:t>59.</w:t>
      </w:r>
    </w:p>
    <w:p w:rsidR="00F5310C" w:rsidP="00873029" w:rsidRDefault="00F5310C" w14:paraId="4575D03F" w14:textId="2855B696">
      <w:pPr>
        <w:pStyle w:val="References-IPR"/>
        <w:rPr>
          <w:color w:val="000000"/>
        </w:rPr>
      </w:pPr>
      <w:r w:rsidRPr="00C05E57">
        <w:t>Curtin, R., Presser, S., &amp; Singer, E. (2005). Changes in telephone survey nonresponse over the past quarter century. </w:t>
      </w:r>
      <w:r w:rsidRPr="00C05E57">
        <w:rPr>
          <w:i/>
          <w:iCs/>
        </w:rPr>
        <w:t xml:space="preserve">Public </w:t>
      </w:r>
      <w:r w:rsidRPr="00C05E57" w:rsidR="006D32C0">
        <w:rPr>
          <w:i/>
          <w:iCs/>
        </w:rPr>
        <w:t>Opinion Quarterly</w:t>
      </w:r>
      <w:r w:rsidRPr="00C05E57">
        <w:t>, </w:t>
      </w:r>
      <w:r w:rsidRPr="00C05E57">
        <w:rPr>
          <w:i/>
          <w:iCs/>
        </w:rPr>
        <w:t>69</w:t>
      </w:r>
      <w:r w:rsidRPr="00C05E57">
        <w:t>(1), 87</w:t>
      </w:r>
      <w:r w:rsidRPr="00C05E57" w:rsidR="006D32C0">
        <w:t>–</w:t>
      </w:r>
      <w:r w:rsidRPr="00C05E57">
        <w:t>98</w:t>
      </w:r>
      <w:r>
        <w:rPr>
          <w:shd w:val="clear" w:color="auto" w:fill="F8F8F8"/>
        </w:rPr>
        <w:t>.</w:t>
      </w:r>
    </w:p>
    <w:p w:rsidRPr="00F018B6" w:rsidR="006D5E8E" w:rsidP="00787826" w:rsidRDefault="006D5E8E" w14:paraId="57C67DA8" w14:textId="7E0FC9B9">
      <w:pPr>
        <w:pStyle w:val="References-IPR"/>
      </w:pPr>
      <w:proofErr w:type="spellStart"/>
      <w:r w:rsidRPr="00F018B6">
        <w:t>Dillman</w:t>
      </w:r>
      <w:proofErr w:type="spellEnd"/>
      <w:r w:rsidRPr="00F018B6">
        <w:t xml:space="preserve">, D. </w:t>
      </w:r>
      <w:r w:rsidRPr="00F018B6" w:rsidR="00BE404F">
        <w:t>(</w:t>
      </w:r>
      <w:r w:rsidRPr="00F018B6">
        <w:t>2000</w:t>
      </w:r>
      <w:r w:rsidRPr="00F018B6" w:rsidR="00BE404F">
        <w:t>)</w:t>
      </w:r>
      <w:r w:rsidRPr="00F018B6">
        <w:t xml:space="preserve">. </w:t>
      </w:r>
      <w:r w:rsidRPr="00F018B6">
        <w:rPr>
          <w:i/>
        </w:rPr>
        <w:t xml:space="preserve">Mail and </w:t>
      </w:r>
      <w:r w:rsidRPr="00F018B6" w:rsidR="00BE404F">
        <w:rPr>
          <w:i/>
        </w:rPr>
        <w:t>internet surveys</w:t>
      </w:r>
      <w:r w:rsidRPr="00F018B6">
        <w:rPr>
          <w:i/>
        </w:rPr>
        <w:t xml:space="preserve">: The </w:t>
      </w:r>
      <w:r w:rsidRPr="00F018B6" w:rsidR="00BE404F">
        <w:rPr>
          <w:i/>
        </w:rPr>
        <w:t>tailored design method</w:t>
      </w:r>
      <w:r w:rsidRPr="00F018B6" w:rsidR="00BE404F">
        <w:t xml:space="preserve"> (</w:t>
      </w:r>
      <w:r w:rsidRPr="00F018B6">
        <w:t xml:space="preserve">2nd </w:t>
      </w:r>
      <w:proofErr w:type="gramStart"/>
      <w:r w:rsidRPr="00F018B6" w:rsidR="00BE404F">
        <w:t>e</w:t>
      </w:r>
      <w:r w:rsidRPr="00F018B6">
        <w:t>d</w:t>
      </w:r>
      <w:proofErr w:type="gramEnd"/>
      <w:r w:rsidRPr="00F018B6" w:rsidR="00BE404F">
        <w:t>.)</w:t>
      </w:r>
      <w:r w:rsidRPr="00F018B6">
        <w:t xml:space="preserve">. </w:t>
      </w:r>
      <w:r w:rsidRPr="00F018B6" w:rsidR="00BE404F">
        <w:t xml:space="preserve">New York, NY: </w:t>
      </w:r>
      <w:r w:rsidRPr="00F018B6">
        <w:t>John Wiley &amp; Sons.</w:t>
      </w:r>
    </w:p>
    <w:p w:rsidRPr="00F018B6" w:rsidR="006D5E8E" w:rsidP="00787826" w:rsidRDefault="006D5E8E" w14:paraId="74CF74BD" w14:textId="2A878342">
      <w:pPr>
        <w:pStyle w:val="References-IPR"/>
      </w:pPr>
      <w:r w:rsidRPr="00F018B6">
        <w:t>Fredrickson, D.</w:t>
      </w:r>
      <w:r w:rsidRPr="00F018B6" w:rsidR="00217E15">
        <w:t xml:space="preserve"> </w:t>
      </w:r>
      <w:r w:rsidRPr="00F018B6">
        <w:t>D., Jones, T.</w:t>
      </w:r>
      <w:r w:rsidRPr="00F018B6" w:rsidR="00217E15">
        <w:t xml:space="preserve"> </w:t>
      </w:r>
      <w:r w:rsidRPr="00F018B6">
        <w:t xml:space="preserve">I, </w:t>
      </w:r>
      <w:proofErr w:type="spellStart"/>
      <w:r w:rsidRPr="00F018B6">
        <w:t>Molgaard</w:t>
      </w:r>
      <w:proofErr w:type="spellEnd"/>
      <w:r w:rsidRPr="00F018B6">
        <w:t>, C.</w:t>
      </w:r>
      <w:r w:rsidRPr="00F018B6" w:rsidR="00217E15">
        <w:t xml:space="preserve"> </w:t>
      </w:r>
      <w:r w:rsidRPr="00F018B6">
        <w:t>A., Carman, C.</w:t>
      </w:r>
      <w:r w:rsidRPr="00F018B6" w:rsidR="00217E15">
        <w:t xml:space="preserve"> </w:t>
      </w:r>
      <w:r w:rsidRPr="00F018B6">
        <w:t xml:space="preserve">G., </w:t>
      </w:r>
      <w:proofErr w:type="spellStart"/>
      <w:r w:rsidRPr="00F018B6">
        <w:t>Schukman</w:t>
      </w:r>
      <w:proofErr w:type="spellEnd"/>
      <w:r w:rsidRPr="00F018B6">
        <w:t>, J., Dismuke, S.</w:t>
      </w:r>
      <w:r w:rsidRPr="00F018B6" w:rsidR="00C06A83">
        <w:t xml:space="preserve"> </w:t>
      </w:r>
      <w:r w:rsidRPr="00F018B6">
        <w:t xml:space="preserve">E., </w:t>
      </w:r>
      <w:r w:rsidRPr="00F018B6" w:rsidR="00217E15">
        <w:t>&amp;</w:t>
      </w:r>
      <w:r w:rsidRPr="00F018B6">
        <w:t xml:space="preserve"> </w:t>
      </w:r>
      <w:proofErr w:type="spellStart"/>
      <w:r w:rsidRPr="00F018B6">
        <w:t>Ablah</w:t>
      </w:r>
      <w:proofErr w:type="spellEnd"/>
      <w:r w:rsidRPr="00F018B6" w:rsidR="00217E15">
        <w:t>, E.</w:t>
      </w:r>
      <w:r w:rsidRPr="00F018B6">
        <w:t xml:space="preserve"> (2005). Optimal </w:t>
      </w:r>
      <w:r w:rsidRPr="00F018B6" w:rsidR="00217E15">
        <w:t>design features for surveying low-income populations</w:t>
      </w:r>
      <w:r w:rsidRPr="00F018B6">
        <w:t>.</w:t>
      </w:r>
      <w:r w:rsidRPr="00F018B6" w:rsidR="003E3790">
        <w:t xml:space="preserve"> </w:t>
      </w:r>
      <w:r w:rsidRPr="00F018B6">
        <w:rPr>
          <w:i/>
        </w:rPr>
        <w:t>Journal of Health Care for the Poor and Underserved, 16</w:t>
      </w:r>
      <w:r w:rsidRPr="00F018B6" w:rsidR="00217E15">
        <w:t>,</w:t>
      </w:r>
      <w:r w:rsidRPr="00F018B6">
        <w:t xml:space="preserve"> 677</w:t>
      </w:r>
      <w:r w:rsidRPr="00F018B6" w:rsidR="00217E15">
        <w:t>–</w:t>
      </w:r>
      <w:r w:rsidRPr="00F018B6">
        <w:t>690.</w:t>
      </w:r>
    </w:p>
    <w:p w:rsidRPr="00F018B6" w:rsidR="006D5E8E" w:rsidP="00787826" w:rsidRDefault="006D5E8E" w14:paraId="048CE8F0" w14:textId="2BC35245">
      <w:pPr>
        <w:pStyle w:val="References-IPR"/>
      </w:pPr>
      <w:r w:rsidRPr="00F018B6">
        <w:t xml:space="preserve">Groves, R., Fowler, F., Couper, M., </w:t>
      </w:r>
      <w:proofErr w:type="spellStart"/>
      <w:r w:rsidRPr="00F018B6">
        <w:t>Lepkowski</w:t>
      </w:r>
      <w:proofErr w:type="spellEnd"/>
      <w:r w:rsidRPr="00F018B6">
        <w:t xml:space="preserve">, J., Singer, E., &amp; </w:t>
      </w:r>
      <w:proofErr w:type="spellStart"/>
      <w:r w:rsidRPr="00F018B6">
        <w:t>Tourangeau</w:t>
      </w:r>
      <w:proofErr w:type="spellEnd"/>
      <w:r w:rsidRPr="00F018B6">
        <w:t xml:space="preserve">, R. (2009). </w:t>
      </w:r>
      <w:r w:rsidRPr="00F018B6">
        <w:rPr>
          <w:i/>
        </w:rPr>
        <w:t xml:space="preserve">Survey methodology </w:t>
      </w:r>
      <w:r w:rsidRPr="00F018B6">
        <w:t xml:space="preserve">(2nd </w:t>
      </w:r>
      <w:r w:rsidRPr="00F018B6" w:rsidR="002B554C">
        <w:t>e</w:t>
      </w:r>
      <w:r w:rsidRPr="00F018B6">
        <w:t>d., pp 205–206). New York: Wiley.</w:t>
      </w:r>
    </w:p>
    <w:p w:rsidRPr="00F018B6" w:rsidR="006D5E8E" w:rsidP="00787826" w:rsidRDefault="006D5E8E" w14:paraId="2CD0E002" w14:textId="1F6561B1">
      <w:pPr>
        <w:pStyle w:val="References-IPR"/>
      </w:pPr>
      <w:r w:rsidRPr="00F018B6">
        <w:t xml:space="preserve">Groves, R., Singer, E., &amp; Corning, A. (2000). Leverage-saliency theory of survey participation: description and an illustration. </w:t>
      </w:r>
      <w:r w:rsidRPr="00F018B6">
        <w:rPr>
          <w:i/>
        </w:rPr>
        <w:t>Public Opinion Quarterly. 64</w:t>
      </w:r>
      <w:r w:rsidRPr="00F018B6">
        <w:t>(3)</w:t>
      </w:r>
      <w:r w:rsidRPr="00F018B6" w:rsidR="002B554C">
        <w:t>,</w:t>
      </w:r>
      <w:r w:rsidRPr="00F018B6">
        <w:t xml:space="preserve"> 299</w:t>
      </w:r>
      <w:r w:rsidRPr="00F018B6" w:rsidR="002B554C">
        <w:t>–</w:t>
      </w:r>
      <w:r w:rsidRPr="00F018B6">
        <w:t>308.</w:t>
      </w:r>
    </w:p>
    <w:p w:rsidRPr="00F018B6" w:rsidR="006D5E8E" w:rsidP="00787826" w:rsidRDefault="006D5E8E" w14:paraId="642E75A1" w14:textId="5B3A7D90">
      <w:pPr>
        <w:pStyle w:val="References-IPR"/>
      </w:pPr>
      <w:r w:rsidRPr="00F018B6">
        <w:t>Groves, R.</w:t>
      </w:r>
      <w:r w:rsidRPr="00F018B6" w:rsidR="00CD52CC">
        <w:t xml:space="preserve"> </w:t>
      </w:r>
      <w:r w:rsidRPr="00F018B6">
        <w:t>M., Couper, M.</w:t>
      </w:r>
      <w:r w:rsidRPr="00F018B6" w:rsidR="00CD52CC">
        <w:t xml:space="preserve"> </w:t>
      </w:r>
      <w:r w:rsidRPr="00F018B6">
        <w:t xml:space="preserve">P., Presser, S., Singer, E., </w:t>
      </w:r>
      <w:proofErr w:type="spellStart"/>
      <w:r w:rsidRPr="00F018B6">
        <w:t>Tourangeau</w:t>
      </w:r>
      <w:proofErr w:type="spellEnd"/>
      <w:r w:rsidRPr="00F018B6">
        <w:t xml:space="preserve">, R., Acosta, G., &amp; Nelson, L. (2006) Experiments in </w:t>
      </w:r>
      <w:r w:rsidRPr="00F018B6" w:rsidR="007B35AE">
        <w:t xml:space="preserve">producing nonresponse </w:t>
      </w:r>
      <w:r w:rsidRPr="00F018B6">
        <w:t>bias.</w:t>
      </w:r>
      <w:r w:rsidRPr="00F018B6" w:rsidR="003E3790">
        <w:t xml:space="preserve"> </w:t>
      </w:r>
      <w:r w:rsidRPr="00F018B6">
        <w:rPr>
          <w:i/>
        </w:rPr>
        <w:t>Public Opinion Quarterly</w:t>
      </w:r>
      <w:r w:rsidRPr="00F018B6" w:rsidR="007B35AE">
        <w:rPr>
          <w:i/>
        </w:rPr>
        <w:t>,</w:t>
      </w:r>
      <w:r w:rsidRPr="00F018B6">
        <w:rPr>
          <w:i/>
        </w:rPr>
        <w:t xml:space="preserve"> 70</w:t>
      </w:r>
      <w:r w:rsidRPr="00F018B6">
        <w:t>(5)</w:t>
      </w:r>
      <w:r w:rsidRPr="00F018B6" w:rsidR="007B35AE">
        <w:t>,</w:t>
      </w:r>
      <w:r w:rsidRPr="00F018B6">
        <w:t xml:space="preserve"> 720</w:t>
      </w:r>
      <w:r w:rsidRPr="00F018B6" w:rsidR="007B35AE">
        <w:t>–</w:t>
      </w:r>
      <w:r w:rsidRPr="00F018B6">
        <w:t>736</w:t>
      </w:r>
      <w:r w:rsidRPr="00F018B6" w:rsidR="007B35AE">
        <w:t>.</w:t>
      </w:r>
    </w:p>
    <w:p w:rsidRPr="00F018B6" w:rsidR="009D1D85" w:rsidP="009D1D85" w:rsidRDefault="009D1D85" w14:paraId="660B19F3" w14:textId="00590193">
      <w:pPr>
        <w:pStyle w:val="References-IPR"/>
      </w:pPr>
      <w:r w:rsidRPr="00F018B6">
        <w:t xml:space="preserve">Huang, G., et al. (2012a). </w:t>
      </w:r>
      <w:r w:rsidRPr="00F018B6">
        <w:rPr>
          <w:i/>
        </w:rPr>
        <w:t>National Survey of WIC Participants II: Improper payments report</w:t>
      </w:r>
      <w:r w:rsidRPr="00F018B6">
        <w:t xml:space="preserve">. Retrieved from http://www.fns.usda.gov/sites/default/files/NSWP-II_Vol3.pdf </w:t>
      </w:r>
    </w:p>
    <w:p w:rsidRPr="00F018B6" w:rsidR="009D1D85" w:rsidP="009D1D85" w:rsidRDefault="009D1D85" w14:paraId="52EF73CA" w14:textId="7E1025C6">
      <w:pPr>
        <w:pStyle w:val="References-IPR"/>
      </w:pPr>
      <w:r w:rsidRPr="00F018B6">
        <w:t xml:space="preserve">Huang, G., et al. (2012b). </w:t>
      </w:r>
      <w:r w:rsidRPr="00F018B6">
        <w:rPr>
          <w:i/>
        </w:rPr>
        <w:t>National Survey of WIC Participants II: Technical report.</w:t>
      </w:r>
      <w:r w:rsidRPr="00F018B6">
        <w:t xml:space="preserve"> Retrieved from </w:t>
      </w:r>
      <w:r w:rsidRPr="006D7CB5" w:rsidR="006D7CB5">
        <w:t>https://fns-prod.azureedge.net/sites/default/files/NSWP-II_Vol4.pdf</w:t>
      </w:r>
    </w:p>
    <w:p w:rsidRPr="00F018B6" w:rsidR="006D5E8E" w:rsidP="00787826" w:rsidRDefault="006D5E8E" w14:paraId="38BAC66F" w14:textId="097C4E97">
      <w:pPr>
        <w:pStyle w:val="References-IPR"/>
      </w:pPr>
      <w:r w:rsidRPr="00F018B6">
        <w:t>James, T.</w:t>
      </w:r>
      <w:r w:rsidRPr="00F018B6" w:rsidR="007C5BC7">
        <w:t xml:space="preserve"> L.</w:t>
      </w:r>
      <w:r w:rsidRPr="00F018B6">
        <w:t xml:space="preserve"> (199</w:t>
      </w:r>
      <w:r w:rsidRPr="00F018B6" w:rsidR="007C5BC7">
        <w:t>7</w:t>
      </w:r>
      <w:r w:rsidRPr="00F018B6">
        <w:t xml:space="preserve">). Results of wave 1 incentive experiment in the 1996 survey of income and program participation. </w:t>
      </w:r>
      <w:r w:rsidRPr="00F018B6">
        <w:rPr>
          <w:i/>
        </w:rPr>
        <w:t>Proceedings of the Survey Research Methods Section</w:t>
      </w:r>
      <w:r w:rsidRPr="00F018B6">
        <w:t xml:space="preserve"> (pp 834–839)</w:t>
      </w:r>
      <w:r w:rsidRPr="00F018B6" w:rsidR="007C5BC7">
        <w:t>. Washington, DC</w:t>
      </w:r>
      <w:r w:rsidRPr="00F018B6" w:rsidR="006415B8">
        <w:t>: American Statistical Association</w:t>
      </w:r>
      <w:r w:rsidRPr="00F018B6">
        <w:t>.</w:t>
      </w:r>
    </w:p>
    <w:p w:rsidRPr="00F018B6" w:rsidR="006D5E8E" w:rsidP="00787826" w:rsidRDefault="006D5E8E" w14:paraId="705B569B" w14:textId="224271C6">
      <w:pPr>
        <w:pStyle w:val="References-IPR"/>
      </w:pPr>
      <w:r w:rsidRPr="00F018B6">
        <w:t xml:space="preserve">Mercer, A., </w:t>
      </w:r>
      <w:proofErr w:type="spellStart"/>
      <w:r w:rsidRPr="00F018B6">
        <w:t>Caporaso</w:t>
      </w:r>
      <w:proofErr w:type="spellEnd"/>
      <w:r w:rsidRPr="00F018B6">
        <w:t>, A., Cantor, D., &amp; Townsend, R. (2015).</w:t>
      </w:r>
      <w:r w:rsidRPr="00F018B6" w:rsidR="003E3790">
        <w:t xml:space="preserve"> </w:t>
      </w:r>
      <w:proofErr w:type="gramStart"/>
      <w:r w:rsidRPr="00F018B6">
        <w:t>How much gets you how much?</w:t>
      </w:r>
      <w:proofErr w:type="gramEnd"/>
      <w:r w:rsidRPr="00F018B6">
        <w:t xml:space="preserve"> Monetary incentives and response rates in household surveys.</w:t>
      </w:r>
      <w:r w:rsidRPr="00F018B6" w:rsidR="003E3790">
        <w:t xml:space="preserve"> </w:t>
      </w:r>
      <w:r w:rsidRPr="00F018B6">
        <w:rPr>
          <w:i/>
        </w:rPr>
        <w:t>Public Opinion Quarterly, 79</w:t>
      </w:r>
      <w:r w:rsidRPr="00F018B6" w:rsidR="0079596B">
        <w:rPr>
          <w:i/>
        </w:rPr>
        <w:t>,</w:t>
      </w:r>
      <w:r w:rsidRPr="00F018B6" w:rsidR="0079596B">
        <w:t xml:space="preserve"> </w:t>
      </w:r>
      <w:r w:rsidRPr="00F018B6">
        <w:t>105</w:t>
      </w:r>
      <w:r w:rsidRPr="00F018B6" w:rsidR="0079596B">
        <w:t>–</w:t>
      </w:r>
      <w:r w:rsidRPr="00F018B6">
        <w:t>129.</w:t>
      </w:r>
    </w:p>
    <w:p w:rsidRPr="00F018B6" w:rsidR="006D5E8E" w:rsidP="00787826" w:rsidRDefault="006D5E8E" w14:paraId="7B1660AE" w14:textId="6CD80719">
      <w:pPr>
        <w:pStyle w:val="References-IPR"/>
      </w:pPr>
      <w:r w:rsidRPr="00F018B6">
        <w:t>Messer, B.</w:t>
      </w:r>
      <w:r w:rsidRPr="00F018B6" w:rsidR="0079596B">
        <w:t>, &amp;</w:t>
      </w:r>
      <w:r w:rsidRPr="00F018B6">
        <w:t xml:space="preserve"> </w:t>
      </w:r>
      <w:proofErr w:type="spellStart"/>
      <w:r w:rsidRPr="00F018B6">
        <w:t>Dillman</w:t>
      </w:r>
      <w:proofErr w:type="spellEnd"/>
      <w:r w:rsidRPr="00F018B6">
        <w:t>, D. (2011).</w:t>
      </w:r>
      <w:r w:rsidRPr="00F018B6" w:rsidR="003E3790">
        <w:t xml:space="preserve"> </w:t>
      </w:r>
      <w:r w:rsidRPr="00F018B6">
        <w:t xml:space="preserve">Surveying the </w:t>
      </w:r>
      <w:proofErr w:type="gramStart"/>
      <w:r w:rsidRPr="00F018B6">
        <w:t>general public</w:t>
      </w:r>
      <w:proofErr w:type="gramEnd"/>
      <w:r w:rsidRPr="00F018B6">
        <w:t xml:space="preserve"> over the internet using address-based sampling and mail contact procedures. </w:t>
      </w:r>
      <w:r w:rsidRPr="00F018B6">
        <w:rPr>
          <w:i/>
        </w:rPr>
        <w:t>Public Opinion Quarterly, 75</w:t>
      </w:r>
      <w:r w:rsidRPr="00F018B6" w:rsidR="0079596B">
        <w:rPr>
          <w:i/>
        </w:rPr>
        <w:t>,</w:t>
      </w:r>
      <w:r w:rsidRPr="00F018B6" w:rsidR="0079596B">
        <w:t xml:space="preserve"> </w:t>
      </w:r>
      <w:r w:rsidRPr="00F018B6">
        <w:t>429</w:t>
      </w:r>
      <w:r w:rsidRPr="00F018B6" w:rsidR="0079596B">
        <w:t>–</w:t>
      </w:r>
      <w:r w:rsidRPr="00F018B6">
        <w:t>457.</w:t>
      </w:r>
    </w:p>
    <w:p w:rsidRPr="00F018B6" w:rsidR="006D5E8E" w:rsidP="00787826" w:rsidRDefault="006D5E8E" w14:paraId="2487F477" w14:textId="14E8AB61">
      <w:pPr>
        <w:pStyle w:val="References-IPR"/>
      </w:pPr>
      <w:r w:rsidRPr="00F018B6">
        <w:t xml:space="preserve">Olson, K., </w:t>
      </w:r>
      <w:proofErr w:type="spellStart"/>
      <w:r w:rsidRPr="00F018B6">
        <w:t>Stange</w:t>
      </w:r>
      <w:proofErr w:type="spellEnd"/>
      <w:r w:rsidRPr="00F018B6">
        <w:t>, M., and J. Smyth</w:t>
      </w:r>
      <w:r w:rsidRPr="00F018B6" w:rsidR="00A63309">
        <w:t>.</w:t>
      </w:r>
      <w:r w:rsidRPr="00F018B6">
        <w:t xml:space="preserve"> (2014)</w:t>
      </w:r>
      <w:r w:rsidRPr="00F018B6" w:rsidR="00A63309">
        <w:t>.</w:t>
      </w:r>
      <w:r w:rsidRPr="00F018B6">
        <w:t xml:space="preserve"> Assessing within-household selection methods in household mail surveys.</w:t>
      </w:r>
      <w:r w:rsidRPr="00F018B6" w:rsidR="003E3790">
        <w:t xml:space="preserve"> </w:t>
      </w:r>
      <w:r w:rsidRPr="00F018B6">
        <w:rPr>
          <w:i/>
        </w:rPr>
        <w:t>Public Opinion Quarterly, 78</w:t>
      </w:r>
      <w:r w:rsidRPr="00F018B6" w:rsidR="00A63309">
        <w:rPr>
          <w:i/>
        </w:rPr>
        <w:t>,</w:t>
      </w:r>
      <w:r w:rsidRPr="00F018B6">
        <w:t xml:space="preserve"> 656</w:t>
      </w:r>
      <w:r w:rsidRPr="00F018B6" w:rsidR="00A63309">
        <w:t>–</w:t>
      </w:r>
      <w:r w:rsidRPr="00F018B6">
        <w:t>678.</w:t>
      </w:r>
    </w:p>
    <w:p w:rsidRPr="00F018B6" w:rsidR="006D5E8E" w:rsidP="00787826" w:rsidRDefault="006D5E8E" w14:paraId="0EBA3973" w14:textId="75706BC4">
      <w:pPr>
        <w:pStyle w:val="References-IPR"/>
      </w:pPr>
      <w:r w:rsidRPr="00F018B6">
        <w:lastRenderedPageBreak/>
        <w:t>Singer</w:t>
      </w:r>
      <w:r w:rsidRPr="00F018B6" w:rsidR="00AC5C1C">
        <w:t>,</w:t>
      </w:r>
      <w:r w:rsidRPr="00F018B6">
        <w:t xml:space="preserve"> E. (2002). The use of incentives to reduce </w:t>
      </w:r>
      <w:proofErr w:type="gramStart"/>
      <w:r w:rsidRPr="00F018B6">
        <w:t>non response</w:t>
      </w:r>
      <w:proofErr w:type="gramEnd"/>
      <w:r w:rsidRPr="00F018B6">
        <w:t xml:space="preserve"> in households surveys</w:t>
      </w:r>
      <w:r w:rsidRPr="00F018B6" w:rsidR="001C5797">
        <w:t>. I</w:t>
      </w:r>
      <w:r w:rsidRPr="00F018B6">
        <w:t xml:space="preserve">n </w:t>
      </w:r>
      <w:r w:rsidRPr="00F018B6" w:rsidR="001C5797">
        <w:t xml:space="preserve">R. </w:t>
      </w:r>
      <w:r w:rsidRPr="00F018B6">
        <w:t xml:space="preserve">Groves, </w:t>
      </w:r>
      <w:r w:rsidRPr="00F018B6" w:rsidR="001C5797">
        <w:t xml:space="preserve">D., </w:t>
      </w:r>
      <w:proofErr w:type="spellStart"/>
      <w:r w:rsidRPr="00F018B6">
        <w:t>Dillman</w:t>
      </w:r>
      <w:proofErr w:type="spellEnd"/>
      <w:r w:rsidRPr="00F018B6">
        <w:t xml:space="preserve">, </w:t>
      </w:r>
      <w:r w:rsidRPr="00F018B6" w:rsidR="001C5797">
        <w:t xml:space="preserve">J. </w:t>
      </w:r>
      <w:proofErr w:type="spellStart"/>
      <w:r w:rsidRPr="00F018B6">
        <w:t>Eltinge</w:t>
      </w:r>
      <w:proofErr w:type="spellEnd"/>
      <w:r w:rsidRPr="00F018B6">
        <w:t xml:space="preserve">, </w:t>
      </w:r>
      <w:r w:rsidRPr="00F018B6" w:rsidR="001C5797">
        <w:t xml:space="preserve">&amp; R. </w:t>
      </w:r>
      <w:r w:rsidRPr="00F018B6">
        <w:t>Little (</w:t>
      </w:r>
      <w:r w:rsidRPr="00F018B6" w:rsidR="001C5797">
        <w:t>E</w:t>
      </w:r>
      <w:r w:rsidRPr="00F018B6">
        <w:t>ds.)</w:t>
      </w:r>
      <w:r w:rsidRPr="00F018B6" w:rsidR="001C5797">
        <w:t>,</w:t>
      </w:r>
      <w:r w:rsidRPr="00F018B6">
        <w:t xml:space="preserve"> </w:t>
      </w:r>
      <w:r w:rsidRPr="00F018B6">
        <w:rPr>
          <w:i/>
        </w:rPr>
        <w:t xml:space="preserve">Survey </w:t>
      </w:r>
      <w:proofErr w:type="gramStart"/>
      <w:r w:rsidRPr="00F018B6" w:rsidR="001C5797">
        <w:rPr>
          <w:i/>
        </w:rPr>
        <w:t>n</w:t>
      </w:r>
      <w:r w:rsidRPr="00F018B6">
        <w:rPr>
          <w:i/>
        </w:rPr>
        <w:t xml:space="preserve">on </w:t>
      </w:r>
      <w:r w:rsidRPr="00F018B6" w:rsidR="001C5797">
        <w:rPr>
          <w:i/>
        </w:rPr>
        <w:t>r</w:t>
      </w:r>
      <w:r w:rsidRPr="00F018B6">
        <w:rPr>
          <w:i/>
        </w:rPr>
        <w:t>esponse</w:t>
      </w:r>
      <w:proofErr w:type="gramEnd"/>
      <w:r w:rsidRPr="00F018B6" w:rsidR="002C309F">
        <w:rPr>
          <w:i/>
        </w:rPr>
        <w:t xml:space="preserve"> </w:t>
      </w:r>
      <w:r w:rsidRPr="00F018B6" w:rsidR="002C309F">
        <w:t>(pp</w:t>
      </w:r>
      <w:r w:rsidRPr="00F018B6" w:rsidR="00DC062A">
        <w:t>.</w:t>
      </w:r>
      <w:r w:rsidRPr="00F018B6" w:rsidR="002C309F">
        <w:t xml:space="preserve"> 163–177)</w:t>
      </w:r>
      <w:r w:rsidRPr="00F018B6">
        <w:rPr>
          <w:i/>
        </w:rPr>
        <w:t>.</w:t>
      </w:r>
      <w:r w:rsidRPr="00F018B6">
        <w:t xml:space="preserve"> New York: Wiley.</w:t>
      </w:r>
    </w:p>
    <w:p w:rsidRPr="00F018B6" w:rsidR="006D5E8E" w:rsidP="00787826" w:rsidRDefault="006D5E8E" w14:paraId="1899C59C" w14:textId="4C4B540C">
      <w:pPr>
        <w:pStyle w:val="References-IPR"/>
      </w:pPr>
      <w:r w:rsidRPr="00F018B6">
        <w:t xml:space="preserve">Singer, E. </w:t>
      </w:r>
      <w:r w:rsidRPr="00F018B6" w:rsidR="00BB1261">
        <w:t>(</w:t>
      </w:r>
      <w:r w:rsidRPr="00F018B6">
        <w:t>2006</w:t>
      </w:r>
      <w:r w:rsidRPr="00F018B6" w:rsidR="00BB1261">
        <w:t>)</w:t>
      </w:r>
      <w:r w:rsidRPr="00F018B6">
        <w:t xml:space="preserve">. Introduction: Nonresponse </w:t>
      </w:r>
      <w:r w:rsidRPr="00F018B6" w:rsidR="00BB1261">
        <w:t>bias in household surveys</w:t>
      </w:r>
      <w:r w:rsidRPr="00F018B6">
        <w:t xml:space="preserve">. </w:t>
      </w:r>
      <w:r w:rsidRPr="00F018B6">
        <w:rPr>
          <w:i/>
        </w:rPr>
        <w:t>Public Opinion Quarterly, 70</w:t>
      </w:r>
      <w:r w:rsidRPr="00F018B6">
        <w:t>(5)</w:t>
      </w:r>
      <w:r w:rsidRPr="00F018B6" w:rsidR="00BB1261">
        <w:t>,</w:t>
      </w:r>
      <w:r w:rsidRPr="00F018B6">
        <w:t xml:space="preserve"> 637</w:t>
      </w:r>
      <w:r w:rsidRPr="00F018B6" w:rsidR="00BB1261">
        <w:t>–</w:t>
      </w:r>
      <w:r w:rsidRPr="00F018B6">
        <w:t>645.</w:t>
      </w:r>
    </w:p>
    <w:p w:rsidRPr="00F018B6" w:rsidR="006D5E8E" w:rsidP="00787826" w:rsidRDefault="006D5E8E" w14:paraId="5E3EA632" w14:textId="59319BAD">
      <w:pPr>
        <w:pStyle w:val="References-IPR"/>
      </w:pPr>
      <w:r w:rsidRPr="00F018B6">
        <w:t>Singer, E.</w:t>
      </w:r>
      <w:r w:rsidRPr="00F018B6" w:rsidR="00B663D9">
        <w:t>, &amp;</w:t>
      </w:r>
      <w:r w:rsidRPr="00F018B6">
        <w:t xml:space="preserve"> Ye, C. (2013).</w:t>
      </w:r>
      <w:r w:rsidRPr="00F018B6" w:rsidR="003E3790">
        <w:t xml:space="preserve"> </w:t>
      </w:r>
      <w:r w:rsidRPr="00F018B6">
        <w:t>The use and effectives of incentives in surveys.</w:t>
      </w:r>
      <w:r w:rsidRPr="00F018B6" w:rsidR="003E3790">
        <w:t xml:space="preserve"> </w:t>
      </w:r>
      <w:r w:rsidRPr="00F018B6">
        <w:rPr>
          <w:i/>
        </w:rPr>
        <w:t>Annals of the American Academy of Political and Social Science, 645</w:t>
      </w:r>
      <w:r w:rsidRPr="00F018B6">
        <w:t>(1)</w:t>
      </w:r>
      <w:r w:rsidRPr="00F018B6" w:rsidR="00B663D9">
        <w:t xml:space="preserve">, </w:t>
      </w:r>
      <w:r w:rsidRPr="00F018B6">
        <w:t>112</w:t>
      </w:r>
      <w:r w:rsidRPr="00F018B6" w:rsidR="00B663D9">
        <w:t>–</w:t>
      </w:r>
      <w:r w:rsidRPr="00F018B6">
        <w:t>141.</w:t>
      </w:r>
    </w:p>
    <w:p w:rsidRPr="00F018B6" w:rsidR="006D5E8E" w:rsidP="00787826" w:rsidRDefault="006D5E8E" w14:paraId="247AB2AB" w14:textId="7B59FD73">
      <w:pPr>
        <w:pStyle w:val="References-IPR"/>
      </w:pPr>
      <w:r w:rsidRPr="00F018B6">
        <w:t xml:space="preserve">Singer, E., </w:t>
      </w:r>
      <w:r w:rsidRPr="00F018B6" w:rsidR="007D47A9">
        <w:t>&amp;</w:t>
      </w:r>
      <w:r w:rsidRPr="00F018B6">
        <w:t xml:space="preserve"> </w:t>
      </w:r>
      <w:proofErr w:type="spellStart"/>
      <w:r w:rsidRPr="00F018B6">
        <w:t>Kulka</w:t>
      </w:r>
      <w:proofErr w:type="spellEnd"/>
      <w:r w:rsidRPr="00F018B6" w:rsidR="007D47A9">
        <w:t>, R. A</w:t>
      </w:r>
      <w:r w:rsidRPr="00F018B6">
        <w:t xml:space="preserve">. </w:t>
      </w:r>
      <w:r w:rsidRPr="00F018B6" w:rsidR="007D47A9">
        <w:t xml:space="preserve">(2002). </w:t>
      </w:r>
      <w:r w:rsidRPr="00F018B6">
        <w:t xml:space="preserve">Paying </w:t>
      </w:r>
      <w:r w:rsidRPr="00F018B6" w:rsidR="007A5641">
        <w:t>r</w:t>
      </w:r>
      <w:r w:rsidRPr="00F018B6">
        <w:t xml:space="preserve">espondents for </w:t>
      </w:r>
      <w:r w:rsidRPr="00F018B6" w:rsidR="007A5641">
        <w:t>s</w:t>
      </w:r>
      <w:r w:rsidRPr="00F018B6">
        <w:t xml:space="preserve">urvey </w:t>
      </w:r>
      <w:r w:rsidRPr="00F018B6" w:rsidR="007A5641">
        <w:t>p</w:t>
      </w:r>
      <w:r w:rsidRPr="00F018B6">
        <w:t>articipation.</w:t>
      </w:r>
      <w:r w:rsidRPr="00F018B6" w:rsidR="007D47A9">
        <w:t xml:space="preserve"> </w:t>
      </w:r>
      <w:r w:rsidRPr="00F018B6">
        <w:t>In</w:t>
      </w:r>
      <w:r w:rsidRPr="00F018B6" w:rsidR="007A5641">
        <w:t xml:space="preserve"> M. </w:t>
      </w:r>
      <w:proofErr w:type="spellStart"/>
      <w:r w:rsidRPr="00F018B6" w:rsidR="007A5641">
        <w:t>Ver</w:t>
      </w:r>
      <w:proofErr w:type="spellEnd"/>
      <w:r w:rsidRPr="00F018B6" w:rsidR="007A5641">
        <w:t xml:space="preserve"> </w:t>
      </w:r>
      <w:proofErr w:type="spellStart"/>
      <w:r w:rsidRPr="00F018B6" w:rsidR="007A5641">
        <w:t>Ploeg</w:t>
      </w:r>
      <w:proofErr w:type="spellEnd"/>
      <w:r w:rsidRPr="00F018B6" w:rsidR="007A5641">
        <w:t xml:space="preserve">, R. A. Moffitt, &amp; C. F. </w:t>
      </w:r>
      <w:proofErr w:type="spellStart"/>
      <w:r w:rsidRPr="00F018B6" w:rsidR="007A5641">
        <w:t>Citro</w:t>
      </w:r>
      <w:proofErr w:type="spellEnd"/>
      <w:r w:rsidRPr="00F018B6" w:rsidR="008412A4">
        <w:t>, Committee on National Statistics, Division of Behavioral and Social Sciences and Education</w:t>
      </w:r>
      <w:r w:rsidRPr="00F018B6" w:rsidR="007A5641">
        <w:t xml:space="preserve"> (Eds.), </w:t>
      </w:r>
      <w:r w:rsidRPr="00F018B6">
        <w:rPr>
          <w:i/>
        </w:rPr>
        <w:t xml:space="preserve">Studies of </w:t>
      </w:r>
      <w:r w:rsidRPr="00F018B6" w:rsidR="008412A4">
        <w:rPr>
          <w:i/>
        </w:rPr>
        <w:t>welfare populations</w:t>
      </w:r>
      <w:r w:rsidRPr="00F018B6">
        <w:rPr>
          <w:i/>
        </w:rPr>
        <w:t xml:space="preserve">: Data </w:t>
      </w:r>
      <w:r w:rsidRPr="00F018B6" w:rsidR="008412A4">
        <w:rPr>
          <w:i/>
        </w:rPr>
        <w:t>collection and research issues</w:t>
      </w:r>
      <w:r w:rsidRPr="00F018B6">
        <w:rPr>
          <w:i/>
        </w:rPr>
        <w:t xml:space="preserve">. Panel on </w:t>
      </w:r>
      <w:r w:rsidRPr="00F018B6" w:rsidR="00475493">
        <w:rPr>
          <w:i/>
        </w:rPr>
        <w:t xml:space="preserve">data </w:t>
      </w:r>
      <w:r w:rsidRPr="00F018B6">
        <w:rPr>
          <w:i/>
        </w:rPr>
        <w:t xml:space="preserve">and </w:t>
      </w:r>
      <w:r w:rsidRPr="00F018B6" w:rsidR="008412A4">
        <w:rPr>
          <w:i/>
        </w:rPr>
        <w:t>methods for measuring the effects of changes in social welfare programs</w:t>
      </w:r>
      <w:r w:rsidRPr="00F018B6" w:rsidR="008412A4">
        <w:t xml:space="preserve"> (pp. 105–128).</w:t>
      </w:r>
      <w:r w:rsidRPr="00F018B6">
        <w:t xml:space="preserve">  Washington, DC: National Academy Press.</w:t>
      </w:r>
    </w:p>
    <w:p w:rsidRPr="00787826" w:rsidR="006D5E8E" w:rsidP="00787826" w:rsidRDefault="006D5E8E" w14:paraId="6A7733E3" w14:textId="1380D80B">
      <w:pPr>
        <w:pStyle w:val="References-IPR"/>
      </w:pPr>
      <w:proofErr w:type="spellStart"/>
      <w:r w:rsidRPr="00F018B6">
        <w:t>Westat</w:t>
      </w:r>
      <w:proofErr w:type="spellEnd"/>
      <w:r w:rsidRPr="00F018B6">
        <w:t xml:space="preserve">. (2017). </w:t>
      </w:r>
      <w:r w:rsidRPr="00F018B6">
        <w:rPr>
          <w:i/>
        </w:rPr>
        <w:t xml:space="preserve">Health Information National Trends Survey 5 (HINTS 5), Cycle 1 </w:t>
      </w:r>
      <w:r w:rsidRPr="00F018B6" w:rsidR="00597D32">
        <w:rPr>
          <w:i/>
        </w:rPr>
        <w:t>m</w:t>
      </w:r>
      <w:r w:rsidRPr="00F018B6">
        <w:rPr>
          <w:i/>
        </w:rPr>
        <w:t xml:space="preserve">ethodology </w:t>
      </w:r>
      <w:r w:rsidRPr="00F018B6" w:rsidR="00597D32">
        <w:rPr>
          <w:i/>
        </w:rPr>
        <w:t>r</w:t>
      </w:r>
      <w:r w:rsidRPr="00F018B6">
        <w:rPr>
          <w:i/>
        </w:rPr>
        <w:t>eport.</w:t>
      </w:r>
      <w:r w:rsidRPr="00F018B6" w:rsidR="003E3790">
        <w:t xml:space="preserve"> </w:t>
      </w:r>
      <w:r w:rsidRPr="00F018B6" w:rsidR="00483413">
        <w:t xml:space="preserve">Retrieved </w:t>
      </w:r>
      <w:proofErr w:type="gramStart"/>
      <w:r w:rsidRPr="00F018B6" w:rsidR="00483413">
        <w:t>from  https</w:t>
      </w:r>
      <w:proofErr w:type="gramEnd"/>
      <w:r w:rsidRPr="00F018B6" w:rsidR="00483413">
        <w:t>://hints.cancer.gov/docs/methodologyreports/HINTS5_Cycle_1_Methodology_Rpt.pdf</w:t>
      </w:r>
    </w:p>
    <w:p w:rsidRPr="00D274AB" w:rsidR="00D35B8C" w:rsidP="00C05E57" w:rsidRDefault="00D35B8C" w14:paraId="20D7BBA2" w14:textId="77777777">
      <w:pPr>
        <w:pStyle w:val="BodyText-IPR"/>
      </w:pPr>
    </w:p>
    <w:sectPr w:rsidRPr="00D274AB" w:rsidR="00D35B8C" w:rsidSect="00C05E57">
      <w:footerReference w:type="default" r:id="rId15"/>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7CFF9" w16cid:durableId="203DF134"/>
  <w16cid:commentId w16cid:paraId="5D62EE1C" w16cid:durableId="20433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3865" w14:textId="77777777" w:rsidR="00B24CCC" w:rsidRDefault="00B24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F43D" w14:textId="77777777" w:rsidR="00B24CCC" w:rsidRDefault="00B24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D6DB" w14:textId="77777777" w:rsidR="00B24CCC" w:rsidRDefault="00B24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p w14:paraId="672C599A" w14:textId="390C7A75" w:rsidR="00C05E57" w:rsidRPr="00C05E57" w:rsidRDefault="00C24ABA" w:rsidP="00C05E57">
            <w:pPr>
              <w:pBdr>
                <w:top w:val="single" w:sz="8" w:space="1" w:color="B12732"/>
              </w:pBdr>
              <w:tabs>
                <w:tab w:val="right" w:pos="9360"/>
              </w:tabs>
              <w:rPr>
                <w:sz w:val="20"/>
                <w:szCs w:val="20"/>
              </w:rPr>
            </w:pPr>
            <w:sdt>
              <w:sdtPr>
                <w:rPr>
                  <w:rStyle w:val="FooterTitle-IPRChar"/>
                  <w:szCs w:val="20"/>
                </w:rPr>
                <w:id w:val="-1832211290"/>
                <w:docPartObj>
                  <w:docPartGallery w:val="Page Numbers (Bottom of Page)"/>
                  <w:docPartUnique/>
                </w:docPartObj>
              </w:sdtPr>
              <w:sdtEndPr>
                <w:rPr>
                  <w:rStyle w:val="FooterTitle-IPRChar"/>
                </w:rPr>
              </w:sdtEndPr>
              <w:sdtContent>
                <w:r w:rsidR="00C05E57">
                  <w:rPr>
                    <w:rStyle w:val="FooterTitle-IPRChar"/>
                    <w:szCs w:val="20"/>
                  </w:rPr>
                  <w:t xml:space="preserve">Job Search as </w:t>
                </w:r>
                <w:r w:rsidR="00B24CCC">
                  <w:rPr>
                    <w:rStyle w:val="FooterTitle-IPRChar"/>
                    <w:szCs w:val="20"/>
                  </w:rPr>
                  <w:t xml:space="preserve">a SNAP E&amp;T Component, </w:t>
                </w:r>
                <w:r w:rsidR="00D5719B">
                  <w:rPr>
                    <w:rStyle w:val="FooterTitle-IPRChar"/>
                    <w:szCs w:val="20"/>
                  </w:rPr>
                  <w:t>Attachment</w:t>
                </w:r>
                <w:r w:rsidR="00B24CCC">
                  <w:rPr>
                    <w:rStyle w:val="FooterTitle-IPRChar"/>
                    <w:szCs w:val="20"/>
                  </w:rPr>
                  <w:t xml:space="preserve"> O</w:t>
                </w:r>
                <w:r w:rsidR="00C05E57">
                  <w:rPr>
                    <w:rStyle w:val="FooterTitle-IPRChar"/>
                    <w:szCs w:val="20"/>
                  </w:rPr>
                  <w:t>. Use of Tokens of Appreciation</w:t>
                </w:r>
                <w:r w:rsidR="00C05E57" w:rsidRPr="008F7675">
                  <w:rPr>
                    <w:rStyle w:val="FooterTitle-IPRChar"/>
                    <w:szCs w:val="20"/>
                  </w:rPr>
                  <w:tab/>
                </w:r>
                <w:r w:rsidR="00B24CCC">
                  <w:rPr>
                    <w:rStyle w:val="FooterTitle-IPRChar"/>
                    <w:szCs w:val="20"/>
                  </w:rPr>
                  <w:t>O</w:t>
                </w:r>
                <w:r w:rsidR="00C05E57">
                  <w:rPr>
                    <w:rStyle w:val="FooterTitle-IPRChar"/>
                    <w:szCs w:val="20"/>
                  </w:rPr>
                  <w:t>-</w:t>
                </w:r>
                <w:r w:rsidR="00C05E57" w:rsidRPr="008F7675">
                  <w:rPr>
                    <w:rStyle w:val="FooterTitle-IPRChar"/>
                    <w:szCs w:val="20"/>
                  </w:rPr>
                  <w:fldChar w:fldCharType="begin"/>
                </w:r>
                <w:r w:rsidR="00C05E57" w:rsidRPr="008F7675">
                  <w:rPr>
                    <w:rStyle w:val="FooterTitle-IPRChar"/>
                    <w:szCs w:val="20"/>
                  </w:rPr>
                  <w:instrText xml:space="preserve"> PAGE   \* MERGEFORMAT </w:instrText>
                </w:r>
                <w:r w:rsidR="00C05E57" w:rsidRPr="008F7675">
                  <w:rPr>
                    <w:rStyle w:val="FooterTitle-IPRChar"/>
                    <w:szCs w:val="20"/>
                  </w:rPr>
                  <w:fldChar w:fldCharType="separate"/>
                </w:r>
                <w:r>
                  <w:rPr>
                    <w:rStyle w:val="FooterTitle-IPRChar"/>
                    <w:noProof/>
                    <w:szCs w:val="20"/>
                  </w:rPr>
                  <w:t>6</w:t>
                </w:r>
                <w:r w:rsidR="00C05E57" w:rsidRPr="008F7675">
                  <w:rPr>
                    <w:rStyle w:val="FooterTitle-IPRChar"/>
                    <w:szCs w:val="20"/>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E466" w14:textId="77777777" w:rsidR="00B24CCC" w:rsidRDefault="00B2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7C9D" w14:textId="77777777" w:rsidR="00B24CCC" w:rsidRDefault="00B24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06B8" w14:textId="77777777" w:rsidR="00B24CCC" w:rsidRDefault="00B24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C6EB8"/>
    <w:multiLevelType w:val="multilevel"/>
    <w:tmpl w:val="B84CE8A6"/>
    <w:numStyleLink w:val="TableRedNumbersList-IPR"/>
  </w:abstractNum>
  <w:abstractNum w:abstractNumId="30"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1"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5"/>
  </w:num>
  <w:num w:numId="3">
    <w:abstractNumId w:val="24"/>
  </w:num>
  <w:num w:numId="4">
    <w:abstractNumId w:val="16"/>
  </w:num>
  <w:num w:numId="5">
    <w:abstractNumId w:val="31"/>
  </w:num>
  <w:num w:numId="6">
    <w:abstractNumId w:val="8"/>
  </w:num>
  <w:num w:numId="7">
    <w:abstractNumId w:val="1"/>
  </w:num>
  <w:num w:numId="8">
    <w:abstractNumId w:val="19"/>
  </w:num>
  <w:num w:numId="9">
    <w:abstractNumId w:val="7"/>
  </w:num>
  <w:num w:numId="10">
    <w:abstractNumId w:val="10"/>
  </w:num>
  <w:num w:numId="11">
    <w:abstractNumId w:val="3"/>
  </w:num>
  <w:num w:numId="12">
    <w:abstractNumId w:val="29"/>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4"/>
  </w:num>
  <w:num w:numId="15">
    <w:abstractNumId w:val="5"/>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3"/>
  </w:num>
  <w:num w:numId="20">
    <w:abstractNumId w:val="27"/>
  </w:num>
  <w:num w:numId="21">
    <w:abstractNumId w:val="9"/>
  </w:num>
  <w:num w:numId="22">
    <w:abstractNumId w:val="26"/>
  </w:num>
  <w:num w:numId="23">
    <w:abstractNumId w:val="18"/>
  </w:num>
  <w:num w:numId="24">
    <w:abstractNumId w:val="34"/>
  </w:num>
  <w:num w:numId="25">
    <w:abstractNumId w:val="15"/>
  </w:num>
  <w:num w:numId="26">
    <w:abstractNumId w:val="25"/>
  </w:num>
  <w:num w:numId="27">
    <w:abstractNumId w:val="22"/>
  </w:num>
  <w:num w:numId="28">
    <w:abstractNumId w:val="11"/>
  </w:num>
  <w:num w:numId="29">
    <w:abstractNumId w:val="33"/>
  </w:num>
  <w:num w:numId="30">
    <w:abstractNumId w:val="20"/>
  </w:num>
  <w:num w:numId="31">
    <w:abstractNumId w:val="32"/>
  </w:num>
  <w:num w:numId="32">
    <w:abstractNumId w:val="21"/>
  </w:num>
  <w:num w:numId="33">
    <w:abstractNumId w:val="17"/>
  </w:num>
  <w:num w:numId="34">
    <w:abstractNumId w:val="0"/>
  </w:num>
  <w:num w:numId="35">
    <w:abstractNumId w:val="13"/>
    <w:lvlOverride w:ilvl="0">
      <w:startOverride w:val="1"/>
    </w:lvlOverride>
  </w:num>
  <w:num w:numId="36">
    <w:abstractNumId w:val="13"/>
    <w:lvlOverride w:ilvl="0">
      <w:startOverride w:val="1"/>
    </w:lvlOverride>
  </w:num>
  <w:num w:numId="37">
    <w:abstractNumId w:val="28"/>
  </w:num>
  <w:num w:numId="38">
    <w:abstractNumId w:val="35"/>
  </w:num>
  <w:num w:numId="3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9C"/>
    <w:rsid w:val="00002EF2"/>
    <w:rsid w:val="00005780"/>
    <w:rsid w:val="000123D7"/>
    <w:rsid w:val="0001253B"/>
    <w:rsid w:val="00012775"/>
    <w:rsid w:val="00015739"/>
    <w:rsid w:val="00022C1C"/>
    <w:rsid w:val="00023662"/>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94CC1"/>
    <w:rsid w:val="00094CCB"/>
    <w:rsid w:val="000A0D8C"/>
    <w:rsid w:val="000A53D5"/>
    <w:rsid w:val="000A637A"/>
    <w:rsid w:val="000A68D1"/>
    <w:rsid w:val="000B08BF"/>
    <w:rsid w:val="000B24A5"/>
    <w:rsid w:val="000B3232"/>
    <w:rsid w:val="000B4926"/>
    <w:rsid w:val="000B50F7"/>
    <w:rsid w:val="000B61B6"/>
    <w:rsid w:val="000B66B9"/>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50659"/>
    <w:rsid w:val="001526CD"/>
    <w:rsid w:val="00155A53"/>
    <w:rsid w:val="001578FD"/>
    <w:rsid w:val="00161429"/>
    <w:rsid w:val="0016287B"/>
    <w:rsid w:val="001635D6"/>
    <w:rsid w:val="001673B5"/>
    <w:rsid w:val="00170CEF"/>
    <w:rsid w:val="00177BFB"/>
    <w:rsid w:val="00177F81"/>
    <w:rsid w:val="00181850"/>
    <w:rsid w:val="00181C7D"/>
    <w:rsid w:val="00183810"/>
    <w:rsid w:val="001855BE"/>
    <w:rsid w:val="0019169E"/>
    <w:rsid w:val="00191BB3"/>
    <w:rsid w:val="0019699C"/>
    <w:rsid w:val="001A2752"/>
    <w:rsid w:val="001A2FF5"/>
    <w:rsid w:val="001A4CCC"/>
    <w:rsid w:val="001A6157"/>
    <w:rsid w:val="001A7028"/>
    <w:rsid w:val="001A7692"/>
    <w:rsid w:val="001B32D5"/>
    <w:rsid w:val="001C3C6B"/>
    <w:rsid w:val="001C5605"/>
    <w:rsid w:val="001C5797"/>
    <w:rsid w:val="001C57DB"/>
    <w:rsid w:val="001C5AC9"/>
    <w:rsid w:val="001C6700"/>
    <w:rsid w:val="001D318C"/>
    <w:rsid w:val="001E0736"/>
    <w:rsid w:val="001E32A2"/>
    <w:rsid w:val="001E4086"/>
    <w:rsid w:val="001E410C"/>
    <w:rsid w:val="001E4FE0"/>
    <w:rsid w:val="001E6201"/>
    <w:rsid w:val="001E7D91"/>
    <w:rsid w:val="001F3774"/>
    <w:rsid w:val="001F46A9"/>
    <w:rsid w:val="001F78E4"/>
    <w:rsid w:val="00202289"/>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4EFB"/>
    <w:rsid w:val="00254F6F"/>
    <w:rsid w:val="00257C3F"/>
    <w:rsid w:val="00265A68"/>
    <w:rsid w:val="00267A45"/>
    <w:rsid w:val="00270620"/>
    <w:rsid w:val="00271D63"/>
    <w:rsid w:val="00274661"/>
    <w:rsid w:val="00277946"/>
    <w:rsid w:val="002808A8"/>
    <w:rsid w:val="002847D0"/>
    <w:rsid w:val="0028674A"/>
    <w:rsid w:val="002873D2"/>
    <w:rsid w:val="002914EB"/>
    <w:rsid w:val="00293BDE"/>
    <w:rsid w:val="00294BAD"/>
    <w:rsid w:val="0029752C"/>
    <w:rsid w:val="0029785F"/>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3B5A"/>
    <w:rsid w:val="002F75BC"/>
    <w:rsid w:val="003066FB"/>
    <w:rsid w:val="0031108B"/>
    <w:rsid w:val="00313F27"/>
    <w:rsid w:val="0031517C"/>
    <w:rsid w:val="0031612C"/>
    <w:rsid w:val="00320276"/>
    <w:rsid w:val="003208EC"/>
    <w:rsid w:val="00326A62"/>
    <w:rsid w:val="003273F1"/>
    <w:rsid w:val="00331518"/>
    <w:rsid w:val="00337D45"/>
    <w:rsid w:val="00341D65"/>
    <w:rsid w:val="00341ED6"/>
    <w:rsid w:val="003472AC"/>
    <w:rsid w:val="0035171A"/>
    <w:rsid w:val="00353B38"/>
    <w:rsid w:val="003541C9"/>
    <w:rsid w:val="00357E67"/>
    <w:rsid w:val="0036104C"/>
    <w:rsid w:val="00363D63"/>
    <w:rsid w:val="00364773"/>
    <w:rsid w:val="003718B5"/>
    <w:rsid w:val="00374DF5"/>
    <w:rsid w:val="00376BE5"/>
    <w:rsid w:val="003821D5"/>
    <w:rsid w:val="00382607"/>
    <w:rsid w:val="00382D11"/>
    <w:rsid w:val="00383410"/>
    <w:rsid w:val="00383C91"/>
    <w:rsid w:val="0039001A"/>
    <w:rsid w:val="00392BE4"/>
    <w:rsid w:val="00393EB0"/>
    <w:rsid w:val="00393FAE"/>
    <w:rsid w:val="003A1D15"/>
    <w:rsid w:val="003B0110"/>
    <w:rsid w:val="003B4AB1"/>
    <w:rsid w:val="003B4E82"/>
    <w:rsid w:val="003B5469"/>
    <w:rsid w:val="003C468C"/>
    <w:rsid w:val="003C6499"/>
    <w:rsid w:val="003D041D"/>
    <w:rsid w:val="003D1254"/>
    <w:rsid w:val="003D23D9"/>
    <w:rsid w:val="003D2591"/>
    <w:rsid w:val="003D34F7"/>
    <w:rsid w:val="003D7E45"/>
    <w:rsid w:val="003E30AD"/>
    <w:rsid w:val="003E3790"/>
    <w:rsid w:val="003E3BBA"/>
    <w:rsid w:val="003E551C"/>
    <w:rsid w:val="003E5F43"/>
    <w:rsid w:val="003E79F5"/>
    <w:rsid w:val="00403929"/>
    <w:rsid w:val="004041FC"/>
    <w:rsid w:val="00407417"/>
    <w:rsid w:val="00407B3F"/>
    <w:rsid w:val="004110DA"/>
    <w:rsid w:val="004217E7"/>
    <w:rsid w:val="00423955"/>
    <w:rsid w:val="00424050"/>
    <w:rsid w:val="00427600"/>
    <w:rsid w:val="00431F8D"/>
    <w:rsid w:val="00441547"/>
    <w:rsid w:val="00442715"/>
    <w:rsid w:val="00445845"/>
    <w:rsid w:val="00450BA5"/>
    <w:rsid w:val="00452B9E"/>
    <w:rsid w:val="004555D0"/>
    <w:rsid w:val="00466F08"/>
    <w:rsid w:val="00473EAC"/>
    <w:rsid w:val="00475493"/>
    <w:rsid w:val="0048146D"/>
    <w:rsid w:val="0048236F"/>
    <w:rsid w:val="00482E29"/>
    <w:rsid w:val="00483413"/>
    <w:rsid w:val="004835B4"/>
    <w:rsid w:val="00496542"/>
    <w:rsid w:val="004A0638"/>
    <w:rsid w:val="004A0842"/>
    <w:rsid w:val="004A50C4"/>
    <w:rsid w:val="004A787E"/>
    <w:rsid w:val="004B08DD"/>
    <w:rsid w:val="004B4F0D"/>
    <w:rsid w:val="004B796B"/>
    <w:rsid w:val="004C14EA"/>
    <w:rsid w:val="004C5633"/>
    <w:rsid w:val="004C66F1"/>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21A77"/>
    <w:rsid w:val="005236D7"/>
    <w:rsid w:val="005237C2"/>
    <w:rsid w:val="00526B66"/>
    <w:rsid w:val="00532636"/>
    <w:rsid w:val="00532B6B"/>
    <w:rsid w:val="0053312A"/>
    <w:rsid w:val="00533DE2"/>
    <w:rsid w:val="0054070F"/>
    <w:rsid w:val="00540CD6"/>
    <w:rsid w:val="00542621"/>
    <w:rsid w:val="00546602"/>
    <w:rsid w:val="00550446"/>
    <w:rsid w:val="005546C4"/>
    <w:rsid w:val="0055666E"/>
    <w:rsid w:val="005622B1"/>
    <w:rsid w:val="00564182"/>
    <w:rsid w:val="005647C1"/>
    <w:rsid w:val="00565C4D"/>
    <w:rsid w:val="00566470"/>
    <w:rsid w:val="00566CE2"/>
    <w:rsid w:val="00567980"/>
    <w:rsid w:val="00574C8D"/>
    <w:rsid w:val="00577988"/>
    <w:rsid w:val="005847E7"/>
    <w:rsid w:val="005851DF"/>
    <w:rsid w:val="00585B39"/>
    <w:rsid w:val="00587A23"/>
    <w:rsid w:val="00594FA6"/>
    <w:rsid w:val="00595FC7"/>
    <w:rsid w:val="0059765F"/>
    <w:rsid w:val="00597D32"/>
    <w:rsid w:val="005A01EC"/>
    <w:rsid w:val="005A050B"/>
    <w:rsid w:val="005A20A4"/>
    <w:rsid w:val="005A490E"/>
    <w:rsid w:val="005A5BEE"/>
    <w:rsid w:val="005B2C56"/>
    <w:rsid w:val="005C269F"/>
    <w:rsid w:val="005C417C"/>
    <w:rsid w:val="005D2989"/>
    <w:rsid w:val="005D5997"/>
    <w:rsid w:val="005D631A"/>
    <w:rsid w:val="005D650A"/>
    <w:rsid w:val="005D6F57"/>
    <w:rsid w:val="005E0139"/>
    <w:rsid w:val="005F2F55"/>
    <w:rsid w:val="005F42DB"/>
    <w:rsid w:val="005F6E75"/>
    <w:rsid w:val="00600FF8"/>
    <w:rsid w:val="00610673"/>
    <w:rsid w:val="006106FB"/>
    <w:rsid w:val="006150ED"/>
    <w:rsid w:val="00631202"/>
    <w:rsid w:val="006415B8"/>
    <w:rsid w:val="0064514E"/>
    <w:rsid w:val="00652E26"/>
    <w:rsid w:val="00654431"/>
    <w:rsid w:val="006559C7"/>
    <w:rsid w:val="006561E0"/>
    <w:rsid w:val="006563ED"/>
    <w:rsid w:val="00662998"/>
    <w:rsid w:val="006631F9"/>
    <w:rsid w:val="006646D0"/>
    <w:rsid w:val="00664A30"/>
    <w:rsid w:val="006678D4"/>
    <w:rsid w:val="00667B2F"/>
    <w:rsid w:val="0067052B"/>
    <w:rsid w:val="0067394A"/>
    <w:rsid w:val="0068382F"/>
    <w:rsid w:val="00684E48"/>
    <w:rsid w:val="00686046"/>
    <w:rsid w:val="0069318F"/>
    <w:rsid w:val="00694127"/>
    <w:rsid w:val="00694E47"/>
    <w:rsid w:val="00697B5D"/>
    <w:rsid w:val="006A06D4"/>
    <w:rsid w:val="006A19A8"/>
    <w:rsid w:val="006A3D4A"/>
    <w:rsid w:val="006B13A0"/>
    <w:rsid w:val="006B2970"/>
    <w:rsid w:val="006B527B"/>
    <w:rsid w:val="006B5313"/>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179B"/>
    <w:rsid w:val="006E4D36"/>
    <w:rsid w:val="006E505E"/>
    <w:rsid w:val="006F20D9"/>
    <w:rsid w:val="006F3271"/>
    <w:rsid w:val="00702AEF"/>
    <w:rsid w:val="00704BED"/>
    <w:rsid w:val="00725E90"/>
    <w:rsid w:val="00727D56"/>
    <w:rsid w:val="00744452"/>
    <w:rsid w:val="0075272D"/>
    <w:rsid w:val="00755695"/>
    <w:rsid w:val="00761E9B"/>
    <w:rsid w:val="00763937"/>
    <w:rsid w:val="00770FF4"/>
    <w:rsid w:val="00773251"/>
    <w:rsid w:val="00773F9C"/>
    <w:rsid w:val="007770E1"/>
    <w:rsid w:val="007846A1"/>
    <w:rsid w:val="00786B0C"/>
    <w:rsid w:val="00786B9E"/>
    <w:rsid w:val="00787826"/>
    <w:rsid w:val="00790528"/>
    <w:rsid w:val="0079596B"/>
    <w:rsid w:val="0079797B"/>
    <w:rsid w:val="007A0310"/>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F55B8"/>
    <w:rsid w:val="007F7C44"/>
    <w:rsid w:val="008008E1"/>
    <w:rsid w:val="00800CF4"/>
    <w:rsid w:val="008069F1"/>
    <w:rsid w:val="00812E92"/>
    <w:rsid w:val="00814772"/>
    <w:rsid w:val="00817225"/>
    <w:rsid w:val="00817E14"/>
    <w:rsid w:val="008204AD"/>
    <w:rsid w:val="00820E25"/>
    <w:rsid w:val="00820F5A"/>
    <w:rsid w:val="00821047"/>
    <w:rsid w:val="00827252"/>
    <w:rsid w:val="0083024C"/>
    <w:rsid w:val="008324DE"/>
    <w:rsid w:val="0083435C"/>
    <w:rsid w:val="00837700"/>
    <w:rsid w:val="00840006"/>
    <w:rsid w:val="0084044D"/>
    <w:rsid w:val="008412A4"/>
    <w:rsid w:val="00843A1A"/>
    <w:rsid w:val="00852A65"/>
    <w:rsid w:val="00865DC9"/>
    <w:rsid w:val="008717E1"/>
    <w:rsid w:val="00873029"/>
    <w:rsid w:val="00873742"/>
    <w:rsid w:val="008811E4"/>
    <w:rsid w:val="00885D52"/>
    <w:rsid w:val="00890220"/>
    <w:rsid w:val="00893D30"/>
    <w:rsid w:val="008A4242"/>
    <w:rsid w:val="008B2BA2"/>
    <w:rsid w:val="008C1B6F"/>
    <w:rsid w:val="008C3AB3"/>
    <w:rsid w:val="008C4FF2"/>
    <w:rsid w:val="008C5DD0"/>
    <w:rsid w:val="008C681E"/>
    <w:rsid w:val="008C7D8E"/>
    <w:rsid w:val="008D1DF4"/>
    <w:rsid w:val="008D6AF4"/>
    <w:rsid w:val="008D7BDE"/>
    <w:rsid w:val="008E050D"/>
    <w:rsid w:val="008E7D06"/>
    <w:rsid w:val="008F174D"/>
    <w:rsid w:val="008F1857"/>
    <w:rsid w:val="008F51CF"/>
    <w:rsid w:val="00900E54"/>
    <w:rsid w:val="00901D8A"/>
    <w:rsid w:val="00903BC9"/>
    <w:rsid w:val="009164BD"/>
    <w:rsid w:val="00917320"/>
    <w:rsid w:val="009173B8"/>
    <w:rsid w:val="0092254B"/>
    <w:rsid w:val="00923053"/>
    <w:rsid w:val="00924AD8"/>
    <w:rsid w:val="009259DD"/>
    <w:rsid w:val="00936697"/>
    <w:rsid w:val="0093686E"/>
    <w:rsid w:val="0094079B"/>
    <w:rsid w:val="00945039"/>
    <w:rsid w:val="00947A91"/>
    <w:rsid w:val="00950285"/>
    <w:rsid w:val="00956BA3"/>
    <w:rsid w:val="00956F8E"/>
    <w:rsid w:val="00960072"/>
    <w:rsid w:val="009622AB"/>
    <w:rsid w:val="00963706"/>
    <w:rsid w:val="0097251F"/>
    <w:rsid w:val="0097279F"/>
    <w:rsid w:val="00980DDF"/>
    <w:rsid w:val="00982398"/>
    <w:rsid w:val="009837AF"/>
    <w:rsid w:val="009866F2"/>
    <w:rsid w:val="00994601"/>
    <w:rsid w:val="009A0DA1"/>
    <w:rsid w:val="009A1108"/>
    <w:rsid w:val="009A19EE"/>
    <w:rsid w:val="009A259F"/>
    <w:rsid w:val="009A3741"/>
    <w:rsid w:val="009A381F"/>
    <w:rsid w:val="009A5445"/>
    <w:rsid w:val="009A73AC"/>
    <w:rsid w:val="009A7712"/>
    <w:rsid w:val="009B0D30"/>
    <w:rsid w:val="009B0FED"/>
    <w:rsid w:val="009B1AAD"/>
    <w:rsid w:val="009B1F71"/>
    <w:rsid w:val="009B2C98"/>
    <w:rsid w:val="009B61B1"/>
    <w:rsid w:val="009B65A2"/>
    <w:rsid w:val="009B6CDD"/>
    <w:rsid w:val="009C0B59"/>
    <w:rsid w:val="009C475C"/>
    <w:rsid w:val="009D14D7"/>
    <w:rsid w:val="009D1D85"/>
    <w:rsid w:val="009D1E90"/>
    <w:rsid w:val="009D3A1D"/>
    <w:rsid w:val="009E2318"/>
    <w:rsid w:val="009E27C6"/>
    <w:rsid w:val="009E5DFF"/>
    <w:rsid w:val="009F26EB"/>
    <w:rsid w:val="009F4CB3"/>
    <w:rsid w:val="009F5805"/>
    <w:rsid w:val="00A0231C"/>
    <w:rsid w:val="00A03684"/>
    <w:rsid w:val="00A04349"/>
    <w:rsid w:val="00A0610B"/>
    <w:rsid w:val="00A11D5A"/>
    <w:rsid w:val="00A15F06"/>
    <w:rsid w:val="00A1754E"/>
    <w:rsid w:val="00A216EF"/>
    <w:rsid w:val="00A21813"/>
    <w:rsid w:val="00A218BE"/>
    <w:rsid w:val="00A2241B"/>
    <w:rsid w:val="00A239A2"/>
    <w:rsid w:val="00A3051D"/>
    <w:rsid w:val="00A31C77"/>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D84"/>
    <w:rsid w:val="00A809CF"/>
    <w:rsid w:val="00A84468"/>
    <w:rsid w:val="00A845C0"/>
    <w:rsid w:val="00A90F80"/>
    <w:rsid w:val="00A92E0D"/>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9EB"/>
    <w:rsid w:val="00AF6B6F"/>
    <w:rsid w:val="00B0199D"/>
    <w:rsid w:val="00B05743"/>
    <w:rsid w:val="00B06475"/>
    <w:rsid w:val="00B06F29"/>
    <w:rsid w:val="00B1098F"/>
    <w:rsid w:val="00B15515"/>
    <w:rsid w:val="00B173B9"/>
    <w:rsid w:val="00B22256"/>
    <w:rsid w:val="00B24CCC"/>
    <w:rsid w:val="00B25483"/>
    <w:rsid w:val="00B26409"/>
    <w:rsid w:val="00B30C6D"/>
    <w:rsid w:val="00B30E41"/>
    <w:rsid w:val="00B3120E"/>
    <w:rsid w:val="00B3413A"/>
    <w:rsid w:val="00B36EBC"/>
    <w:rsid w:val="00B40614"/>
    <w:rsid w:val="00B40C89"/>
    <w:rsid w:val="00B46609"/>
    <w:rsid w:val="00B50C0A"/>
    <w:rsid w:val="00B50E63"/>
    <w:rsid w:val="00B56D97"/>
    <w:rsid w:val="00B61F9B"/>
    <w:rsid w:val="00B63CF8"/>
    <w:rsid w:val="00B64810"/>
    <w:rsid w:val="00B656C6"/>
    <w:rsid w:val="00B663D9"/>
    <w:rsid w:val="00B66FB5"/>
    <w:rsid w:val="00B70D5E"/>
    <w:rsid w:val="00B76A84"/>
    <w:rsid w:val="00B830B8"/>
    <w:rsid w:val="00B833D9"/>
    <w:rsid w:val="00B83FA7"/>
    <w:rsid w:val="00B92682"/>
    <w:rsid w:val="00B93AC6"/>
    <w:rsid w:val="00B966AF"/>
    <w:rsid w:val="00B9697A"/>
    <w:rsid w:val="00B96C8B"/>
    <w:rsid w:val="00B9755A"/>
    <w:rsid w:val="00B97C6F"/>
    <w:rsid w:val="00BA45E5"/>
    <w:rsid w:val="00BA460A"/>
    <w:rsid w:val="00BA4B2A"/>
    <w:rsid w:val="00BA6B3F"/>
    <w:rsid w:val="00BA6C57"/>
    <w:rsid w:val="00BB042A"/>
    <w:rsid w:val="00BB1261"/>
    <w:rsid w:val="00BB16DF"/>
    <w:rsid w:val="00BB39AE"/>
    <w:rsid w:val="00BB4285"/>
    <w:rsid w:val="00BC1DD5"/>
    <w:rsid w:val="00BC3633"/>
    <w:rsid w:val="00BD0875"/>
    <w:rsid w:val="00BD5659"/>
    <w:rsid w:val="00BD5B31"/>
    <w:rsid w:val="00BD6628"/>
    <w:rsid w:val="00BE068A"/>
    <w:rsid w:val="00BE1BC2"/>
    <w:rsid w:val="00BE2F2C"/>
    <w:rsid w:val="00BE404F"/>
    <w:rsid w:val="00BE6B2D"/>
    <w:rsid w:val="00BF088B"/>
    <w:rsid w:val="00BF1A1D"/>
    <w:rsid w:val="00BF37B5"/>
    <w:rsid w:val="00BF5219"/>
    <w:rsid w:val="00BF5BB4"/>
    <w:rsid w:val="00C000E1"/>
    <w:rsid w:val="00C0236E"/>
    <w:rsid w:val="00C02F39"/>
    <w:rsid w:val="00C05256"/>
    <w:rsid w:val="00C05E57"/>
    <w:rsid w:val="00C06A83"/>
    <w:rsid w:val="00C11802"/>
    <w:rsid w:val="00C1299A"/>
    <w:rsid w:val="00C14631"/>
    <w:rsid w:val="00C15787"/>
    <w:rsid w:val="00C17467"/>
    <w:rsid w:val="00C17CDF"/>
    <w:rsid w:val="00C24ABA"/>
    <w:rsid w:val="00C27766"/>
    <w:rsid w:val="00C369AD"/>
    <w:rsid w:val="00C40E7A"/>
    <w:rsid w:val="00C44EE1"/>
    <w:rsid w:val="00C47AB0"/>
    <w:rsid w:val="00C55356"/>
    <w:rsid w:val="00C55ADB"/>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C6160"/>
    <w:rsid w:val="00CC70BC"/>
    <w:rsid w:val="00CD12C0"/>
    <w:rsid w:val="00CD160F"/>
    <w:rsid w:val="00CD436B"/>
    <w:rsid w:val="00CD52CC"/>
    <w:rsid w:val="00CD6CCB"/>
    <w:rsid w:val="00CD72EC"/>
    <w:rsid w:val="00CD7C53"/>
    <w:rsid w:val="00CF0F1D"/>
    <w:rsid w:val="00CF2849"/>
    <w:rsid w:val="00CF59EC"/>
    <w:rsid w:val="00CF6506"/>
    <w:rsid w:val="00D00738"/>
    <w:rsid w:val="00D02AB8"/>
    <w:rsid w:val="00D0346D"/>
    <w:rsid w:val="00D05C42"/>
    <w:rsid w:val="00D101FF"/>
    <w:rsid w:val="00D136EF"/>
    <w:rsid w:val="00D14C1E"/>
    <w:rsid w:val="00D206E4"/>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719B"/>
    <w:rsid w:val="00D62DC7"/>
    <w:rsid w:val="00D63F0F"/>
    <w:rsid w:val="00D64730"/>
    <w:rsid w:val="00D72259"/>
    <w:rsid w:val="00D75DCB"/>
    <w:rsid w:val="00D8154A"/>
    <w:rsid w:val="00D84243"/>
    <w:rsid w:val="00D848B5"/>
    <w:rsid w:val="00D906D7"/>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CAD"/>
    <w:rsid w:val="00E0774B"/>
    <w:rsid w:val="00E128E7"/>
    <w:rsid w:val="00E133DA"/>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60B44"/>
    <w:rsid w:val="00E618CC"/>
    <w:rsid w:val="00E636F3"/>
    <w:rsid w:val="00E70612"/>
    <w:rsid w:val="00E71251"/>
    <w:rsid w:val="00E71626"/>
    <w:rsid w:val="00E75D90"/>
    <w:rsid w:val="00E766FF"/>
    <w:rsid w:val="00E77747"/>
    <w:rsid w:val="00E81437"/>
    <w:rsid w:val="00E81587"/>
    <w:rsid w:val="00E917A0"/>
    <w:rsid w:val="00E9682D"/>
    <w:rsid w:val="00E96CEF"/>
    <w:rsid w:val="00E9793A"/>
    <w:rsid w:val="00EA0641"/>
    <w:rsid w:val="00EA29EC"/>
    <w:rsid w:val="00EA48FA"/>
    <w:rsid w:val="00EA7E0A"/>
    <w:rsid w:val="00EB04A9"/>
    <w:rsid w:val="00EB1C36"/>
    <w:rsid w:val="00EB3FBB"/>
    <w:rsid w:val="00EC1B26"/>
    <w:rsid w:val="00EC1E09"/>
    <w:rsid w:val="00EC4628"/>
    <w:rsid w:val="00ED1267"/>
    <w:rsid w:val="00ED2B08"/>
    <w:rsid w:val="00ED7A02"/>
    <w:rsid w:val="00EE0CE6"/>
    <w:rsid w:val="00EE12F0"/>
    <w:rsid w:val="00EE3560"/>
    <w:rsid w:val="00EE5A73"/>
    <w:rsid w:val="00EF0396"/>
    <w:rsid w:val="00EF0C32"/>
    <w:rsid w:val="00EF2065"/>
    <w:rsid w:val="00EF2C6E"/>
    <w:rsid w:val="00EF58E6"/>
    <w:rsid w:val="00EF655B"/>
    <w:rsid w:val="00F018B6"/>
    <w:rsid w:val="00F02DD0"/>
    <w:rsid w:val="00F04F32"/>
    <w:rsid w:val="00F059D7"/>
    <w:rsid w:val="00F128A8"/>
    <w:rsid w:val="00F13B65"/>
    <w:rsid w:val="00F1472C"/>
    <w:rsid w:val="00F16354"/>
    <w:rsid w:val="00F17890"/>
    <w:rsid w:val="00F17B1F"/>
    <w:rsid w:val="00F23717"/>
    <w:rsid w:val="00F2669A"/>
    <w:rsid w:val="00F272DE"/>
    <w:rsid w:val="00F27C95"/>
    <w:rsid w:val="00F31DA2"/>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FEE"/>
    <w:rsid w:val="00F87413"/>
    <w:rsid w:val="00F87778"/>
    <w:rsid w:val="00F901A0"/>
    <w:rsid w:val="00FA0B7B"/>
    <w:rsid w:val="00FA1FC3"/>
    <w:rsid w:val="00FA4FE8"/>
    <w:rsid w:val="00FA678C"/>
    <w:rsid w:val="00FA799D"/>
    <w:rsid w:val="00FB2BE9"/>
    <w:rsid w:val="00FB7EA8"/>
    <w:rsid w:val="00FC1052"/>
    <w:rsid w:val="00FC11F8"/>
    <w:rsid w:val="00FC4E4A"/>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87F8C69"/>
  <w15:docId w15:val="{9B4736CF-B894-485E-A31F-EB299AC6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A967-2A4B-42AC-979A-2AA7E22F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Deemer, Danielle - FNS</cp:lastModifiedBy>
  <cp:revision>3</cp:revision>
  <cp:lastPrinted>2019-03-14T15:56:00Z</cp:lastPrinted>
  <dcterms:created xsi:type="dcterms:W3CDTF">2020-02-13T15:39:00Z</dcterms:created>
  <dcterms:modified xsi:type="dcterms:W3CDTF">2020-03-12T15:23:00Z</dcterms:modified>
</cp:coreProperties>
</file>