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F5" w:rsidRPr="00B701E8" w:rsidRDefault="004A76F5" w:rsidP="00493868">
      <w:pPr>
        <w:tabs>
          <w:tab w:val="left" w:pos="540"/>
        </w:tabs>
        <w:ind w:left="540" w:hanging="540"/>
        <w:jc w:val="center"/>
        <w:rPr>
          <w:b/>
          <w:sz w:val="24"/>
          <w:szCs w:val="24"/>
        </w:rPr>
      </w:pPr>
      <w:bookmarkStart w:id="0" w:name="_GoBack"/>
      <w:bookmarkEnd w:id="0"/>
      <w:r w:rsidRPr="00B701E8">
        <w:rPr>
          <w:b/>
          <w:sz w:val="24"/>
          <w:szCs w:val="24"/>
        </w:rPr>
        <w:t>SUPPORTING STATEMENT</w:t>
      </w:r>
    </w:p>
    <w:p w:rsidR="004A76F5" w:rsidRPr="00B701E8" w:rsidRDefault="004A76F5" w:rsidP="00493868">
      <w:pPr>
        <w:tabs>
          <w:tab w:val="left" w:pos="540"/>
        </w:tabs>
        <w:ind w:left="540" w:hanging="540"/>
        <w:jc w:val="center"/>
        <w:rPr>
          <w:b/>
          <w:sz w:val="24"/>
          <w:szCs w:val="24"/>
        </w:rPr>
      </w:pPr>
      <w:r w:rsidRPr="00B701E8">
        <w:rPr>
          <w:b/>
          <w:sz w:val="24"/>
          <w:szCs w:val="24"/>
        </w:rPr>
        <w:t>U.S. Department of Commerce</w:t>
      </w:r>
    </w:p>
    <w:p w:rsidR="004A76F5" w:rsidRDefault="004A76F5" w:rsidP="00493868">
      <w:pPr>
        <w:tabs>
          <w:tab w:val="left" w:pos="540"/>
        </w:tabs>
        <w:ind w:left="540" w:hanging="540"/>
        <w:jc w:val="center"/>
        <w:rPr>
          <w:b/>
          <w:sz w:val="24"/>
          <w:szCs w:val="24"/>
        </w:rPr>
      </w:pPr>
      <w:r w:rsidRPr="00B701E8">
        <w:rPr>
          <w:b/>
          <w:sz w:val="24"/>
          <w:szCs w:val="24"/>
        </w:rPr>
        <w:t>National Oceanic &amp; Atmospheric Administration</w:t>
      </w:r>
    </w:p>
    <w:p w:rsidR="007934DF" w:rsidRDefault="007934DF" w:rsidP="00493868">
      <w:pPr>
        <w:tabs>
          <w:tab w:val="left" w:pos="540"/>
        </w:tabs>
        <w:ind w:left="540" w:hanging="540"/>
        <w:jc w:val="center"/>
        <w:rPr>
          <w:b/>
          <w:sz w:val="24"/>
          <w:szCs w:val="24"/>
        </w:rPr>
      </w:pPr>
      <w:r>
        <w:rPr>
          <w:b/>
          <w:sz w:val="24"/>
          <w:szCs w:val="24"/>
        </w:rPr>
        <w:t>West Coast Region Vessel Monitoring System Requirement in the</w:t>
      </w:r>
    </w:p>
    <w:p w:rsidR="007934DF" w:rsidRPr="00B701E8" w:rsidRDefault="007934DF" w:rsidP="00493868">
      <w:pPr>
        <w:tabs>
          <w:tab w:val="left" w:pos="540"/>
        </w:tabs>
        <w:ind w:left="540" w:hanging="540"/>
        <w:jc w:val="center"/>
        <w:rPr>
          <w:b/>
          <w:sz w:val="24"/>
          <w:szCs w:val="24"/>
        </w:rPr>
      </w:pPr>
      <w:r>
        <w:rPr>
          <w:b/>
          <w:sz w:val="24"/>
          <w:szCs w:val="24"/>
        </w:rPr>
        <w:t>Pacific Coast Groundfish Fishery</w:t>
      </w:r>
    </w:p>
    <w:p w:rsidR="004A76F5" w:rsidRPr="00B701E8" w:rsidRDefault="000C0023" w:rsidP="00493868">
      <w:pPr>
        <w:tabs>
          <w:tab w:val="left" w:pos="540"/>
        </w:tabs>
        <w:ind w:left="540" w:hanging="540"/>
        <w:jc w:val="center"/>
        <w:rPr>
          <w:b/>
          <w:sz w:val="24"/>
          <w:szCs w:val="24"/>
        </w:rPr>
      </w:pPr>
      <w:r>
        <w:rPr>
          <w:b/>
          <w:sz w:val="24"/>
          <w:szCs w:val="24"/>
        </w:rPr>
        <w:t>OMB Control No. 0648-0573</w:t>
      </w:r>
    </w:p>
    <w:p w:rsidR="004F26E9" w:rsidRDefault="004F26E9" w:rsidP="00493868">
      <w:pPr>
        <w:tabs>
          <w:tab w:val="left" w:pos="540"/>
        </w:tabs>
        <w:ind w:left="540" w:hanging="540"/>
        <w:rPr>
          <w:sz w:val="24"/>
          <w:szCs w:val="24"/>
        </w:rPr>
      </w:pPr>
    </w:p>
    <w:p w:rsidR="004F26E9" w:rsidRDefault="004F26E9" w:rsidP="00493868">
      <w:pPr>
        <w:tabs>
          <w:tab w:val="left" w:pos="540"/>
        </w:tabs>
        <w:ind w:left="540" w:hanging="540"/>
        <w:rPr>
          <w:sz w:val="24"/>
          <w:szCs w:val="24"/>
        </w:rPr>
      </w:pPr>
    </w:p>
    <w:p w:rsidR="004F26E9" w:rsidRDefault="004F26E9" w:rsidP="00493868">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RDefault="004F26E9" w:rsidP="00493868">
      <w:pPr>
        <w:tabs>
          <w:tab w:val="left" w:pos="540"/>
        </w:tabs>
        <w:ind w:left="540" w:hanging="540"/>
        <w:rPr>
          <w:sz w:val="24"/>
          <w:szCs w:val="24"/>
        </w:rPr>
      </w:pPr>
    </w:p>
    <w:p w:rsidR="004F26E9" w:rsidRDefault="004F26E9" w:rsidP="00493868">
      <w:pPr>
        <w:tabs>
          <w:tab w:val="left" w:pos="540"/>
        </w:tabs>
        <w:ind w:left="540" w:hanging="540"/>
        <w:rPr>
          <w:sz w:val="24"/>
          <w:szCs w:val="24"/>
        </w:rPr>
        <w:sectPr w:rsidR="004F26E9" w:rsidSect="00493868">
          <w:footerReference w:type="default" r:id="rId9"/>
          <w:footnotePr>
            <w:numRestart w:val="eachSect"/>
          </w:footnotePr>
          <w:endnotePr>
            <w:numFmt w:val="decimal"/>
          </w:endnotePr>
          <w:type w:val="continuous"/>
          <w:pgSz w:w="12240" w:h="15840"/>
          <w:pgMar w:top="900" w:right="1440" w:bottom="1080" w:left="1440" w:header="720" w:footer="720" w:gutter="0"/>
          <w:cols w:space="720"/>
        </w:sectPr>
      </w:pPr>
    </w:p>
    <w:p w:rsidR="00E6174B" w:rsidRDefault="00493868" w:rsidP="00493868">
      <w:pPr>
        <w:tabs>
          <w:tab w:val="left" w:pos="540"/>
        </w:tabs>
        <w:ind w:left="540" w:hanging="540"/>
        <w:rPr>
          <w:b/>
          <w:bCs/>
          <w:sz w:val="24"/>
          <w:szCs w:val="24"/>
        </w:rPr>
      </w:pPr>
      <w:r>
        <w:rPr>
          <w:b/>
          <w:bCs/>
          <w:sz w:val="24"/>
          <w:szCs w:val="24"/>
        </w:rPr>
        <w:lastRenderedPageBreak/>
        <w:t>1.</w:t>
      </w:r>
      <w:r>
        <w:rPr>
          <w:b/>
          <w:bCs/>
          <w:sz w:val="24"/>
          <w:szCs w:val="24"/>
        </w:rPr>
        <w:tab/>
      </w:r>
      <w:r w:rsidR="004F26E9" w:rsidRPr="000A0540">
        <w:rPr>
          <w:b/>
          <w:bCs/>
          <w:sz w:val="24"/>
          <w:szCs w:val="24"/>
        </w:rPr>
        <w:t>Explain the circumstances that make the collection of information necessary</w:t>
      </w:r>
      <w:r w:rsidR="00E6174B">
        <w:rPr>
          <w:b/>
          <w:bCs/>
          <w:sz w:val="24"/>
          <w:szCs w:val="24"/>
        </w:rPr>
        <w:t>.</w:t>
      </w:r>
    </w:p>
    <w:p w:rsidR="004F26E9" w:rsidRPr="00E6174B" w:rsidRDefault="00E6174B" w:rsidP="00E6174B">
      <w:pPr>
        <w:tabs>
          <w:tab w:val="left" w:pos="540"/>
        </w:tabs>
        <w:ind w:left="540"/>
        <w:rPr>
          <w:sz w:val="24"/>
          <w:szCs w:val="24"/>
        </w:rPr>
      </w:pPr>
      <w:r>
        <w:rPr>
          <w:b/>
          <w:bCs/>
          <w:sz w:val="24"/>
          <w:szCs w:val="24"/>
        </w:rPr>
        <w:t>Cite all applicable authorities for this information collection.</w:t>
      </w:r>
    </w:p>
    <w:p w:rsidR="004F26E9" w:rsidRDefault="004F26E9" w:rsidP="0020448B">
      <w:pPr>
        <w:rPr>
          <w:sz w:val="24"/>
          <w:szCs w:val="24"/>
        </w:rPr>
      </w:pPr>
    </w:p>
    <w:p w:rsidR="00F25E2D" w:rsidRDefault="00F25E2D" w:rsidP="00F25E2D">
      <w:pPr>
        <w:rPr>
          <w:sz w:val="24"/>
          <w:szCs w:val="24"/>
        </w:rPr>
      </w:pPr>
      <w:r>
        <w:rPr>
          <w:sz w:val="24"/>
          <w:szCs w:val="24"/>
        </w:rPr>
        <w:t xml:space="preserve">This request is for a revision and extension of a currently approved collection of information. The title is changing from </w:t>
      </w:r>
      <w:r>
        <w:rPr>
          <w:i/>
          <w:sz w:val="24"/>
          <w:szCs w:val="24"/>
        </w:rPr>
        <w:t>Vessel Monitoring System Requirement in the Pacific Coast Groundfish Fishery</w:t>
      </w:r>
      <w:r>
        <w:rPr>
          <w:sz w:val="24"/>
          <w:szCs w:val="24"/>
        </w:rPr>
        <w:t xml:space="preserve"> to </w:t>
      </w:r>
      <w:r>
        <w:rPr>
          <w:i/>
          <w:sz w:val="24"/>
          <w:szCs w:val="24"/>
        </w:rPr>
        <w:t>West Coast Region Vessel Monitoring Requirement in the Pacific Coast Groundfish Fishery</w:t>
      </w:r>
      <w:r>
        <w:rPr>
          <w:sz w:val="24"/>
          <w:szCs w:val="24"/>
        </w:rPr>
        <w:t xml:space="preserve"> in order to more accurately describe the collection. </w:t>
      </w:r>
    </w:p>
    <w:p w:rsidR="00F25E2D" w:rsidRDefault="00F25E2D" w:rsidP="00F25E2D">
      <w:pPr>
        <w:rPr>
          <w:sz w:val="24"/>
          <w:szCs w:val="24"/>
        </w:rPr>
      </w:pPr>
    </w:p>
    <w:p w:rsidR="00F25E2D" w:rsidRDefault="00F25E2D" w:rsidP="00F25E2D">
      <w:pPr>
        <w:rPr>
          <w:b/>
          <w:sz w:val="24"/>
          <w:szCs w:val="24"/>
        </w:rPr>
      </w:pPr>
      <w:r>
        <w:rPr>
          <w:b/>
          <w:sz w:val="24"/>
          <w:szCs w:val="24"/>
        </w:rPr>
        <w:t>As part of Proposed Rule RIN: 0648-BI45, the National Oceanic and Atmospheric Administrations (NOAA) National Marine Fisheries Service (NMFS) proposes to revise reporting and monitoring provisions for vessels participating in the Pacific Coast groundfish fishery.  This proposal would increase the position transmission rate for certain vessels using NMFS type-approved vessel monitoring system units and add a declaration for “gear testing.”</w:t>
      </w:r>
    </w:p>
    <w:p w:rsidR="00F25E2D" w:rsidRDefault="00F25E2D" w:rsidP="00F25E2D">
      <w:pPr>
        <w:rPr>
          <w:sz w:val="24"/>
          <w:szCs w:val="24"/>
        </w:rPr>
      </w:pPr>
    </w:p>
    <w:p w:rsidR="00F25E2D" w:rsidRDefault="00F25E2D" w:rsidP="00F25E2D">
      <w:pPr>
        <w:rPr>
          <w:sz w:val="24"/>
          <w:szCs w:val="24"/>
        </w:rPr>
      </w:pPr>
      <w:r>
        <w:rPr>
          <w:sz w:val="24"/>
          <w:szCs w:val="24"/>
        </w:rPr>
        <w:t xml:space="preserve">The </w:t>
      </w:r>
      <w:hyperlink r:id="rId10" w:history="1">
        <w:r>
          <w:rPr>
            <w:rStyle w:val="Hyperlink"/>
            <w:sz w:val="24"/>
            <w:szCs w:val="24"/>
          </w:rPr>
          <w:t>Magnuson Stevens Fishery Conservation and Management Act</w:t>
        </w:r>
      </w:hyperlink>
      <w:r>
        <w:rPr>
          <w:sz w:val="24"/>
          <w:szCs w:val="24"/>
        </w:rPr>
        <w:t xml:space="preserve"> (Magnuson-Stevens Act) established regional fishery management councils, including the Pacific Fishery Management Council (Council), to develop fishery management plans for fisheries in the United States (U.S.) exclusive economic zone (EEZ).  The fishery management plans are intended to regulate fishing to ensure long-term productivity and achievement of optimum yield from the resources for the benefit of the nation.  These plans are implemented by Federal regulations which are enforced by the National Marine Fisheries Service (NMFS) and the United States Coast Guard (USCG), in cooperation with State agencies. </w:t>
      </w:r>
    </w:p>
    <w:p w:rsidR="00F25E2D" w:rsidRDefault="00F25E2D" w:rsidP="00F25E2D">
      <w:pPr>
        <w:rPr>
          <w:sz w:val="24"/>
          <w:szCs w:val="24"/>
        </w:rPr>
      </w:pPr>
    </w:p>
    <w:p w:rsidR="00F25E2D" w:rsidRDefault="00F25E2D" w:rsidP="00F25E2D">
      <w:pPr>
        <w:rPr>
          <w:sz w:val="24"/>
          <w:szCs w:val="24"/>
        </w:rPr>
      </w:pPr>
      <w:r>
        <w:rPr>
          <w:sz w:val="24"/>
          <w:szCs w:val="24"/>
        </w:rPr>
        <w:t>Traditional enforcement methods (such as aerial surveillance, boarding at sea via patrol boats, landing inspections and documentary investigation) are especially difficult to use when the closed areas are large-scale and the lines defining the areas are irregular. Furthermore, when management measures allow some gear types and target fishing in all or a portion of the conservation area, while other fishing activities are prohibited, it is difficult and costly to effectively enforce closures using traditional methods.  Scarce state and federal resources also limit the extent to which traditional enforcement methods can be used effectively.</w:t>
      </w:r>
    </w:p>
    <w:p w:rsidR="00F25E2D" w:rsidRDefault="00F25E2D" w:rsidP="00F25E2D">
      <w:pPr>
        <w:rPr>
          <w:sz w:val="24"/>
          <w:szCs w:val="24"/>
        </w:rPr>
      </w:pPr>
    </w:p>
    <w:p w:rsidR="00F25E2D" w:rsidRDefault="00F25E2D" w:rsidP="00F25E2D">
      <w:pPr>
        <w:rPr>
          <w:sz w:val="24"/>
          <w:szCs w:val="24"/>
        </w:rPr>
      </w:pPr>
      <w:r>
        <w:rPr>
          <w:sz w:val="24"/>
          <w:szCs w:val="24"/>
        </w:rPr>
        <w:t xml:space="preserve">The VMS units that have been type-approved for this fishery range in costs and service features.  This allows the vessel owner the flexibility in choosing the model that best fits the needs of their vessel. Vessels that have already purchased VMS transceiver units for other fisheries or personal purposes are allowed to retain existing VMS transceivers providing they are on the list of type-approved models and have been upgraded to the level required for the fishery. </w:t>
      </w:r>
    </w:p>
    <w:p w:rsidR="00F25E2D" w:rsidRDefault="00F25E2D" w:rsidP="00F25E2D">
      <w:pPr>
        <w:rPr>
          <w:sz w:val="24"/>
          <w:szCs w:val="24"/>
        </w:rPr>
      </w:pPr>
    </w:p>
    <w:p w:rsidR="00F25E2D" w:rsidRDefault="00F25E2D" w:rsidP="00F25E2D">
      <w:pPr>
        <w:rPr>
          <w:sz w:val="24"/>
          <w:szCs w:val="24"/>
        </w:rPr>
      </w:pPr>
      <w:r>
        <w:rPr>
          <w:sz w:val="24"/>
          <w:szCs w:val="24"/>
        </w:rPr>
        <w:t xml:space="preserve">To support the VMS monitoring program, the following information must be submitted to NMFS: 1) VMS installation/activation certification reports, 2) position reports, 3) exemption </w:t>
      </w:r>
      <w:r>
        <w:rPr>
          <w:sz w:val="24"/>
          <w:szCs w:val="24"/>
        </w:rPr>
        <w:lastRenderedPageBreak/>
        <w:t>reports, and 4) declaration reports</w:t>
      </w:r>
    </w:p>
    <w:p w:rsidR="00F25E2D" w:rsidRDefault="00F25E2D" w:rsidP="00F25E2D">
      <w:pPr>
        <w:rPr>
          <w:sz w:val="24"/>
          <w:szCs w:val="24"/>
        </w:rPr>
      </w:pPr>
    </w:p>
    <w:p w:rsidR="00F25E2D" w:rsidRDefault="00F25E2D" w:rsidP="00F25E2D">
      <w:pPr>
        <w:rPr>
          <w:sz w:val="24"/>
          <w:szCs w:val="24"/>
          <w:u w:val="single"/>
        </w:rPr>
      </w:pPr>
      <w:r>
        <w:rPr>
          <w:sz w:val="24"/>
          <w:szCs w:val="24"/>
          <w:u w:val="single"/>
        </w:rPr>
        <w:t>Installation/activation certification reports</w:t>
      </w:r>
      <w:r>
        <w:rPr>
          <w:sz w:val="24"/>
          <w:szCs w:val="24"/>
        </w:rPr>
        <w:t xml:space="preserve"> require vessel owners and operators to follow specific procedures when installing or re-installing a VMS transceiver unit.  Upon activation the VMS installer must complete, sign, and return the certification form to NMFS.  The form contains information on the VMS hardware and satellite communications services that are provided by private communications companies approved by NMFS.  The installation and activation reports request contact information from open access vessels only.  Vessels participating in the limited entry fishery are required to have permits registered to the vessels.  Contact information for vessels registered to limited entry permits are obtained from the permits database.  There are no federal permit requirements for open access fishery participants.</w:t>
      </w:r>
    </w:p>
    <w:p w:rsidR="00F25E2D" w:rsidRDefault="00F25E2D" w:rsidP="00F25E2D">
      <w:pPr>
        <w:rPr>
          <w:sz w:val="24"/>
          <w:szCs w:val="24"/>
          <w:u w:val="single"/>
        </w:rPr>
      </w:pPr>
    </w:p>
    <w:p w:rsidR="00F25E2D" w:rsidRDefault="00F25E2D" w:rsidP="00F25E2D">
      <w:pPr>
        <w:rPr>
          <w:b/>
          <w:sz w:val="24"/>
          <w:szCs w:val="24"/>
        </w:rPr>
      </w:pPr>
      <w:r>
        <w:rPr>
          <w:sz w:val="24"/>
          <w:szCs w:val="24"/>
          <w:u w:val="single"/>
        </w:rPr>
        <w:t>Position reports</w:t>
      </w:r>
      <w:r>
        <w:rPr>
          <w:sz w:val="24"/>
          <w:szCs w:val="24"/>
        </w:rPr>
        <w:t xml:space="preserve"> are automatically transmitted to NMFS via satellite once the VMS transceiver unit is installed and activated.  Vessels that are required to have VMS must operate the mobile transceiver unit continuously 24 hours a day throughout the fishing year, except when a valid exemption report has been received by NMFS.  The number of annual transmissions depends on the VMS transceiver that the vessel owner purchases and the number of fishing days per year in waters off the west coast. Many of the systems have a sleep function that automatically reduces the transmission reports when a vessel is in port. The sleep function allows for port stays without significant power drain or power shutdown. When the vessel goes to sea, the unit restarts and normal position transmissions automatically resume. Because the unit is continuously operable, NMFS may query the unit at any time to obtain a position report. </w:t>
      </w:r>
      <w:r>
        <w:rPr>
          <w:b/>
          <w:sz w:val="24"/>
          <w:szCs w:val="24"/>
        </w:rPr>
        <w:t xml:space="preserve">Under the proposed rule, signal transmissions for position reports will increase from once every hour to every 15 minutes. This increase will increase NMFS’s ability to enforce fishing activity around restricted areas. </w:t>
      </w:r>
    </w:p>
    <w:p w:rsidR="00F25E2D" w:rsidRDefault="00F25E2D" w:rsidP="00F25E2D">
      <w:pPr>
        <w:rPr>
          <w:sz w:val="24"/>
          <w:szCs w:val="24"/>
        </w:rPr>
      </w:pPr>
    </w:p>
    <w:p w:rsidR="00F25E2D" w:rsidRDefault="00F25E2D" w:rsidP="00F25E2D">
      <w:pPr>
        <w:rPr>
          <w:sz w:val="24"/>
          <w:szCs w:val="24"/>
        </w:rPr>
      </w:pPr>
      <w:r>
        <w:rPr>
          <w:sz w:val="24"/>
          <w:szCs w:val="24"/>
          <w:u w:val="single"/>
        </w:rPr>
        <w:t>Exemption reports</w:t>
      </w:r>
      <w:r>
        <w:rPr>
          <w:sz w:val="24"/>
          <w:szCs w:val="24"/>
        </w:rPr>
        <w:t xml:space="preserve"> are optional.  The exemption reports are sent by the vessel owner or operator when they want their vessel to be excused from the requirement to operate the mobile transceiver unit continuously 24 hours a day throughout the fishing year.  Such exemptions are only allowed for: vessels operating outside of the EEZ for more than 7 consecutive days, vessels that are continuously out of the water for more than 7 consecutive days, vessels that transfer the limited entry permit from the vessel and do not engage in any fishing off the west coast for the remainder of the year, vessels that depart the open access fishery for an extended period after the end of the fishing year, and for vessels that have had an emergency situation that resulted in vessel damage such as fire, flooding or other extensive physical damage that would require the VMS or power source to be disconnected.  A vessel may be exempted from the requirement to operate the mobile transceiver unit continuously 24 hours a day if a valid exemption report is received by NMFS, Office for Law Enforcement (OLE) and the vessel is in compliance with all conditions and requirements of the exemption. An exemption report is valid until a second exemption report is sent to cancel the existing exemption.</w:t>
      </w:r>
    </w:p>
    <w:p w:rsidR="00F25E2D" w:rsidRDefault="00F25E2D" w:rsidP="00F25E2D">
      <w:pPr>
        <w:rPr>
          <w:sz w:val="24"/>
          <w:szCs w:val="24"/>
        </w:rPr>
      </w:pPr>
    </w:p>
    <w:p w:rsidR="00F25E2D" w:rsidRDefault="00F25E2D" w:rsidP="00F25E2D">
      <w:pPr>
        <w:rPr>
          <w:b/>
          <w:sz w:val="24"/>
          <w:szCs w:val="24"/>
        </w:rPr>
      </w:pPr>
      <w:r>
        <w:rPr>
          <w:sz w:val="24"/>
          <w:szCs w:val="24"/>
          <w:u w:val="single"/>
        </w:rPr>
        <w:t>Declaration reports</w:t>
      </w:r>
      <w:r>
        <w:rPr>
          <w:sz w:val="24"/>
          <w:szCs w:val="24"/>
        </w:rPr>
        <w:t xml:space="preserve"> are submitted to NMFS OLE by telephone or email and are valid until revised by the vessel operator. Vessel operators making declaration reports receive a confirmation number that verifies that the reporting requirements were satisfied.  After a vessel has made a declaration report to NMFS and has been confirmed for a specific gear category, it cannot fish with any gear other than a gear type that has been declared for the vessel.  If a vessel </w:t>
      </w:r>
      <w:r>
        <w:rPr>
          <w:sz w:val="24"/>
          <w:szCs w:val="24"/>
        </w:rPr>
        <w:lastRenderedPageBreak/>
        <w:t xml:space="preserve">operator intends to use the vessel to fish in a different fishing category, a new declaration report must be submitted to revise the old declaration report. Declaration changes can be made while in port or at-sea. </w:t>
      </w:r>
      <w:r>
        <w:rPr>
          <w:b/>
          <w:sz w:val="24"/>
          <w:szCs w:val="24"/>
        </w:rPr>
        <w:t xml:space="preserve">Under the proposed rule, an additional declaration for “gear/equipment testing” will allow vessels an exemption from observer coverage while testing gear. </w:t>
      </w:r>
    </w:p>
    <w:p w:rsidR="00F25E2D" w:rsidRDefault="00F25E2D" w:rsidP="00F25E2D">
      <w:pPr>
        <w:rPr>
          <w:sz w:val="24"/>
          <w:szCs w:val="24"/>
        </w:rPr>
      </w:pPr>
    </w:p>
    <w:p w:rsidR="0020448B" w:rsidRDefault="00F25E2D" w:rsidP="0020448B">
      <w:pPr>
        <w:rPr>
          <w:sz w:val="24"/>
          <w:szCs w:val="24"/>
        </w:rPr>
      </w:pPr>
      <w:r>
        <w:rPr>
          <w:sz w:val="24"/>
          <w:szCs w:val="24"/>
        </w:rPr>
        <w:t xml:space="preserve">The requirements for this information collection are codified in </w:t>
      </w:r>
      <w:hyperlink r:id="rId11" w:history="1">
        <w:r>
          <w:rPr>
            <w:rStyle w:val="Hyperlink"/>
            <w:sz w:val="24"/>
            <w:szCs w:val="24"/>
          </w:rPr>
          <w:t>50 CFR 660.13</w:t>
        </w:r>
      </w:hyperlink>
      <w:r>
        <w:rPr>
          <w:sz w:val="24"/>
          <w:szCs w:val="24"/>
        </w:rPr>
        <w:t xml:space="preserve"> and </w:t>
      </w:r>
      <w:hyperlink r:id="rId12" w:history="1">
        <w:r>
          <w:rPr>
            <w:rStyle w:val="Hyperlink"/>
            <w:sz w:val="24"/>
            <w:szCs w:val="24"/>
          </w:rPr>
          <w:t>660.14</w:t>
        </w:r>
      </w:hyperlink>
      <w:r>
        <w:rPr>
          <w:sz w:val="24"/>
          <w:szCs w:val="24"/>
        </w:rPr>
        <w:t>, Recordkeeping and Reporting and VMS Requirements.</w:t>
      </w:r>
    </w:p>
    <w:p w:rsidR="00F25E2D" w:rsidRDefault="00F25E2D" w:rsidP="0020448B">
      <w:pPr>
        <w:rPr>
          <w:sz w:val="24"/>
          <w:szCs w:val="24"/>
        </w:rPr>
      </w:pPr>
    </w:p>
    <w:p w:rsidR="004F26E9" w:rsidRDefault="004F26E9" w:rsidP="0020448B">
      <w:pPr>
        <w:rPr>
          <w:sz w:val="24"/>
          <w:szCs w:val="24"/>
        </w:rPr>
      </w:pPr>
    </w:p>
    <w:p w:rsidR="00493868" w:rsidRDefault="00493868" w:rsidP="00493868">
      <w:pPr>
        <w:tabs>
          <w:tab w:val="left" w:pos="540"/>
        </w:tabs>
        <w:ind w:left="540" w:hanging="540"/>
        <w:rPr>
          <w:b/>
          <w:bCs/>
          <w:sz w:val="24"/>
          <w:szCs w:val="24"/>
        </w:rPr>
      </w:pPr>
      <w:r>
        <w:rPr>
          <w:b/>
          <w:bCs/>
          <w:sz w:val="24"/>
          <w:szCs w:val="24"/>
        </w:rPr>
        <w:t>2.</w:t>
      </w:r>
      <w:r>
        <w:rPr>
          <w:b/>
          <w:bCs/>
          <w:sz w:val="24"/>
          <w:szCs w:val="24"/>
        </w:rPr>
        <w:tab/>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Explain how, by whom, how frequently, and for what purpos</w:t>
      </w:r>
      <w:r w:rsidR="00F413AC">
        <w:rPr>
          <w:b/>
          <w:bCs/>
          <w:sz w:val="24"/>
          <w:szCs w:val="24"/>
        </w:rPr>
        <w:t>e the information will be used.</w:t>
      </w:r>
    </w:p>
    <w:p w:rsidR="004F26E9" w:rsidRDefault="00493868" w:rsidP="00493868">
      <w:pPr>
        <w:tabs>
          <w:tab w:val="left" w:pos="540"/>
        </w:tabs>
        <w:ind w:left="540" w:hanging="540"/>
        <w:rPr>
          <w:sz w:val="24"/>
          <w:szCs w:val="24"/>
        </w:rPr>
      </w:pPr>
      <w:r>
        <w:rPr>
          <w:b/>
          <w:bCs/>
          <w:sz w:val="24"/>
          <w:szCs w:val="24"/>
        </w:rPr>
        <w:tab/>
      </w:r>
      <w:r w:rsidR="004F26E9" w:rsidRPr="000A0540">
        <w:rPr>
          <w:szCs w:val="24"/>
          <w:lang w:val="en-CA"/>
        </w:rPr>
        <w:fldChar w:fldCharType="begin"/>
      </w:r>
      <w:r w:rsidR="004F26E9" w:rsidRPr="000A0540">
        <w:rPr>
          <w:szCs w:val="24"/>
          <w:lang w:val="en-CA"/>
        </w:rPr>
        <w:instrText xml:space="preserve"> SEQ CHAPTER \h \r 1</w:instrText>
      </w:r>
      <w:r w:rsidR="004F26E9" w:rsidRPr="000A0540">
        <w:rPr>
          <w:szCs w:val="24"/>
          <w:lang w:val="en-CA"/>
        </w:rPr>
        <w:fldChar w:fldCharType="end"/>
      </w:r>
      <w:r w:rsidR="004F26E9" w:rsidRPr="000A0540">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RDefault="004F26E9" w:rsidP="0020448B">
      <w:pPr>
        <w:rPr>
          <w:sz w:val="24"/>
          <w:szCs w:val="24"/>
        </w:rPr>
      </w:pPr>
    </w:p>
    <w:p w:rsidR="00F25E2D" w:rsidRDefault="00F25E2D" w:rsidP="00F25E2D">
      <w:pPr>
        <w:ind w:left="90"/>
        <w:rPr>
          <w:sz w:val="24"/>
          <w:szCs w:val="24"/>
        </w:rPr>
      </w:pPr>
      <w:r>
        <w:rPr>
          <w:sz w:val="24"/>
          <w:szCs w:val="24"/>
        </w:rPr>
        <w:tab/>
      </w:r>
      <w:r>
        <w:rPr>
          <w:sz w:val="24"/>
          <w:szCs w:val="24"/>
          <w:u w:val="single"/>
        </w:rPr>
        <w:t>Installation/activation certification reports</w:t>
      </w:r>
      <w:r>
        <w:rPr>
          <w:sz w:val="24"/>
          <w:szCs w:val="24"/>
        </w:rPr>
        <w:t xml:space="preserve"> are used by NMFS OLE to confirm that a type-approved VMS unit was installed according to the prescribed procedures and that service has been arranged with an approved communications service provider.  Activating the unit and requiring confirmation from NMFS OLE that automatic position reports are being received without error ensures the integrity of the monitoring program.  Each VMS transceiver unit has a unique transmission signal that needs to be linked with a specific vessel for processing position reports.</w:t>
      </w:r>
    </w:p>
    <w:p w:rsidR="00F25E2D" w:rsidRDefault="00F25E2D" w:rsidP="00F25E2D">
      <w:pPr>
        <w:rPr>
          <w:sz w:val="24"/>
          <w:szCs w:val="24"/>
        </w:rPr>
      </w:pPr>
    </w:p>
    <w:p w:rsidR="00F25E2D" w:rsidRDefault="00F25E2D" w:rsidP="00F25E2D">
      <w:pPr>
        <w:rPr>
          <w:sz w:val="24"/>
          <w:szCs w:val="24"/>
        </w:rPr>
      </w:pPr>
      <w:r>
        <w:rPr>
          <w:sz w:val="24"/>
          <w:szCs w:val="24"/>
        </w:rPr>
        <w:t>Vessels registered to limited entry permits are required to have contact information on file with NMFS.  However, vessels participating in the open access fisheries do not have federal permits.  Therefore, it is necessary to collect contact information from open access fishers.  Having contact information is necessary to provide conformation on the activation and in the event that there are problems with the VMS reports.  If there are transmission problems, NMFS will need to have ready access to contact information and installation information.  NMFS can then apply troubleshooting techniques and as necessary, contact the vessel operator and discern whether the problem is associated with the transmitting hardware or the service provider.</w:t>
      </w:r>
    </w:p>
    <w:p w:rsidR="00F25E2D" w:rsidRDefault="00F25E2D" w:rsidP="00F25E2D">
      <w:pPr>
        <w:rPr>
          <w:sz w:val="24"/>
          <w:szCs w:val="24"/>
        </w:rPr>
      </w:pPr>
    </w:p>
    <w:p w:rsidR="00F25E2D" w:rsidRDefault="00F25E2D" w:rsidP="00F25E2D">
      <w:pPr>
        <w:rPr>
          <w:sz w:val="24"/>
          <w:szCs w:val="24"/>
        </w:rPr>
      </w:pPr>
      <w:r>
        <w:rPr>
          <w:sz w:val="24"/>
          <w:szCs w:val="24"/>
        </w:rPr>
        <w:t>Vessel owners are required to provide these reports following initial installation and after a reinstallation or when the hardware or communications service provider changes. A vessel is expected to submit a report the first time it participates in a fishery where VMS is required. Because the service life of a VMS unit is approximately 4 years, respondents are expected to submit 1 report every 4 years.</w:t>
      </w:r>
    </w:p>
    <w:p w:rsidR="00F25E2D" w:rsidRDefault="00F25E2D" w:rsidP="00F25E2D">
      <w:pPr>
        <w:rPr>
          <w:sz w:val="24"/>
          <w:szCs w:val="24"/>
        </w:rPr>
      </w:pPr>
    </w:p>
    <w:p w:rsidR="00F25E2D" w:rsidRDefault="00F25E2D" w:rsidP="00F25E2D">
      <w:pPr>
        <w:rPr>
          <w:sz w:val="24"/>
          <w:szCs w:val="24"/>
        </w:rPr>
      </w:pPr>
      <w:r>
        <w:rPr>
          <w:sz w:val="24"/>
          <w:szCs w:val="24"/>
          <w:u w:val="single"/>
        </w:rPr>
        <w:t>Position reports</w:t>
      </w:r>
      <w:r>
        <w:rPr>
          <w:sz w:val="24"/>
          <w:szCs w:val="24"/>
        </w:rPr>
        <w:t xml:space="preserve"> are used by NMFS to maintain the integrity of large geographical areas where fishing activities are restricted. On a broad level, the VMS vessel location reports are a cost effective tool used to facilitate enforcement of time/area closures in the fishery. The position reports, are transmitted 24 hours per day throughout the fishing year (note: that some type-approved models have a sleep mode that automatically reduces the transmissions after an extended period of inactivity and resumes transmission when the vessel moves) and provide NMFS and USCG with real-time vessel location and activity information.  Position information will also be used by NMFS fishery managers to evaluate fishing effort and determine whether further management measures are needed to protect low abundance species.</w:t>
      </w:r>
    </w:p>
    <w:p w:rsidR="00F25E2D" w:rsidRDefault="00F25E2D" w:rsidP="00F25E2D">
      <w:pPr>
        <w:rPr>
          <w:sz w:val="24"/>
          <w:szCs w:val="24"/>
        </w:rPr>
      </w:pPr>
    </w:p>
    <w:p w:rsidR="00F25E2D" w:rsidRDefault="00F25E2D" w:rsidP="00F25E2D">
      <w:pPr>
        <w:rPr>
          <w:sz w:val="24"/>
          <w:szCs w:val="24"/>
        </w:rPr>
      </w:pPr>
      <w:r>
        <w:rPr>
          <w:sz w:val="24"/>
          <w:szCs w:val="24"/>
          <w:u w:val="single"/>
        </w:rPr>
        <w:t>Exemption reports</w:t>
      </w:r>
      <w:r>
        <w:rPr>
          <w:sz w:val="24"/>
          <w:szCs w:val="24"/>
        </w:rPr>
        <w:t xml:space="preserve"> are sent by the vessel owner or operator when they want their vessel to be excused from the requirement to operate the mobile transceiver unit continuously 24 hours a day throughout the fishing year. Exemption reports are optional.  The exemption reports allow flexibility to the industry participants while providing NMFS OLE with the information needed to determine why a position report is not being received from the vessel.  Approximately 500 vessels are projected to send 2 exemption reports each per year. The exemption reports allow flexibility to the industry participants while providing NMFS OLE with the information needed to determine why a position report is not being received from the vessel.</w:t>
      </w:r>
    </w:p>
    <w:p w:rsidR="00F25E2D" w:rsidRDefault="00F25E2D" w:rsidP="00F25E2D">
      <w:pPr>
        <w:rPr>
          <w:sz w:val="24"/>
          <w:szCs w:val="24"/>
        </w:rPr>
      </w:pPr>
    </w:p>
    <w:p w:rsidR="00F25E2D" w:rsidRDefault="00F25E2D" w:rsidP="00F25E2D">
      <w:pPr>
        <w:rPr>
          <w:sz w:val="24"/>
          <w:szCs w:val="24"/>
        </w:rPr>
      </w:pPr>
      <w:r>
        <w:rPr>
          <w:sz w:val="24"/>
          <w:szCs w:val="24"/>
          <w:u w:val="single"/>
        </w:rPr>
        <w:t>Declaration reports</w:t>
      </w:r>
      <w:r>
        <w:rPr>
          <w:sz w:val="24"/>
          <w:szCs w:val="24"/>
        </w:rPr>
        <w:t xml:space="preserve"> are used by NMFS OLE to identify the fisher’s intended use for the vessel and if the vessel will participate in a particular fishery with a specific gear.  Because area restrictions are specific to the gear type and target fisheries, declaration reports are needed to adequately assess the vessel’s activity in relation to the area restrictions. In addition to the groundfish fishery, there are numerous state and federal fisheries that occur in the EEZ off Washington, Oregon, and California. Because many of the groundfish vessels also participate in fisheries other than groundfish, during an enforcement flyover or from a VMS position report alone it is difficult to determine if they are fishing for groundfish or for a species and with a gear for which harvest is allowed in the closed area. Because groundfish regulations do not allow switching between fishing strategies on a single fishing trip, the declaration report can be used to affirm which regulations the participant is subject to on a particular fishing trip.  Similarly, the declaration system assists the West Coast Groundfish Observer Program and NMFS OLE to know what vessels should have observer coverage.  Therefore, a declaration report is necessary to identify what gear the vessel operator intends to use.</w:t>
      </w:r>
    </w:p>
    <w:p w:rsidR="00F25E2D" w:rsidRDefault="00F25E2D" w:rsidP="00F25E2D">
      <w:pPr>
        <w:rPr>
          <w:sz w:val="24"/>
          <w:szCs w:val="24"/>
        </w:rPr>
      </w:pPr>
    </w:p>
    <w:p w:rsidR="00F25E2D" w:rsidRDefault="00F25E2D" w:rsidP="00F25E2D">
      <w:pPr>
        <w:rPr>
          <w:sz w:val="24"/>
          <w:szCs w:val="24"/>
        </w:rPr>
      </w:pPr>
      <w:r>
        <w:rPr>
          <w:sz w:val="24"/>
          <w:szCs w:val="24"/>
        </w:rPr>
        <w:t>A single gear type is typically used for multiple trips.  Allowing each declaration report to be valid until a new declaration is made or until an exemption report is received reduces the reporting burden.  This information is used in combination with VMS to more efficiently and effectively direct the use of enforcement resources throughout the fishing year.  Each vessel is estimated to send up to 20 declaration reports per year.  The submission of declaration reports was initially proposed as per trip reports.  Following consultation with fishery participants, it was determined that the needs of NMFS OLE and the USCG could be met with less frequently made declaration reports.  Therefore, it was determined that a declaration report identifying the type of gear being used by a vessel would remain valid until revised by the vessel operator or an exemption report was sent.  This results in a significant reduction in the number of reports.</w:t>
      </w:r>
    </w:p>
    <w:p w:rsidR="00F25E2D" w:rsidRDefault="00F25E2D" w:rsidP="00F25E2D">
      <w:pPr>
        <w:rPr>
          <w:sz w:val="24"/>
          <w:szCs w:val="24"/>
        </w:rPr>
      </w:pPr>
    </w:p>
    <w:p w:rsidR="00F25E2D" w:rsidRDefault="00F25E2D" w:rsidP="00F25E2D">
      <w:pPr>
        <w:rPr>
          <w:sz w:val="24"/>
          <w:szCs w:val="24"/>
        </w:rPr>
      </w:pPr>
      <w:r>
        <w:rPr>
          <w:sz w:val="24"/>
          <w:szCs w:val="24"/>
        </w:rPr>
        <w:t xml:space="preserve">The National Oceanic and Atmospheric Administration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3" w:history="1">
        <w:r>
          <w:rPr>
            <w:rStyle w:val="Hyperlink"/>
            <w:sz w:val="24"/>
            <w:szCs w:val="24"/>
          </w:rPr>
          <w:t>Section 515 of Public Law 106-554</w:t>
        </w:r>
      </w:hyperlink>
      <w:r>
        <w:rPr>
          <w:sz w:val="24"/>
          <w:szCs w:val="24"/>
        </w:rPr>
        <w:t>.</w:t>
      </w:r>
    </w:p>
    <w:p w:rsidR="004F26E9" w:rsidRDefault="004F26E9" w:rsidP="00F25E2D">
      <w:pPr>
        <w:tabs>
          <w:tab w:val="left" w:pos="900"/>
        </w:tabs>
        <w:rPr>
          <w:sz w:val="24"/>
          <w:szCs w:val="24"/>
        </w:rPr>
      </w:pPr>
    </w:p>
    <w:p w:rsidR="004F26E9" w:rsidRDefault="004F26E9" w:rsidP="0020448B">
      <w:pPr>
        <w:rPr>
          <w:sz w:val="24"/>
          <w:szCs w:val="24"/>
        </w:rPr>
      </w:pPr>
    </w:p>
    <w:p w:rsidR="004F26E9" w:rsidRDefault="00493868" w:rsidP="00493868">
      <w:pPr>
        <w:tabs>
          <w:tab w:val="left" w:pos="540"/>
        </w:tabs>
        <w:ind w:left="540" w:hanging="540"/>
        <w:rPr>
          <w:sz w:val="24"/>
          <w:szCs w:val="24"/>
        </w:rPr>
      </w:pPr>
      <w:r>
        <w:rPr>
          <w:b/>
          <w:bCs/>
          <w:sz w:val="24"/>
          <w:szCs w:val="24"/>
        </w:rPr>
        <w:t>3.</w:t>
      </w:r>
      <w:r>
        <w:rPr>
          <w:b/>
          <w:bCs/>
          <w:sz w:val="24"/>
          <w:szCs w:val="24"/>
        </w:rPr>
        <w:tab/>
      </w:r>
      <w:r w:rsidR="004F26E9" w:rsidRPr="000A0540">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4F26E9" w:rsidRDefault="004F26E9" w:rsidP="0020448B">
      <w:pPr>
        <w:rPr>
          <w:sz w:val="24"/>
          <w:szCs w:val="24"/>
        </w:rPr>
      </w:pPr>
    </w:p>
    <w:p w:rsidR="00F25E2D" w:rsidRDefault="00F25E2D" w:rsidP="00F25E2D">
      <w:pPr>
        <w:rPr>
          <w:sz w:val="24"/>
          <w:szCs w:val="24"/>
        </w:rPr>
      </w:pPr>
      <w:r>
        <w:rPr>
          <w:sz w:val="24"/>
          <w:szCs w:val="24"/>
          <w:u w:val="single"/>
        </w:rPr>
        <w:t>Installation/activation certification reports</w:t>
      </w:r>
      <w:r>
        <w:rPr>
          <w:sz w:val="24"/>
          <w:szCs w:val="24"/>
        </w:rPr>
        <w:t xml:space="preserve"> are available on the internet. Due to the need for the owner’s signature, NMFS will use facsimile and email submission for the installation report. NMFS OLE will accept mailed submissions if the vessel owner prefers this method.</w:t>
      </w:r>
    </w:p>
    <w:p w:rsidR="00F25E2D" w:rsidRDefault="00F25E2D" w:rsidP="00F25E2D">
      <w:pPr>
        <w:rPr>
          <w:sz w:val="24"/>
          <w:szCs w:val="24"/>
        </w:rPr>
      </w:pPr>
    </w:p>
    <w:p w:rsidR="00F25E2D" w:rsidRDefault="00F25E2D" w:rsidP="00F25E2D">
      <w:pPr>
        <w:rPr>
          <w:sz w:val="24"/>
          <w:szCs w:val="24"/>
        </w:rPr>
      </w:pPr>
      <w:r>
        <w:rPr>
          <w:sz w:val="24"/>
          <w:szCs w:val="24"/>
          <w:u w:val="single"/>
        </w:rPr>
        <w:t>Position reports</w:t>
      </w:r>
      <w:r>
        <w:rPr>
          <w:sz w:val="24"/>
          <w:szCs w:val="24"/>
        </w:rPr>
        <w:t xml:space="preserve"> are automatically sent from VMS transceivers installed aboard vessels. The unit automatically determines the vessel’s location and transmits that position to a processing center via a communication satellite.  The VMS transceiver units type-approved for use in the Pacific Coast groundfish fishery include models that automatically reduce the number of transmissions, and thus the transmission costs after an extended period of inactivity by the vessel.  In addition, vessel owners may choose to take advantage of the VMS technology by linking personal computers to VMS transceiver units to improve communication (by adding email capacity) and add other services such as newspapers or weather reports.</w:t>
      </w:r>
    </w:p>
    <w:p w:rsidR="00F25E2D" w:rsidRDefault="00F25E2D" w:rsidP="00F25E2D">
      <w:pPr>
        <w:rPr>
          <w:sz w:val="24"/>
          <w:szCs w:val="24"/>
        </w:rPr>
      </w:pPr>
    </w:p>
    <w:p w:rsidR="004F26E9" w:rsidRDefault="00F25E2D" w:rsidP="0020448B">
      <w:pPr>
        <w:rPr>
          <w:sz w:val="24"/>
          <w:szCs w:val="24"/>
        </w:rPr>
      </w:pPr>
      <w:r>
        <w:rPr>
          <w:sz w:val="24"/>
          <w:szCs w:val="24"/>
          <w:u w:val="single"/>
        </w:rPr>
        <w:t>Exemption reports and Declaration reports</w:t>
      </w:r>
      <w:r>
        <w:rPr>
          <w:sz w:val="24"/>
          <w:szCs w:val="24"/>
        </w:rPr>
        <w:t xml:space="preserve"> are submitted by phone on a toll-free number or email.  This form of reporting, available 24 hours per day, creates minimal burden for fishermen reporting, as well as for NMFS staff entering information into the database where it can be used in reports to monitor fishing activity.  NMFS has prepared an example of a worksheet - not for submission to NMFS – that can be used by the caller to organize report information (available on the website).</w:t>
      </w:r>
    </w:p>
    <w:p w:rsidR="004F26E9" w:rsidRDefault="004F26E9" w:rsidP="0020448B">
      <w:pPr>
        <w:rPr>
          <w:sz w:val="24"/>
          <w:szCs w:val="24"/>
        </w:rPr>
      </w:pPr>
    </w:p>
    <w:p w:rsidR="004F26E9" w:rsidRDefault="00493868" w:rsidP="00493868">
      <w:pPr>
        <w:tabs>
          <w:tab w:val="left" w:pos="540"/>
        </w:tabs>
        <w:ind w:left="540" w:hanging="540"/>
        <w:rPr>
          <w:sz w:val="24"/>
          <w:szCs w:val="24"/>
        </w:rPr>
      </w:pPr>
      <w:r>
        <w:rPr>
          <w:b/>
          <w:bCs/>
          <w:sz w:val="24"/>
          <w:szCs w:val="24"/>
        </w:rPr>
        <w:t>4.</w:t>
      </w:r>
      <w:r>
        <w:rPr>
          <w:b/>
          <w:bCs/>
          <w:sz w:val="24"/>
          <w:szCs w:val="24"/>
        </w:rPr>
        <w:tab/>
      </w:r>
      <w:r w:rsidR="004F26E9" w:rsidRPr="000A0540">
        <w:rPr>
          <w:b/>
          <w:bCs/>
          <w:sz w:val="24"/>
          <w:szCs w:val="24"/>
        </w:rPr>
        <w:t>Describe efforts to identify duplication</w:t>
      </w:r>
      <w:r w:rsidR="004F26E9">
        <w:rPr>
          <w:b/>
          <w:bCs/>
          <w:sz w:val="24"/>
          <w:szCs w:val="24"/>
        </w:rPr>
        <w:t>.</w:t>
      </w:r>
    </w:p>
    <w:p w:rsidR="004F26E9" w:rsidRDefault="004F26E9" w:rsidP="0020448B">
      <w:pPr>
        <w:rPr>
          <w:sz w:val="24"/>
          <w:szCs w:val="24"/>
        </w:rPr>
      </w:pPr>
    </w:p>
    <w:p w:rsidR="004F26E9" w:rsidRDefault="00F25E2D" w:rsidP="0020448B">
      <w:pPr>
        <w:rPr>
          <w:sz w:val="24"/>
          <w:szCs w:val="24"/>
        </w:rPr>
      </w:pPr>
      <w:r>
        <w:rPr>
          <w:sz w:val="24"/>
          <w:szCs w:val="24"/>
        </w:rPr>
        <w:t>There are no alternate sources of this information or duplicative requirements.</w:t>
      </w:r>
    </w:p>
    <w:p w:rsidR="004F26E9" w:rsidRDefault="004F26E9" w:rsidP="0020448B">
      <w:pPr>
        <w:rPr>
          <w:sz w:val="24"/>
          <w:szCs w:val="24"/>
        </w:rPr>
      </w:pPr>
    </w:p>
    <w:p w:rsidR="004F26E9" w:rsidRDefault="00493868" w:rsidP="00493868">
      <w:pPr>
        <w:tabs>
          <w:tab w:val="left" w:pos="540"/>
        </w:tabs>
        <w:ind w:left="540" w:hanging="540"/>
        <w:rPr>
          <w:sz w:val="24"/>
          <w:szCs w:val="24"/>
        </w:rPr>
      </w:pPr>
      <w:r>
        <w:rPr>
          <w:b/>
          <w:bCs/>
          <w:sz w:val="24"/>
          <w:szCs w:val="24"/>
        </w:rPr>
        <w:t>5.</w:t>
      </w:r>
      <w:r>
        <w:rPr>
          <w:b/>
          <w:bCs/>
          <w:sz w:val="24"/>
          <w:szCs w:val="24"/>
        </w:rPr>
        <w:tab/>
      </w:r>
      <w:r w:rsidR="004F26E9" w:rsidRPr="000A0540">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RDefault="004F26E9" w:rsidP="0020448B">
      <w:pPr>
        <w:rPr>
          <w:sz w:val="24"/>
          <w:szCs w:val="24"/>
        </w:rPr>
      </w:pPr>
    </w:p>
    <w:p w:rsidR="004F26E9" w:rsidRDefault="00F25E2D" w:rsidP="0020448B">
      <w:pPr>
        <w:rPr>
          <w:sz w:val="24"/>
          <w:szCs w:val="24"/>
        </w:rPr>
      </w:pPr>
      <w:r>
        <w:rPr>
          <w:sz w:val="24"/>
          <w:szCs w:val="24"/>
        </w:rPr>
        <w:t xml:space="preserve">Most of the respondents qualify as small businesses.  The burden on fishery participant was considered and only the minimum data needed to monitor compliance with regulations are being requested from respondents. </w:t>
      </w:r>
    </w:p>
    <w:p w:rsidR="004F26E9" w:rsidRDefault="004F26E9" w:rsidP="0020448B">
      <w:pPr>
        <w:rPr>
          <w:sz w:val="24"/>
          <w:szCs w:val="24"/>
        </w:rPr>
      </w:pPr>
    </w:p>
    <w:p w:rsidR="004F26E9" w:rsidRDefault="00493868" w:rsidP="000C0023">
      <w:pPr>
        <w:tabs>
          <w:tab w:val="left" w:pos="540"/>
        </w:tabs>
        <w:ind w:left="540" w:hanging="540"/>
        <w:rPr>
          <w:sz w:val="24"/>
          <w:szCs w:val="24"/>
        </w:rPr>
      </w:pPr>
      <w:r>
        <w:rPr>
          <w:b/>
          <w:bCs/>
          <w:sz w:val="24"/>
          <w:szCs w:val="24"/>
        </w:rPr>
        <w:t>6.</w:t>
      </w:r>
      <w:r>
        <w:rPr>
          <w:b/>
          <w:bCs/>
          <w:sz w:val="24"/>
          <w:szCs w:val="24"/>
        </w:rPr>
        <w:tab/>
      </w:r>
      <w:r w:rsidR="004F26E9" w:rsidRPr="000A0540">
        <w:rPr>
          <w:b/>
          <w:bCs/>
          <w:sz w:val="24"/>
          <w:szCs w:val="24"/>
        </w:rPr>
        <w:t>Describe the consequences to the Federal program or policy activities if the collection is not conducted or is conducted less frequently</w:t>
      </w:r>
      <w:r w:rsidR="004F26E9">
        <w:rPr>
          <w:b/>
          <w:bCs/>
          <w:sz w:val="24"/>
          <w:szCs w:val="24"/>
        </w:rPr>
        <w:t>.</w:t>
      </w:r>
      <w:r w:rsidR="004F26E9">
        <w:rPr>
          <w:sz w:val="24"/>
          <w:szCs w:val="24"/>
        </w:rPr>
        <w:t xml:space="preserve"> </w:t>
      </w:r>
    </w:p>
    <w:p w:rsidR="004F26E9" w:rsidRDefault="004F26E9" w:rsidP="0020448B">
      <w:pPr>
        <w:rPr>
          <w:sz w:val="24"/>
          <w:szCs w:val="24"/>
        </w:rPr>
      </w:pPr>
    </w:p>
    <w:p w:rsidR="00F25E2D" w:rsidRDefault="00F25E2D" w:rsidP="00F25E2D">
      <w:pPr>
        <w:rPr>
          <w:sz w:val="24"/>
          <w:szCs w:val="24"/>
        </w:rPr>
      </w:pPr>
      <w:r>
        <w:rPr>
          <w:sz w:val="24"/>
          <w:szCs w:val="24"/>
          <w:u w:val="single"/>
        </w:rPr>
        <w:t>Installation/activation certification reports</w:t>
      </w:r>
      <w:r>
        <w:rPr>
          <w:sz w:val="24"/>
          <w:szCs w:val="24"/>
        </w:rPr>
        <w:t xml:space="preserve"> -- The use and submission of installation/activation certification reports is required once for the initial installation, and again for a re-installation or when the hardware or communications service provider changes. Less frequent reporting would prevent NMFS and the vessel operator from confirming that the system is functioning properly.</w:t>
      </w:r>
    </w:p>
    <w:p w:rsidR="00F25E2D" w:rsidRDefault="00F25E2D" w:rsidP="00F25E2D">
      <w:pPr>
        <w:rPr>
          <w:sz w:val="24"/>
          <w:szCs w:val="24"/>
        </w:rPr>
      </w:pPr>
    </w:p>
    <w:p w:rsidR="00F25E2D" w:rsidRDefault="00F25E2D" w:rsidP="00F25E2D">
      <w:pPr>
        <w:rPr>
          <w:sz w:val="24"/>
          <w:szCs w:val="24"/>
        </w:rPr>
      </w:pPr>
      <w:r>
        <w:rPr>
          <w:sz w:val="24"/>
          <w:szCs w:val="24"/>
          <w:u w:val="single"/>
        </w:rPr>
        <w:t>Position reports</w:t>
      </w:r>
      <w:r>
        <w:rPr>
          <w:sz w:val="24"/>
          <w:szCs w:val="24"/>
        </w:rPr>
        <w:t xml:space="preserve"> -- If the VMS was not operational, NMFS OLE agents and USCG would be tasked with monitoring closed areas via air and surface patrols. Because the USCG engages in multi-purpose missions, that include at sea surveillance of fisheries, homeland defense, search and rescue, and pollution response, monitoring efforts may be diverted from monitoring depth-based and EFH conservation areas. VMS provides a level of coverage that cannot be attained by these more traditional enforcement methods at a substantially lower cost.</w:t>
      </w:r>
    </w:p>
    <w:p w:rsidR="00F25E2D" w:rsidRDefault="00F25E2D" w:rsidP="00F25E2D">
      <w:pPr>
        <w:rPr>
          <w:sz w:val="24"/>
          <w:szCs w:val="24"/>
        </w:rPr>
      </w:pPr>
    </w:p>
    <w:p w:rsidR="00F25E2D" w:rsidRDefault="00F25E2D" w:rsidP="00F25E2D">
      <w:pPr>
        <w:rPr>
          <w:sz w:val="24"/>
          <w:szCs w:val="24"/>
        </w:rPr>
      </w:pPr>
      <w:r>
        <w:rPr>
          <w:sz w:val="24"/>
          <w:szCs w:val="24"/>
        </w:rPr>
        <w:t xml:space="preserve">A more liberal depth-based management regime is only possible if the integrity of the depth-based </w:t>
      </w:r>
      <w:r w:rsidR="00CE005A">
        <w:rPr>
          <w:sz w:val="24"/>
          <w:szCs w:val="24"/>
        </w:rPr>
        <w:t>Rockfish Conservation Areas (</w:t>
      </w:r>
      <w:r>
        <w:rPr>
          <w:sz w:val="24"/>
          <w:szCs w:val="24"/>
        </w:rPr>
        <w:t>RCAs</w:t>
      </w:r>
      <w:r w:rsidR="00CE005A">
        <w:rPr>
          <w:sz w:val="24"/>
          <w:szCs w:val="24"/>
        </w:rPr>
        <w:t>)</w:t>
      </w:r>
      <w:r>
        <w:rPr>
          <w:sz w:val="24"/>
          <w:szCs w:val="24"/>
        </w:rPr>
        <w:t xml:space="preserve"> can be ensured.  Without VMS it is likely that the depth-based management strategies are discontinued. VMS is necessary to ensure the integrity of the RCAs. If this were the case, the management structure would revert back to very restrictive limits on healthy stocks in order to protect low abundance species.</w:t>
      </w:r>
    </w:p>
    <w:p w:rsidR="00F25E2D" w:rsidRDefault="00F25E2D" w:rsidP="00F25E2D">
      <w:pPr>
        <w:rPr>
          <w:sz w:val="24"/>
          <w:szCs w:val="24"/>
        </w:rPr>
      </w:pPr>
    </w:p>
    <w:p w:rsidR="00F25E2D" w:rsidRDefault="00F25E2D" w:rsidP="00F25E2D">
      <w:pPr>
        <w:rPr>
          <w:sz w:val="24"/>
          <w:szCs w:val="24"/>
        </w:rPr>
      </w:pPr>
      <w:r>
        <w:rPr>
          <w:sz w:val="24"/>
          <w:szCs w:val="24"/>
        </w:rPr>
        <w:t xml:space="preserve">Vessels are required to transmit signals once every 15 minutes. Less frequent position reports would be ineffective in deterring the illegal activity. Along some areas of the coast, the RCAs and </w:t>
      </w:r>
      <w:r w:rsidR="00CE005A">
        <w:rPr>
          <w:sz w:val="24"/>
          <w:szCs w:val="24"/>
        </w:rPr>
        <w:t>Essential Fish Habitat (</w:t>
      </w:r>
      <w:r>
        <w:rPr>
          <w:sz w:val="24"/>
          <w:szCs w:val="24"/>
        </w:rPr>
        <w:t>EFH</w:t>
      </w:r>
      <w:r w:rsidR="00CE005A">
        <w:rPr>
          <w:sz w:val="24"/>
          <w:szCs w:val="24"/>
        </w:rPr>
        <w:t>)</w:t>
      </w:r>
      <w:r>
        <w:rPr>
          <w:sz w:val="24"/>
          <w:szCs w:val="24"/>
        </w:rPr>
        <w:t xml:space="preserve"> areas are narrow or prime fishing grounds are near the boundary line.  If reports were less frequently it would be possible for some vessels to fish within the restricted areas without being detected.  This would undermine the integrity of the RCAs.</w:t>
      </w:r>
    </w:p>
    <w:p w:rsidR="00F25E2D" w:rsidRDefault="00F25E2D" w:rsidP="00F25E2D">
      <w:pPr>
        <w:rPr>
          <w:sz w:val="24"/>
          <w:szCs w:val="24"/>
        </w:rPr>
      </w:pPr>
    </w:p>
    <w:p w:rsidR="00F25E2D" w:rsidRDefault="00F25E2D" w:rsidP="00F25E2D">
      <w:pPr>
        <w:rPr>
          <w:sz w:val="24"/>
          <w:szCs w:val="24"/>
        </w:rPr>
      </w:pPr>
      <w:r>
        <w:rPr>
          <w:sz w:val="24"/>
          <w:szCs w:val="24"/>
          <w:u w:val="single"/>
        </w:rPr>
        <w:t>Exemption reports</w:t>
      </w:r>
      <w:r>
        <w:rPr>
          <w:sz w:val="24"/>
          <w:szCs w:val="24"/>
        </w:rPr>
        <w:t xml:space="preserve"> allow vessels to reduce or discontinue the VMS signal under specific conditions.  If the reporting frequency were reduced, VMS signals would have to continue 24 hours per day throughout the calendar year.  The reporting frequency has been reduced to the minimum amount needed to maintain the integrity of the RCAs.</w:t>
      </w:r>
    </w:p>
    <w:p w:rsidR="00F25E2D" w:rsidRDefault="00F25E2D" w:rsidP="00F25E2D">
      <w:pPr>
        <w:rPr>
          <w:sz w:val="24"/>
          <w:szCs w:val="24"/>
        </w:rPr>
      </w:pPr>
    </w:p>
    <w:p w:rsidR="00F25E2D" w:rsidRDefault="00F25E2D" w:rsidP="00F25E2D">
      <w:pPr>
        <w:rPr>
          <w:sz w:val="24"/>
          <w:szCs w:val="24"/>
        </w:rPr>
      </w:pPr>
      <w:r>
        <w:rPr>
          <w:sz w:val="24"/>
          <w:szCs w:val="24"/>
          <w:u w:val="single"/>
        </w:rPr>
        <w:t>Declaration reports</w:t>
      </w:r>
      <w:r>
        <w:rPr>
          <w:sz w:val="24"/>
          <w:szCs w:val="24"/>
        </w:rPr>
        <w:t xml:space="preserve"> are needed to determine if the vessels is engaged in an activity (i.e., fishing, transiting, research, or gear testing) that is allowed or prohibited in the closed area.  The declaration reports allow traditional enforcement resources to be directed towards RCA or EFHCA incursions efficiently and effectively throughout the fishing year.  The reporting frequency has been reduced to the minimum amount needed to maintain the integrity of the RCAs.  In addition, the declaration reports are needed to identify a vessel’s intent to participate in a fishery with a specific gear. Groundfish regulations allow switching between fishing strategies on a single fishing trip so the declaration report can be used to affirm which regulations the participant is subject to on a particular fishing trip.  Thus, the declaration report helps support enforcement efforts for participants that are not following the regulations for the fishery they have declared.  Similarly, the declaration system assists the West Coast Groundfish Observer Program and NMFS OLE to know what vessels should have observer coverage.  Therefore, a declaration report is necessary to identify what gear the vessel operator intends to use or if a vessel is testing gear.</w:t>
      </w:r>
    </w:p>
    <w:p w:rsidR="004F26E9" w:rsidRDefault="004F26E9" w:rsidP="0020448B">
      <w:pPr>
        <w:rPr>
          <w:sz w:val="24"/>
          <w:szCs w:val="24"/>
        </w:rPr>
      </w:pPr>
    </w:p>
    <w:p w:rsidR="004F26E9" w:rsidRDefault="00493868" w:rsidP="00493868">
      <w:pPr>
        <w:tabs>
          <w:tab w:val="left" w:pos="540"/>
        </w:tabs>
        <w:ind w:left="540" w:hanging="540"/>
        <w:rPr>
          <w:sz w:val="24"/>
          <w:szCs w:val="24"/>
        </w:rPr>
      </w:pPr>
      <w:r>
        <w:rPr>
          <w:b/>
          <w:bCs/>
          <w:sz w:val="24"/>
          <w:szCs w:val="24"/>
        </w:rPr>
        <w:t>7.</w:t>
      </w:r>
      <w:r>
        <w:rPr>
          <w:b/>
          <w:bCs/>
          <w:sz w:val="24"/>
          <w:szCs w:val="24"/>
        </w:rPr>
        <w:tab/>
      </w:r>
      <w:r w:rsidR="004F26E9" w:rsidRPr="000A0540">
        <w:rPr>
          <w:b/>
          <w:bCs/>
          <w:sz w:val="24"/>
          <w:szCs w:val="24"/>
        </w:rPr>
        <w:t>Explain any special circumstances that require the collection to be conducted in a manner inconsistent with OMB guidelines.</w:t>
      </w:r>
      <w:r w:rsidR="004F26E9">
        <w:rPr>
          <w:b/>
          <w:bCs/>
          <w:sz w:val="24"/>
          <w:szCs w:val="24"/>
        </w:rPr>
        <w:t xml:space="preserve"> </w:t>
      </w:r>
    </w:p>
    <w:p w:rsidR="00F25E2D" w:rsidRDefault="00F25E2D" w:rsidP="00F25E2D">
      <w:pPr>
        <w:rPr>
          <w:sz w:val="24"/>
          <w:szCs w:val="24"/>
        </w:rPr>
      </w:pPr>
    </w:p>
    <w:p w:rsidR="00F25E2D" w:rsidRDefault="00F25E2D" w:rsidP="00F25E2D">
      <w:pPr>
        <w:rPr>
          <w:sz w:val="24"/>
          <w:szCs w:val="24"/>
        </w:rPr>
      </w:pPr>
      <w:r>
        <w:rPr>
          <w:sz w:val="24"/>
          <w:szCs w:val="24"/>
        </w:rPr>
        <w:t>The collection is consistent with OMB guidelines.</w:t>
      </w:r>
    </w:p>
    <w:p w:rsidR="004F26E9" w:rsidRDefault="004F26E9" w:rsidP="00CD5390">
      <w:pPr>
        <w:rPr>
          <w:sz w:val="24"/>
          <w:szCs w:val="24"/>
        </w:rPr>
      </w:pPr>
    </w:p>
    <w:p w:rsidR="00725C5C" w:rsidRDefault="00725C5C" w:rsidP="00CD5390">
      <w:pPr>
        <w:rPr>
          <w:b/>
          <w:bCs/>
          <w:sz w:val="24"/>
          <w:szCs w:val="24"/>
        </w:rPr>
      </w:pPr>
    </w:p>
    <w:p w:rsidR="00493868" w:rsidRDefault="00493868" w:rsidP="00493868">
      <w:pPr>
        <w:tabs>
          <w:tab w:val="left" w:pos="540"/>
        </w:tabs>
        <w:ind w:left="540" w:hanging="540"/>
        <w:rPr>
          <w:b/>
          <w:bCs/>
          <w:sz w:val="24"/>
          <w:szCs w:val="24"/>
        </w:rPr>
      </w:pPr>
      <w:r>
        <w:rPr>
          <w:b/>
          <w:bCs/>
          <w:sz w:val="24"/>
          <w:szCs w:val="24"/>
        </w:rPr>
        <w:t>8.</w:t>
      </w:r>
      <w:r>
        <w:rPr>
          <w:b/>
          <w:bCs/>
          <w:sz w:val="24"/>
          <w:szCs w:val="24"/>
        </w:rPr>
        <w:tab/>
      </w:r>
      <w:r w:rsidR="004F26E9" w:rsidRPr="000A0540">
        <w:rPr>
          <w:b/>
          <w:bCs/>
          <w:sz w:val="24"/>
          <w:szCs w:val="24"/>
        </w:rPr>
        <w:t xml:space="preserve">Provide </w:t>
      </w:r>
      <w:r w:rsidR="00107F5D" w:rsidRPr="000A0540">
        <w:rPr>
          <w:b/>
          <w:bCs/>
          <w:sz w:val="24"/>
          <w:szCs w:val="24"/>
        </w:rPr>
        <w:t>information on</w:t>
      </w:r>
      <w:r w:rsidR="004F26E9" w:rsidRPr="000A0540">
        <w:rPr>
          <w:b/>
          <w:bCs/>
          <w:sz w:val="24"/>
          <w:szCs w:val="24"/>
        </w:rPr>
        <w:t xml:space="preserve"> the PRA Federal Register </w:t>
      </w:r>
      <w:r w:rsidR="001E6F72" w:rsidRPr="000A0540">
        <w:rPr>
          <w:b/>
          <w:bCs/>
          <w:sz w:val="24"/>
          <w:szCs w:val="24"/>
        </w:rPr>
        <w:t>N</w:t>
      </w:r>
      <w:r w:rsidR="004F26E9" w:rsidRPr="000A0540">
        <w:rPr>
          <w:b/>
          <w:bCs/>
          <w:sz w:val="24"/>
          <w:szCs w:val="24"/>
        </w:rPr>
        <w:t>otice that solicited public comments on the information collection prior to this submission.</w:t>
      </w:r>
    </w:p>
    <w:p w:rsidR="00493868" w:rsidRPr="00493868" w:rsidRDefault="004F26E9" w:rsidP="00493868">
      <w:pPr>
        <w:pStyle w:val="ListParagraph"/>
        <w:numPr>
          <w:ilvl w:val="0"/>
          <w:numId w:val="1"/>
        </w:numPr>
        <w:tabs>
          <w:tab w:val="left" w:pos="540"/>
        </w:tabs>
        <w:ind w:left="900"/>
        <w:rPr>
          <w:b/>
          <w:bCs/>
          <w:sz w:val="24"/>
          <w:szCs w:val="24"/>
        </w:rPr>
      </w:pPr>
      <w:r w:rsidRPr="00493868">
        <w:rPr>
          <w:b/>
          <w:bCs/>
          <w:sz w:val="24"/>
          <w:szCs w:val="24"/>
        </w:rPr>
        <w:t>Summarize the public comments received in response to that notice and describe the actions taken by the agency in response to those comments.</w:t>
      </w:r>
    </w:p>
    <w:p w:rsidR="004F26E9" w:rsidRPr="00493868" w:rsidRDefault="004F26E9" w:rsidP="00493868">
      <w:pPr>
        <w:pStyle w:val="ListParagraph"/>
        <w:numPr>
          <w:ilvl w:val="0"/>
          <w:numId w:val="1"/>
        </w:numPr>
        <w:tabs>
          <w:tab w:val="left" w:pos="540"/>
        </w:tabs>
        <w:ind w:left="900"/>
        <w:rPr>
          <w:sz w:val="24"/>
          <w:szCs w:val="24"/>
        </w:rPr>
      </w:pPr>
      <w:r w:rsidRPr="00493868">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F26E9" w:rsidRDefault="004F26E9" w:rsidP="00CD5390">
      <w:pPr>
        <w:rPr>
          <w:sz w:val="24"/>
          <w:szCs w:val="24"/>
        </w:rPr>
      </w:pPr>
    </w:p>
    <w:p w:rsidR="00F25E2D" w:rsidRDefault="00F25E2D" w:rsidP="00F25E2D">
      <w:pPr>
        <w:pStyle w:val="ListParagraph"/>
        <w:ind w:left="0"/>
        <w:rPr>
          <w:sz w:val="24"/>
          <w:szCs w:val="24"/>
        </w:rPr>
      </w:pPr>
      <w:r>
        <w:rPr>
          <w:sz w:val="24"/>
          <w:szCs w:val="24"/>
        </w:rPr>
        <w:t xml:space="preserve">A proposed rule (RIN: 0648-BI45) will be published coincident with this request. </w:t>
      </w:r>
    </w:p>
    <w:p w:rsidR="00493868" w:rsidRDefault="00493868" w:rsidP="00CD5390">
      <w:pPr>
        <w:rPr>
          <w:sz w:val="24"/>
          <w:szCs w:val="24"/>
        </w:rPr>
      </w:pPr>
    </w:p>
    <w:p w:rsidR="00493868" w:rsidRDefault="00493868" w:rsidP="00CD5390">
      <w:pPr>
        <w:rPr>
          <w:sz w:val="24"/>
          <w:szCs w:val="24"/>
        </w:rPr>
      </w:pPr>
    </w:p>
    <w:p w:rsidR="004F26E9" w:rsidRDefault="00493868" w:rsidP="00493868">
      <w:pPr>
        <w:tabs>
          <w:tab w:val="left" w:pos="540"/>
        </w:tabs>
        <w:ind w:left="540" w:hanging="540"/>
        <w:rPr>
          <w:sz w:val="24"/>
          <w:szCs w:val="24"/>
        </w:rPr>
      </w:pPr>
      <w:r>
        <w:rPr>
          <w:b/>
          <w:bCs/>
          <w:sz w:val="24"/>
          <w:szCs w:val="24"/>
        </w:rPr>
        <w:t>9.</w:t>
      </w:r>
      <w:r>
        <w:rPr>
          <w:b/>
          <w:bCs/>
          <w:sz w:val="24"/>
          <w:szCs w:val="24"/>
        </w:rPr>
        <w:tab/>
      </w:r>
      <w:r w:rsidR="004F26E9" w:rsidRPr="000A0540">
        <w:rPr>
          <w:b/>
          <w:bCs/>
          <w:sz w:val="24"/>
          <w:szCs w:val="24"/>
        </w:rPr>
        <w:t>Explain any decisions to provide payments or gifts to respondents, other than remuneration of contractors or grantees.</w:t>
      </w:r>
    </w:p>
    <w:p w:rsidR="004F26E9" w:rsidRDefault="004F26E9" w:rsidP="00CD5390">
      <w:pPr>
        <w:rPr>
          <w:sz w:val="24"/>
          <w:szCs w:val="24"/>
        </w:rPr>
      </w:pPr>
    </w:p>
    <w:p w:rsidR="004F26E9" w:rsidRDefault="00F25E2D" w:rsidP="00CD5390">
      <w:pPr>
        <w:rPr>
          <w:sz w:val="24"/>
          <w:szCs w:val="24"/>
        </w:rPr>
      </w:pPr>
      <w:r>
        <w:rPr>
          <w:sz w:val="24"/>
          <w:szCs w:val="24"/>
        </w:rPr>
        <w:t>No payments or gifts are provided under this program at this time.</w:t>
      </w:r>
    </w:p>
    <w:p w:rsidR="004F26E9" w:rsidRDefault="004F26E9" w:rsidP="00CD5390">
      <w:pPr>
        <w:rPr>
          <w:sz w:val="24"/>
          <w:szCs w:val="24"/>
        </w:rPr>
      </w:pPr>
    </w:p>
    <w:p w:rsidR="004F26E9" w:rsidRDefault="00493868" w:rsidP="00493868">
      <w:pPr>
        <w:tabs>
          <w:tab w:val="left" w:pos="540"/>
        </w:tabs>
        <w:ind w:left="540" w:hanging="540"/>
        <w:rPr>
          <w:sz w:val="24"/>
          <w:szCs w:val="24"/>
        </w:rPr>
      </w:pPr>
      <w:r>
        <w:rPr>
          <w:b/>
          <w:bCs/>
          <w:sz w:val="24"/>
          <w:szCs w:val="24"/>
        </w:rPr>
        <w:t>10.</w:t>
      </w:r>
      <w:r>
        <w:rPr>
          <w:b/>
          <w:bCs/>
          <w:sz w:val="24"/>
          <w:szCs w:val="24"/>
        </w:rPr>
        <w:tab/>
      </w:r>
      <w:r w:rsidR="004F26E9" w:rsidRPr="000A0540">
        <w:rPr>
          <w:b/>
          <w:bCs/>
          <w:sz w:val="24"/>
          <w:szCs w:val="24"/>
        </w:rPr>
        <w:t>Describe any assurance of confidentiality provided to respondents and the basis for assurance in statute, regulation, or agency policy.</w:t>
      </w:r>
    </w:p>
    <w:p w:rsidR="004F26E9" w:rsidRDefault="004F26E9" w:rsidP="00CD5390">
      <w:pPr>
        <w:rPr>
          <w:sz w:val="24"/>
          <w:szCs w:val="24"/>
        </w:rPr>
      </w:pPr>
    </w:p>
    <w:p w:rsidR="004F26E9" w:rsidRDefault="00F25E2D" w:rsidP="00CD5390">
      <w:pPr>
        <w:rPr>
          <w:sz w:val="24"/>
          <w:szCs w:val="24"/>
        </w:rPr>
      </w:pPr>
      <w:r>
        <w:rPr>
          <w:sz w:val="24"/>
          <w:szCs w:val="24"/>
        </w:rPr>
        <w:t xml:space="preserve">Efforts were made in the design of the VMS program to ensure security of all individual vessel location data, including analysis and storage.  The system includes measures to minimize the risk of direct or inadvertent disclosure of fishing location information.  In addition, VMS data is considered confidential under </w:t>
      </w:r>
      <w:hyperlink r:id="rId14" w:history="1">
        <w:r>
          <w:rPr>
            <w:rStyle w:val="Hyperlink"/>
            <w:sz w:val="24"/>
            <w:szCs w:val="24"/>
          </w:rPr>
          <w:t>NOAA Administrative Order 216-100</w:t>
        </w:r>
      </w:hyperlink>
      <w:r>
        <w:rPr>
          <w:sz w:val="24"/>
          <w:szCs w:val="24"/>
        </w:rPr>
        <w:t>, Confidentiality of Fishery Statistics, and is subject to the confidentiality protection of Section 402 of the Magnuson-Stevens Act.</w:t>
      </w:r>
    </w:p>
    <w:p w:rsidR="004F26E9" w:rsidRDefault="004F26E9" w:rsidP="00CD5390">
      <w:pPr>
        <w:rPr>
          <w:sz w:val="24"/>
          <w:szCs w:val="24"/>
        </w:rPr>
      </w:pPr>
    </w:p>
    <w:p w:rsidR="004F26E9" w:rsidRDefault="00493868" w:rsidP="000C0023">
      <w:pPr>
        <w:tabs>
          <w:tab w:val="left" w:pos="540"/>
        </w:tabs>
        <w:ind w:left="540" w:hanging="540"/>
        <w:rPr>
          <w:sz w:val="24"/>
          <w:szCs w:val="24"/>
        </w:rPr>
      </w:pPr>
      <w:r>
        <w:rPr>
          <w:b/>
          <w:bCs/>
          <w:sz w:val="24"/>
          <w:szCs w:val="24"/>
        </w:rPr>
        <w:t>11.</w:t>
      </w:r>
      <w:r>
        <w:rPr>
          <w:b/>
          <w:bCs/>
          <w:sz w:val="24"/>
          <w:szCs w:val="24"/>
        </w:rPr>
        <w:tab/>
      </w:r>
      <w:r w:rsidR="004F26E9" w:rsidRPr="000A0540">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RDefault="004F26E9" w:rsidP="00CD5390">
      <w:pPr>
        <w:rPr>
          <w:sz w:val="24"/>
          <w:szCs w:val="24"/>
        </w:rPr>
      </w:pPr>
    </w:p>
    <w:p w:rsidR="00F25E2D" w:rsidRDefault="00F25E2D" w:rsidP="00F25E2D">
      <w:pPr>
        <w:rPr>
          <w:sz w:val="24"/>
          <w:szCs w:val="24"/>
        </w:rPr>
      </w:pPr>
      <w:r>
        <w:rPr>
          <w:sz w:val="24"/>
          <w:szCs w:val="24"/>
        </w:rPr>
        <w:t>No questions of a sensitive nature are asked.</w:t>
      </w:r>
    </w:p>
    <w:p w:rsidR="00CA2B37" w:rsidRDefault="00CA2B37" w:rsidP="00CD5390">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4F26E9" w:rsidRDefault="00493868" w:rsidP="00493868">
      <w:pPr>
        <w:tabs>
          <w:tab w:val="left" w:pos="540"/>
        </w:tabs>
        <w:ind w:left="540" w:hanging="540"/>
        <w:rPr>
          <w:b/>
          <w:bCs/>
          <w:sz w:val="24"/>
          <w:szCs w:val="24"/>
        </w:rPr>
      </w:pPr>
      <w:r>
        <w:rPr>
          <w:b/>
          <w:bCs/>
          <w:sz w:val="24"/>
          <w:szCs w:val="24"/>
        </w:rPr>
        <w:t>12.</w:t>
      </w:r>
      <w:r>
        <w:rPr>
          <w:b/>
          <w:bCs/>
          <w:sz w:val="24"/>
          <w:szCs w:val="24"/>
        </w:rPr>
        <w:tab/>
      </w:r>
      <w:r w:rsidR="004F26E9" w:rsidRPr="000A0540">
        <w:rPr>
          <w:b/>
          <w:bCs/>
          <w:sz w:val="24"/>
          <w:szCs w:val="24"/>
        </w:rPr>
        <w:t>Provide an estimate in hours of the burden of the collection of information</w:t>
      </w:r>
      <w:r w:rsidR="004F26E9">
        <w:rPr>
          <w:b/>
          <w:bCs/>
          <w:sz w:val="24"/>
          <w:szCs w:val="24"/>
        </w:rPr>
        <w:t>.</w:t>
      </w:r>
      <w:r w:rsidR="00557696">
        <w:rPr>
          <w:b/>
          <w:bCs/>
          <w:sz w:val="24"/>
          <w:szCs w:val="24"/>
        </w:rPr>
        <w:t xml:space="preserve">  (add rows as necessary)</w:t>
      </w:r>
    </w:p>
    <w:p w:rsidR="00580714" w:rsidRDefault="00D9308B" w:rsidP="00580714">
      <w:pPr>
        <w:rPr>
          <w:sz w:val="24"/>
          <w:szCs w:val="24"/>
        </w:rPr>
      </w:pPr>
      <w:r>
        <w:rPr>
          <w:b/>
          <w:bCs/>
          <w:sz w:val="24"/>
          <w:szCs w:val="24"/>
        </w:rPr>
        <w:t>For wage costs:  u</w:t>
      </w:r>
      <w:r w:rsidR="00580714">
        <w:rPr>
          <w:b/>
          <w:bCs/>
          <w:sz w:val="24"/>
          <w:szCs w:val="24"/>
        </w:rPr>
        <w:t xml:space="preserve">se </w:t>
      </w:r>
      <w:hyperlink r:id="rId15" w:history="1">
        <w:r w:rsidR="00580714" w:rsidRPr="00EA7B5B">
          <w:rPr>
            <w:rStyle w:val="Hyperlink"/>
            <w:b/>
            <w:bCs/>
            <w:sz w:val="24"/>
            <w:szCs w:val="24"/>
          </w:rPr>
          <w:t>www.bls.gov/oes</w:t>
        </w:r>
      </w:hyperlink>
      <w:r w:rsidR="00580714">
        <w:rPr>
          <w:b/>
          <w:bCs/>
          <w:sz w:val="24"/>
          <w:szCs w:val="24"/>
        </w:rPr>
        <w:t xml:space="preserve"> , then click on OES Data in the left-hand column, then National to find Occupational Employment Wage Rates for the current year.  Find the appropriate Occupational Title of the Respondent completing the Information Collection</w:t>
      </w:r>
      <w:r>
        <w:rPr>
          <w:b/>
          <w:bCs/>
          <w:sz w:val="24"/>
          <w:szCs w:val="24"/>
        </w:rPr>
        <w:t xml:space="preserve"> and use the Mean hourly wage.</w:t>
      </w:r>
      <w:r w:rsidR="00580714">
        <w:rPr>
          <w:b/>
          <w:bCs/>
          <w:sz w:val="24"/>
          <w:szCs w:val="24"/>
        </w:rPr>
        <w:t xml:space="preserve">  </w:t>
      </w:r>
    </w:p>
    <w:p w:rsidR="004F26E9" w:rsidRDefault="004F26E9" w:rsidP="00CA2B37">
      <w:pPr>
        <w:ind w:left="-360"/>
        <w:rPr>
          <w:sz w:val="24"/>
          <w:szCs w:val="24"/>
        </w:rPr>
      </w:pPr>
    </w:p>
    <w:tbl>
      <w:tblPr>
        <w:tblW w:w="14110" w:type="dxa"/>
        <w:tblLook w:val="04A0" w:firstRow="1" w:lastRow="0" w:firstColumn="1" w:lastColumn="0" w:noHBand="0" w:noVBand="1"/>
      </w:tblPr>
      <w:tblGrid>
        <w:gridCol w:w="3315"/>
        <w:gridCol w:w="1894"/>
        <w:gridCol w:w="1351"/>
        <w:gridCol w:w="1260"/>
        <w:gridCol w:w="1370"/>
        <w:gridCol w:w="1073"/>
        <w:gridCol w:w="1163"/>
        <w:gridCol w:w="1342"/>
        <w:gridCol w:w="1342"/>
      </w:tblGrid>
      <w:tr w:rsidR="000D49BA" w:rsidRPr="000D49BA" w:rsidTr="003E24F7">
        <w:trPr>
          <w:trHeight w:val="1140"/>
        </w:trPr>
        <w:tc>
          <w:tcPr>
            <w:tcW w:w="3315" w:type="dxa"/>
            <w:tcBorders>
              <w:top w:val="single" w:sz="8" w:space="0" w:color="auto"/>
              <w:left w:val="single" w:sz="8" w:space="0" w:color="auto"/>
              <w:bottom w:val="single" w:sz="8" w:space="0" w:color="auto"/>
              <w:right w:val="single" w:sz="8" w:space="0" w:color="000000"/>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894"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RDefault="00CA2B37" w:rsidP="00580714">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351" w:type="dxa"/>
            <w:tcBorders>
              <w:top w:val="single" w:sz="8" w:space="0" w:color="auto"/>
              <w:left w:val="nil"/>
              <w:bottom w:val="single" w:sz="8" w:space="0" w:color="auto"/>
              <w:right w:val="single" w:sz="8" w:space="0" w:color="000000"/>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260"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370"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73"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Burden Hrs / Response</w:t>
            </w:r>
          </w:p>
        </w:tc>
        <w:tc>
          <w:tcPr>
            <w:tcW w:w="1163"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Burden Hrs</w:t>
            </w:r>
          </w:p>
        </w:tc>
        <w:tc>
          <w:tcPr>
            <w:tcW w:w="1342"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D9308B" w:rsidP="00CA2B3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00CA2B37" w:rsidRPr="00CA2B37">
              <w:rPr>
                <w:rFonts w:ascii="Calibri" w:hAnsi="Calibri" w:cs="Calibri"/>
                <w:b/>
                <w:bCs/>
                <w:color w:val="000000"/>
                <w:sz w:val="18"/>
                <w:szCs w:val="18"/>
              </w:rPr>
              <w:t>Hourly Wage Rate  (for Type of Respondent)</w:t>
            </w:r>
          </w:p>
        </w:tc>
        <w:tc>
          <w:tcPr>
            <w:tcW w:w="1342" w:type="dxa"/>
            <w:tcBorders>
              <w:top w:val="single" w:sz="8" w:space="0" w:color="auto"/>
              <w:left w:val="nil"/>
              <w:bottom w:val="single" w:sz="8" w:space="0" w:color="auto"/>
              <w:right w:val="single" w:sz="8" w:space="0" w:color="auto"/>
            </w:tcBorders>
            <w:shd w:val="clear" w:color="auto" w:fill="5B9BD5" w:themeFill="accent1"/>
            <w:vAlign w:val="center"/>
            <w:hideMark/>
          </w:tcPr>
          <w:p w:rsidR="00CA2B37" w:rsidRPr="00CA2B37" w:rsidRDefault="00CA2B37" w:rsidP="00CA2B3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00CA2B37"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RDefault="00CA2B37" w:rsidP="00494B29">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Initial</w:t>
            </w:r>
            <w:r w:rsidR="007A598B">
              <w:rPr>
                <w:rFonts w:ascii="Calibri" w:hAnsi="Calibri" w:cs="Calibri"/>
                <w:color w:val="000000"/>
                <w:sz w:val="16"/>
                <w:szCs w:val="16"/>
              </w:rPr>
              <w:t xml:space="preserve"> installation</w:t>
            </w:r>
          </w:p>
        </w:tc>
        <w:tc>
          <w:tcPr>
            <w:tcW w:w="1894" w:type="dxa"/>
            <w:tcBorders>
              <w:top w:val="nil"/>
              <w:left w:val="nil"/>
              <w:bottom w:val="single" w:sz="4" w:space="0" w:color="auto"/>
              <w:right w:val="single" w:sz="4" w:space="0" w:color="auto"/>
            </w:tcBorders>
            <w:shd w:val="clear" w:color="auto" w:fill="auto"/>
            <w:vAlign w:val="bottom"/>
            <w:hideMark/>
          </w:tcPr>
          <w:p w:rsidR="00CA2B37" w:rsidRPr="00CA2B37" w:rsidRDefault="00F25E2D"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351" w:type="dxa"/>
            <w:tcBorders>
              <w:top w:val="nil"/>
              <w:left w:val="nil"/>
              <w:bottom w:val="single" w:sz="4" w:space="0" w:color="auto"/>
              <w:right w:val="single" w:sz="4" w:space="0" w:color="auto"/>
            </w:tcBorders>
            <w:shd w:val="clear" w:color="auto" w:fill="auto"/>
            <w:vAlign w:val="bottom"/>
            <w:hideMark/>
          </w:tcPr>
          <w:p w:rsidR="00CA2B37" w:rsidRPr="00CA2B37" w:rsidRDefault="00F25E2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sz="4" w:space="0" w:color="auto"/>
              <w:right w:val="single" w:sz="4" w:space="0" w:color="auto"/>
            </w:tcBorders>
            <w:shd w:val="clear" w:color="auto" w:fill="auto"/>
            <w:vAlign w:val="bottom"/>
            <w:hideMark/>
          </w:tcPr>
          <w:p w:rsidR="00CA2B37" w:rsidRPr="00CA2B37" w:rsidRDefault="00F25E2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sz="4" w:space="0" w:color="auto"/>
              <w:right w:val="single" w:sz="4" w:space="0" w:color="auto"/>
            </w:tcBorders>
            <w:shd w:val="clear" w:color="auto" w:fill="auto"/>
            <w:vAlign w:val="bottom"/>
            <w:hideMark/>
          </w:tcPr>
          <w:p w:rsidR="00CA2B37" w:rsidRPr="00CA2B37" w:rsidRDefault="00F25E2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00DF4E8B">
              <w:rPr>
                <w:rFonts w:ascii="Calibri" w:hAnsi="Calibri" w:cs="Calibri"/>
                <w:color w:val="000000"/>
                <w:sz w:val="16"/>
                <w:szCs w:val="16"/>
              </w:rPr>
              <w:t xml:space="preserve"> (333 annualized)</w:t>
            </w:r>
          </w:p>
        </w:tc>
        <w:tc>
          <w:tcPr>
            <w:tcW w:w="1073" w:type="dxa"/>
            <w:tcBorders>
              <w:top w:val="nil"/>
              <w:left w:val="nil"/>
              <w:bottom w:val="single" w:sz="4" w:space="0" w:color="auto"/>
              <w:right w:val="single" w:sz="4" w:space="0" w:color="auto"/>
            </w:tcBorders>
            <w:shd w:val="clear" w:color="auto" w:fill="auto"/>
            <w:vAlign w:val="bottom"/>
            <w:hideMark/>
          </w:tcPr>
          <w:p w:rsidR="00CA2B37" w:rsidRPr="003E24F7" w:rsidRDefault="00F25E2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4</w:t>
            </w:r>
            <w:r w:rsidR="006F340C" w:rsidRPr="003E24F7">
              <w:rPr>
                <w:rFonts w:ascii="Calibri" w:hAnsi="Calibri" w:cs="Calibri"/>
                <w:sz w:val="16"/>
                <w:szCs w:val="16"/>
              </w:rPr>
              <w:t xml:space="preserve"> hours</w:t>
            </w:r>
          </w:p>
        </w:tc>
        <w:tc>
          <w:tcPr>
            <w:tcW w:w="1163" w:type="dxa"/>
            <w:tcBorders>
              <w:top w:val="nil"/>
              <w:left w:val="nil"/>
              <w:bottom w:val="single" w:sz="4" w:space="0" w:color="auto"/>
              <w:right w:val="single" w:sz="4" w:space="0" w:color="auto"/>
            </w:tcBorders>
            <w:shd w:val="clear" w:color="auto" w:fill="auto"/>
            <w:vAlign w:val="bottom"/>
            <w:hideMark/>
          </w:tcPr>
          <w:p w:rsidR="00CA2B37" w:rsidRPr="003E24F7" w:rsidRDefault="006F340C" w:rsidP="005F1CB0">
            <w:pPr>
              <w:widowControl/>
              <w:autoSpaceDE/>
              <w:autoSpaceDN/>
              <w:adjustRightInd/>
              <w:jc w:val="right"/>
              <w:rPr>
                <w:rFonts w:ascii="Calibri" w:hAnsi="Calibri" w:cs="Calibri"/>
                <w:sz w:val="16"/>
                <w:szCs w:val="16"/>
              </w:rPr>
            </w:pPr>
            <w:r w:rsidRPr="003E24F7">
              <w:rPr>
                <w:rFonts w:ascii="Calibri" w:hAnsi="Calibri" w:cs="Calibri"/>
                <w:sz w:val="16"/>
                <w:szCs w:val="16"/>
              </w:rPr>
              <w:t>4,000</w:t>
            </w:r>
            <w:r w:rsidR="005F1CB0" w:rsidRPr="003E24F7">
              <w:rPr>
                <w:rFonts w:ascii="Calibri" w:hAnsi="Calibri" w:cs="Calibri"/>
                <w:sz w:val="16"/>
                <w:szCs w:val="16"/>
              </w:rPr>
              <w:t xml:space="preserve"> </w:t>
            </w:r>
            <w:r w:rsidR="00DF4E8B" w:rsidRPr="003E24F7">
              <w:rPr>
                <w:rFonts w:ascii="Calibri" w:hAnsi="Calibri" w:cs="Calibri"/>
                <w:sz w:val="16"/>
                <w:szCs w:val="16"/>
              </w:rPr>
              <w:t>(</w:t>
            </w:r>
            <w:r w:rsidRPr="003E24F7">
              <w:rPr>
                <w:rFonts w:ascii="Calibri" w:hAnsi="Calibri" w:cs="Calibri"/>
                <w:sz w:val="16"/>
                <w:szCs w:val="16"/>
              </w:rPr>
              <w:t>1,333)</w:t>
            </w:r>
            <w:r w:rsidR="00DF4E8B" w:rsidRPr="003E24F7">
              <w:rPr>
                <w:rFonts w:ascii="Calibri" w:hAnsi="Calibri" w:cs="Calibri"/>
                <w:sz w:val="16"/>
                <w:szCs w:val="16"/>
              </w:rPr>
              <w:t xml:space="preserve"> annualized)</w:t>
            </w:r>
          </w:p>
        </w:tc>
        <w:tc>
          <w:tcPr>
            <w:tcW w:w="1342" w:type="dxa"/>
            <w:tcBorders>
              <w:top w:val="nil"/>
              <w:left w:val="nil"/>
              <w:bottom w:val="single" w:sz="4" w:space="0" w:color="auto"/>
              <w:right w:val="single" w:sz="4" w:space="0" w:color="auto"/>
            </w:tcBorders>
            <w:shd w:val="clear" w:color="auto" w:fill="auto"/>
            <w:noWrap/>
            <w:vAlign w:val="bottom"/>
            <w:hideMark/>
          </w:tcPr>
          <w:p w:rsidR="00CA2B37" w:rsidRPr="003E24F7" w:rsidRDefault="00F25E2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$29.55</w:t>
            </w:r>
          </w:p>
        </w:tc>
        <w:tc>
          <w:tcPr>
            <w:tcW w:w="1342" w:type="dxa"/>
            <w:tcBorders>
              <w:top w:val="nil"/>
              <w:left w:val="nil"/>
              <w:bottom w:val="single" w:sz="4" w:space="0" w:color="auto"/>
              <w:right w:val="single" w:sz="8" w:space="0" w:color="auto"/>
            </w:tcBorders>
            <w:shd w:val="clear" w:color="auto" w:fill="auto"/>
            <w:noWrap/>
            <w:vAlign w:val="bottom"/>
            <w:hideMark/>
          </w:tcPr>
          <w:p w:rsidR="00CA2B37" w:rsidRPr="003E24F7" w:rsidRDefault="005B045E"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494B29" w:rsidRPr="003E24F7">
              <w:rPr>
                <w:rFonts w:ascii="Calibri" w:hAnsi="Calibri" w:cs="Calibri"/>
                <w:sz w:val="16"/>
                <w:szCs w:val="16"/>
              </w:rPr>
              <w:t>39,390.15</w:t>
            </w:r>
            <w:r w:rsidR="00CA2B37" w:rsidRPr="003E24F7">
              <w:rPr>
                <w:rFonts w:ascii="Calibri" w:hAnsi="Calibri" w:cs="Calibri"/>
                <w:sz w:val="16"/>
                <w:szCs w:val="16"/>
              </w:rPr>
              <w:t> </w:t>
            </w:r>
          </w:p>
        </w:tc>
      </w:tr>
      <w:tr w:rsidR="00CA2B37"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RDefault="00CA2B37" w:rsidP="00494B29">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646D0D">
              <w:rPr>
                <w:rFonts w:ascii="Calibri" w:hAnsi="Calibri" w:cs="Calibri"/>
                <w:color w:val="000000"/>
                <w:sz w:val="16"/>
                <w:szCs w:val="16"/>
              </w:rPr>
              <w:t xml:space="preserve">Initial </w:t>
            </w:r>
            <w:r w:rsidR="00494B29">
              <w:rPr>
                <w:rFonts w:ascii="Calibri" w:hAnsi="Calibri" w:cs="Calibri"/>
                <w:color w:val="000000"/>
                <w:sz w:val="16"/>
                <w:szCs w:val="16"/>
              </w:rPr>
              <w:t>VMS unit installation/activation</w:t>
            </w:r>
          </w:p>
        </w:tc>
        <w:tc>
          <w:tcPr>
            <w:tcW w:w="1894" w:type="dxa"/>
            <w:tcBorders>
              <w:top w:val="nil"/>
              <w:left w:val="nil"/>
              <w:bottom w:val="single" w:sz="4" w:space="0" w:color="auto"/>
              <w:right w:val="single" w:sz="4" w:space="0" w:color="auto"/>
            </w:tcBorders>
            <w:shd w:val="clear" w:color="auto" w:fill="auto"/>
            <w:vAlign w:val="bottom"/>
            <w:hideMark/>
          </w:tcPr>
          <w:p w:rsidR="00CA2B37" w:rsidRPr="00CA2B37" w:rsidRDefault="003278CD"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Electrician</w:t>
            </w:r>
          </w:p>
        </w:tc>
        <w:tc>
          <w:tcPr>
            <w:tcW w:w="1351" w:type="dxa"/>
            <w:tcBorders>
              <w:top w:val="nil"/>
              <w:left w:val="nil"/>
              <w:bottom w:val="single" w:sz="4" w:space="0" w:color="auto"/>
              <w:right w:val="single" w:sz="4" w:space="0" w:color="auto"/>
            </w:tcBorders>
            <w:shd w:val="clear" w:color="auto" w:fill="auto"/>
            <w:vAlign w:val="bottom"/>
            <w:hideMark/>
          </w:tcPr>
          <w:p w:rsidR="00CA2B37" w:rsidRPr="00CA2B37" w:rsidRDefault="003278C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260" w:type="dxa"/>
            <w:tcBorders>
              <w:top w:val="nil"/>
              <w:left w:val="nil"/>
              <w:bottom w:val="single" w:sz="4" w:space="0" w:color="auto"/>
              <w:right w:val="single" w:sz="4" w:space="0" w:color="auto"/>
            </w:tcBorders>
            <w:shd w:val="clear" w:color="auto" w:fill="auto"/>
            <w:vAlign w:val="bottom"/>
            <w:hideMark/>
          </w:tcPr>
          <w:p w:rsidR="00CA2B37" w:rsidRPr="00CA2B37" w:rsidRDefault="00494B29"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sz="4" w:space="0" w:color="auto"/>
              <w:right w:val="single" w:sz="4" w:space="0" w:color="auto"/>
            </w:tcBorders>
            <w:shd w:val="clear" w:color="auto" w:fill="auto"/>
            <w:vAlign w:val="bottom"/>
            <w:hideMark/>
          </w:tcPr>
          <w:p w:rsidR="00CA2B37" w:rsidRPr="00CA2B37" w:rsidRDefault="003278C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r w:rsidR="00CA2B37" w:rsidRPr="00CA2B37">
              <w:rPr>
                <w:rFonts w:ascii="Calibri" w:hAnsi="Calibri" w:cs="Calibri"/>
                <w:color w:val="000000"/>
                <w:sz w:val="16"/>
                <w:szCs w:val="16"/>
              </w:rPr>
              <w:t> </w:t>
            </w:r>
          </w:p>
        </w:tc>
        <w:tc>
          <w:tcPr>
            <w:tcW w:w="1073" w:type="dxa"/>
            <w:tcBorders>
              <w:top w:val="nil"/>
              <w:left w:val="nil"/>
              <w:bottom w:val="single" w:sz="4" w:space="0" w:color="auto"/>
              <w:right w:val="single" w:sz="4" w:space="0" w:color="auto"/>
            </w:tcBorders>
            <w:shd w:val="clear" w:color="auto" w:fill="auto"/>
            <w:vAlign w:val="bottom"/>
            <w:hideMark/>
          </w:tcPr>
          <w:p w:rsidR="00CA2B37" w:rsidRPr="003E24F7" w:rsidRDefault="00665617"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5 hours</w:t>
            </w:r>
          </w:p>
        </w:tc>
        <w:tc>
          <w:tcPr>
            <w:tcW w:w="1163" w:type="dxa"/>
            <w:tcBorders>
              <w:top w:val="nil"/>
              <w:left w:val="nil"/>
              <w:bottom w:val="single" w:sz="4" w:space="0" w:color="auto"/>
              <w:right w:val="single" w:sz="4" w:space="0" w:color="auto"/>
            </w:tcBorders>
            <w:shd w:val="clear" w:color="auto" w:fill="auto"/>
            <w:vAlign w:val="bottom"/>
            <w:hideMark/>
          </w:tcPr>
          <w:p w:rsidR="00CA2B37" w:rsidRPr="003E24F7" w:rsidRDefault="00665617"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1,250</w:t>
            </w:r>
            <w:r w:rsidR="00CA2B37" w:rsidRPr="003E24F7">
              <w:rPr>
                <w:rFonts w:ascii="Calibri" w:hAnsi="Calibri" w:cs="Calibri"/>
                <w:sz w:val="16"/>
                <w:szCs w:val="16"/>
              </w:rPr>
              <w:t> </w:t>
            </w:r>
          </w:p>
        </w:tc>
        <w:tc>
          <w:tcPr>
            <w:tcW w:w="1342" w:type="dxa"/>
            <w:tcBorders>
              <w:top w:val="nil"/>
              <w:left w:val="nil"/>
              <w:bottom w:val="single" w:sz="4" w:space="0" w:color="auto"/>
              <w:right w:val="single" w:sz="4" w:space="0" w:color="auto"/>
            </w:tcBorders>
            <w:shd w:val="clear" w:color="auto" w:fill="auto"/>
            <w:noWrap/>
            <w:vAlign w:val="bottom"/>
            <w:hideMark/>
          </w:tcPr>
          <w:p w:rsidR="00CA2B37" w:rsidRPr="003E24F7" w:rsidRDefault="003278C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$29.55</w:t>
            </w:r>
            <w:r w:rsidR="00CA2B37" w:rsidRPr="003E24F7">
              <w:rPr>
                <w:rFonts w:ascii="Calibri" w:hAnsi="Calibri" w:cs="Calibri"/>
                <w:sz w:val="16"/>
                <w:szCs w:val="16"/>
              </w:rPr>
              <w:t> </w:t>
            </w:r>
          </w:p>
        </w:tc>
        <w:tc>
          <w:tcPr>
            <w:tcW w:w="1342" w:type="dxa"/>
            <w:tcBorders>
              <w:top w:val="nil"/>
              <w:left w:val="nil"/>
              <w:bottom w:val="single" w:sz="4" w:space="0" w:color="auto"/>
              <w:right w:val="single" w:sz="8" w:space="0" w:color="auto"/>
            </w:tcBorders>
            <w:shd w:val="clear" w:color="auto" w:fill="auto"/>
            <w:noWrap/>
            <w:vAlign w:val="bottom"/>
            <w:hideMark/>
          </w:tcPr>
          <w:p w:rsidR="00CA2B37" w:rsidRPr="003E24F7" w:rsidRDefault="005B045E" w:rsidP="0066561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665617" w:rsidRPr="003E24F7">
              <w:rPr>
                <w:rFonts w:ascii="Calibri" w:hAnsi="Calibri" w:cs="Calibri"/>
                <w:sz w:val="16"/>
                <w:szCs w:val="16"/>
              </w:rPr>
              <w:t>36,937.50</w:t>
            </w:r>
          </w:p>
        </w:tc>
      </w:tr>
      <w:tr w:rsidR="00CA2B37"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hideMark/>
          </w:tcPr>
          <w:p w:rsidR="00CA2B37" w:rsidRPr="00CA2B37" w:rsidRDefault="00CA2B37" w:rsidP="00CA2B37">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sidR="00494B29">
              <w:rPr>
                <w:rFonts w:ascii="Calibri" w:hAnsi="Calibri" w:cs="Calibri"/>
                <w:color w:val="000000"/>
                <w:sz w:val="16"/>
                <w:szCs w:val="16"/>
              </w:rPr>
              <w:t>VMS unit maintenance</w:t>
            </w:r>
          </w:p>
        </w:tc>
        <w:tc>
          <w:tcPr>
            <w:tcW w:w="1894" w:type="dxa"/>
            <w:tcBorders>
              <w:top w:val="nil"/>
              <w:left w:val="nil"/>
              <w:bottom w:val="single" w:sz="4" w:space="0" w:color="auto"/>
              <w:right w:val="single" w:sz="4" w:space="0" w:color="auto"/>
            </w:tcBorders>
            <w:shd w:val="clear" w:color="auto" w:fill="auto"/>
            <w:vAlign w:val="bottom"/>
            <w:hideMark/>
          </w:tcPr>
          <w:p w:rsidR="00CA2B37" w:rsidRPr="00CA2B37" w:rsidRDefault="00CA2B37" w:rsidP="00CA2B37">
            <w:pPr>
              <w:widowControl/>
              <w:autoSpaceDE/>
              <w:autoSpaceDN/>
              <w:adjustRightInd/>
              <w:jc w:val="center"/>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Electrician</w:t>
            </w:r>
          </w:p>
        </w:tc>
        <w:tc>
          <w:tcPr>
            <w:tcW w:w="1351" w:type="dxa"/>
            <w:tcBorders>
              <w:top w:val="nil"/>
              <w:left w:val="nil"/>
              <w:bottom w:val="single" w:sz="4" w:space="0" w:color="auto"/>
              <w:right w:val="single" w:sz="4" w:space="0" w:color="auto"/>
            </w:tcBorders>
            <w:shd w:val="clear" w:color="auto" w:fill="auto"/>
            <w:vAlign w:val="bottom"/>
            <w:hideMark/>
          </w:tcPr>
          <w:p w:rsidR="00CA2B37" w:rsidRPr="00CA2B37" w:rsidRDefault="00CA2B37" w:rsidP="00CA2B37">
            <w:pPr>
              <w:widowControl/>
              <w:autoSpaceDE/>
              <w:autoSpaceDN/>
              <w:adjustRightInd/>
              <w:jc w:val="right"/>
              <w:rPr>
                <w:rFonts w:ascii="Calibri" w:hAnsi="Calibri" w:cs="Calibri"/>
                <w:color w:val="000000"/>
                <w:sz w:val="16"/>
                <w:szCs w:val="16"/>
              </w:rPr>
            </w:pPr>
            <w:r w:rsidRPr="00CA2B37">
              <w:rPr>
                <w:rFonts w:ascii="Calibri" w:hAnsi="Calibri" w:cs="Calibri"/>
                <w:color w:val="000000"/>
                <w:sz w:val="16"/>
                <w:szCs w:val="16"/>
              </w:rPr>
              <w:t> </w:t>
            </w:r>
            <w:r w:rsidR="003278CD">
              <w:rPr>
                <w:rFonts w:ascii="Calibri" w:hAnsi="Calibri" w:cs="Calibri"/>
                <w:color w:val="000000"/>
                <w:sz w:val="16"/>
                <w:szCs w:val="16"/>
              </w:rPr>
              <w:t>1000</w:t>
            </w:r>
          </w:p>
        </w:tc>
        <w:tc>
          <w:tcPr>
            <w:tcW w:w="1260" w:type="dxa"/>
            <w:tcBorders>
              <w:top w:val="nil"/>
              <w:left w:val="nil"/>
              <w:bottom w:val="single" w:sz="4" w:space="0" w:color="auto"/>
              <w:right w:val="single" w:sz="4" w:space="0" w:color="auto"/>
            </w:tcBorders>
            <w:shd w:val="clear" w:color="auto" w:fill="auto"/>
            <w:vAlign w:val="bottom"/>
            <w:hideMark/>
          </w:tcPr>
          <w:p w:rsidR="00CA2B37" w:rsidRPr="00CA2B37" w:rsidRDefault="003278C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70" w:type="dxa"/>
            <w:tcBorders>
              <w:top w:val="nil"/>
              <w:left w:val="nil"/>
              <w:bottom w:val="single" w:sz="4" w:space="0" w:color="auto"/>
              <w:right w:val="single" w:sz="4" w:space="0" w:color="auto"/>
            </w:tcBorders>
            <w:shd w:val="clear" w:color="auto" w:fill="auto"/>
            <w:vAlign w:val="bottom"/>
            <w:hideMark/>
          </w:tcPr>
          <w:p w:rsidR="00CA2B37" w:rsidRPr="00CA2B37" w:rsidRDefault="003278CD"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00CA2B37" w:rsidRPr="00CA2B37">
              <w:rPr>
                <w:rFonts w:ascii="Calibri" w:hAnsi="Calibri" w:cs="Calibri"/>
                <w:color w:val="000000"/>
                <w:sz w:val="16"/>
                <w:szCs w:val="16"/>
              </w:rPr>
              <w:t> </w:t>
            </w:r>
            <w:r w:rsidR="00DF4E8B">
              <w:rPr>
                <w:rFonts w:ascii="Calibri" w:hAnsi="Calibri" w:cs="Calibri"/>
                <w:color w:val="000000"/>
                <w:sz w:val="16"/>
                <w:szCs w:val="16"/>
              </w:rPr>
              <w:t xml:space="preserve"> (333 annualized)</w:t>
            </w:r>
          </w:p>
        </w:tc>
        <w:tc>
          <w:tcPr>
            <w:tcW w:w="1073" w:type="dxa"/>
            <w:tcBorders>
              <w:top w:val="nil"/>
              <w:left w:val="nil"/>
              <w:bottom w:val="single" w:sz="4" w:space="0" w:color="auto"/>
              <w:right w:val="single" w:sz="4" w:space="0" w:color="auto"/>
            </w:tcBorders>
            <w:shd w:val="clear" w:color="auto" w:fill="auto"/>
            <w:vAlign w:val="bottom"/>
            <w:hideMark/>
          </w:tcPr>
          <w:p w:rsidR="00CA2B37" w:rsidRPr="003E24F7" w:rsidRDefault="003278C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1</w:t>
            </w:r>
            <w:r w:rsidR="006F340C" w:rsidRPr="003E24F7">
              <w:rPr>
                <w:rFonts w:ascii="Calibri" w:hAnsi="Calibri" w:cs="Calibri"/>
                <w:sz w:val="16"/>
                <w:szCs w:val="16"/>
              </w:rPr>
              <w:t xml:space="preserve"> hours</w:t>
            </w:r>
          </w:p>
        </w:tc>
        <w:tc>
          <w:tcPr>
            <w:tcW w:w="1163" w:type="dxa"/>
            <w:tcBorders>
              <w:top w:val="nil"/>
              <w:left w:val="nil"/>
              <w:bottom w:val="single" w:sz="4" w:space="0" w:color="auto"/>
              <w:right w:val="single" w:sz="4" w:space="0" w:color="auto"/>
            </w:tcBorders>
            <w:shd w:val="clear" w:color="auto" w:fill="auto"/>
            <w:vAlign w:val="bottom"/>
            <w:hideMark/>
          </w:tcPr>
          <w:p w:rsidR="00CA2B37" w:rsidRPr="003E24F7" w:rsidRDefault="006F340C" w:rsidP="005F1CB0">
            <w:pPr>
              <w:widowControl/>
              <w:autoSpaceDE/>
              <w:autoSpaceDN/>
              <w:adjustRightInd/>
              <w:jc w:val="right"/>
              <w:rPr>
                <w:rFonts w:ascii="Calibri" w:hAnsi="Calibri" w:cs="Calibri"/>
                <w:sz w:val="16"/>
                <w:szCs w:val="16"/>
              </w:rPr>
            </w:pPr>
            <w:r w:rsidRPr="003E24F7">
              <w:rPr>
                <w:rFonts w:ascii="Calibri" w:hAnsi="Calibri" w:cs="Calibri"/>
                <w:sz w:val="16"/>
                <w:szCs w:val="16"/>
              </w:rPr>
              <w:t>1000</w:t>
            </w:r>
            <w:r w:rsidR="00CA2B37" w:rsidRPr="003E24F7">
              <w:rPr>
                <w:rFonts w:ascii="Calibri" w:hAnsi="Calibri" w:cs="Calibri"/>
                <w:sz w:val="16"/>
                <w:szCs w:val="16"/>
              </w:rPr>
              <w:t> </w:t>
            </w:r>
            <w:r w:rsidR="00DF4E8B" w:rsidRPr="003E24F7">
              <w:rPr>
                <w:rFonts w:ascii="Calibri" w:hAnsi="Calibri" w:cs="Calibri"/>
                <w:sz w:val="16"/>
                <w:szCs w:val="16"/>
              </w:rPr>
              <w:t>(</w:t>
            </w:r>
            <w:r w:rsidRPr="003E24F7">
              <w:rPr>
                <w:rFonts w:ascii="Calibri" w:hAnsi="Calibri" w:cs="Calibri"/>
                <w:sz w:val="16"/>
                <w:szCs w:val="16"/>
              </w:rPr>
              <w:t>333</w:t>
            </w:r>
            <w:r w:rsidR="00DF4E8B" w:rsidRPr="003E24F7">
              <w:rPr>
                <w:rFonts w:ascii="Calibri" w:hAnsi="Calibri" w:cs="Calibri"/>
                <w:sz w:val="16"/>
                <w:szCs w:val="16"/>
              </w:rPr>
              <w:t xml:space="preserve"> annualized)</w:t>
            </w:r>
          </w:p>
        </w:tc>
        <w:tc>
          <w:tcPr>
            <w:tcW w:w="1342" w:type="dxa"/>
            <w:tcBorders>
              <w:top w:val="nil"/>
              <w:left w:val="nil"/>
              <w:bottom w:val="single" w:sz="4" w:space="0" w:color="auto"/>
              <w:right w:val="single" w:sz="4" w:space="0" w:color="auto"/>
            </w:tcBorders>
            <w:shd w:val="clear" w:color="auto" w:fill="auto"/>
            <w:noWrap/>
            <w:vAlign w:val="bottom"/>
            <w:hideMark/>
          </w:tcPr>
          <w:p w:rsidR="00CA2B37" w:rsidRPr="003E24F7" w:rsidRDefault="003278C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$29.55</w:t>
            </w:r>
            <w:r w:rsidR="00CA2B37" w:rsidRPr="003E24F7">
              <w:rPr>
                <w:rFonts w:ascii="Calibri" w:hAnsi="Calibri" w:cs="Calibri"/>
                <w:sz w:val="16"/>
                <w:szCs w:val="16"/>
              </w:rPr>
              <w:t> </w:t>
            </w:r>
          </w:p>
        </w:tc>
        <w:tc>
          <w:tcPr>
            <w:tcW w:w="1342" w:type="dxa"/>
            <w:tcBorders>
              <w:top w:val="nil"/>
              <w:left w:val="nil"/>
              <w:bottom w:val="single" w:sz="4" w:space="0" w:color="auto"/>
              <w:right w:val="single" w:sz="8" w:space="0" w:color="auto"/>
            </w:tcBorders>
            <w:shd w:val="clear" w:color="auto" w:fill="auto"/>
            <w:noWrap/>
            <w:vAlign w:val="bottom"/>
            <w:hideMark/>
          </w:tcPr>
          <w:p w:rsidR="00CA2B37" w:rsidRPr="003E24F7" w:rsidRDefault="005B045E"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w:t>
            </w:r>
            <w:r w:rsidR="006F340C" w:rsidRPr="003E24F7">
              <w:rPr>
                <w:rFonts w:ascii="Calibri" w:hAnsi="Calibri" w:cs="Calibri"/>
                <w:sz w:val="16"/>
                <w:szCs w:val="16"/>
              </w:rPr>
              <w:t>9,840.15</w:t>
            </w:r>
            <w:r w:rsidR="00CA2B37" w:rsidRPr="003E24F7">
              <w:rPr>
                <w:rFonts w:ascii="Calibri" w:hAnsi="Calibri" w:cs="Calibri"/>
                <w:sz w:val="16"/>
                <w:szCs w:val="16"/>
              </w:rPr>
              <w:t> </w:t>
            </w:r>
          </w:p>
        </w:tc>
      </w:tr>
      <w:tr w:rsidR="00D20BBD"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reports</w:t>
            </w:r>
          </w:p>
        </w:tc>
        <w:tc>
          <w:tcPr>
            <w:tcW w:w="1894"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Automatic</w:t>
            </w:r>
          </w:p>
        </w:tc>
        <w:tc>
          <w:tcPr>
            <w:tcW w:w="1351" w:type="dxa"/>
            <w:tcBorders>
              <w:top w:val="nil"/>
              <w:left w:val="nil"/>
              <w:bottom w:val="single" w:sz="4" w:space="0" w:color="auto"/>
              <w:right w:val="single" w:sz="4" w:space="0" w:color="auto"/>
            </w:tcBorders>
            <w:shd w:val="clear" w:color="auto" w:fill="auto"/>
            <w:vAlign w:val="bottom"/>
          </w:tcPr>
          <w:p w:rsidR="00D20BBD" w:rsidRPr="00CA2B37" w:rsidRDefault="00B64444"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sz="4" w:space="0" w:color="auto"/>
              <w:right w:val="single" w:sz="4" w:space="0" w:color="auto"/>
            </w:tcBorders>
            <w:shd w:val="clear" w:color="auto" w:fill="auto"/>
            <w:vAlign w:val="bottom"/>
          </w:tcPr>
          <w:p w:rsidR="00D20BBD" w:rsidRPr="003E24F7" w:rsidRDefault="005543BE" w:rsidP="00CA2B37">
            <w:pPr>
              <w:widowControl/>
              <w:autoSpaceDE/>
              <w:autoSpaceDN/>
              <w:adjustRightInd/>
              <w:jc w:val="right"/>
              <w:rPr>
                <w:rFonts w:ascii="Calibri" w:hAnsi="Calibri" w:cs="Calibri"/>
                <w:sz w:val="16"/>
                <w:szCs w:val="16"/>
              </w:rPr>
            </w:pPr>
            <w:r>
              <w:rPr>
                <w:rFonts w:ascii="Calibri" w:hAnsi="Calibri" w:cs="Calibri"/>
                <w:sz w:val="16"/>
                <w:szCs w:val="16"/>
              </w:rPr>
              <w:t>25,040</w:t>
            </w:r>
          </w:p>
        </w:tc>
        <w:tc>
          <w:tcPr>
            <w:tcW w:w="1370" w:type="dxa"/>
            <w:tcBorders>
              <w:top w:val="nil"/>
              <w:left w:val="nil"/>
              <w:bottom w:val="single" w:sz="4" w:space="0" w:color="auto"/>
              <w:right w:val="single" w:sz="4" w:space="0" w:color="auto"/>
            </w:tcBorders>
            <w:shd w:val="clear" w:color="auto" w:fill="auto"/>
            <w:vAlign w:val="bottom"/>
          </w:tcPr>
          <w:p w:rsidR="00D20BBD" w:rsidRPr="00665617" w:rsidRDefault="003E24F7" w:rsidP="00CA2B37">
            <w:pPr>
              <w:widowControl/>
              <w:autoSpaceDE/>
              <w:autoSpaceDN/>
              <w:adjustRightInd/>
              <w:jc w:val="right"/>
              <w:rPr>
                <w:rFonts w:ascii="Calibri" w:hAnsi="Calibri" w:cs="Calibri"/>
                <w:color w:val="FF0000"/>
                <w:sz w:val="16"/>
                <w:szCs w:val="16"/>
              </w:rPr>
            </w:pPr>
            <w:r w:rsidRPr="003E24F7">
              <w:rPr>
                <w:rFonts w:ascii="Calibri" w:hAnsi="Calibri" w:cs="Calibri"/>
                <w:sz w:val="16"/>
                <w:szCs w:val="16"/>
              </w:rPr>
              <w:t>25,040,000</w:t>
            </w:r>
          </w:p>
        </w:tc>
        <w:tc>
          <w:tcPr>
            <w:tcW w:w="1073" w:type="dxa"/>
            <w:tcBorders>
              <w:top w:val="nil"/>
              <w:left w:val="nil"/>
              <w:bottom w:val="single" w:sz="4" w:space="0" w:color="auto"/>
              <w:right w:val="single" w:sz="4" w:space="0" w:color="auto"/>
            </w:tcBorders>
            <w:shd w:val="clear" w:color="auto" w:fill="auto"/>
            <w:vAlign w:val="bottom"/>
          </w:tcPr>
          <w:p w:rsidR="00D20BBD" w:rsidRPr="003E24F7" w:rsidRDefault="00646D0D" w:rsidP="00665617">
            <w:pPr>
              <w:widowControl/>
              <w:autoSpaceDE/>
              <w:autoSpaceDN/>
              <w:adjustRightInd/>
              <w:jc w:val="center"/>
              <w:rPr>
                <w:rFonts w:ascii="Calibri" w:hAnsi="Calibri" w:cs="Calibri"/>
                <w:sz w:val="16"/>
                <w:szCs w:val="16"/>
              </w:rPr>
            </w:pPr>
            <w:r w:rsidRPr="003E24F7">
              <w:rPr>
                <w:rFonts w:ascii="Calibri" w:hAnsi="Calibri" w:cs="Calibri"/>
                <w:sz w:val="16"/>
                <w:szCs w:val="16"/>
              </w:rPr>
              <w:t>0</w:t>
            </w:r>
          </w:p>
        </w:tc>
        <w:tc>
          <w:tcPr>
            <w:tcW w:w="1163" w:type="dxa"/>
            <w:tcBorders>
              <w:top w:val="nil"/>
              <w:left w:val="nil"/>
              <w:bottom w:val="single" w:sz="4" w:space="0" w:color="auto"/>
              <w:right w:val="single" w:sz="4" w:space="0" w:color="auto"/>
            </w:tcBorders>
            <w:shd w:val="clear" w:color="auto" w:fill="auto"/>
            <w:vAlign w:val="bottom"/>
          </w:tcPr>
          <w:p w:rsidR="00D20BBD" w:rsidRPr="003E24F7" w:rsidRDefault="00646D0D"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c>
          <w:tcPr>
            <w:tcW w:w="1342" w:type="dxa"/>
            <w:tcBorders>
              <w:top w:val="nil"/>
              <w:left w:val="nil"/>
              <w:bottom w:val="single" w:sz="4" w:space="0" w:color="auto"/>
              <w:right w:val="single" w:sz="4" w:space="0" w:color="auto"/>
            </w:tcBorders>
            <w:shd w:val="clear" w:color="auto" w:fill="auto"/>
            <w:noWrap/>
            <w:vAlign w:val="bottom"/>
          </w:tcPr>
          <w:p w:rsidR="00D20BBD" w:rsidRPr="003E24F7" w:rsidRDefault="00665617"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c>
          <w:tcPr>
            <w:tcW w:w="1342" w:type="dxa"/>
            <w:tcBorders>
              <w:top w:val="nil"/>
              <w:left w:val="nil"/>
              <w:bottom w:val="single" w:sz="4" w:space="0" w:color="auto"/>
              <w:right w:val="single" w:sz="8" w:space="0" w:color="auto"/>
            </w:tcBorders>
            <w:shd w:val="clear" w:color="auto" w:fill="auto"/>
            <w:noWrap/>
            <w:vAlign w:val="bottom"/>
          </w:tcPr>
          <w:p w:rsidR="00D20BBD" w:rsidRPr="003E24F7" w:rsidRDefault="00665617" w:rsidP="00CA2B37">
            <w:pPr>
              <w:widowControl/>
              <w:autoSpaceDE/>
              <w:autoSpaceDN/>
              <w:adjustRightInd/>
              <w:jc w:val="right"/>
              <w:rPr>
                <w:rFonts w:ascii="Calibri" w:hAnsi="Calibri" w:cs="Calibri"/>
                <w:sz w:val="16"/>
                <w:szCs w:val="16"/>
              </w:rPr>
            </w:pPr>
            <w:r w:rsidRPr="003E24F7">
              <w:rPr>
                <w:rFonts w:ascii="Calibri" w:hAnsi="Calibri" w:cs="Calibri"/>
                <w:sz w:val="16"/>
                <w:szCs w:val="16"/>
              </w:rPr>
              <w:t>$0</w:t>
            </w:r>
          </w:p>
        </w:tc>
      </w:tr>
      <w:tr w:rsidR="00D20BBD"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894"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351"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260"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70"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073"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004C0EA6">
              <w:rPr>
                <w:rFonts w:ascii="Calibri" w:hAnsi="Calibri" w:cs="Calibri"/>
                <w:color w:val="000000"/>
                <w:sz w:val="16"/>
                <w:szCs w:val="16"/>
              </w:rPr>
              <w:t xml:space="preserve"> mins</w:t>
            </w:r>
          </w:p>
        </w:tc>
        <w:tc>
          <w:tcPr>
            <w:tcW w:w="1163"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83.33</w:t>
            </w:r>
          </w:p>
        </w:tc>
        <w:tc>
          <w:tcPr>
            <w:tcW w:w="1342" w:type="dxa"/>
            <w:tcBorders>
              <w:top w:val="nil"/>
              <w:left w:val="nil"/>
              <w:bottom w:val="single" w:sz="4" w:space="0" w:color="auto"/>
              <w:right w:val="single" w:sz="4" w:space="0" w:color="auto"/>
            </w:tcBorders>
            <w:shd w:val="clear" w:color="auto" w:fill="auto"/>
            <w:noWrap/>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342" w:type="dxa"/>
            <w:tcBorders>
              <w:top w:val="nil"/>
              <w:left w:val="nil"/>
              <w:bottom w:val="single" w:sz="4" w:space="0" w:color="auto"/>
              <w:right w:val="single" w:sz="8" w:space="0" w:color="auto"/>
            </w:tcBorders>
            <w:shd w:val="clear" w:color="auto" w:fill="auto"/>
            <w:noWrap/>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$1,207.75</w:t>
            </w:r>
          </w:p>
        </w:tc>
      </w:tr>
      <w:tr w:rsidR="00D20BBD" w:rsidRPr="00CA2B37" w:rsidTr="003E24F7">
        <w:trPr>
          <w:trHeight w:val="300"/>
        </w:trPr>
        <w:tc>
          <w:tcPr>
            <w:tcW w:w="3315" w:type="dxa"/>
            <w:tcBorders>
              <w:top w:val="nil"/>
              <w:left w:val="single" w:sz="8" w:space="0" w:color="auto"/>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894"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351"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260"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70"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073"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r w:rsidR="004C0EA6">
              <w:rPr>
                <w:rFonts w:ascii="Calibri" w:hAnsi="Calibri" w:cs="Calibri"/>
                <w:color w:val="000000"/>
                <w:sz w:val="16"/>
                <w:szCs w:val="16"/>
              </w:rPr>
              <w:t xml:space="preserve"> mins</w:t>
            </w:r>
          </w:p>
        </w:tc>
        <w:tc>
          <w:tcPr>
            <w:tcW w:w="1163" w:type="dxa"/>
            <w:tcBorders>
              <w:top w:val="nil"/>
              <w:left w:val="nil"/>
              <w:bottom w:val="single" w:sz="4" w:space="0" w:color="auto"/>
              <w:right w:val="single" w:sz="4" w:space="0" w:color="auto"/>
            </w:tcBorders>
            <w:shd w:val="clear" w:color="auto" w:fill="auto"/>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666.66</w:t>
            </w:r>
          </w:p>
        </w:tc>
        <w:tc>
          <w:tcPr>
            <w:tcW w:w="1342" w:type="dxa"/>
            <w:tcBorders>
              <w:top w:val="nil"/>
              <w:left w:val="nil"/>
              <w:bottom w:val="single" w:sz="4" w:space="0" w:color="auto"/>
              <w:right w:val="single" w:sz="4" w:space="0" w:color="auto"/>
            </w:tcBorders>
            <w:shd w:val="clear" w:color="auto" w:fill="auto"/>
            <w:noWrap/>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342" w:type="dxa"/>
            <w:tcBorders>
              <w:top w:val="nil"/>
              <w:left w:val="nil"/>
              <w:bottom w:val="single" w:sz="4" w:space="0" w:color="auto"/>
              <w:right w:val="single" w:sz="8" w:space="0" w:color="auto"/>
            </w:tcBorders>
            <w:shd w:val="clear" w:color="auto" w:fill="auto"/>
            <w:noWrap/>
            <w:vAlign w:val="bottom"/>
          </w:tcPr>
          <w:p w:rsidR="00D20BBD" w:rsidRPr="00CA2B37" w:rsidRDefault="005B045E" w:rsidP="00CA2B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$9,659.90</w:t>
            </w:r>
          </w:p>
        </w:tc>
      </w:tr>
      <w:tr w:rsidR="00CA2B37" w:rsidRPr="00CA2B37" w:rsidTr="003E24F7">
        <w:trPr>
          <w:trHeight w:val="315"/>
        </w:trPr>
        <w:tc>
          <w:tcPr>
            <w:tcW w:w="3315" w:type="dxa"/>
            <w:tcBorders>
              <w:top w:val="nil"/>
              <w:left w:val="single" w:sz="8" w:space="0" w:color="auto"/>
              <w:bottom w:val="single" w:sz="8" w:space="0" w:color="auto"/>
              <w:right w:val="single" w:sz="8" w:space="0" w:color="auto"/>
            </w:tcBorders>
            <w:shd w:val="clear" w:color="000000" w:fill="BDD7EE"/>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894" w:type="dxa"/>
            <w:tcBorders>
              <w:top w:val="nil"/>
              <w:left w:val="nil"/>
              <w:bottom w:val="single" w:sz="8" w:space="0" w:color="auto"/>
              <w:right w:val="single" w:sz="8" w:space="0" w:color="auto"/>
            </w:tcBorders>
            <w:shd w:val="clear" w:color="000000" w:fill="000000"/>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51" w:type="dxa"/>
            <w:tcBorders>
              <w:top w:val="nil"/>
              <w:left w:val="nil"/>
              <w:bottom w:val="single" w:sz="8" w:space="0" w:color="auto"/>
              <w:right w:val="single" w:sz="8" w:space="0" w:color="auto"/>
            </w:tcBorders>
            <w:shd w:val="clear" w:color="000000" w:fill="000000"/>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60" w:type="dxa"/>
            <w:tcBorders>
              <w:top w:val="nil"/>
              <w:left w:val="nil"/>
              <w:bottom w:val="single" w:sz="8" w:space="0" w:color="auto"/>
              <w:right w:val="single" w:sz="8" w:space="0" w:color="auto"/>
            </w:tcBorders>
            <w:shd w:val="clear" w:color="000000" w:fill="000000"/>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70" w:type="dxa"/>
            <w:tcBorders>
              <w:top w:val="nil"/>
              <w:left w:val="nil"/>
              <w:bottom w:val="single" w:sz="8" w:space="0" w:color="auto"/>
              <w:right w:val="single" w:sz="8" w:space="0" w:color="auto"/>
            </w:tcBorders>
            <w:shd w:val="clear" w:color="000000" w:fill="BDD7EE"/>
            <w:noWrap/>
            <w:vAlign w:val="bottom"/>
          </w:tcPr>
          <w:p w:rsidR="00CA2B37" w:rsidRPr="00CA2B37" w:rsidRDefault="003E24F7" w:rsidP="001827E2">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25,051,916</w:t>
            </w:r>
          </w:p>
        </w:tc>
        <w:tc>
          <w:tcPr>
            <w:tcW w:w="1073" w:type="dxa"/>
            <w:tcBorders>
              <w:top w:val="nil"/>
              <w:left w:val="nil"/>
              <w:bottom w:val="single" w:sz="8" w:space="0" w:color="auto"/>
              <w:right w:val="single" w:sz="8" w:space="0" w:color="auto"/>
            </w:tcBorders>
            <w:shd w:val="clear" w:color="000000" w:fill="000000"/>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63" w:type="dxa"/>
            <w:tcBorders>
              <w:top w:val="nil"/>
              <w:left w:val="nil"/>
              <w:bottom w:val="single" w:sz="8" w:space="0" w:color="auto"/>
              <w:right w:val="single" w:sz="8" w:space="0" w:color="auto"/>
            </w:tcBorders>
            <w:shd w:val="clear" w:color="000000" w:fill="BDD7EE"/>
            <w:noWrap/>
            <w:vAlign w:val="bottom"/>
            <w:hideMark/>
          </w:tcPr>
          <w:p w:rsidR="00CA2B37" w:rsidRPr="00CA2B37" w:rsidRDefault="001A407A" w:rsidP="001A407A">
            <w:pPr>
              <w:widowControl/>
              <w:autoSpaceDE/>
              <w:autoSpaceDN/>
              <w:adjustRightInd/>
              <w:jc w:val="center"/>
              <w:rPr>
                <w:rFonts w:ascii="Calibri" w:hAnsi="Calibri" w:cs="Calibri"/>
                <w:b/>
                <w:bCs/>
                <w:color w:val="000000"/>
                <w:sz w:val="22"/>
                <w:szCs w:val="22"/>
              </w:rPr>
            </w:pPr>
            <w:r>
              <w:rPr>
                <w:rFonts w:ascii="Calibri" w:hAnsi="Calibri" w:cs="Calibri"/>
                <w:b/>
                <w:bCs/>
                <w:color w:val="000000"/>
                <w:sz w:val="22"/>
                <w:szCs w:val="22"/>
              </w:rPr>
              <w:t>3,666</w:t>
            </w:r>
          </w:p>
        </w:tc>
        <w:tc>
          <w:tcPr>
            <w:tcW w:w="1342" w:type="dxa"/>
            <w:tcBorders>
              <w:top w:val="nil"/>
              <w:left w:val="nil"/>
              <w:bottom w:val="single" w:sz="8" w:space="0" w:color="auto"/>
              <w:right w:val="single" w:sz="8" w:space="0" w:color="auto"/>
            </w:tcBorders>
            <w:shd w:val="clear" w:color="000000" w:fill="000000"/>
            <w:noWrap/>
            <w:vAlign w:val="bottom"/>
            <w:hideMark/>
          </w:tcPr>
          <w:p w:rsidR="00CA2B37" w:rsidRPr="00CA2B37" w:rsidRDefault="00CA2B37" w:rsidP="00CA2B3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342" w:type="dxa"/>
            <w:tcBorders>
              <w:top w:val="nil"/>
              <w:left w:val="nil"/>
              <w:bottom w:val="single" w:sz="8" w:space="0" w:color="auto"/>
              <w:right w:val="single" w:sz="8" w:space="0" w:color="auto"/>
            </w:tcBorders>
            <w:shd w:val="clear" w:color="000000" w:fill="BDD7EE"/>
            <w:noWrap/>
            <w:vAlign w:val="bottom"/>
            <w:hideMark/>
          </w:tcPr>
          <w:p w:rsidR="00CA2B37" w:rsidRPr="00CA2B37" w:rsidRDefault="00CA2B37" w:rsidP="001A407A">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sidR="005B045E">
              <w:rPr>
                <w:rFonts w:ascii="Calibri" w:hAnsi="Calibri" w:cs="Calibri"/>
                <w:b/>
                <w:bCs/>
                <w:color w:val="000000"/>
                <w:sz w:val="22"/>
                <w:szCs w:val="22"/>
              </w:rPr>
              <w:t>$</w:t>
            </w:r>
            <w:r w:rsidR="00646D0D">
              <w:rPr>
                <w:rFonts w:ascii="Calibri" w:hAnsi="Calibri" w:cs="Calibri"/>
                <w:b/>
                <w:bCs/>
                <w:color w:val="000000"/>
                <w:sz w:val="22"/>
                <w:szCs w:val="22"/>
              </w:rPr>
              <w:t>97,035.</w:t>
            </w:r>
            <w:r w:rsidR="001A407A">
              <w:rPr>
                <w:rFonts w:ascii="Calibri" w:hAnsi="Calibri" w:cs="Calibri"/>
                <w:b/>
                <w:bCs/>
                <w:color w:val="000000"/>
                <w:sz w:val="22"/>
                <w:szCs w:val="22"/>
              </w:rPr>
              <w:t>45</w:t>
            </w:r>
          </w:p>
        </w:tc>
      </w:tr>
    </w:tbl>
    <w:p w:rsidR="00CA2B37" w:rsidRDefault="00CA2B37" w:rsidP="00CA2B37">
      <w:pPr>
        <w:ind w:left="-360"/>
        <w:rPr>
          <w:sz w:val="24"/>
          <w:szCs w:val="24"/>
        </w:rPr>
      </w:pPr>
    </w:p>
    <w:p w:rsidR="004F26E9" w:rsidRDefault="004F26E9" w:rsidP="00CA2B37">
      <w:pPr>
        <w:ind w:left="-360"/>
        <w:rPr>
          <w:sz w:val="24"/>
          <w:szCs w:val="24"/>
        </w:rPr>
      </w:pPr>
    </w:p>
    <w:p w:rsidR="00CA2B37" w:rsidRDefault="00CA2B37" w:rsidP="00CA2B37">
      <w:pPr>
        <w:ind w:left="-360"/>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RDefault="004F26E9" w:rsidP="00493868">
      <w:pPr>
        <w:tabs>
          <w:tab w:val="left" w:pos="540"/>
        </w:tabs>
        <w:ind w:left="540"/>
        <w:rPr>
          <w:sz w:val="24"/>
          <w:szCs w:val="24"/>
        </w:rPr>
      </w:pPr>
    </w:p>
    <w:p w:rsidR="004F26E9" w:rsidRDefault="00493868" w:rsidP="00493868">
      <w:pPr>
        <w:tabs>
          <w:tab w:val="left" w:pos="540"/>
        </w:tabs>
        <w:ind w:left="540" w:hanging="540"/>
        <w:rPr>
          <w:sz w:val="24"/>
          <w:szCs w:val="24"/>
        </w:rPr>
      </w:pPr>
      <w:r>
        <w:rPr>
          <w:b/>
          <w:bCs/>
          <w:sz w:val="24"/>
          <w:szCs w:val="24"/>
        </w:rPr>
        <w:t>13.</w:t>
      </w:r>
      <w:r>
        <w:rPr>
          <w:b/>
          <w:bCs/>
          <w:sz w:val="24"/>
          <w:szCs w:val="24"/>
        </w:rPr>
        <w:tab/>
      </w:r>
      <w:r w:rsidR="004F26E9" w:rsidRPr="000A0540">
        <w:rPr>
          <w:b/>
          <w:bCs/>
          <w:sz w:val="24"/>
          <w:szCs w:val="24"/>
        </w:rPr>
        <w:t xml:space="preserve">Provide an estimate of the total annual cost burden to the respondents or record-keepers resulting from the collection (excluding the value of the burden hours in </w:t>
      </w:r>
      <w:r w:rsidR="00725C5C" w:rsidRPr="000A0540">
        <w:rPr>
          <w:b/>
          <w:bCs/>
          <w:sz w:val="24"/>
          <w:szCs w:val="24"/>
        </w:rPr>
        <w:t xml:space="preserve">Question </w:t>
      </w:r>
      <w:r w:rsidR="004F26E9" w:rsidRPr="000A0540">
        <w:rPr>
          <w:b/>
          <w:bCs/>
          <w:sz w:val="24"/>
          <w:szCs w:val="24"/>
        </w:rPr>
        <w:t>12 above)</w:t>
      </w:r>
      <w:r w:rsidR="004F26E9">
        <w:rPr>
          <w:b/>
          <w:bCs/>
          <w:sz w:val="24"/>
          <w:szCs w:val="24"/>
        </w:rPr>
        <w:t>.</w:t>
      </w:r>
      <w:r w:rsidR="00F37052">
        <w:rPr>
          <w:b/>
          <w:bCs/>
          <w:sz w:val="24"/>
          <w:szCs w:val="24"/>
        </w:rPr>
        <w:t xml:space="preserve"> (add rows as necessary)</w:t>
      </w:r>
    </w:p>
    <w:p w:rsidR="004F26E9" w:rsidRDefault="004F26E9" w:rsidP="00493868">
      <w:pPr>
        <w:tabs>
          <w:tab w:val="left" w:pos="540"/>
        </w:tabs>
        <w:ind w:left="540"/>
        <w:rPr>
          <w:sz w:val="24"/>
          <w:szCs w:val="24"/>
        </w:rPr>
      </w:pPr>
    </w:p>
    <w:tbl>
      <w:tblPr>
        <w:tblW w:w="9980" w:type="dxa"/>
        <w:tblLook w:val="04A0" w:firstRow="1" w:lastRow="0" w:firstColumn="1" w:lastColumn="0" w:noHBand="0" w:noVBand="1"/>
      </w:tblPr>
      <w:tblGrid>
        <w:gridCol w:w="3410"/>
        <w:gridCol w:w="1350"/>
        <w:gridCol w:w="1170"/>
        <w:gridCol w:w="1350"/>
        <w:gridCol w:w="1352"/>
        <w:gridCol w:w="1348"/>
      </w:tblGrid>
      <w:tr w:rsidR="00185785" w:rsidRPr="000D49BA" w:rsidTr="00C4704E">
        <w:trPr>
          <w:trHeight w:val="690"/>
        </w:trPr>
        <w:tc>
          <w:tcPr>
            <w:tcW w:w="3410"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350"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70"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50"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352"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348" w:type="dxa"/>
            <w:tcBorders>
              <w:top w:val="single" w:sz="8" w:space="0" w:color="auto"/>
              <w:left w:val="nil"/>
              <w:bottom w:val="single" w:sz="8" w:space="0" w:color="auto"/>
              <w:right w:val="single" w:sz="8" w:space="0" w:color="auto"/>
            </w:tcBorders>
            <w:shd w:val="clear" w:color="auto" w:fill="5B9BD5" w:themeFill="accent1"/>
            <w:vAlign w:val="center"/>
            <w:hideMark/>
          </w:tcPr>
          <w:p w:rsidR="00185785" w:rsidRPr="00185785" w:rsidRDefault="00185785" w:rsidP="0018578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00185785" w:rsidRPr="00185785"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hideMark/>
          </w:tcPr>
          <w:p w:rsidR="00185785" w:rsidRPr="00185785" w:rsidRDefault="00185785" w:rsidP="00185785">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sidR="00422592">
              <w:rPr>
                <w:rFonts w:ascii="Calibri" w:hAnsi="Calibri" w:cs="Calibri"/>
                <w:color w:val="000000"/>
                <w:sz w:val="16"/>
                <w:szCs w:val="16"/>
              </w:rPr>
              <w:t>Initial installation of VMS unit</w:t>
            </w:r>
          </w:p>
        </w:tc>
        <w:tc>
          <w:tcPr>
            <w:tcW w:w="1350" w:type="dxa"/>
            <w:tcBorders>
              <w:top w:val="nil"/>
              <w:left w:val="nil"/>
              <w:bottom w:val="single" w:sz="4" w:space="0" w:color="auto"/>
              <w:right w:val="single" w:sz="4" w:space="0" w:color="auto"/>
            </w:tcBorders>
            <w:shd w:val="clear" w:color="000000" w:fill="FFFFFF"/>
            <w:vAlign w:val="center"/>
            <w:hideMark/>
          </w:tcPr>
          <w:p w:rsidR="00185785"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sz="4" w:space="0" w:color="auto"/>
              <w:right w:val="single" w:sz="4" w:space="0" w:color="auto"/>
            </w:tcBorders>
            <w:shd w:val="clear" w:color="000000" w:fill="FFFFFF"/>
            <w:vAlign w:val="center"/>
            <w:hideMark/>
          </w:tcPr>
          <w:p w:rsidR="00185785"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sz="4" w:space="0" w:color="auto"/>
              <w:right w:val="single" w:sz="4" w:space="0" w:color="auto"/>
            </w:tcBorders>
            <w:shd w:val="clear" w:color="000000" w:fill="FFFFFF"/>
            <w:vAlign w:val="center"/>
            <w:hideMark/>
          </w:tcPr>
          <w:p w:rsidR="00185785"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 (333 annualized)</w:t>
            </w:r>
          </w:p>
        </w:tc>
        <w:tc>
          <w:tcPr>
            <w:tcW w:w="1352" w:type="dxa"/>
            <w:tcBorders>
              <w:top w:val="nil"/>
              <w:left w:val="nil"/>
              <w:bottom w:val="single" w:sz="4" w:space="0" w:color="auto"/>
              <w:right w:val="single" w:sz="4" w:space="0" w:color="auto"/>
            </w:tcBorders>
            <w:shd w:val="clear" w:color="000000" w:fill="FFFFFF"/>
            <w:vAlign w:val="center"/>
            <w:hideMark/>
          </w:tcPr>
          <w:p w:rsidR="00185785"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w:t>
            </w:r>
            <w:r w:rsidR="00185785" w:rsidRPr="00185785">
              <w:rPr>
                <w:rFonts w:ascii="Calibri" w:hAnsi="Calibri" w:cs="Calibri"/>
                <w:color w:val="000000"/>
                <w:sz w:val="16"/>
                <w:szCs w:val="16"/>
              </w:rPr>
              <w:t> </w:t>
            </w:r>
          </w:p>
        </w:tc>
        <w:tc>
          <w:tcPr>
            <w:tcW w:w="1348" w:type="dxa"/>
            <w:tcBorders>
              <w:top w:val="nil"/>
              <w:left w:val="nil"/>
              <w:bottom w:val="single" w:sz="4" w:space="0" w:color="auto"/>
              <w:right w:val="single" w:sz="8" w:space="0" w:color="auto"/>
            </w:tcBorders>
            <w:shd w:val="clear" w:color="000000" w:fill="FFFFFF"/>
            <w:vAlign w:val="center"/>
            <w:hideMark/>
          </w:tcPr>
          <w:p w:rsidR="00185785" w:rsidRPr="00185785" w:rsidRDefault="007E38C6"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$3,350,000 (</w:t>
            </w:r>
            <w:r w:rsidR="00422592">
              <w:rPr>
                <w:rFonts w:ascii="Calibri" w:hAnsi="Calibri" w:cs="Calibri"/>
                <w:color w:val="000000"/>
                <w:sz w:val="16"/>
                <w:szCs w:val="16"/>
              </w:rPr>
              <w:t>$1,115,550</w:t>
            </w:r>
            <w:r>
              <w:rPr>
                <w:rFonts w:ascii="Calibri" w:hAnsi="Calibri" w:cs="Calibri"/>
                <w:color w:val="000000"/>
                <w:sz w:val="16"/>
                <w:szCs w:val="16"/>
              </w:rPr>
              <w:t>)</w:t>
            </w:r>
          </w:p>
        </w:tc>
      </w:tr>
      <w:tr w:rsidR="00640B76" w:rsidRPr="00185785"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tcPr>
          <w:p w:rsidR="00640B76" w:rsidRPr="00185785" w:rsidRDefault="0042259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Installation/activ</w:t>
            </w:r>
            <w:r w:rsidR="006F340C">
              <w:rPr>
                <w:rFonts w:ascii="Calibri" w:hAnsi="Calibri" w:cs="Calibri"/>
                <w:color w:val="000000"/>
                <w:sz w:val="16"/>
                <w:szCs w:val="16"/>
              </w:rPr>
              <w:t>ation</w:t>
            </w:r>
            <w:r w:rsidR="00646D0D">
              <w:rPr>
                <w:rFonts w:ascii="Calibri" w:hAnsi="Calibri" w:cs="Calibri"/>
                <w:color w:val="000000"/>
                <w:sz w:val="16"/>
                <w:szCs w:val="16"/>
              </w:rPr>
              <w:t xml:space="preserve"> report</w:t>
            </w:r>
          </w:p>
        </w:tc>
        <w:tc>
          <w:tcPr>
            <w:tcW w:w="1350" w:type="dxa"/>
            <w:tcBorders>
              <w:top w:val="nil"/>
              <w:left w:val="nil"/>
              <w:bottom w:val="single" w:sz="4" w:space="0" w:color="auto"/>
              <w:right w:val="single" w:sz="4" w:space="0" w:color="auto"/>
            </w:tcBorders>
            <w:shd w:val="clear" w:color="000000" w:fill="FFFFFF"/>
            <w:vAlign w:val="center"/>
          </w:tcPr>
          <w:p w:rsidR="00640B76"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170" w:type="dxa"/>
            <w:tcBorders>
              <w:top w:val="nil"/>
              <w:left w:val="nil"/>
              <w:bottom w:val="single" w:sz="4" w:space="0" w:color="auto"/>
              <w:right w:val="single" w:sz="4" w:space="0" w:color="auto"/>
            </w:tcBorders>
            <w:shd w:val="clear" w:color="000000" w:fill="FFFFFF"/>
            <w:vAlign w:val="center"/>
          </w:tcPr>
          <w:p w:rsidR="00640B76"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sz="4" w:space="0" w:color="auto"/>
              <w:right w:val="single" w:sz="4" w:space="0" w:color="auto"/>
            </w:tcBorders>
            <w:shd w:val="clear" w:color="000000" w:fill="FFFFFF"/>
            <w:vAlign w:val="center"/>
          </w:tcPr>
          <w:p w:rsidR="00640B76"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c>
          <w:tcPr>
            <w:tcW w:w="1352" w:type="dxa"/>
            <w:tcBorders>
              <w:top w:val="nil"/>
              <w:left w:val="nil"/>
              <w:bottom w:val="single" w:sz="4" w:space="0" w:color="auto"/>
              <w:right w:val="single" w:sz="4" w:space="0" w:color="auto"/>
            </w:tcBorders>
            <w:shd w:val="clear" w:color="000000" w:fill="FFFFFF"/>
            <w:vAlign w:val="center"/>
          </w:tcPr>
          <w:p w:rsidR="00640B76"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48" w:type="dxa"/>
            <w:tcBorders>
              <w:top w:val="nil"/>
              <w:left w:val="nil"/>
              <w:bottom w:val="single" w:sz="4" w:space="0" w:color="auto"/>
              <w:right w:val="single" w:sz="8" w:space="0" w:color="auto"/>
            </w:tcBorders>
            <w:shd w:val="clear" w:color="000000" w:fill="FFFFFF"/>
            <w:vAlign w:val="center"/>
          </w:tcPr>
          <w:p w:rsidR="00640B76"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$250</w:t>
            </w:r>
          </w:p>
        </w:tc>
      </w:tr>
      <w:tr w:rsidR="00E6174B" w:rsidRPr="00185785"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tcPr>
          <w:p w:rsidR="00E6174B" w:rsidRPr="00185785" w:rsidRDefault="0042259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Maintenance</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r w:rsidR="00DB7BFC">
              <w:rPr>
                <w:rFonts w:ascii="Calibri" w:hAnsi="Calibri" w:cs="Calibri"/>
                <w:color w:val="000000"/>
                <w:sz w:val="16"/>
                <w:szCs w:val="16"/>
              </w:rPr>
              <w:t xml:space="preserve"> (333 annualized)</w:t>
            </w:r>
          </w:p>
        </w:tc>
        <w:tc>
          <w:tcPr>
            <w:tcW w:w="1352"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w:t>
            </w:r>
          </w:p>
        </w:tc>
        <w:tc>
          <w:tcPr>
            <w:tcW w:w="1348" w:type="dxa"/>
            <w:tcBorders>
              <w:top w:val="nil"/>
              <w:left w:val="nil"/>
              <w:bottom w:val="single" w:sz="4" w:space="0" w:color="auto"/>
              <w:right w:val="single" w:sz="8"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$300,000</w:t>
            </w:r>
            <w:r w:rsidR="00597B79">
              <w:rPr>
                <w:rFonts w:ascii="Calibri" w:hAnsi="Calibri" w:cs="Calibri"/>
                <w:color w:val="000000"/>
                <w:sz w:val="16"/>
                <w:szCs w:val="16"/>
              </w:rPr>
              <w:t xml:space="preserve"> ($99,900)</w:t>
            </w:r>
          </w:p>
        </w:tc>
      </w:tr>
      <w:tr w:rsidR="009D5789" w:rsidRPr="009D5789"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tcPr>
          <w:p w:rsidR="00E6174B" w:rsidRPr="00185785" w:rsidRDefault="00B82F92" w:rsidP="00B82F92">
            <w:pPr>
              <w:widowControl/>
              <w:autoSpaceDE/>
              <w:autoSpaceDN/>
              <w:adjustRightInd/>
              <w:rPr>
                <w:rFonts w:ascii="Calibri" w:hAnsi="Calibri" w:cs="Calibri"/>
                <w:color w:val="000000"/>
                <w:sz w:val="16"/>
                <w:szCs w:val="16"/>
              </w:rPr>
            </w:pPr>
            <w:r>
              <w:rPr>
                <w:rFonts w:ascii="Calibri" w:hAnsi="Calibri" w:cs="Calibri"/>
                <w:color w:val="000000"/>
                <w:sz w:val="16"/>
                <w:szCs w:val="16"/>
              </w:rPr>
              <w:t>Position R</w:t>
            </w:r>
            <w:r w:rsidR="00422592">
              <w:rPr>
                <w:rFonts w:ascii="Calibri" w:hAnsi="Calibri" w:cs="Calibri"/>
                <w:color w:val="000000"/>
                <w:sz w:val="16"/>
                <w:szCs w:val="16"/>
              </w:rPr>
              <w:t>eport</w:t>
            </w:r>
            <w:r w:rsidR="00B64444">
              <w:rPr>
                <w:rFonts w:ascii="Calibri" w:hAnsi="Calibri" w:cs="Calibri"/>
                <w:color w:val="000000"/>
                <w:sz w:val="16"/>
                <w:szCs w:val="16"/>
              </w:rPr>
              <w:t>s</w:t>
            </w:r>
            <w:r w:rsidR="00646D0D">
              <w:rPr>
                <w:rFonts w:ascii="Calibri" w:hAnsi="Calibri" w:cs="Calibri"/>
                <w:color w:val="000000"/>
                <w:sz w:val="16"/>
                <w:szCs w:val="16"/>
              </w:rPr>
              <w:t xml:space="preserve"> – Annual Cost</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sz="4" w:space="0" w:color="auto"/>
              <w:right w:val="single" w:sz="4" w:space="0" w:color="auto"/>
            </w:tcBorders>
            <w:shd w:val="clear" w:color="000000" w:fill="FFFFFF"/>
            <w:vAlign w:val="center"/>
          </w:tcPr>
          <w:p w:rsidR="00E6174B" w:rsidRPr="004D0E85" w:rsidRDefault="00646D0D" w:rsidP="00F510BF">
            <w:pPr>
              <w:widowControl/>
              <w:autoSpaceDE/>
              <w:autoSpaceDN/>
              <w:adjustRightInd/>
              <w:jc w:val="right"/>
              <w:rPr>
                <w:rFonts w:ascii="Calibri" w:hAnsi="Calibri" w:cs="Calibri"/>
                <w:sz w:val="16"/>
                <w:szCs w:val="16"/>
              </w:rPr>
            </w:pPr>
            <w:r w:rsidRPr="004D0E85">
              <w:rPr>
                <w:rFonts w:ascii="Calibri" w:hAnsi="Calibri" w:cs="Calibri"/>
                <w:sz w:val="16"/>
                <w:szCs w:val="16"/>
              </w:rPr>
              <w:t>25,040</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F510BF" w:rsidP="00185785">
            <w:pPr>
              <w:widowControl/>
              <w:autoSpaceDE/>
              <w:autoSpaceDN/>
              <w:adjustRightInd/>
              <w:jc w:val="right"/>
              <w:rPr>
                <w:rFonts w:ascii="Calibri" w:hAnsi="Calibri" w:cs="Calibri"/>
                <w:color w:val="000000"/>
                <w:sz w:val="16"/>
                <w:szCs w:val="16"/>
              </w:rPr>
            </w:pPr>
            <w:r w:rsidRPr="004D0E85">
              <w:rPr>
                <w:rFonts w:ascii="Calibri" w:hAnsi="Calibri" w:cs="Calibri"/>
                <w:sz w:val="16"/>
                <w:szCs w:val="16"/>
              </w:rPr>
              <w:t>25,040,000</w:t>
            </w:r>
          </w:p>
        </w:tc>
        <w:tc>
          <w:tcPr>
            <w:tcW w:w="1352"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$1,051.20</w:t>
            </w:r>
          </w:p>
        </w:tc>
        <w:tc>
          <w:tcPr>
            <w:tcW w:w="1348" w:type="dxa"/>
            <w:tcBorders>
              <w:top w:val="nil"/>
              <w:left w:val="nil"/>
              <w:bottom w:val="single" w:sz="4" w:space="0" w:color="auto"/>
              <w:right w:val="single" w:sz="8" w:space="0" w:color="auto"/>
            </w:tcBorders>
            <w:shd w:val="clear" w:color="000000" w:fill="FFFFFF"/>
            <w:vAlign w:val="center"/>
          </w:tcPr>
          <w:p w:rsidR="00E6174B" w:rsidRPr="004D0E85" w:rsidRDefault="009D5789" w:rsidP="00185785">
            <w:pPr>
              <w:widowControl/>
              <w:autoSpaceDE/>
              <w:autoSpaceDN/>
              <w:adjustRightInd/>
              <w:jc w:val="right"/>
              <w:rPr>
                <w:rFonts w:ascii="Calibri" w:hAnsi="Calibri" w:cs="Calibri"/>
                <w:sz w:val="16"/>
                <w:szCs w:val="16"/>
              </w:rPr>
            </w:pPr>
            <w:r w:rsidRPr="004D0E85">
              <w:rPr>
                <w:rFonts w:ascii="Calibri" w:hAnsi="Calibri" w:cs="Calibri"/>
                <w:sz w:val="16"/>
                <w:szCs w:val="16"/>
              </w:rPr>
              <w:t>1,051,200</w:t>
            </w:r>
          </w:p>
        </w:tc>
      </w:tr>
      <w:tr w:rsidR="00E6174B" w:rsidRPr="00185785"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tcPr>
          <w:p w:rsidR="00E6174B" w:rsidRPr="00185785" w:rsidRDefault="0042259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Exemption Reports</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500</w:t>
            </w:r>
          </w:p>
        </w:tc>
        <w:tc>
          <w:tcPr>
            <w:tcW w:w="117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626CA5">
              <w:rPr>
                <w:rFonts w:ascii="Calibri" w:hAnsi="Calibri" w:cs="Calibri"/>
                <w:color w:val="000000"/>
                <w:sz w:val="16"/>
                <w:szCs w:val="16"/>
              </w:rPr>
              <w:t>0</w:t>
            </w:r>
          </w:p>
        </w:tc>
        <w:tc>
          <w:tcPr>
            <w:tcW w:w="1352"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48" w:type="dxa"/>
            <w:tcBorders>
              <w:top w:val="nil"/>
              <w:left w:val="nil"/>
              <w:bottom w:val="single" w:sz="4" w:space="0" w:color="auto"/>
              <w:right w:val="single" w:sz="8"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00E6174B" w:rsidRPr="00185785" w:rsidTr="00C4704E">
        <w:trPr>
          <w:trHeight w:val="300"/>
        </w:trPr>
        <w:tc>
          <w:tcPr>
            <w:tcW w:w="3410" w:type="dxa"/>
            <w:tcBorders>
              <w:top w:val="nil"/>
              <w:left w:val="single" w:sz="4" w:space="0" w:color="auto"/>
              <w:bottom w:val="single" w:sz="4" w:space="0" w:color="auto"/>
              <w:right w:val="single" w:sz="4" w:space="0" w:color="auto"/>
            </w:tcBorders>
            <w:shd w:val="clear" w:color="auto" w:fill="auto"/>
            <w:vAlign w:val="center"/>
          </w:tcPr>
          <w:p w:rsidR="00E6174B" w:rsidRPr="00185785" w:rsidRDefault="00422592" w:rsidP="00185785">
            <w:pPr>
              <w:widowControl/>
              <w:autoSpaceDE/>
              <w:autoSpaceDN/>
              <w:adjustRightInd/>
              <w:rPr>
                <w:rFonts w:ascii="Calibri" w:hAnsi="Calibri" w:cs="Calibri"/>
                <w:color w:val="000000"/>
                <w:sz w:val="16"/>
                <w:szCs w:val="16"/>
              </w:rPr>
            </w:pPr>
            <w:r>
              <w:rPr>
                <w:rFonts w:ascii="Calibri" w:hAnsi="Calibri" w:cs="Calibri"/>
                <w:color w:val="000000"/>
                <w:sz w:val="16"/>
                <w:szCs w:val="16"/>
              </w:rPr>
              <w:t>Declaration Reports</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c>
          <w:tcPr>
            <w:tcW w:w="117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c>
          <w:tcPr>
            <w:tcW w:w="1350"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10000</w:t>
            </w:r>
          </w:p>
        </w:tc>
        <w:tc>
          <w:tcPr>
            <w:tcW w:w="1352" w:type="dxa"/>
            <w:tcBorders>
              <w:top w:val="nil"/>
              <w:left w:val="nil"/>
              <w:bottom w:val="single" w:sz="4" w:space="0" w:color="auto"/>
              <w:right w:val="single" w:sz="4"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c>
          <w:tcPr>
            <w:tcW w:w="1348" w:type="dxa"/>
            <w:tcBorders>
              <w:top w:val="nil"/>
              <w:left w:val="nil"/>
              <w:bottom w:val="single" w:sz="4" w:space="0" w:color="auto"/>
              <w:right w:val="single" w:sz="8" w:space="0" w:color="auto"/>
            </w:tcBorders>
            <w:shd w:val="clear" w:color="000000" w:fill="FFFFFF"/>
            <w:vAlign w:val="center"/>
          </w:tcPr>
          <w:p w:rsidR="00E6174B" w:rsidRPr="00185785" w:rsidRDefault="00422592" w:rsidP="001857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$0.00</w:t>
            </w:r>
          </w:p>
        </w:tc>
      </w:tr>
      <w:tr w:rsidR="00185785" w:rsidRPr="00185785" w:rsidTr="00C4704E">
        <w:trPr>
          <w:trHeight w:val="315"/>
        </w:trPr>
        <w:tc>
          <w:tcPr>
            <w:tcW w:w="3410"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rsidR="00185785" w:rsidRPr="00185785" w:rsidRDefault="00185785" w:rsidP="000D49BA">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350"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70"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sz="8" w:space="0" w:color="auto"/>
              <w:left w:val="nil"/>
              <w:bottom w:val="single" w:sz="8" w:space="0" w:color="auto"/>
              <w:right w:val="single" w:sz="4" w:space="0" w:color="auto"/>
            </w:tcBorders>
            <w:shd w:val="clear" w:color="auto" w:fill="BDD6EE" w:themeFill="accent1" w:themeFillTint="66"/>
            <w:vAlign w:val="center"/>
          </w:tcPr>
          <w:p w:rsidR="00185785" w:rsidRPr="00185785" w:rsidRDefault="00F510BF" w:rsidP="00F510BF">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25,051</w:t>
            </w:r>
            <w:r w:rsidR="000D5760">
              <w:rPr>
                <w:rFonts w:ascii="Calibri" w:hAnsi="Calibri" w:cs="Calibri"/>
                <w:b/>
                <w:bCs/>
                <w:color w:val="000000"/>
                <w:sz w:val="16"/>
                <w:szCs w:val="16"/>
              </w:rPr>
              <w:t>,</w:t>
            </w:r>
            <w:r w:rsidR="004D0E85">
              <w:rPr>
                <w:rFonts w:ascii="Calibri" w:hAnsi="Calibri" w:cs="Calibri"/>
                <w:b/>
                <w:bCs/>
                <w:color w:val="000000"/>
                <w:sz w:val="16"/>
                <w:szCs w:val="16"/>
              </w:rPr>
              <w:t>916</w:t>
            </w:r>
          </w:p>
        </w:tc>
        <w:tc>
          <w:tcPr>
            <w:tcW w:w="1352" w:type="dxa"/>
            <w:tcBorders>
              <w:top w:val="single" w:sz="8" w:space="0" w:color="auto"/>
              <w:left w:val="nil"/>
              <w:bottom w:val="single" w:sz="8" w:space="0" w:color="auto"/>
              <w:right w:val="single" w:sz="4" w:space="0" w:color="auto"/>
            </w:tcBorders>
            <w:shd w:val="clear" w:color="auto" w:fill="000000" w:themeFill="text1"/>
            <w:vAlign w:val="center"/>
            <w:hideMark/>
          </w:tcPr>
          <w:p w:rsidR="00185785" w:rsidRPr="00185785" w:rsidRDefault="00185785" w:rsidP="0018578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8"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185785" w:rsidRPr="00185785" w:rsidRDefault="000D5760" w:rsidP="004D0E8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4D0E85">
              <w:rPr>
                <w:rFonts w:ascii="Calibri" w:hAnsi="Calibri" w:cs="Calibri"/>
                <w:b/>
                <w:bCs/>
                <w:color w:val="000000"/>
                <w:sz w:val="16"/>
                <w:szCs w:val="16"/>
              </w:rPr>
              <w:t>2,266,900</w:t>
            </w:r>
          </w:p>
        </w:tc>
      </w:tr>
    </w:tbl>
    <w:p w:rsidR="004F26E9" w:rsidRDefault="004F26E9" w:rsidP="00493868">
      <w:pPr>
        <w:tabs>
          <w:tab w:val="left" w:pos="540"/>
        </w:tabs>
        <w:ind w:left="540"/>
        <w:rPr>
          <w:sz w:val="24"/>
          <w:szCs w:val="24"/>
        </w:rPr>
      </w:pPr>
    </w:p>
    <w:p w:rsidR="004F26E9" w:rsidRDefault="004F26E9" w:rsidP="00493868">
      <w:pPr>
        <w:tabs>
          <w:tab w:val="left" w:pos="540"/>
        </w:tabs>
        <w:ind w:left="540"/>
        <w:rPr>
          <w:sz w:val="24"/>
          <w:szCs w:val="24"/>
        </w:rPr>
      </w:pPr>
    </w:p>
    <w:p w:rsidR="004F26E9" w:rsidRDefault="00493868" w:rsidP="00493868">
      <w:pPr>
        <w:tabs>
          <w:tab w:val="left" w:pos="540"/>
        </w:tabs>
        <w:ind w:left="540" w:hanging="540"/>
        <w:rPr>
          <w:sz w:val="24"/>
          <w:szCs w:val="24"/>
        </w:rPr>
      </w:pPr>
      <w:r>
        <w:rPr>
          <w:b/>
          <w:bCs/>
          <w:sz w:val="24"/>
          <w:szCs w:val="24"/>
        </w:rPr>
        <w:t>14.</w:t>
      </w:r>
      <w:r>
        <w:rPr>
          <w:b/>
          <w:bCs/>
          <w:sz w:val="24"/>
          <w:szCs w:val="24"/>
        </w:rPr>
        <w:tab/>
      </w:r>
      <w:r w:rsidR="004F26E9" w:rsidRPr="000A0540">
        <w:rPr>
          <w:b/>
          <w:bCs/>
          <w:sz w:val="24"/>
          <w:szCs w:val="24"/>
        </w:rPr>
        <w:t>Provide estimates of annualized cost to the Federal government.</w:t>
      </w:r>
      <w:r w:rsidR="003666C0">
        <w:rPr>
          <w:b/>
          <w:bCs/>
          <w:sz w:val="24"/>
          <w:szCs w:val="24"/>
        </w:rPr>
        <w:t xml:space="preserve"> (add rows/information as necessary)</w:t>
      </w:r>
    </w:p>
    <w:p w:rsidR="004F26E9" w:rsidRDefault="004F26E9" w:rsidP="00493868">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000D49BA" w:rsidRPr="00F37052" w:rsidTr="000D49BA">
        <w:trPr>
          <w:trHeight w:val="450"/>
        </w:trPr>
        <w:tc>
          <w:tcPr>
            <w:tcW w:w="1970" w:type="dxa"/>
            <w:tcBorders>
              <w:top w:val="single" w:sz="8" w:space="0" w:color="auto"/>
              <w:left w:val="single" w:sz="8" w:space="0" w:color="auto"/>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sz="8" w:space="0" w:color="auto"/>
              <w:left w:val="nil"/>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sz="8" w:space="0" w:color="auto"/>
              <w:left w:val="nil"/>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5B9BD5" w:themeFill="accent1"/>
            <w:vAlign w:val="center"/>
            <w:hideMark/>
          </w:tcPr>
          <w:p w:rsidR="00F37052" w:rsidRPr="00F37052" w:rsidRDefault="00F37052" w:rsidP="00F37052">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00F37052" w:rsidRPr="00F37052" w:rsidTr="000D49BA">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37052" w:rsidRPr="00F37052" w:rsidRDefault="00F37052" w:rsidP="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single" w:sz="4" w:space="0" w:color="auto"/>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sz="4" w:space="0" w:color="auto"/>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RDefault="00E25DA1" w:rsidP="008209CF">
            <w:pPr>
              <w:widowControl/>
              <w:autoSpaceDE/>
              <w:autoSpaceDN/>
              <w:adjustRightInd/>
              <w:rPr>
                <w:rFonts w:ascii="Calibri" w:hAnsi="Calibri" w:cs="Calibri"/>
                <w:color w:val="000000"/>
                <w:sz w:val="16"/>
                <w:szCs w:val="16"/>
              </w:rPr>
            </w:pPr>
            <w:r>
              <w:rPr>
                <w:rFonts w:ascii="Calibri" w:hAnsi="Calibri" w:cs="Calibri"/>
                <w:color w:val="000000"/>
                <w:sz w:val="16"/>
                <w:szCs w:val="16"/>
              </w:rPr>
              <w:t>2.</w:t>
            </w:r>
            <w:r w:rsidR="00824E4E">
              <w:rPr>
                <w:rFonts w:ascii="Calibri" w:hAnsi="Calibri" w:cs="Calibri"/>
                <w:color w:val="000000"/>
                <w:sz w:val="16"/>
                <w:szCs w:val="16"/>
              </w:rPr>
              <w:t>5 FTEs</w:t>
            </w:r>
          </w:p>
        </w:tc>
        <w:tc>
          <w:tcPr>
            <w:tcW w:w="1620" w:type="dxa"/>
            <w:tcBorders>
              <w:top w:val="nil"/>
              <w:left w:val="nil"/>
              <w:bottom w:val="single" w:sz="4" w:space="0" w:color="auto"/>
              <w:right w:val="single" w:sz="4" w:space="0" w:color="auto"/>
            </w:tcBorders>
            <w:shd w:val="clear" w:color="auto" w:fill="auto"/>
            <w:noWrap/>
            <w:vAlign w:val="bottom"/>
            <w:hideMark/>
          </w:tcPr>
          <w:p w:rsidR="00F37052" w:rsidRPr="00F37052" w:rsidRDefault="00824E4E" w:rsidP="00F370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ZP-2</w:t>
            </w:r>
            <w:r w:rsidR="00F37052"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RDefault="00556F39" w:rsidP="00346C1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51,440</w:t>
            </w:r>
            <w:r w:rsidR="00F37052"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RDefault="00824E4E" w:rsidP="00F3705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r w:rsidR="00F37052"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556F39" w:rsidP="00346C1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346C15">
              <w:rPr>
                <w:rFonts w:ascii="Calibri" w:hAnsi="Calibri" w:cs="Calibri"/>
                <w:color w:val="000000"/>
                <w:sz w:val="16"/>
                <w:szCs w:val="16"/>
              </w:rPr>
              <w:t>128,600</w:t>
            </w:r>
            <w:r w:rsidR="00F37052"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vAlign w:val="bottom"/>
            <w:hideMark/>
          </w:tcPr>
          <w:p w:rsidR="00F37052" w:rsidRPr="00F37052" w:rsidRDefault="00F37052" w:rsidP="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00"/>
        </w:trPr>
        <w:tc>
          <w:tcPr>
            <w:tcW w:w="1970" w:type="dxa"/>
            <w:tcBorders>
              <w:top w:val="nil"/>
              <w:left w:val="single" w:sz="8" w:space="0" w:color="auto"/>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single" w:sz="4" w:space="0" w:color="auto"/>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sz="4" w:space="0" w:color="auto"/>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F37052" w:rsidRPr="00F37052" w:rsidTr="000D49BA">
        <w:trPr>
          <w:trHeight w:val="315"/>
        </w:trPr>
        <w:tc>
          <w:tcPr>
            <w:tcW w:w="1970" w:type="dxa"/>
            <w:tcBorders>
              <w:top w:val="nil"/>
              <w:left w:val="single" w:sz="8" w:space="0" w:color="auto"/>
              <w:bottom w:val="nil"/>
              <w:right w:val="single" w:sz="8" w:space="0" w:color="auto"/>
            </w:tcBorders>
            <w:shd w:val="clear" w:color="auto" w:fill="auto"/>
            <w:noWrap/>
            <w:vAlign w:val="bottom"/>
            <w:hideMark/>
          </w:tcPr>
          <w:p w:rsidR="00F37052" w:rsidRPr="00F37052" w:rsidRDefault="00F37052" w:rsidP="00F37052">
            <w:pPr>
              <w:widowControl/>
              <w:autoSpaceDE/>
              <w:autoSpaceDN/>
              <w:adjustRightInd/>
              <w:rPr>
                <w:rFonts w:ascii="Calibri" w:hAnsi="Calibri" w:cs="Calibri"/>
                <w:color w:val="000000"/>
                <w:sz w:val="16"/>
                <w:szCs w:val="16"/>
              </w:rPr>
            </w:pPr>
            <w:r w:rsidRPr="00F37052">
              <w:rPr>
                <w:rFonts w:ascii="Calibri" w:hAnsi="Calibri" w:cs="Calibri"/>
                <w:color w:val="000000"/>
                <w:sz w:val="16"/>
                <w:szCs w:val="16"/>
              </w:rPr>
              <w:t> </w:t>
            </w:r>
          </w:p>
        </w:tc>
        <w:tc>
          <w:tcPr>
            <w:tcW w:w="1620" w:type="dxa"/>
            <w:tcBorders>
              <w:top w:val="nil"/>
              <w:left w:val="nil"/>
              <w:bottom w:val="nil"/>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530" w:type="dxa"/>
            <w:tcBorders>
              <w:top w:val="nil"/>
              <w:left w:val="nil"/>
              <w:bottom w:val="nil"/>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080" w:type="dxa"/>
            <w:tcBorders>
              <w:top w:val="nil"/>
              <w:left w:val="nil"/>
              <w:bottom w:val="nil"/>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800" w:type="dxa"/>
            <w:tcBorders>
              <w:top w:val="nil"/>
              <w:left w:val="nil"/>
              <w:bottom w:val="nil"/>
              <w:right w:val="single" w:sz="4"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nil"/>
              <w:right w:val="single" w:sz="8" w:space="0" w:color="auto"/>
            </w:tcBorders>
            <w:shd w:val="clear" w:color="auto" w:fill="auto"/>
            <w:noWrap/>
            <w:vAlign w:val="bottom"/>
            <w:hideMark/>
          </w:tcPr>
          <w:p w:rsidR="00F37052" w:rsidRPr="00F37052" w:rsidRDefault="00F37052" w:rsidP="00F37052">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r>
      <w:tr w:rsidR="001A46F7" w:rsidRPr="00F37052" w:rsidTr="001A46F7">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DD6EE" w:themeFill="accent1" w:themeFillTint="66"/>
            <w:noWrap/>
            <w:vAlign w:val="bottom"/>
            <w:hideMark/>
          </w:tcPr>
          <w:p w:rsidR="00F37052" w:rsidRPr="00F37052" w:rsidRDefault="00F37052" w:rsidP="00F37052">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bottom"/>
            <w:hideMark/>
          </w:tcPr>
          <w:p w:rsidR="00F37052" w:rsidRPr="00F37052" w:rsidRDefault="00F37052" w:rsidP="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53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RDefault="00556F39" w:rsidP="004D0E85">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4D0E85">
              <w:rPr>
                <w:rFonts w:ascii="Calibri" w:hAnsi="Calibri" w:cs="Calibri"/>
                <w:b/>
                <w:color w:val="000000"/>
                <w:sz w:val="16"/>
                <w:szCs w:val="16"/>
              </w:rPr>
              <w:t>51,440</w:t>
            </w:r>
            <w:r w:rsidR="00F37052" w:rsidRPr="00F37052">
              <w:rPr>
                <w:rFonts w:ascii="Calibri" w:hAnsi="Calibri" w:cs="Calibri"/>
                <w:b/>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757171"/>
            <w:noWrap/>
            <w:vAlign w:val="bottom"/>
            <w:hideMark/>
          </w:tcPr>
          <w:p w:rsidR="00F37052" w:rsidRPr="00F37052" w:rsidRDefault="00F37052" w:rsidP="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80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RDefault="00F37052" w:rsidP="00F37052">
            <w:pPr>
              <w:widowControl/>
              <w:autoSpaceDE/>
              <w:autoSpaceDN/>
              <w:adjustRightInd/>
              <w:jc w:val="right"/>
              <w:rPr>
                <w:rFonts w:ascii="Calibri" w:hAnsi="Calibri" w:cs="Calibri"/>
                <w:b/>
                <w:color w:val="000000"/>
                <w:sz w:val="16"/>
                <w:szCs w:val="16"/>
              </w:rPr>
            </w:pPr>
            <w:r w:rsidRPr="00F37052">
              <w:rPr>
                <w:rFonts w:ascii="Calibri" w:hAnsi="Calibri" w:cs="Calibri"/>
                <w:b/>
                <w:color w:val="000000"/>
                <w:sz w:val="16"/>
                <w:szCs w:val="16"/>
              </w:rPr>
              <w:t> </w:t>
            </w:r>
          </w:p>
        </w:tc>
        <w:tc>
          <w:tcPr>
            <w:tcW w:w="1980" w:type="dxa"/>
            <w:tcBorders>
              <w:top w:val="single" w:sz="8" w:space="0" w:color="auto"/>
              <w:left w:val="nil"/>
              <w:bottom w:val="single" w:sz="8" w:space="0" w:color="auto"/>
              <w:right w:val="single" w:sz="8" w:space="0" w:color="auto"/>
            </w:tcBorders>
            <w:shd w:val="clear" w:color="auto" w:fill="BDD6EE" w:themeFill="accent1" w:themeFillTint="66"/>
            <w:noWrap/>
            <w:vAlign w:val="bottom"/>
            <w:hideMark/>
          </w:tcPr>
          <w:p w:rsidR="00F37052" w:rsidRPr="00F37052" w:rsidRDefault="00556F39" w:rsidP="00346C15">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w:t>
            </w:r>
            <w:r w:rsidR="00346C15">
              <w:rPr>
                <w:rFonts w:ascii="Calibri" w:hAnsi="Calibri" w:cs="Calibri"/>
                <w:b/>
                <w:color w:val="000000"/>
                <w:sz w:val="16"/>
                <w:szCs w:val="16"/>
              </w:rPr>
              <w:t>128,600</w:t>
            </w:r>
            <w:r w:rsidR="00F37052" w:rsidRPr="00F37052">
              <w:rPr>
                <w:rFonts w:ascii="Calibri" w:hAnsi="Calibri" w:cs="Calibri"/>
                <w:b/>
                <w:color w:val="000000"/>
                <w:sz w:val="16"/>
                <w:szCs w:val="16"/>
              </w:rPr>
              <w:t> </w:t>
            </w:r>
          </w:p>
        </w:tc>
      </w:tr>
    </w:tbl>
    <w:p w:rsidR="004F26E9" w:rsidRDefault="004F26E9" w:rsidP="00493868">
      <w:pPr>
        <w:tabs>
          <w:tab w:val="left" w:pos="540"/>
        </w:tabs>
        <w:ind w:left="540"/>
        <w:rPr>
          <w:sz w:val="24"/>
          <w:szCs w:val="24"/>
        </w:rPr>
      </w:pPr>
    </w:p>
    <w:p w:rsidR="004F26E9" w:rsidRDefault="004F26E9" w:rsidP="00493868">
      <w:pPr>
        <w:tabs>
          <w:tab w:val="left" w:pos="540"/>
        </w:tabs>
        <w:ind w:left="540"/>
        <w:rPr>
          <w:sz w:val="24"/>
          <w:szCs w:val="24"/>
        </w:rPr>
      </w:pPr>
    </w:p>
    <w:p w:rsidR="00732713" w:rsidRDefault="00732713" w:rsidP="00493868">
      <w:pPr>
        <w:tabs>
          <w:tab w:val="left" w:pos="540"/>
        </w:tabs>
        <w:ind w:left="540"/>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rsidR="004F26E9" w:rsidRDefault="004F26E9" w:rsidP="00493868">
      <w:pPr>
        <w:tabs>
          <w:tab w:val="left" w:pos="540"/>
        </w:tabs>
        <w:ind w:left="540"/>
        <w:rPr>
          <w:sz w:val="24"/>
          <w:szCs w:val="24"/>
        </w:rPr>
      </w:pPr>
    </w:p>
    <w:p w:rsidR="004F26E9" w:rsidRDefault="00493868" w:rsidP="00493868">
      <w:pPr>
        <w:tabs>
          <w:tab w:val="left" w:pos="540"/>
        </w:tabs>
        <w:ind w:left="540" w:hanging="540"/>
        <w:rPr>
          <w:sz w:val="24"/>
          <w:szCs w:val="24"/>
        </w:rPr>
      </w:pPr>
      <w:r>
        <w:rPr>
          <w:b/>
          <w:bCs/>
          <w:sz w:val="24"/>
          <w:szCs w:val="24"/>
        </w:rPr>
        <w:t>15.</w:t>
      </w:r>
      <w:r>
        <w:rPr>
          <w:b/>
          <w:bCs/>
          <w:sz w:val="24"/>
          <w:szCs w:val="24"/>
        </w:rPr>
        <w:tab/>
      </w:r>
      <w:r w:rsidR="004F26E9" w:rsidRPr="000A0540">
        <w:rPr>
          <w:b/>
          <w:bCs/>
          <w:sz w:val="24"/>
          <w:szCs w:val="24"/>
        </w:rPr>
        <w:t>Explain the reasons for any program changes or adjustments.</w:t>
      </w:r>
    </w:p>
    <w:p w:rsidR="00A110F0" w:rsidRDefault="00A110F0" w:rsidP="00732713">
      <w:pPr>
        <w:rPr>
          <w:sz w:val="24"/>
          <w:szCs w:val="24"/>
        </w:rPr>
      </w:pPr>
    </w:p>
    <w:p w:rsidR="00732713" w:rsidRPr="00732713" w:rsidRDefault="00732713" w:rsidP="00732713">
      <w:pPr>
        <w:rPr>
          <w:sz w:val="24"/>
          <w:szCs w:val="24"/>
        </w:rPr>
      </w:pPr>
      <w:r w:rsidRPr="00732713">
        <w:rPr>
          <w:sz w:val="24"/>
          <w:szCs w:val="24"/>
        </w:rPr>
        <w:t xml:space="preserve">The following tables show the changes and in the number of respondents, responses, time estimates, labor costs, and miscellaneous costs; and explains the reasons for these changes. </w:t>
      </w:r>
    </w:p>
    <w:p w:rsidR="004F26E9" w:rsidRDefault="004F26E9" w:rsidP="00493868">
      <w:pPr>
        <w:tabs>
          <w:tab w:val="left" w:pos="540"/>
        </w:tabs>
        <w:ind w:left="540"/>
        <w:rPr>
          <w:sz w:val="24"/>
          <w:szCs w:val="24"/>
        </w:rPr>
      </w:pPr>
    </w:p>
    <w:tbl>
      <w:tblPr>
        <w:tblW w:w="133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071"/>
        <w:gridCol w:w="1062"/>
        <w:gridCol w:w="1003"/>
        <w:gridCol w:w="1129"/>
        <w:gridCol w:w="1129"/>
        <w:gridCol w:w="1130"/>
        <w:gridCol w:w="4390"/>
      </w:tblGrid>
      <w:tr w:rsidR="00732713" w:rsidRPr="00A110F0" w:rsidTr="00984CDB">
        <w:tc>
          <w:tcPr>
            <w:tcW w:w="2478" w:type="dxa"/>
            <w:vMerge w:val="restart"/>
            <w:shd w:val="clear" w:color="auto" w:fill="5B9BD5" w:themeFill="accent1"/>
            <w:vAlign w:val="center"/>
          </w:tcPr>
          <w:p w:rsidR="00732713" w:rsidRPr="00A110F0" w:rsidRDefault="00A110F0"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Information Collection</w:t>
            </w:r>
          </w:p>
        </w:tc>
        <w:tc>
          <w:tcPr>
            <w:tcW w:w="2133" w:type="dxa"/>
            <w:gridSpan w:val="2"/>
            <w:tcBorders>
              <w:bottom w:val="single" w:sz="4" w:space="0" w:color="auto"/>
            </w:tcBorders>
            <w:shd w:val="clear" w:color="auto" w:fill="5B9BD5" w:themeFill="accent1"/>
            <w:vAlign w:val="center"/>
          </w:tcPr>
          <w:p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Respondents</w:t>
            </w:r>
          </w:p>
        </w:tc>
        <w:tc>
          <w:tcPr>
            <w:tcW w:w="2132" w:type="dxa"/>
            <w:gridSpan w:val="2"/>
            <w:tcBorders>
              <w:bottom w:val="single" w:sz="4" w:space="0" w:color="auto"/>
            </w:tcBorders>
            <w:shd w:val="clear" w:color="auto" w:fill="5B9BD5" w:themeFill="accent1"/>
            <w:vAlign w:val="center"/>
          </w:tcPr>
          <w:p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Responses</w:t>
            </w:r>
          </w:p>
        </w:tc>
        <w:tc>
          <w:tcPr>
            <w:tcW w:w="2259" w:type="dxa"/>
            <w:gridSpan w:val="2"/>
            <w:tcBorders>
              <w:bottom w:val="single" w:sz="4" w:space="0" w:color="auto"/>
            </w:tcBorders>
            <w:shd w:val="clear" w:color="auto" w:fill="5B9BD5" w:themeFill="accent1"/>
            <w:vAlign w:val="center"/>
          </w:tcPr>
          <w:p w:rsidR="00732713" w:rsidRPr="00A110F0" w:rsidRDefault="00A33F94" w:rsidP="00FD3D2A">
            <w:pPr>
              <w:keepNext/>
              <w:jc w:val="center"/>
              <w:rPr>
                <w:rFonts w:asciiTheme="minorHAnsi" w:eastAsia="Calibri" w:hAnsiTheme="minorHAnsi"/>
                <w:b/>
                <w:sz w:val="16"/>
                <w:szCs w:val="16"/>
              </w:rPr>
            </w:pPr>
            <w:r>
              <w:rPr>
                <w:rFonts w:asciiTheme="minorHAnsi" w:eastAsia="Calibri" w:hAnsiTheme="minorHAnsi"/>
                <w:b/>
                <w:sz w:val="16"/>
                <w:szCs w:val="16"/>
              </w:rPr>
              <w:t xml:space="preserve">Annual </w:t>
            </w:r>
            <w:r w:rsidR="00732713" w:rsidRPr="00A110F0">
              <w:rPr>
                <w:rFonts w:asciiTheme="minorHAnsi" w:eastAsia="Calibri" w:hAnsiTheme="minorHAnsi"/>
                <w:b/>
                <w:sz w:val="16"/>
                <w:szCs w:val="16"/>
              </w:rPr>
              <w:t>Burden Hours</w:t>
            </w:r>
          </w:p>
        </w:tc>
        <w:tc>
          <w:tcPr>
            <w:tcW w:w="4390" w:type="dxa"/>
            <w:vMerge w:val="restart"/>
            <w:shd w:val="clear" w:color="auto" w:fill="5B9BD5" w:themeFill="accent1"/>
            <w:vAlign w:val="center"/>
          </w:tcPr>
          <w:p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Reason for change or adjustment</w:t>
            </w:r>
          </w:p>
        </w:tc>
      </w:tr>
      <w:tr w:rsidR="00732713" w:rsidRPr="00A110F0" w:rsidTr="00984CDB">
        <w:tc>
          <w:tcPr>
            <w:tcW w:w="2478" w:type="dxa"/>
            <w:vMerge/>
            <w:shd w:val="clear" w:color="auto" w:fill="5B9BD5" w:themeFill="accent1"/>
            <w:vAlign w:val="center"/>
          </w:tcPr>
          <w:p w:rsidR="00732713" w:rsidRPr="00A110F0" w:rsidRDefault="00732713" w:rsidP="00FD3D2A">
            <w:pPr>
              <w:keepNext/>
              <w:rPr>
                <w:rFonts w:asciiTheme="minorHAnsi" w:eastAsia="Calibri" w:hAnsiTheme="minorHAnsi"/>
                <w:sz w:val="16"/>
                <w:szCs w:val="16"/>
              </w:rPr>
            </w:pPr>
          </w:p>
        </w:tc>
        <w:tc>
          <w:tcPr>
            <w:tcW w:w="1071" w:type="dxa"/>
            <w:tcBorders>
              <w:bottom w:val="single" w:sz="4" w:space="0" w:color="auto"/>
              <w:right w:val="dashed" w:sz="4" w:space="0" w:color="auto"/>
            </w:tcBorders>
            <w:shd w:val="clear" w:color="auto" w:fill="FBE4D5"/>
            <w:vAlign w:val="center"/>
          </w:tcPr>
          <w:p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r w:rsidR="00A110F0" w:rsidRPr="00A110F0">
              <w:rPr>
                <w:rFonts w:asciiTheme="minorHAnsi" w:eastAsia="Calibri" w:hAnsiTheme="minorHAnsi"/>
                <w:sz w:val="16"/>
                <w:szCs w:val="16"/>
              </w:rPr>
              <w:t xml:space="preserve"> Renewal / Revision</w:t>
            </w:r>
          </w:p>
        </w:tc>
        <w:tc>
          <w:tcPr>
            <w:tcW w:w="1062" w:type="dxa"/>
            <w:tcBorders>
              <w:left w:val="dashed" w:sz="4" w:space="0" w:color="auto"/>
              <w:bottom w:val="single" w:sz="4" w:space="0" w:color="auto"/>
            </w:tcBorders>
            <w:shd w:val="clear" w:color="auto" w:fill="FBE4D5"/>
            <w:vAlign w:val="center"/>
          </w:tcPr>
          <w:p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1003" w:type="dxa"/>
            <w:tcBorders>
              <w:right w:val="dashed" w:sz="4" w:space="0" w:color="auto"/>
            </w:tcBorders>
            <w:shd w:val="clear" w:color="auto" w:fill="FBE4D5"/>
            <w:vAlign w:val="center"/>
          </w:tcPr>
          <w:p w:rsidR="00732713" w:rsidRPr="00A110F0" w:rsidRDefault="00732713" w:rsidP="00A110F0">
            <w:pPr>
              <w:keepNext/>
              <w:jc w:val="center"/>
              <w:rPr>
                <w:rFonts w:asciiTheme="minorHAnsi" w:eastAsia="Calibri" w:hAnsiTheme="minorHAnsi"/>
                <w:sz w:val="16"/>
                <w:szCs w:val="16"/>
              </w:rPr>
            </w:pPr>
            <w:r w:rsidRPr="00A110F0">
              <w:rPr>
                <w:rFonts w:asciiTheme="minorHAnsi" w:eastAsia="Calibri" w:hAnsiTheme="minorHAnsi"/>
                <w:sz w:val="16"/>
                <w:szCs w:val="16"/>
              </w:rPr>
              <w:t>Curren</w:t>
            </w:r>
            <w:r w:rsidR="00A110F0" w:rsidRPr="00A110F0">
              <w:rPr>
                <w:rFonts w:asciiTheme="minorHAnsi" w:eastAsia="Calibri" w:hAnsiTheme="minorHAnsi"/>
                <w:sz w:val="16"/>
                <w:szCs w:val="16"/>
              </w:rPr>
              <w:t>t Renewal / Revision</w:t>
            </w:r>
          </w:p>
        </w:tc>
        <w:tc>
          <w:tcPr>
            <w:tcW w:w="1129" w:type="dxa"/>
            <w:tcBorders>
              <w:left w:val="dashed" w:sz="4" w:space="0" w:color="auto"/>
            </w:tcBorders>
            <w:shd w:val="clear" w:color="auto" w:fill="FBE4D5"/>
            <w:vAlign w:val="center"/>
          </w:tcPr>
          <w:p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1129" w:type="dxa"/>
            <w:tcBorders>
              <w:bottom w:val="single" w:sz="4" w:space="0" w:color="auto"/>
              <w:right w:val="dashed" w:sz="4" w:space="0" w:color="auto"/>
            </w:tcBorders>
            <w:shd w:val="clear" w:color="auto" w:fill="FBE4D5"/>
            <w:vAlign w:val="center"/>
          </w:tcPr>
          <w:p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r w:rsidR="00A110F0" w:rsidRPr="00A110F0">
              <w:rPr>
                <w:rFonts w:asciiTheme="minorHAnsi" w:eastAsia="Calibri" w:hAnsiTheme="minorHAnsi"/>
                <w:sz w:val="16"/>
                <w:szCs w:val="16"/>
              </w:rPr>
              <w:t xml:space="preserve"> Renewal / Revision</w:t>
            </w:r>
          </w:p>
        </w:tc>
        <w:tc>
          <w:tcPr>
            <w:tcW w:w="1130" w:type="dxa"/>
            <w:tcBorders>
              <w:left w:val="dashed" w:sz="4" w:space="0" w:color="auto"/>
            </w:tcBorders>
            <w:shd w:val="clear" w:color="auto" w:fill="FBE4D5"/>
            <w:vAlign w:val="center"/>
          </w:tcPr>
          <w:p w:rsidR="00732713" w:rsidRPr="00A110F0" w:rsidRDefault="00732713"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r w:rsidR="00A110F0" w:rsidRPr="00A110F0">
              <w:rPr>
                <w:rFonts w:asciiTheme="minorHAnsi" w:eastAsia="Calibri" w:hAnsiTheme="minorHAnsi"/>
                <w:sz w:val="16"/>
                <w:szCs w:val="16"/>
              </w:rPr>
              <w:t xml:space="preserve"> Renewal / Revision</w:t>
            </w:r>
          </w:p>
        </w:tc>
        <w:tc>
          <w:tcPr>
            <w:tcW w:w="4390" w:type="dxa"/>
            <w:vMerge/>
            <w:shd w:val="clear" w:color="auto" w:fill="FBE4D5"/>
            <w:vAlign w:val="center"/>
          </w:tcPr>
          <w:p w:rsidR="00732713" w:rsidRPr="00A110F0" w:rsidRDefault="00732713" w:rsidP="00FD3D2A">
            <w:pPr>
              <w:keepNext/>
              <w:rPr>
                <w:rFonts w:asciiTheme="minorHAnsi" w:eastAsia="Calibri" w:hAnsiTheme="minorHAnsi"/>
                <w:sz w:val="16"/>
                <w:szCs w:val="16"/>
              </w:rPr>
            </w:pPr>
          </w:p>
        </w:tc>
      </w:tr>
      <w:tr w:rsidR="00732713" w:rsidRPr="00A110F0" w:rsidTr="00984CDB">
        <w:tc>
          <w:tcPr>
            <w:tcW w:w="2478" w:type="dxa"/>
            <w:shd w:val="clear" w:color="auto" w:fill="auto"/>
            <w:vAlign w:val="center"/>
          </w:tcPr>
          <w:p w:rsidR="00732713" w:rsidRPr="00A110F0" w:rsidRDefault="007A598B" w:rsidP="00FD3D2A">
            <w:pPr>
              <w:rPr>
                <w:rFonts w:asciiTheme="minorHAnsi" w:hAnsiTheme="minorHAnsi"/>
                <w:sz w:val="16"/>
                <w:szCs w:val="16"/>
              </w:rPr>
            </w:pPr>
            <w:r>
              <w:rPr>
                <w:rFonts w:asciiTheme="minorHAnsi" w:hAnsiTheme="minorHAnsi"/>
                <w:sz w:val="16"/>
                <w:szCs w:val="16"/>
              </w:rPr>
              <w:t>Initial Installation</w:t>
            </w:r>
            <w:r w:rsidR="007D0038">
              <w:rPr>
                <w:rFonts w:asciiTheme="minorHAnsi" w:hAnsiTheme="minorHAnsi"/>
                <w:sz w:val="16"/>
                <w:szCs w:val="16"/>
              </w:rPr>
              <w:t xml:space="preserve"> &amp; Maintenance &amp; Activation Report</w:t>
            </w:r>
          </w:p>
        </w:tc>
        <w:tc>
          <w:tcPr>
            <w:tcW w:w="1071" w:type="dxa"/>
            <w:tcBorders>
              <w:bottom w:val="dotted" w:sz="4" w:space="0" w:color="auto"/>
              <w:right w:val="dashed" w:sz="4" w:space="0" w:color="auto"/>
            </w:tcBorders>
            <w:shd w:val="clear" w:color="auto" w:fill="auto"/>
            <w:vAlign w:val="center"/>
          </w:tcPr>
          <w:p w:rsidR="00732713" w:rsidRPr="00A110F0" w:rsidRDefault="007A598B" w:rsidP="00FD3D2A">
            <w:pPr>
              <w:jc w:val="center"/>
              <w:rPr>
                <w:rFonts w:asciiTheme="minorHAnsi" w:eastAsia="Calibri" w:hAnsiTheme="minorHAnsi"/>
                <w:sz w:val="16"/>
                <w:szCs w:val="16"/>
              </w:rPr>
            </w:pPr>
            <w:r>
              <w:rPr>
                <w:rFonts w:asciiTheme="minorHAnsi" w:eastAsia="Calibri" w:hAnsiTheme="minorHAnsi"/>
                <w:sz w:val="16"/>
                <w:szCs w:val="16"/>
              </w:rPr>
              <w:t>1000</w:t>
            </w:r>
          </w:p>
        </w:tc>
        <w:tc>
          <w:tcPr>
            <w:tcW w:w="1062" w:type="dxa"/>
            <w:tcBorders>
              <w:left w:val="dashed" w:sz="4" w:space="0" w:color="auto"/>
              <w:bottom w:val="dotted" w:sz="4" w:space="0" w:color="auto"/>
            </w:tcBorders>
            <w:shd w:val="clear" w:color="auto" w:fill="auto"/>
            <w:vAlign w:val="center"/>
          </w:tcPr>
          <w:p w:rsidR="00732713" w:rsidRPr="00A110F0" w:rsidRDefault="00A33F94" w:rsidP="00FD3D2A">
            <w:pPr>
              <w:keepNext/>
              <w:jc w:val="center"/>
              <w:rPr>
                <w:rFonts w:asciiTheme="minorHAnsi" w:eastAsia="Calibri" w:hAnsiTheme="minorHAnsi"/>
                <w:sz w:val="16"/>
                <w:szCs w:val="16"/>
              </w:rPr>
            </w:pPr>
            <w:r>
              <w:rPr>
                <w:rFonts w:asciiTheme="minorHAnsi" w:eastAsia="Calibri" w:hAnsiTheme="minorHAnsi"/>
                <w:sz w:val="16"/>
                <w:szCs w:val="16"/>
              </w:rPr>
              <w:t>1000</w:t>
            </w:r>
          </w:p>
        </w:tc>
        <w:tc>
          <w:tcPr>
            <w:tcW w:w="1003" w:type="dxa"/>
            <w:tcBorders>
              <w:bottom w:val="dotted" w:sz="4" w:space="0" w:color="auto"/>
              <w:right w:val="dashed" w:sz="4" w:space="0" w:color="auto"/>
            </w:tcBorders>
            <w:shd w:val="clear" w:color="auto" w:fill="auto"/>
            <w:vAlign w:val="center"/>
          </w:tcPr>
          <w:p w:rsidR="00732713" w:rsidRPr="00A110F0" w:rsidRDefault="004C58BE" w:rsidP="00FD3D2A">
            <w:pPr>
              <w:jc w:val="center"/>
              <w:rPr>
                <w:rFonts w:asciiTheme="minorHAnsi" w:eastAsia="Calibri" w:hAnsiTheme="minorHAnsi"/>
                <w:sz w:val="16"/>
                <w:szCs w:val="16"/>
              </w:rPr>
            </w:pPr>
            <w:r>
              <w:rPr>
                <w:rFonts w:asciiTheme="minorHAnsi" w:eastAsia="Calibri" w:hAnsiTheme="minorHAnsi"/>
                <w:sz w:val="16"/>
                <w:szCs w:val="16"/>
              </w:rPr>
              <w:t>333</w:t>
            </w:r>
          </w:p>
        </w:tc>
        <w:tc>
          <w:tcPr>
            <w:tcW w:w="1129" w:type="dxa"/>
            <w:tcBorders>
              <w:left w:val="dashed" w:sz="4" w:space="0" w:color="auto"/>
              <w:bottom w:val="dotted" w:sz="4" w:space="0" w:color="auto"/>
            </w:tcBorders>
            <w:shd w:val="clear" w:color="auto" w:fill="auto"/>
            <w:vAlign w:val="center"/>
          </w:tcPr>
          <w:p w:rsidR="00732713" w:rsidRPr="00A110F0" w:rsidRDefault="00A33F94" w:rsidP="00FD3D2A">
            <w:pPr>
              <w:keepNext/>
              <w:jc w:val="center"/>
              <w:rPr>
                <w:rFonts w:asciiTheme="minorHAnsi" w:eastAsia="Calibri" w:hAnsiTheme="minorHAnsi"/>
                <w:sz w:val="16"/>
                <w:szCs w:val="16"/>
              </w:rPr>
            </w:pPr>
            <w:r>
              <w:rPr>
                <w:rFonts w:asciiTheme="minorHAnsi" w:eastAsia="Calibri" w:hAnsiTheme="minorHAnsi"/>
                <w:sz w:val="16"/>
                <w:szCs w:val="16"/>
              </w:rPr>
              <w:t>250</w:t>
            </w:r>
          </w:p>
        </w:tc>
        <w:tc>
          <w:tcPr>
            <w:tcW w:w="1129" w:type="dxa"/>
            <w:tcBorders>
              <w:bottom w:val="dotted" w:sz="4" w:space="0" w:color="auto"/>
              <w:right w:val="dashed" w:sz="4" w:space="0" w:color="auto"/>
            </w:tcBorders>
            <w:shd w:val="clear" w:color="auto" w:fill="auto"/>
            <w:vAlign w:val="center"/>
          </w:tcPr>
          <w:p w:rsidR="00732713" w:rsidRPr="00A110F0" w:rsidRDefault="009F1247" w:rsidP="00FD3D2A">
            <w:pPr>
              <w:jc w:val="center"/>
              <w:rPr>
                <w:rFonts w:asciiTheme="minorHAnsi" w:eastAsia="Calibri" w:hAnsiTheme="minorHAnsi"/>
                <w:sz w:val="16"/>
                <w:szCs w:val="16"/>
              </w:rPr>
            </w:pPr>
            <w:r>
              <w:rPr>
                <w:rFonts w:asciiTheme="minorHAnsi" w:eastAsia="Calibri" w:hAnsiTheme="minorHAnsi"/>
                <w:sz w:val="16"/>
                <w:szCs w:val="16"/>
              </w:rPr>
              <w:t>2,916</w:t>
            </w:r>
          </w:p>
        </w:tc>
        <w:tc>
          <w:tcPr>
            <w:tcW w:w="1130" w:type="dxa"/>
            <w:tcBorders>
              <w:left w:val="dashed" w:sz="4" w:space="0" w:color="auto"/>
              <w:bottom w:val="dotted" w:sz="4" w:space="0" w:color="auto"/>
            </w:tcBorders>
            <w:shd w:val="clear" w:color="auto" w:fill="auto"/>
            <w:vAlign w:val="center"/>
          </w:tcPr>
          <w:p w:rsidR="00732713" w:rsidRPr="00A110F0" w:rsidRDefault="007D0038" w:rsidP="00FD3D2A">
            <w:pPr>
              <w:keepNext/>
              <w:jc w:val="center"/>
              <w:rPr>
                <w:rFonts w:asciiTheme="minorHAnsi" w:eastAsia="Calibri" w:hAnsiTheme="minorHAnsi"/>
                <w:sz w:val="16"/>
                <w:szCs w:val="16"/>
              </w:rPr>
            </w:pPr>
            <w:r>
              <w:rPr>
                <w:rFonts w:asciiTheme="minorHAnsi" w:eastAsia="Calibri" w:hAnsiTheme="minorHAnsi"/>
                <w:sz w:val="16"/>
                <w:szCs w:val="16"/>
              </w:rPr>
              <w:t>21</w:t>
            </w:r>
          </w:p>
        </w:tc>
        <w:tc>
          <w:tcPr>
            <w:tcW w:w="4390" w:type="dxa"/>
            <w:tcBorders>
              <w:left w:val="dotted" w:sz="4" w:space="0" w:color="auto"/>
              <w:bottom w:val="dotted" w:sz="4" w:space="0" w:color="auto"/>
            </w:tcBorders>
            <w:shd w:val="clear" w:color="auto" w:fill="auto"/>
            <w:vAlign w:val="center"/>
          </w:tcPr>
          <w:p w:rsidR="00732713" w:rsidRPr="00A110F0" w:rsidRDefault="009F1247" w:rsidP="00FD3D2A">
            <w:pPr>
              <w:rPr>
                <w:rFonts w:asciiTheme="minorHAnsi" w:eastAsia="Calibri" w:hAnsiTheme="minorHAnsi"/>
                <w:sz w:val="16"/>
                <w:szCs w:val="16"/>
              </w:rPr>
            </w:pPr>
            <w:r>
              <w:rPr>
                <w:rFonts w:asciiTheme="minorHAnsi" w:eastAsia="Calibri" w:hAnsiTheme="minorHAnsi"/>
                <w:sz w:val="16"/>
                <w:szCs w:val="16"/>
              </w:rPr>
              <w:t>Previous renewal calculated responses on a 4-year renewal period, not 3-year.  Burden hours incorrectly calculated in minutes instead of hours.</w:t>
            </w:r>
          </w:p>
        </w:tc>
      </w:tr>
      <w:tr w:rsidR="00732713" w:rsidRPr="00A110F0" w:rsidTr="00984CDB">
        <w:tc>
          <w:tcPr>
            <w:tcW w:w="2478" w:type="dxa"/>
            <w:shd w:val="clear" w:color="auto" w:fill="auto"/>
            <w:vAlign w:val="center"/>
          </w:tcPr>
          <w:p w:rsidR="00732713" w:rsidRPr="00A110F0" w:rsidRDefault="007A598B" w:rsidP="00FD3D2A">
            <w:pPr>
              <w:rPr>
                <w:rFonts w:asciiTheme="minorHAnsi" w:hAnsiTheme="minorHAnsi"/>
                <w:sz w:val="16"/>
                <w:szCs w:val="16"/>
              </w:rPr>
            </w:pPr>
            <w:r>
              <w:rPr>
                <w:rFonts w:asciiTheme="minorHAnsi" w:hAnsiTheme="minorHAnsi"/>
                <w:sz w:val="16"/>
                <w:szCs w:val="16"/>
              </w:rPr>
              <w:t>Position reports</w:t>
            </w:r>
          </w:p>
        </w:tc>
        <w:tc>
          <w:tcPr>
            <w:tcW w:w="1071" w:type="dxa"/>
            <w:tcBorders>
              <w:bottom w:val="dotted" w:sz="4" w:space="0" w:color="auto"/>
              <w:right w:val="dashed" w:sz="4" w:space="0" w:color="auto"/>
            </w:tcBorders>
            <w:shd w:val="clear" w:color="auto" w:fill="auto"/>
            <w:vAlign w:val="center"/>
          </w:tcPr>
          <w:p w:rsidR="00732713" w:rsidRPr="00A110F0" w:rsidRDefault="007A598B" w:rsidP="00FD3D2A">
            <w:pPr>
              <w:jc w:val="center"/>
              <w:rPr>
                <w:rFonts w:asciiTheme="minorHAnsi" w:eastAsia="Calibri" w:hAnsiTheme="minorHAnsi"/>
                <w:sz w:val="16"/>
                <w:szCs w:val="16"/>
              </w:rPr>
            </w:pPr>
            <w:r>
              <w:rPr>
                <w:rFonts w:asciiTheme="minorHAnsi" w:eastAsia="Calibri" w:hAnsiTheme="minorHAnsi"/>
                <w:sz w:val="16"/>
                <w:szCs w:val="16"/>
              </w:rPr>
              <w:t>1000</w:t>
            </w:r>
          </w:p>
        </w:tc>
        <w:tc>
          <w:tcPr>
            <w:tcW w:w="1062" w:type="dxa"/>
            <w:tcBorders>
              <w:left w:val="dashed" w:sz="4" w:space="0" w:color="auto"/>
              <w:bottom w:val="dotted" w:sz="4" w:space="0" w:color="auto"/>
            </w:tcBorders>
            <w:shd w:val="clear" w:color="auto" w:fill="auto"/>
            <w:vAlign w:val="center"/>
          </w:tcPr>
          <w:p w:rsidR="00732713" w:rsidRPr="00A110F0" w:rsidRDefault="007D71BD" w:rsidP="00FD3D2A">
            <w:pPr>
              <w:keepNext/>
              <w:jc w:val="center"/>
              <w:rPr>
                <w:rFonts w:asciiTheme="minorHAnsi" w:eastAsia="Calibri" w:hAnsiTheme="minorHAnsi"/>
                <w:sz w:val="16"/>
                <w:szCs w:val="16"/>
              </w:rPr>
            </w:pPr>
            <w:r>
              <w:rPr>
                <w:rFonts w:asciiTheme="minorHAnsi" w:eastAsia="Calibri" w:hAnsiTheme="minorHAnsi"/>
                <w:sz w:val="16"/>
                <w:szCs w:val="16"/>
              </w:rPr>
              <w:t>NA</w:t>
            </w:r>
          </w:p>
        </w:tc>
        <w:tc>
          <w:tcPr>
            <w:tcW w:w="1003" w:type="dxa"/>
            <w:tcBorders>
              <w:bottom w:val="dotted" w:sz="4" w:space="0" w:color="auto"/>
              <w:right w:val="dashed" w:sz="4" w:space="0" w:color="auto"/>
            </w:tcBorders>
            <w:shd w:val="clear" w:color="auto" w:fill="auto"/>
            <w:vAlign w:val="center"/>
          </w:tcPr>
          <w:p w:rsidR="00732713" w:rsidRPr="004D0E85" w:rsidRDefault="00193DA0" w:rsidP="00FD3D2A">
            <w:pPr>
              <w:jc w:val="center"/>
              <w:rPr>
                <w:rFonts w:asciiTheme="minorHAnsi" w:hAnsiTheme="minorHAnsi"/>
                <w:sz w:val="16"/>
                <w:szCs w:val="16"/>
              </w:rPr>
            </w:pPr>
            <w:r w:rsidRPr="004D0E85">
              <w:rPr>
                <w:rFonts w:ascii="Calibri" w:hAnsi="Calibri" w:cs="Calibri"/>
                <w:sz w:val="16"/>
                <w:szCs w:val="16"/>
              </w:rPr>
              <w:t>25,040,000</w:t>
            </w:r>
          </w:p>
        </w:tc>
        <w:tc>
          <w:tcPr>
            <w:tcW w:w="1129" w:type="dxa"/>
            <w:tcBorders>
              <w:left w:val="dashed" w:sz="4" w:space="0" w:color="auto"/>
              <w:bottom w:val="dotted" w:sz="4" w:space="0" w:color="auto"/>
            </w:tcBorders>
            <w:shd w:val="clear" w:color="auto" w:fill="auto"/>
            <w:vAlign w:val="center"/>
          </w:tcPr>
          <w:p w:rsidR="00732713" w:rsidRPr="00A110F0" w:rsidRDefault="007A598B" w:rsidP="00FD3D2A">
            <w:pPr>
              <w:keepNext/>
              <w:jc w:val="center"/>
              <w:rPr>
                <w:rFonts w:asciiTheme="minorHAnsi" w:eastAsia="Calibri" w:hAnsiTheme="minorHAnsi"/>
                <w:sz w:val="16"/>
                <w:szCs w:val="16"/>
              </w:rPr>
            </w:pPr>
            <w:r>
              <w:rPr>
                <w:rFonts w:asciiTheme="minorHAnsi" w:eastAsia="Calibri" w:hAnsiTheme="minorHAnsi"/>
                <w:sz w:val="16"/>
                <w:szCs w:val="16"/>
              </w:rPr>
              <w:t>NA</w:t>
            </w:r>
          </w:p>
        </w:tc>
        <w:tc>
          <w:tcPr>
            <w:tcW w:w="1129" w:type="dxa"/>
            <w:tcBorders>
              <w:bottom w:val="dotted" w:sz="4" w:space="0" w:color="auto"/>
              <w:right w:val="dashed" w:sz="4" w:space="0" w:color="auto"/>
            </w:tcBorders>
            <w:shd w:val="clear" w:color="auto" w:fill="auto"/>
            <w:vAlign w:val="center"/>
          </w:tcPr>
          <w:p w:rsidR="00732713" w:rsidRPr="00A110F0" w:rsidRDefault="007A598B" w:rsidP="00FD3D2A">
            <w:pPr>
              <w:jc w:val="center"/>
              <w:rPr>
                <w:rFonts w:asciiTheme="minorHAnsi" w:eastAsia="Calibri" w:hAnsiTheme="minorHAnsi"/>
                <w:sz w:val="16"/>
                <w:szCs w:val="16"/>
              </w:rPr>
            </w:pPr>
            <w:r>
              <w:rPr>
                <w:rFonts w:asciiTheme="minorHAnsi" w:eastAsia="Calibri" w:hAnsiTheme="minorHAnsi"/>
                <w:sz w:val="16"/>
                <w:szCs w:val="16"/>
              </w:rPr>
              <w:t>NA</w:t>
            </w:r>
          </w:p>
        </w:tc>
        <w:tc>
          <w:tcPr>
            <w:tcW w:w="1130" w:type="dxa"/>
            <w:tcBorders>
              <w:left w:val="dashed" w:sz="4" w:space="0" w:color="auto"/>
              <w:bottom w:val="dotted" w:sz="4" w:space="0" w:color="auto"/>
            </w:tcBorders>
            <w:shd w:val="clear" w:color="auto" w:fill="auto"/>
            <w:vAlign w:val="center"/>
          </w:tcPr>
          <w:p w:rsidR="00732713" w:rsidRPr="00A110F0" w:rsidRDefault="007A598B" w:rsidP="00FD3D2A">
            <w:pPr>
              <w:keepNext/>
              <w:jc w:val="center"/>
              <w:rPr>
                <w:rFonts w:asciiTheme="minorHAnsi" w:eastAsia="Calibri" w:hAnsiTheme="minorHAnsi"/>
                <w:sz w:val="16"/>
                <w:szCs w:val="16"/>
              </w:rPr>
            </w:pPr>
            <w:r>
              <w:rPr>
                <w:rFonts w:asciiTheme="minorHAnsi" w:eastAsia="Calibri" w:hAnsiTheme="minorHAnsi"/>
                <w:sz w:val="16"/>
                <w:szCs w:val="16"/>
              </w:rPr>
              <w:t>NA</w:t>
            </w:r>
          </w:p>
        </w:tc>
        <w:tc>
          <w:tcPr>
            <w:tcW w:w="4390" w:type="dxa"/>
            <w:tcBorders>
              <w:left w:val="dotted" w:sz="4" w:space="0" w:color="auto"/>
              <w:bottom w:val="dotted" w:sz="4" w:space="0" w:color="auto"/>
            </w:tcBorders>
            <w:shd w:val="clear" w:color="auto" w:fill="auto"/>
            <w:vAlign w:val="center"/>
          </w:tcPr>
          <w:p w:rsidR="00732713" w:rsidRPr="00A110F0" w:rsidRDefault="00193DA0" w:rsidP="00FD3D2A">
            <w:pPr>
              <w:keepNext/>
              <w:rPr>
                <w:rFonts w:asciiTheme="minorHAnsi" w:eastAsia="Calibri" w:hAnsiTheme="minorHAnsi"/>
                <w:sz w:val="16"/>
                <w:szCs w:val="16"/>
              </w:rPr>
            </w:pPr>
            <w:r>
              <w:rPr>
                <w:rFonts w:asciiTheme="minorHAnsi" w:eastAsia="Calibri" w:hAnsiTheme="minorHAnsi"/>
                <w:sz w:val="16"/>
                <w:szCs w:val="16"/>
              </w:rPr>
              <w:t xml:space="preserve">This is a new requirement.  </w:t>
            </w:r>
            <w:r w:rsidR="007A598B">
              <w:rPr>
                <w:rFonts w:asciiTheme="minorHAnsi" w:eastAsia="Calibri" w:hAnsiTheme="minorHAnsi"/>
                <w:sz w:val="16"/>
                <w:szCs w:val="16"/>
              </w:rPr>
              <w:t>Responses are automated.</w:t>
            </w:r>
          </w:p>
        </w:tc>
      </w:tr>
      <w:tr w:rsidR="00732713" w:rsidRPr="00A110F0" w:rsidTr="00984CDB">
        <w:tc>
          <w:tcPr>
            <w:tcW w:w="2478" w:type="dxa"/>
            <w:shd w:val="clear" w:color="auto" w:fill="auto"/>
            <w:vAlign w:val="center"/>
          </w:tcPr>
          <w:p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hAnsiTheme="minorHAnsi"/>
                <w:sz w:val="16"/>
                <w:szCs w:val="16"/>
              </w:rPr>
            </w:pPr>
          </w:p>
        </w:tc>
        <w:tc>
          <w:tcPr>
            <w:tcW w:w="1129"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rsidR="00732713" w:rsidRPr="00A110F0" w:rsidRDefault="00732713" w:rsidP="00A110F0">
            <w:pPr>
              <w:pStyle w:val="ListParagraph"/>
              <w:keepNext/>
              <w:widowControl/>
              <w:autoSpaceDE/>
              <w:autoSpaceDN/>
              <w:adjustRightInd/>
              <w:ind w:left="144"/>
              <w:contextualSpacing w:val="0"/>
              <w:rPr>
                <w:rFonts w:asciiTheme="minorHAnsi" w:eastAsia="Calibri" w:hAnsiTheme="minorHAnsi"/>
                <w:sz w:val="16"/>
                <w:szCs w:val="16"/>
              </w:rPr>
            </w:pPr>
          </w:p>
        </w:tc>
      </w:tr>
      <w:tr w:rsidR="00732713" w:rsidRPr="00A110F0" w:rsidTr="00984CDB">
        <w:tc>
          <w:tcPr>
            <w:tcW w:w="2478" w:type="dxa"/>
            <w:shd w:val="clear" w:color="auto" w:fill="auto"/>
            <w:vAlign w:val="center"/>
          </w:tcPr>
          <w:p w:rsidR="00732713" w:rsidRPr="00A110F0" w:rsidRDefault="00732713" w:rsidP="00FD3D2A">
            <w:pPr>
              <w:rPr>
                <w:rFonts w:asciiTheme="minorHAnsi" w:hAnsiTheme="minorHAnsi"/>
                <w:sz w:val="16"/>
                <w:szCs w:val="16"/>
              </w:rPr>
            </w:pPr>
          </w:p>
        </w:tc>
        <w:tc>
          <w:tcPr>
            <w:tcW w:w="1071"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eastAsia="Calibri" w:hAnsiTheme="minorHAnsi"/>
                <w:sz w:val="16"/>
                <w:szCs w:val="16"/>
              </w:rPr>
            </w:pPr>
          </w:p>
        </w:tc>
        <w:tc>
          <w:tcPr>
            <w:tcW w:w="1062"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1003"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hAnsiTheme="minorHAnsi"/>
                <w:sz w:val="16"/>
                <w:szCs w:val="16"/>
              </w:rPr>
            </w:pPr>
          </w:p>
        </w:tc>
        <w:tc>
          <w:tcPr>
            <w:tcW w:w="1129"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1129" w:type="dxa"/>
            <w:tcBorders>
              <w:bottom w:val="dotted" w:sz="4" w:space="0" w:color="auto"/>
              <w:right w:val="dashed" w:sz="4" w:space="0" w:color="auto"/>
            </w:tcBorders>
            <w:shd w:val="clear" w:color="auto" w:fill="auto"/>
            <w:vAlign w:val="center"/>
          </w:tcPr>
          <w:p w:rsidR="00732713" w:rsidRPr="00A110F0" w:rsidRDefault="00732713" w:rsidP="00FD3D2A">
            <w:pPr>
              <w:jc w:val="center"/>
              <w:rPr>
                <w:rFonts w:asciiTheme="minorHAnsi" w:eastAsia="Calibri" w:hAnsiTheme="minorHAnsi"/>
                <w:sz w:val="16"/>
                <w:szCs w:val="16"/>
              </w:rPr>
            </w:pPr>
          </w:p>
        </w:tc>
        <w:tc>
          <w:tcPr>
            <w:tcW w:w="1130" w:type="dxa"/>
            <w:tcBorders>
              <w:left w:val="dashed" w:sz="4" w:space="0" w:color="auto"/>
              <w:bottom w:val="dotted" w:sz="4" w:space="0" w:color="auto"/>
            </w:tcBorders>
            <w:shd w:val="clear" w:color="auto" w:fill="auto"/>
            <w:vAlign w:val="center"/>
          </w:tcPr>
          <w:p w:rsidR="00732713" w:rsidRPr="00A110F0" w:rsidRDefault="00732713" w:rsidP="00FD3D2A">
            <w:pPr>
              <w:keepNext/>
              <w:jc w:val="center"/>
              <w:rPr>
                <w:rFonts w:asciiTheme="minorHAnsi" w:eastAsia="Calibri" w:hAnsiTheme="minorHAnsi"/>
                <w:sz w:val="16"/>
                <w:szCs w:val="16"/>
              </w:rPr>
            </w:pPr>
          </w:p>
        </w:tc>
        <w:tc>
          <w:tcPr>
            <w:tcW w:w="4390" w:type="dxa"/>
            <w:tcBorders>
              <w:left w:val="dotted" w:sz="4" w:space="0" w:color="auto"/>
              <w:bottom w:val="dotted" w:sz="4" w:space="0" w:color="auto"/>
            </w:tcBorders>
            <w:shd w:val="clear" w:color="auto" w:fill="auto"/>
            <w:vAlign w:val="center"/>
          </w:tcPr>
          <w:p w:rsidR="00732713" w:rsidRPr="00A110F0" w:rsidRDefault="00732713" w:rsidP="00FD3D2A">
            <w:pPr>
              <w:keepNext/>
              <w:rPr>
                <w:rFonts w:asciiTheme="minorHAnsi" w:eastAsia="Calibri" w:hAnsiTheme="minorHAnsi"/>
                <w:sz w:val="16"/>
                <w:szCs w:val="16"/>
              </w:rPr>
            </w:pPr>
          </w:p>
        </w:tc>
      </w:tr>
      <w:tr w:rsidR="00732713" w:rsidRPr="00A110F0" w:rsidTr="00984CDB">
        <w:tc>
          <w:tcPr>
            <w:tcW w:w="2478" w:type="dxa"/>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Total for Collection</w:t>
            </w:r>
          </w:p>
        </w:tc>
        <w:tc>
          <w:tcPr>
            <w:tcW w:w="1071" w:type="dxa"/>
            <w:tcBorders>
              <w:right w:val="dashed" w:sz="4" w:space="0" w:color="auto"/>
            </w:tcBorders>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p>
        </w:tc>
        <w:tc>
          <w:tcPr>
            <w:tcW w:w="1062" w:type="dxa"/>
            <w:tcBorders>
              <w:left w:val="dashed" w:sz="4" w:space="0" w:color="auto"/>
            </w:tcBorders>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p>
        </w:tc>
        <w:tc>
          <w:tcPr>
            <w:tcW w:w="1003" w:type="dxa"/>
            <w:tcBorders>
              <w:bottom w:val="single" w:sz="4" w:space="0" w:color="auto"/>
              <w:right w:val="dashed" w:sz="4" w:space="0" w:color="auto"/>
            </w:tcBorders>
            <w:shd w:val="clear" w:color="auto" w:fill="BDD6EE" w:themeFill="accent1" w:themeFillTint="66"/>
            <w:vAlign w:val="center"/>
          </w:tcPr>
          <w:p w:rsidR="00732713" w:rsidRPr="00A110F0" w:rsidRDefault="00EA7AE2" w:rsidP="00FD3D2A">
            <w:pPr>
              <w:keepNext/>
              <w:jc w:val="center"/>
              <w:rPr>
                <w:rFonts w:asciiTheme="minorHAnsi" w:eastAsia="Calibri" w:hAnsiTheme="minorHAnsi"/>
                <w:b/>
                <w:sz w:val="16"/>
                <w:szCs w:val="16"/>
              </w:rPr>
            </w:pPr>
            <w:r>
              <w:rPr>
                <w:rFonts w:asciiTheme="minorHAnsi" w:eastAsia="Calibri" w:hAnsiTheme="minorHAnsi"/>
                <w:b/>
                <w:sz w:val="16"/>
                <w:szCs w:val="16"/>
              </w:rPr>
              <w:t>25,040,333</w:t>
            </w:r>
          </w:p>
        </w:tc>
        <w:tc>
          <w:tcPr>
            <w:tcW w:w="1129" w:type="dxa"/>
            <w:tcBorders>
              <w:left w:val="dashed" w:sz="4" w:space="0" w:color="auto"/>
              <w:bottom w:val="single" w:sz="4" w:space="0" w:color="auto"/>
            </w:tcBorders>
            <w:shd w:val="clear" w:color="auto" w:fill="BDD6EE" w:themeFill="accent1" w:themeFillTint="66"/>
            <w:vAlign w:val="center"/>
          </w:tcPr>
          <w:p w:rsidR="00732713" w:rsidRPr="00A110F0" w:rsidRDefault="00EA7AE2" w:rsidP="00FD3D2A">
            <w:pPr>
              <w:keepNext/>
              <w:jc w:val="center"/>
              <w:rPr>
                <w:rFonts w:asciiTheme="minorHAnsi" w:eastAsia="Calibri" w:hAnsiTheme="minorHAnsi"/>
                <w:b/>
                <w:sz w:val="16"/>
                <w:szCs w:val="16"/>
              </w:rPr>
            </w:pPr>
            <w:r>
              <w:rPr>
                <w:rFonts w:asciiTheme="minorHAnsi" w:eastAsia="Calibri" w:hAnsiTheme="minorHAnsi"/>
                <w:b/>
                <w:sz w:val="16"/>
                <w:szCs w:val="16"/>
              </w:rPr>
              <w:t>250</w:t>
            </w:r>
          </w:p>
        </w:tc>
        <w:tc>
          <w:tcPr>
            <w:tcW w:w="1129" w:type="dxa"/>
            <w:tcBorders>
              <w:right w:val="dashed" w:sz="4" w:space="0" w:color="auto"/>
            </w:tcBorders>
            <w:shd w:val="clear" w:color="auto" w:fill="BDD6EE" w:themeFill="accent1" w:themeFillTint="66"/>
            <w:vAlign w:val="center"/>
          </w:tcPr>
          <w:p w:rsidR="00732713" w:rsidRPr="00A110F0" w:rsidRDefault="009F1247" w:rsidP="00FD3D2A">
            <w:pPr>
              <w:keepNext/>
              <w:jc w:val="center"/>
              <w:rPr>
                <w:rFonts w:asciiTheme="minorHAnsi" w:eastAsia="Calibri" w:hAnsiTheme="minorHAnsi"/>
                <w:b/>
                <w:sz w:val="16"/>
                <w:szCs w:val="16"/>
              </w:rPr>
            </w:pPr>
            <w:r>
              <w:rPr>
                <w:rFonts w:asciiTheme="minorHAnsi" w:eastAsia="Calibri" w:hAnsiTheme="minorHAnsi"/>
                <w:b/>
                <w:sz w:val="16"/>
                <w:szCs w:val="16"/>
              </w:rPr>
              <w:t>2,916</w:t>
            </w:r>
          </w:p>
        </w:tc>
        <w:tc>
          <w:tcPr>
            <w:tcW w:w="1130" w:type="dxa"/>
            <w:tcBorders>
              <w:left w:val="dashed" w:sz="4" w:space="0" w:color="auto"/>
            </w:tcBorders>
            <w:shd w:val="clear" w:color="auto" w:fill="BDD6EE" w:themeFill="accent1" w:themeFillTint="66"/>
            <w:vAlign w:val="center"/>
          </w:tcPr>
          <w:p w:rsidR="00732713" w:rsidRPr="00A110F0" w:rsidRDefault="009F1247" w:rsidP="00FD3D2A">
            <w:pPr>
              <w:keepNext/>
              <w:jc w:val="center"/>
              <w:rPr>
                <w:rFonts w:asciiTheme="minorHAnsi" w:eastAsia="Calibri" w:hAnsiTheme="minorHAnsi"/>
                <w:b/>
                <w:sz w:val="16"/>
                <w:szCs w:val="16"/>
              </w:rPr>
            </w:pPr>
            <w:r>
              <w:rPr>
                <w:rFonts w:asciiTheme="minorHAnsi" w:eastAsia="Calibri" w:hAnsiTheme="minorHAnsi"/>
                <w:b/>
                <w:sz w:val="16"/>
                <w:szCs w:val="16"/>
              </w:rPr>
              <w:t>21</w:t>
            </w:r>
          </w:p>
        </w:tc>
        <w:tc>
          <w:tcPr>
            <w:tcW w:w="4390" w:type="dxa"/>
            <w:tcBorders>
              <w:left w:val="dotted" w:sz="4" w:space="0" w:color="auto"/>
            </w:tcBorders>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p>
        </w:tc>
      </w:tr>
    </w:tbl>
    <w:p w:rsidR="00732713" w:rsidRPr="00A110F0" w:rsidRDefault="00732713" w:rsidP="00784D9F">
      <w:pPr>
        <w:tabs>
          <w:tab w:val="left" w:pos="540"/>
        </w:tabs>
        <w:ind w:left="540"/>
        <w:rPr>
          <w:rFonts w:asciiTheme="minorHAnsi" w:hAnsiTheme="minorHAnsi"/>
          <w:sz w:val="16"/>
          <w:szCs w:val="16"/>
        </w:rPr>
      </w:pPr>
    </w:p>
    <w:tbl>
      <w:tblPr>
        <w:tblW w:w="1337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8"/>
        <w:gridCol w:w="1251"/>
        <w:gridCol w:w="1155"/>
        <w:gridCol w:w="1058"/>
        <w:gridCol w:w="1252"/>
        <w:gridCol w:w="6177"/>
      </w:tblGrid>
      <w:tr w:rsidR="00A110F0" w:rsidRPr="00A110F0" w:rsidTr="00784D9F">
        <w:tc>
          <w:tcPr>
            <w:tcW w:w="2478" w:type="dxa"/>
            <w:vMerge w:val="restart"/>
            <w:shd w:val="clear" w:color="auto" w:fill="5B9BD5" w:themeFill="accent1"/>
            <w:vAlign w:val="center"/>
          </w:tcPr>
          <w:p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Information Collection</w:t>
            </w:r>
          </w:p>
        </w:tc>
        <w:tc>
          <w:tcPr>
            <w:tcW w:w="2406" w:type="dxa"/>
            <w:gridSpan w:val="2"/>
            <w:tcBorders>
              <w:bottom w:val="single" w:sz="4" w:space="0" w:color="auto"/>
            </w:tcBorders>
            <w:shd w:val="clear" w:color="auto" w:fill="5B9BD5" w:themeFill="accent1"/>
            <w:vAlign w:val="center"/>
          </w:tcPr>
          <w:p w:rsidR="00A110F0" w:rsidRPr="00A110F0" w:rsidRDefault="00A33F94" w:rsidP="00A110F0">
            <w:pPr>
              <w:keepNext/>
              <w:shd w:val="clear" w:color="auto" w:fill="5B9BD5" w:themeFill="accent1"/>
              <w:jc w:val="center"/>
              <w:rPr>
                <w:rFonts w:asciiTheme="minorHAnsi" w:eastAsia="Calibri" w:hAnsiTheme="minorHAnsi"/>
                <w:b/>
                <w:sz w:val="16"/>
                <w:szCs w:val="16"/>
              </w:rPr>
            </w:pPr>
            <w:r>
              <w:rPr>
                <w:rFonts w:asciiTheme="minorHAnsi" w:eastAsia="Calibri" w:hAnsiTheme="minorHAnsi"/>
                <w:b/>
                <w:sz w:val="16"/>
                <w:szCs w:val="16"/>
              </w:rPr>
              <w:t xml:space="preserve">Total </w:t>
            </w:r>
            <w:r w:rsidR="00A110F0" w:rsidRPr="00A110F0">
              <w:rPr>
                <w:rFonts w:asciiTheme="minorHAnsi" w:eastAsia="Calibri" w:hAnsiTheme="minorHAnsi"/>
                <w:b/>
                <w:sz w:val="16"/>
                <w:szCs w:val="16"/>
              </w:rPr>
              <w:t>Labor Costs</w:t>
            </w:r>
          </w:p>
        </w:tc>
        <w:tc>
          <w:tcPr>
            <w:tcW w:w="2310" w:type="dxa"/>
            <w:gridSpan w:val="2"/>
            <w:shd w:val="clear" w:color="auto" w:fill="5B9BD5" w:themeFill="accent1"/>
          </w:tcPr>
          <w:p w:rsidR="00A110F0" w:rsidRPr="00A110F0" w:rsidRDefault="00A33F94" w:rsidP="00A110F0">
            <w:pPr>
              <w:keepNext/>
              <w:shd w:val="clear" w:color="auto" w:fill="5B9BD5" w:themeFill="accent1"/>
              <w:jc w:val="center"/>
              <w:rPr>
                <w:rFonts w:asciiTheme="minorHAnsi" w:eastAsia="Calibri" w:hAnsiTheme="minorHAnsi"/>
                <w:b/>
                <w:sz w:val="16"/>
                <w:szCs w:val="16"/>
              </w:rPr>
            </w:pPr>
            <w:r>
              <w:rPr>
                <w:rFonts w:asciiTheme="minorHAnsi" w:eastAsia="Calibri" w:hAnsiTheme="minorHAnsi"/>
                <w:b/>
                <w:sz w:val="16"/>
                <w:szCs w:val="16"/>
              </w:rPr>
              <w:t xml:space="preserve">Total </w:t>
            </w:r>
            <w:r w:rsidR="00A110F0" w:rsidRPr="00A110F0">
              <w:rPr>
                <w:rFonts w:asciiTheme="minorHAnsi" w:eastAsia="Calibri" w:hAnsiTheme="minorHAnsi"/>
                <w:b/>
                <w:sz w:val="16"/>
                <w:szCs w:val="16"/>
              </w:rPr>
              <w:t>Miscellaneous Costs</w:t>
            </w:r>
          </w:p>
        </w:tc>
        <w:tc>
          <w:tcPr>
            <w:tcW w:w="6177" w:type="dxa"/>
            <w:vMerge w:val="restart"/>
            <w:tcBorders>
              <w:right w:val="single" w:sz="4" w:space="0" w:color="auto"/>
            </w:tcBorders>
            <w:shd w:val="clear" w:color="auto" w:fill="5B9BD5" w:themeFill="accent1"/>
            <w:vAlign w:val="center"/>
          </w:tcPr>
          <w:p w:rsidR="00A110F0" w:rsidRPr="00A110F0" w:rsidRDefault="00A110F0" w:rsidP="00A110F0">
            <w:pPr>
              <w:keepNext/>
              <w:shd w:val="clear" w:color="auto" w:fill="5B9BD5" w:themeFill="accent1"/>
              <w:jc w:val="center"/>
              <w:rPr>
                <w:rFonts w:asciiTheme="minorHAnsi" w:eastAsia="Calibri" w:hAnsiTheme="minorHAnsi"/>
                <w:b/>
                <w:sz w:val="16"/>
                <w:szCs w:val="16"/>
              </w:rPr>
            </w:pPr>
            <w:r w:rsidRPr="00A110F0">
              <w:rPr>
                <w:rFonts w:asciiTheme="minorHAnsi" w:eastAsia="Calibri" w:hAnsiTheme="minorHAnsi"/>
                <w:b/>
                <w:sz w:val="16"/>
                <w:szCs w:val="16"/>
              </w:rPr>
              <w:t>Reason for change or adjustment</w:t>
            </w:r>
          </w:p>
        </w:tc>
      </w:tr>
      <w:tr w:rsidR="00A110F0" w:rsidRPr="00A110F0" w:rsidTr="00784D9F">
        <w:tc>
          <w:tcPr>
            <w:tcW w:w="2478" w:type="dxa"/>
            <w:vMerge/>
            <w:shd w:val="clear" w:color="auto" w:fill="5B9BD5" w:themeFill="accent1"/>
            <w:vAlign w:val="center"/>
          </w:tcPr>
          <w:p w:rsidR="00A110F0" w:rsidRPr="00A110F0" w:rsidRDefault="00A110F0" w:rsidP="00FD3D2A">
            <w:pPr>
              <w:keepNext/>
              <w:jc w:val="center"/>
              <w:rPr>
                <w:rFonts w:asciiTheme="minorHAnsi" w:eastAsia="Calibri" w:hAnsiTheme="minorHAnsi"/>
                <w:sz w:val="16"/>
                <w:szCs w:val="16"/>
              </w:rPr>
            </w:pPr>
          </w:p>
        </w:tc>
        <w:tc>
          <w:tcPr>
            <w:tcW w:w="1251" w:type="dxa"/>
            <w:tcBorders>
              <w:bottom w:val="single" w:sz="4" w:space="0" w:color="auto"/>
              <w:right w:val="dashSmallGap" w:sz="4" w:space="0" w:color="auto"/>
            </w:tcBorders>
            <w:shd w:val="clear" w:color="auto" w:fill="FBE4D5"/>
            <w:vAlign w:val="center"/>
          </w:tcPr>
          <w:p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p>
        </w:tc>
        <w:tc>
          <w:tcPr>
            <w:tcW w:w="1155" w:type="dxa"/>
            <w:tcBorders>
              <w:left w:val="dashSmallGap" w:sz="4" w:space="0" w:color="auto"/>
              <w:bottom w:val="single" w:sz="4" w:space="0" w:color="auto"/>
            </w:tcBorders>
            <w:shd w:val="clear" w:color="auto" w:fill="FBE4D5"/>
            <w:vAlign w:val="center"/>
          </w:tcPr>
          <w:p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p>
        </w:tc>
        <w:tc>
          <w:tcPr>
            <w:tcW w:w="1058" w:type="dxa"/>
            <w:tcBorders>
              <w:right w:val="dashSmallGap" w:sz="4" w:space="0" w:color="auto"/>
            </w:tcBorders>
            <w:shd w:val="clear" w:color="auto" w:fill="FBE4D5"/>
            <w:vAlign w:val="center"/>
          </w:tcPr>
          <w:p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Current</w:t>
            </w:r>
          </w:p>
        </w:tc>
        <w:tc>
          <w:tcPr>
            <w:tcW w:w="1252" w:type="dxa"/>
            <w:tcBorders>
              <w:left w:val="dashSmallGap" w:sz="4" w:space="0" w:color="auto"/>
            </w:tcBorders>
            <w:shd w:val="clear" w:color="auto" w:fill="FBE4D5"/>
            <w:vAlign w:val="center"/>
          </w:tcPr>
          <w:p w:rsidR="00A110F0" w:rsidRPr="00A110F0" w:rsidRDefault="00A110F0" w:rsidP="00FD3D2A">
            <w:pPr>
              <w:keepNext/>
              <w:jc w:val="center"/>
              <w:rPr>
                <w:rFonts w:asciiTheme="minorHAnsi" w:eastAsia="Calibri" w:hAnsiTheme="minorHAnsi"/>
                <w:sz w:val="16"/>
                <w:szCs w:val="16"/>
              </w:rPr>
            </w:pPr>
            <w:r w:rsidRPr="00A110F0">
              <w:rPr>
                <w:rFonts w:asciiTheme="minorHAnsi" w:eastAsia="Calibri" w:hAnsiTheme="minorHAnsi"/>
                <w:sz w:val="16"/>
                <w:szCs w:val="16"/>
              </w:rPr>
              <w:t>Previous</w:t>
            </w:r>
          </w:p>
        </w:tc>
        <w:tc>
          <w:tcPr>
            <w:tcW w:w="6177" w:type="dxa"/>
            <w:vMerge/>
            <w:tcBorders>
              <w:right w:val="single" w:sz="4" w:space="0" w:color="auto"/>
            </w:tcBorders>
            <w:shd w:val="clear" w:color="auto" w:fill="FBE4D5"/>
            <w:vAlign w:val="center"/>
          </w:tcPr>
          <w:p w:rsidR="00A110F0" w:rsidRPr="00A110F0" w:rsidRDefault="00A110F0" w:rsidP="00FD3D2A">
            <w:pPr>
              <w:keepNext/>
              <w:rPr>
                <w:rFonts w:asciiTheme="minorHAnsi" w:eastAsia="Calibri" w:hAnsiTheme="minorHAnsi"/>
                <w:sz w:val="16"/>
                <w:szCs w:val="16"/>
              </w:rPr>
            </w:pPr>
          </w:p>
        </w:tc>
      </w:tr>
      <w:tr w:rsidR="007D0038" w:rsidRPr="00A110F0" w:rsidTr="00471B0A">
        <w:tc>
          <w:tcPr>
            <w:tcW w:w="2478" w:type="dxa"/>
            <w:shd w:val="clear" w:color="auto" w:fill="auto"/>
            <w:vAlign w:val="center"/>
          </w:tcPr>
          <w:p w:rsidR="007D0038" w:rsidRPr="00A110F0" w:rsidRDefault="007D0038" w:rsidP="007D0038">
            <w:pPr>
              <w:rPr>
                <w:rFonts w:asciiTheme="minorHAnsi" w:hAnsiTheme="minorHAnsi"/>
                <w:sz w:val="16"/>
                <w:szCs w:val="16"/>
              </w:rPr>
            </w:pPr>
            <w:r>
              <w:rPr>
                <w:rFonts w:asciiTheme="minorHAnsi" w:hAnsiTheme="minorHAnsi"/>
                <w:sz w:val="16"/>
                <w:szCs w:val="16"/>
              </w:rPr>
              <w:t>Initial Installation &amp; Maintenance &amp; Activation Report</w:t>
            </w:r>
          </w:p>
        </w:tc>
        <w:tc>
          <w:tcPr>
            <w:tcW w:w="1251" w:type="dxa"/>
            <w:tcBorders>
              <w:bottom w:val="dotted" w:sz="4" w:space="0" w:color="auto"/>
              <w:right w:val="dashSmallGap" w:sz="4" w:space="0" w:color="auto"/>
            </w:tcBorders>
            <w:shd w:val="clear" w:color="auto" w:fill="auto"/>
            <w:vAlign w:val="center"/>
          </w:tcPr>
          <w:p w:rsidR="007D0038" w:rsidRPr="00A110F0" w:rsidRDefault="007D0038" w:rsidP="007D0038">
            <w:pPr>
              <w:jc w:val="center"/>
              <w:rPr>
                <w:rFonts w:asciiTheme="minorHAnsi" w:eastAsia="Calibri" w:hAnsiTheme="minorHAnsi"/>
                <w:sz w:val="16"/>
                <w:szCs w:val="16"/>
              </w:rPr>
            </w:pPr>
            <w:r>
              <w:rPr>
                <w:rFonts w:asciiTheme="minorHAnsi" w:eastAsia="Calibri" w:hAnsiTheme="minorHAnsi"/>
                <w:sz w:val="16"/>
                <w:szCs w:val="16"/>
              </w:rPr>
              <w:t>NA</w:t>
            </w:r>
          </w:p>
        </w:tc>
        <w:tc>
          <w:tcPr>
            <w:tcW w:w="1155" w:type="dxa"/>
            <w:tcBorders>
              <w:left w:val="dashSmallGap" w:sz="4" w:space="0" w:color="auto"/>
              <w:bottom w:val="dotted" w:sz="4" w:space="0" w:color="auto"/>
            </w:tcBorders>
            <w:shd w:val="clear" w:color="auto" w:fill="auto"/>
            <w:vAlign w:val="center"/>
          </w:tcPr>
          <w:p w:rsidR="007D0038" w:rsidRPr="00A110F0" w:rsidRDefault="007D0038" w:rsidP="007D0038">
            <w:pPr>
              <w:keepNext/>
              <w:jc w:val="center"/>
              <w:rPr>
                <w:rFonts w:asciiTheme="minorHAnsi" w:eastAsia="Calibri" w:hAnsiTheme="minorHAnsi"/>
                <w:sz w:val="16"/>
                <w:szCs w:val="16"/>
              </w:rPr>
            </w:pPr>
            <w:r>
              <w:rPr>
                <w:rFonts w:asciiTheme="minorHAnsi" w:eastAsia="Calibri" w:hAnsiTheme="minorHAnsi"/>
                <w:sz w:val="16"/>
                <w:szCs w:val="16"/>
              </w:rPr>
              <w:t>NA</w:t>
            </w:r>
          </w:p>
        </w:tc>
        <w:tc>
          <w:tcPr>
            <w:tcW w:w="1058" w:type="dxa"/>
            <w:tcBorders>
              <w:left w:val="dotted" w:sz="4" w:space="0" w:color="auto"/>
              <w:bottom w:val="dotted" w:sz="4" w:space="0" w:color="auto"/>
              <w:right w:val="dashSmallGap" w:sz="4" w:space="0" w:color="auto"/>
            </w:tcBorders>
            <w:vAlign w:val="center"/>
          </w:tcPr>
          <w:p w:rsidR="007D0038" w:rsidRPr="00A110F0" w:rsidRDefault="007D0038" w:rsidP="007D0038">
            <w:pPr>
              <w:keepNext/>
              <w:jc w:val="center"/>
              <w:rPr>
                <w:rFonts w:asciiTheme="minorHAnsi" w:eastAsia="Calibri" w:hAnsiTheme="minorHAnsi"/>
                <w:sz w:val="16"/>
                <w:szCs w:val="16"/>
              </w:rPr>
            </w:pPr>
            <w:r>
              <w:rPr>
                <w:rFonts w:asciiTheme="minorHAnsi" w:eastAsia="Calibri" w:hAnsiTheme="minorHAnsi"/>
                <w:sz w:val="16"/>
                <w:szCs w:val="16"/>
              </w:rPr>
              <w:t>$1,215,700</w:t>
            </w:r>
          </w:p>
        </w:tc>
        <w:tc>
          <w:tcPr>
            <w:tcW w:w="1252" w:type="dxa"/>
            <w:tcBorders>
              <w:left w:val="dashSmallGap" w:sz="4" w:space="0" w:color="auto"/>
              <w:bottom w:val="dotted" w:sz="4" w:space="0" w:color="auto"/>
              <w:right w:val="single" w:sz="4" w:space="0" w:color="auto"/>
            </w:tcBorders>
            <w:vAlign w:val="center"/>
          </w:tcPr>
          <w:p w:rsidR="007D0038" w:rsidRPr="00A110F0" w:rsidRDefault="007D0038" w:rsidP="007D0038">
            <w:pPr>
              <w:keepNext/>
              <w:jc w:val="center"/>
              <w:rPr>
                <w:rFonts w:asciiTheme="minorHAnsi" w:eastAsia="Calibri" w:hAnsiTheme="minorHAnsi"/>
                <w:sz w:val="16"/>
                <w:szCs w:val="16"/>
              </w:rPr>
            </w:pPr>
            <w:r>
              <w:rPr>
                <w:rFonts w:asciiTheme="minorHAnsi" w:eastAsia="Calibri" w:hAnsiTheme="minorHAnsi"/>
                <w:sz w:val="16"/>
                <w:szCs w:val="16"/>
              </w:rPr>
              <w:t>$1,933,250</w:t>
            </w:r>
          </w:p>
        </w:tc>
        <w:tc>
          <w:tcPr>
            <w:tcW w:w="6177" w:type="dxa"/>
            <w:tcBorders>
              <w:left w:val="single" w:sz="4" w:space="0" w:color="auto"/>
              <w:bottom w:val="dotted" w:sz="4" w:space="0" w:color="auto"/>
              <w:right w:val="single" w:sz="4" w:space="0" w:color="auto"/>
            </w:tcBorders>
            <w:shd w:val="clear" w:color="auto" w:fill="auto"/>
            <w:vAlign w:val="center"/>
          </w:tcPr>
          <w:p w:rsidR="007D0038" w:rsidRPr="00A110F0" w:rsidRDefault="00CE4868" w:rsidP="007D0038">
            <w:pPr>
              <w:keepNext/>
              <w:rPr>
                <w:rFonts w:asciiTheme="minorHAnsi" w:eastAsia="Calibri" w:hAnsiTheme="minorHAnsi"/>
                <w:sz w:val="16"/>
                <w:szCs w:val="16"/>
              </w:rPr>
            </w:pPr>
            <w:r>
              <w:rPr>
                <w:rFonts w:asciiTheme="minorHAnsi" w:eastAsia="Calibri" w:hAnsiTheme="minorHAnsi"/>
                <w:sz w:val="16"/>
                <w:szCs w:val="16"/>
              </w:rPr>
              <w:t>Calculation correction of the maintenance cost.</w:t>
            </w:r>
          </w:p>
        </w:tc>
      </w:tr>
      <w:tr w:rsidR="00A110F0" w:rsidRPr="00A110F0" w:rsidTr="00A110F0">
        <w:tc>
          <w:tcPr>
            <w:tcW w:w="2478" w:type="dxa"/>
            <w:shd w:val="clear" w:color="auto" w:fill="auto"/>
            <w:vAlign w:val="bottom"/>
          </w:tcPr>
          <w:p w:rsidR="00A110F0" w:rsidRPr="00A110F0" w:rsidRDefault="00193DA0" w:rsidP="00A110F0">
            <w:pPr>
              <w:keepNext/>
              <w:rPr>
                <w:rFonts w:asciiTheme="minorHAnsi" w:eastAsia="Calibri" w:hAnsiTheme="minorHAnsi"/>
                <w:sz w:val="16"/>
                <w:szCs w:val="16"/>
              </w:rPr>
            </w:pPr>
            <w:r>
              <w:rPr>
                <w:rFonts w:asciiTheme="minorHAnsi" w:eastAsia="Calibri" w:hAnsiTheme="minorHAnsi"/>
                <w:sz w:val="16"/>
                <w:szCs w:val="16"/>
              </w:rPr>
              <w:t>Position Reports</w:t>
            </w:r>
          </w:p>
        </w:tc>
        <w:tc>
          <w:tcPr>
            <w:tcW w:w="1251" w:type="dxa"/>
            <w:tcBorders>
              <w:bottom w:val="dotted" w:sz="4" w:space="0" w:color="auto"/>
              <w:right w:val="dashSmallGap" w:sz="4" w:space="0" w:color="auto"/>
            </w:tcBorders>
            <w:shd w:val="clear" w:color="auto" w:fill="auto"/>
            <w:vAlign w:val="center"/>
          </w:tcPr>
          <w:p w:rsidR="00A110F0" w:rsidRPr="00A110F0" w:rsidRDefault="00A110F0" w:rsidP="00FD3D2A">
            <w:pPr>
              <w:jc w:val="center"/>
              <w:rPr>
                <w:rFonts w:asciiTheme="minorHAnsi" w:hAnsiTheme="minorHAnsi"/>
                <w:color w:val="000000"/>
                <w:sz w:val="16"/>
                <w:szCs w:val="16"/>
              </w:rPr>
            </w:pPr>
          </w:p>
        </w:tc>
        <w:tc>
          <w:tcPr>
            <w:tcW w:w="1155" w:type="dxa"/>
            <w:tcBorders>
              <w:left w:val="dashSmallGap" w:sz="4" w:space="0" w:color="auto"/>
              <w:bottom w:val="dotted" w:sz="4" w:space="0" w:color="auto"/>
            </w:tcBorders>
            <w:shd w:val="clear" w:color="auto" w:fill="auto"/>
            <w:vAlign w:val="center"/>
          </w:tcPr>
          <w:p w:rsidR="00A110F0" w:rsidRPr="00A110F0" w:rsidRDefault="00A110F0" w:rsidP="00FD3D2A">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rsidR="00A110F0" w:rsidRPr="004D0E85" w:rsidRDefault="00CE4868" w:rsidP="00FD3D2A">
            <w:pPr>
              <w:keepNext/>
              <w:jc w:val="center"/>
              <w:rPr>
                <w:rFonts w:asciiTheme="minorHAnsi" w:eastAsia="Calibri" w:hAnsiTheme="minorHAnsi"/>
                <w:sz w:val="16"/>
                <w:szCs w:val="16"/>
                <w:highlight w:val="cyan"/>
              </w:rPr>
            </w:pPr>
            <w:r>
              <w:rPr>
                <w:rFonts w:ascii="Calibri" w:hAnsi="Calibri" w:cs="Calibri"/>
                <w:sz w:val="16"/>
                <w:szCs w:val="16"/>
              </w:rPr>
              <w:t>$</w:t>
            </w:r>
            <w:r w:rsidR="00193DA0" w:rsidRPr="004D0E85">
              <w:rPr>
                <w:rFonts w:ascii="Calibri" w:hAnsi="Calibri" w:cs="Calibri"/>
                <w:sz w:val="16"/>
                <w:szCs w:val="16"/>
              </w:rPr>
              <w:t>1,051,200</w:t>
            </w:r>
          </w:p>
        </w:tc>
        <w:tc>
          <w:tcPr>
            <w:tcW w:w="1252" w:type="dxa"/>
            <w:tcBorders>
              <w:left w:val="dashSmallGap" w:sz="4" w:space="0" w:color="auto"/>
              <w:bottom w:val="dotted" w:sz="4" w:space="0" w:color="auto"/>
              <w:right w:val="single" w:sz="4" w:space="0" w:color="auto"/>
            </w:tcBorders>
            <w:vAlign w:val="center"/>
          </w:tcPr>
          <w:p w:rsidR="00A110F0" w:rsidRPr="00A110F0" w:rsidRDefault="00193DA0" w:rsidP="00FD3D2A">
            <w:pPr>
              <w:keepNext/>
              <w:jc w:val="center"/>
              <w:rPr>
                <w:rFonts w:asciiTheme="minorHAnsi" w:eastAsia="Calibri" w:hAnsiTheme="minorHAnsi"/>
                <w:sz w:val="16"/>
                <w:szCs w:val="16"/>
              </w:rPr>
            </w:pPr>
            <w:r>
              <w:rPr>
                <w:rFonts w:asciiTheme="minorHAnsi" w:eastAsia="Calibri" w:hAnsiTheme="minorHAnsi"/>
                <w:sz w:val="16"/>
                <w:szCs w:val="16"/>
              </w:rPr>
              <w:t>NA</w:t>
            </w:r>
          </w:p>
        </w:tc>
        <w:tc>
          <w:tcPr>
            <w:tcW w:w="6177" w:type="dxa"/>
            <w:tcBorders>
              <w:left w:val="single" w:sz="4" w:space="0" w:color="auto"/>
              <w:bottom w:val="dotted" w:sz="4" w:space="0" w:color="auto"/>
              <w:right w:val="single" w:sz="4" w:space="0" w:color="auto"/>
            </w:tcBorders>
            <w:shd w:val="clear" w:color="auto" w:fill="auto"/>
            <w:vAlign w:val="center"/>
          </w:tcPr>
          <w:p w:rsidR="00A110F0" w:rsidRPr="00A110F0" w:rsidRDefault="00193DA0" w:rsidP="00FD3D2A">
            <w:pPr>
              <w:keepNext/>
              <w:rPr>
                <w:rFonts w:asciiTheme="minorHAnsi" w:eastAsia="Calibri" w:hAnsiTheme="minorHAnsi"/>
                <w:sz w:val="16"/>
                <w:szCs w:val="16"/>
              </w:rPr>
            </w:pPr>
            <w:r>
              <w:rPr>
                <w:rFonts w:asciiTheme="minorHAnsi" w:eastAsia="Calibri" w:hAnsiTheme="minorHAnsi"/>
                <w:sz w:val="16"/>
                <w:szCs w:val="16"/>
              </w:rPr>
              <w:t>This is a new requirement.  Responses are automated.</w:t>
            </w:r>
            <w:r w:rsidR="0092178B">
              <w:rPr>
                <w:rFonts w:asciiTheme="minorHAnsi" w:eastAsia="Calibri" w:hAnsiTheme="minorHAnsi"/>
                <w:sz w:val="16"/>
                <w:szCs w:val="16"/>
              </w:rPr>
              <w:t xml:space="preserve">  This is the cost to operate the unit for the number of pings.</w:t>
            </w:r>
          </w:p>
        </w:tc>
      </w:tr>
      <w:tr w:rsidR="00A110F0" w:rsidRPr="00A110F0" w:rsidTr="00A110F0">
        <w:tc>
          <w:tcPr>
            <w:tcW w:w="2478" w:type="dxa"/>
            <w:shd w:val="clear" w:color="auto" w:fill="auto"/>
            <w:vAlign w:val="bottom"/>
          </w:tcPr>
          <w:p w:rsidR="00A110F0" w:rsidRPr="00A110F0" w:rsidRDefault="00A110F0" w:rsidP="00A110F0">
            <w:pPr>
              <w:keepNext/>
              <w:rPr>
                <w:rFonts w:asciiTheme="minorHAnsi" w:eastAsia="Calibri" w:hAnsiTheme="minorHAnsi"/>
                <w:sz w:val="16"/>
                <w:szCs w:val="16"/>
              </w:rPr>
            </w:pPr>
          </w:p>
        </w:tc>
        <w:tc>
          <w:tcPr>
            <w:tcW w:w="1251" w:type="dxa"/>
            <w:tcBorders>
              <w:bottom w:val="dotted" w:sz="4" w:space="0" w:color="auto"/>
              <w:right w:val="dashSmallGap" w:sz="4" w:space="0" w:color="auto"/>
            </w:tcBorders>
            <w:shd w:val="clear" w:color="auto" w:fill="auto"/>
            <w:vAlign w:val="center"/>
          </w:tcPr>
          <w:p w:rsidR="00A110F0" w:rsidRPr="00A110F0" w:rsidRDefault="00A110F0" w:rsidP="00FD3D2A">
            <w:pPr>
              <w:jc w:val="center"/>
              <w:rPr>
                <w:rFonts w:asciiTheme="minorHAnsi" w:hAnsiTheme="minorHAnsi"/>
                <w:color w:val="000000"/>
                <w:sz w:val="16"/>
                <w:szCs w:val="16"/>
              </w:rPr>
            </w:pPr>
          </w:p>
        </w:tc>
        <w:tc>
          <w:tcPr>
            <w:tcW w:w="1155" w:type="dxa"/>
            <w:tcBorders>
              <w:left w:val="dashSmallGap" w:sz="4" w:space="0" w:color="auto"/>
              <w:bottom w:val="dotted" w:sz="4" w:space="0" w:color="auto"/>
            </w:tcBorders>
            <w:shd w:val="clear" w:color="auto" w:fill="auto"/>
            <w:vAlign w:val="center"/>
          </w:tcPr>
          <w:p w:rsidR="00A110F0" w:rsidRPr="00A110F0" w:rsidRDefault="00A110F0" w:rsidP="00FD3D2A">
            <w:pPr>
              <w:keepNext/>
              <w:jc w:val="center"/>
              <w:rPr>
                <w:rFonts w:asciiTheme="minorHAnsi" w:eastAsia="Calibri" w:hAnsiTheme="minorHAnsi"/>
                <w:sz w:val="16"/>
                <w:szCs w:val="16"/>
              </w:rPr>
            </w:pPr>
          </w:p>
        </w:tc>
        <w:tc>
          <w:tcPr>
            <w:tcW w:w="1058" w:type="dxa"/>
            <w:tcBorders>
              <w:left w:val="dotted" w:sz="4" w:space="0" w:color="auto"/>
              <w:bottom w:val="dotted" w:sz="4" w:space="0" w:color="auto"/>
              <w:right w:val="dashSmallGap" w:sz="4" w:space="0" w:color="auto"/>
            </w:tcBorders>
            <w:vAlign w:val="center"/>
          </w:tcPr>
          <w:p w:rsidR="00A110F0" w:rsidRPr="00A110F0" w:rsidRDefault="00A110F0" w:rsidP="00FD3D2A">
            <w:pPr>
              <w:keepNext/>
              <w:jc w:val="center"/>
              <w:rPr>
                <w:rFonts w:asciiTheme="minorHAnsi" w:eastAsia="Calibri" w:hAnsiTheme="minorHAnsi"/>
                <w:sz w:val="16"/>
                <w:szCs w:val="16"/>
              </w:rPr>
            </w:pPr>
          </w:p>
        </w:tc>
        <w:tc>
          <w:tcPr>
            <w:tcW w:w="1252" w:type="dxa"/>
            <w:tcBorders>
              <w:left w:val="dashSmallGap" w:sz="4" w:space="0" w:color="auto"/>
              <w:bottom w:val="dotted" w:sz="4" w:space="0" w:color="auto"/>
              <w:right w:val="single" w:sz="4" w:space="0" w:color="auto"/>
            </w:tcBorders>
            <w:vAlign w:val="center"/>
          </w:tcPr>
          <w:p w:rsidR="00A110F0" w:rsidRPr="00A110F0" w:rsidRDefault="00A110F0" w:rsidP="00FD3D2A">
            <w:pPr>
              <w:keepNext/>
              <w:jc w:val="center"/>
              <w:rPr>
                <w:rFonts w:asciiTheme="minorHAnsi" w:eastAsia="Calibri" w:hAnsiTheme="minorHAnsi"/>
                <w:sz w:val="16"/>
                <w:szCs w:val="16"/>
              </w:rPr>
            </w:pPr>
          </w:p>
        </w:tc>
        <w:tc>
          <w:tcPr>
            <w:tcW w:w="6177" w:type="dxa"/>
            <w:tcBorders>
              <w:left w:val="single" w:sz="4" w:space="0" w:color="auto"/>
              <w:bottom w:val="dotted" w:sz="4" w:space="0" w:color="auto"/>
              <w:right w:val="single" w:sz="4" w:space="0" w:color="auto"/>
            </w:tcBorders>
            <w:shd w:val="clear" w:color="auto" w:fill="auto"/>
            <w:vAlign w:val="center"/>
          </w:tcPr>
          <w:p w:rsidR="00A110F0" w:rsidRPr="00A110F0" w:rsidRDefault="00A110F0" w:rsidP="00FD3D2A">
            <w:pPr>
              <w:keepNext/>
              <w:rPr>
                <w:rFonts w:asciiTheme="minorHAnsi" w:eastAsia="Calibri" w:hAnsiTheme="minorHAnsi"/>
                <w:sz w:val="16"/>
                <w:szCs w:val="16"/>
              </w:rPr>
            </w:pPr>
          </w:p>
        </w:tc>
      </w:tr>
      <w:tr w:rsidR="00732713" w:rsidRPr="00A110F0" w:rsidTr="00784D9F">
        <w:tc>
          <w:tcPr>
            <w:tcW w:w="2478" w:type="dxa"/>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r w:rsidRPr="00A110F0">
              <w:rPr>
                <w:rFonts w:asciiTheme="minorHAnsi" w:eastAsia="Calibri" w:hAnsiTheme="minorHAnsi"/>
                <w:b/>
                <w:sz w:val="16"/>
                <w:szCs w:val="16"/>
              </w:rPr>
              <w:t>Total for Collection</w:t>
            </w:r>
          </w:p>
        </w:tc>
        <w:tc>
          <w:tcPr>
            <w:tcW w:w="1251" w:type="dxa"/>
            <w:tcBorders>
              <w:right w:val="dashSmallGap" w:sz="4" w:space="0" w:color="auto"/>
            </w:tcBorders>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p>
        </w:tc>
        <w:tc>
          <w:tcPr>
            <w:tcW w:w="1155" w:type="dxa"/>
            <w:tcBorders>
              <w:left w:val="dashSmallGap" w:sz="4" w:space="0" w:color="auto"/>
            </w:tcBorders>
            <w:shd w:val="clear" w:color="auto" w:fill="BDD6EE" w:themeFill="accent1" w:themeFillTint="66"/>
            <w:vAlign w:val="center"/>
          </w:tcPr>
          <w:p w:rsidR="00732713" w:rsidRPr="00A110F0" w:rsidRDefault="00732713" w:rsidP="00FD3D2A">
            <w:pPr>
              <w:jc w:val="center"/>
              <w:rPr>
                <w:rFonts w:asciiTheme="minorHAnsi" w:eastAsia="Calibri" w:hAnsiTheme="minorHAnsi"/>
                <w:b/>
                <w:bCs/>
                <w:sz w:val="16"/>
                <w:szCs w:val="16"/>
              </w:rPr>
            </w:pPr>
          </w:p>
        </w:tc>
        <w:tc>
          <w:tcPr>
            <w:tcW w:w="1058" w:type="dxa"/>
            <w:tcBorders>
              <w:left w:val="dotted" w:sz="4" w:space="0" w:color="auto"/>
              <w:right w:val="dashSmallGap" w:sz="4" w:space="0" w:color="auto"/>
            </w:tcBorders>
            <w:shd w:val="clear" w:color="auto" w:fill="BDD6EE" w:themeFill="accent1" w:themeFillTint="66"/>
            <w:vAlign w:val="center"/>
          </w:tcPr>
          <w:p w:rsidR="00732713" w:rsidRPr="00A110F0" w:rsidRDefault="00CE4868" w:rsidP="00FD3D2A">
            <w:pPr>
              <w:keepNext/>
              <w:jc w:val="center"/>
              <w:rPr>
                <w:rFonts w:asciiTheme="minorHAnsi" w:eastAsia="Calibri" w:hAnsiTheme="minorHAnsi"/>
                <w:b/>
                <w:sz w:val="16"/>
                <w:szCs w:val="16"/>
              </w:rPr>
            </w:pPr>
            <w:r>
              <w:rPr>
                <w:rFonts w:asciiTheme="minorHAnsi" w:eastAsia="Calibri" w:hAnsiTheme="minorHAnsi"/>
                <w:b/>
                <w:sz w:val="16"/>
                <w:szCs w:val="16"/>
              </w:rPr>
              <w:t>$2,266,900</w:t>
            </w:r>
          </w:p>
        </w:tc>
        <w:tc>
          <w:tcPr>
            <w:tcW w:w="1252" w:type="dxa"/>
            <w:tcBorders>
              <w:left w:val="dashSmallGap" w:sz="4" w:space="0" w:color="auto"/>
              <w:right w:val="single" w:sz="4" w:space="0" w:color="auto"/>
            </w:tcBorders>
            <w:shd w:val="clear" w:color="auto" w:fill="BDD6EE" w:themeFill="accent1" w:themeFillTint="66"/>
            <w:vAlign w:val="center"/>
          </w:tcPr>
          <w:p w:rsidR="00732713" w:rsidRPr="00A110F0" w:rsidRDefault="00CE4868" w:rsidP="00FD3D2A">
            <w:pPr>
              <w:keepNext/>
              <w:jc w:val="center"/>
              <w:rPr>
                <w:rFonts w:asciiTheme="minorHAnsi" w:eastAsia="Calibri" w:hAnsiTheme="minorHAnsi"/>
                <w:b/>
                <w:sz w:val="16"/>
                <w:szCs w:val="16"/>
              </w:rPr>
            </w:pPr>
            <w:r>
              <w:rPr>
                <w:rFonts w:asciiTheme="minorHAnsi" w:eastAsia="Calibri" w:hAnsiTheme="minorHAnsi"/>
                <w:b/>
                <w:sz w:val="16"/>
                <w:szCs w:val="16"/>
              </w:rPr>
              <w:t>$1,933,250</w:t>
            </w:r>
          </w:p>
        </w:tc>
        <w:tc>
          <w:tcPr>
            <w:tcW w:w="6177" w:type="dxa"/>
            <w:tcBorders>
              <w:left w:val="single" w:sz="4" w:space="0" w:color="auto"/>
              <w:bottom w:val="single" w:sz="4" w:space="0" w:color="auto"/>
              <w:right w:val="single" w:sz="4" w:space="0" w:color="auto"/>
            </w:tcBorders>
            <w:shd w:val="clear" w:color="auto" w:fill="BDD6EE" w:themeFill="accent1" w:themeFillTint="66"/>
            <w:vAlign w:val="center"/>
          </w:tcPr>
          <w:p w:rsidR="00732713" w:rsidRPr="00A110F0" w:rsidRDefault="00732713" w:rsidP="00FD3D2A">
            <w:pPr>
              <w:keepNext/>
              <w:jc w:val="center"/>
              <w:rPr>
                <w:rFonts w:asciiTheme="minorHAnsi" w:eastAsia="Calibri" w:hAnsiTheme="minorHAnsi"/>
                <w:b/>
                <w:sz w:val="16"/>
                <w:szCs w:val="16"/>
              </w:rPr>
            </w:pPr>
          </w:p>
        </w:tc>
      </w:tr>
    </w:tbl>
    <w:p w:rsidR="004F26E9" w:rsidRDefault="004F26E9" w:rsidP="00493868">
      <w:pPr>
        <w:tabs>
          <w:tab w:val="left" w:pos="540"/>
        </w:tabs>
        <w:ind w:left="540"/>
        <w:rPr>
          <w:sz w:val="24"/>
          <w:szCs w:val="24"/>
        </w:rPr>
      </w:pPr>
    </w:p>
    <w:p w:rsidR="00493868" w:rsidRDefault="00493868" w:rsidP="00493868">
      <w:pPr>
        <w:tabs>
          <w:tab w:val="left" w:pos="540"/>
        </w:tabs>
        <w:ind w:left="540"/>
        <w:rPr>
          <w:sz w:val="24"/>
          <w:szCs w:val="24"/>
        </w:rPr>
      </w:pPr>
    </w:p>
    <w:p w:rsidR="00732713" w:rsidRDefault="00732713" w:rsidP="00493868">
      <w:pPr>
        <w:tabs>
          <w:tab w:val="left" w:pos="540"/>
        </w:tabs>
        <w:ind w:left="540"/>
        <w:rPr>
          <w:sz w:val="24"/>
          <w:szCs w:val="24"/>
        </w:rPr>
        <w:sectPr w:rsidR="00732713" w:rsidSect="00732713">
          <w:footnotePr>
            <w:numRestart w:val="eachSect"/>
          </w:footnotePr>
          <w:endnotePr>
            <w:numFmt w:val="decimal"/>
          </w:endnotePr>
          <w:pgSz w:w="15840" w:h="12240" w:orient="landscape"/>
          <w:pgMar w:top="1440" w:right="1440" w:bottom="1440" w:left="1440" w:header="720" w:footer="720" w:gutter="0"/>
          <w:cols w:space="720"/>
          <w:docGrid w:linePitch="272"/>
        </w:sectPr>
      </w:pPr>
    </w:p>
    <w:p w:rsidR="004F26E9" w:rsidRDefault="004F26E9" w:rsidP="00CD5390">
      <w:pPr>
        <w:rPr>
          <w:sz w:val="24"/>
          <w:szCs w:val="24"/>
        </w:rPr>
      </w:pPr>
    </w:p>
    <w:p w:rsidR="004F26E9" w:rsidRDefault="00493868" w:rsidP="00493868">
      <w:pPr>
        <w:tabs>
          <w:tab w:val="left" w:pos="540"/>
        </w:tabs>
        <w:ind w:left="540" w:hanging="540"/>
        <w:rPr>
          <w:b/>
          <w:bCs/>
          <w:sz w:val="24"/>
          <w:szCs w:val="24"/>
        </w:rPr>
      </w:pPr>
      <w:r>
        <w:rPr>
          <w:b/>
          <w:bCs/>
          <w:sz w:val="24"/>
          <w:szCs w:val="24"/>
        </w:rPr>
        <w:t>16.</w:t>
      </w:r>
      <w:r>
        <w:rPr>
          <w:b/>
          <w:bCs/>
          <w:sz w:val="24"/>
          <w:szCs w:val="24"/>
        </w:rPr>
        <w:tab/>
      </w:r>
      <w:r w:rsidR="004F26E9" w:rsidRPr="000A0540">
        <w:rPr>
          <w:b/>
          <w:bCs/>
          <w:sz w:val="24"/>
          <w:szCs w:val="24"/>
        </w:rPr>
        <w:t>For collections whose results will be published, outline the plans for tabulation and publication.</w:t>
      </w:r>
    </w:p>
    <w:p w:rsidR="002341A0" w:rsidRDefault="002341A0" w:rsidP="00493868">
      <w:pPr>
        <w:tabs>
          <w:tab w:val="left" w:pos="540"/>
        </w:tabs>
        <w:ind w:left="540" w:hanging="540"/>
        <w:rPr>
          <w:sz w:val="24"/>
          <w:szCs w:val="24"/>
        </w:rPr>
      </w:pPr>
    </w:p>
    <w:p w:rsidR="00595FEF" w:rsidRDefault="00595FEF" w:rsidP="00595FEF">
      <w:pPr>
        <w:rPr>
          <w:sz w:val="24"/>
          <w:szCs w:val="24"/>
        </w:rPr>
      </w:pPr>
      <w:r>
        <w:rPr>
          <w:sz w:val="24"/>
          <w:szCs w:val="24"/>
        </w:rPr>
        <w:t>No formal scientific publications based on these collections are planned at this time.  The data will be used for management reports and fishery management plan amendments and evaluations by NMFS and the Council.  However, subsequent use of the data collected over a series of years may be included in scientific papers and publications.</w:t>
      </w:r>
    </w:p>
    <w:p w:rsidR="004F26E9" w:rsidRDefault="004F26E9" w:rsidP="00CD5390">
      <w:pPr>
        <w:rPr>
          <w:sz w:val="24"/>
          <w:szCs w:val="24"/>
        </w:rPr>
      </w:pPr>
    </w:p>
    <w:p w:rsidR="004F26E9" w:rsidRDefault="00493868" w:rsidP="00493868">
      <w:pPr>
        <w:tabs>
          <w:tab w:val="left" w:pos="540"/>
        </w:tabs>
        <w:ind w:left="540" w:hanging="540"/>
        <w:rPr>
          <w:sz w:val="24"/>
          <w:szCs w:val="24"/>
        </w:rPr>
      </w:pPr>
      <w:r>
        <w:rPr>
          <w:b/>
          <w:bCs/>
          <w:sz w:val="24"/>
          <w:szCs w:val="24"/>
        </w:rPr>
        <w:t>17.</w:t>
      </w:r>
      <w:r>
        <w:rPr>
          <w:b/>
          <w:bCs/>
          <w:sz w:val="24"/>
          <w:szCs w:val="24"/>
        </w:rPr>
        <w:tab/>
      </w:r>
      <w:r w:rsidR="004F26E9" w:rsidRPr="000A0540">
        <w:rPr>
          <w:b/>
          <w:bCs/>
          <w:sz w:val="24"/>
          <w:szCs w:val="24"/>
        </w:rPr>
        <w:t>If seeking approval to not display the expiration date for OMB approval of the information collection, explain the reasons why display would be inappropriate.</w:t>
      </w:r>
    </w:p>
    <w:p w:rsidR="004F26E9" w:rsidRDefault="004F26E9" w:rsidP="00CD5390">
      <w:pPr>
        <w:rPr>
          <w:sz w:val="24"/>
          <w:szCs w:val="24"/>
        </w:rPr>
      </w:pPr>
    </w:p>
    <w:p w:rsidR="004F26E9" w:rsidRDefault="00595FEF" w:rsidP="00CD5390">
      <w:pPr>
        <w:rPr>
          <w:sz w:val="24"/>
          <w:szCs w:val="24"/>
        </w:rPr>
      </w:pPr>
      <w:r>
        <w:rPr>
          <w:sz w:val="24"/>
          <w:szCs w:val="24"/>
        </w:rPr>
        <w:t>Not Applicable.</w:t>
      </w:r>
    </w:p>
    <w:p w:rsidR="004F26E9" w:rsidRDefault="004F26E9" w:rsidP="00CD5390">
      <w:pPr>
        <w:rPr>
          <w:sz w:val="24"/>
          <w:szCs w:val="24"/>
        </w:rPr>
      </w:pPr>
    </w:p>
    <w:p w:rsidR="004F26E9" w:rsidRPr="00A52249" w:rsidRDefault="00493868" w:rsidP="00493868">
      <w:pPr>
        <w:tabs>
          <w:tab w:val="left" w:pos="540"/>
        </w:tabs>
        <w:ind w:left="540" w:hanging="540"/>
        <w:rPr>
          <w:b/>
          <w:bCs/>
          <w:sz w:val="24"/>
          <w:szCs w:val="24"/>
        </w:rPr>
      </w:pPr>
      <w:r>
        <w:rPr>
          <w:b/>
          <w:bCs/>
          <w:sz w:val="24"/>
          <w:szCs w:val="24"/>
        </w:rPr>
        <w:t>18.</w:t>
      </w:r>
      <w:r>
        <w:rPr>
          <w:b/>
          <w:bCs/>
          <w:sz w:val="24"/>
          <w:szCs w:val="24"/>
        </w:rPr>
        <w:tab/>
      </w:r>
      <w:r w:rsidR="004F26E9" w:rsidRPr="000A0540">
        <w:rPr>
          <w:b/>
          <w:bCs/>
          <w:sz w:val="24"/>
          <w:szCs w:val="24"/>
        </w:rPr>
        <w:t>Explain each</w:t>
      </w:r>
      <w:r w:rsidR="00A52249" w:rsidRPr="000A0540">
        <w:rPr>
          <w:b/>
          <w:bCs/>
          <w:sz w:val="24"/>
          <w:szCs w:val="24"/>
        </w:rPr>
        <w:t xml:space="preserve"> exception to the certification </w:t>
      </w:r>
      <w:r w:rsidR="004F26E9" w:rsidRPr="000A0540">
        <w:rPr>
          <w:b/>
          <w:bCs/>
          <w:sz w:val="24"/>
          <w:szCs w:val="24"/>
        </w:rPr>
        <w:t>statement.</w:t>
      </w:r>
    </w:p>
    <w:p w:rsidR="004F26E9" w:rsidRDefault="004F26E9" w:rsidP="00CD5390">
      <w:pPr>
        <w:rPr>
          <w:sz w:val="24"/>
          <w:szCs w:val="24"/>
        </w:rPr>
      </w:pPr>
    </w:p>
    <w:p w:rsidR="00595FEF" w:rsidRDefault="00595FEF" w:rsidP="00595FEF">
      <w:pPr>
        <w:rPr>
          <w:sz w:val="24"/>
          <w:szCs w:val="24"/>
        </w:rPr>
      </w:pPr>
      <w:r>
        <w:rPr>
          <w:sz w:val="24"/>
          <w:szCs w:val="24"/>
        </w:rPr>
        <w:t>Not Applicable.</w:t>
      </w:r>
    </w:p>
    <w:p w:rsidR="004F26E9" w:rsidRDefault="004F26E9" w:rsidP="00CD5390">
      <w:pPr>
        <w:rPr>
          <w:sz w:val="24"/>
          <w:szCs w:val="24"/>
        </w:rPr>
      </w:pPr>
    </w:p>
    <w:p w:rsidR="00FD3D2A" w:rsidRDefault="00FD3D2A" w:rsidP="00CD5390">
      <w:pPr>
        <w:rPr>
          <w:sz w:val="24"/>
          <w:szCs w:val="24"/>
        </w:rPr>
      </w:pPr>
    </w:p>
    <w:p w:rsidR="00FD3D2A" w:rsidRDefault="00FD3D2A" w:rsidP="00CD5390">
      <w:pPr>
        <w:rPr>
          <w:sz w:val="24"/>
          <w:szCs w:val="24"/>
        </w:rPr>
      </w:pPr>
    </w:p>
    <w:sectPr w:rsidR="00FD3D2A" w:rsidSect="008123DC">
      <w:footnotePr>
        <w:numRestart w:val="eachSect"/>
      </w:footnotePr>
      <w:endnotePr>
        <w:numFmt w:val="decimal"/>
      </w:endnotePr>
      <w:pgSz w:w="12240" w:h="15840"/>
      <w:pgMar w:top="1350" w:right="108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EA" w:rsidRDefault="005834EA">
      <w:r>
        <w:separator/>
      </w:r>
    </w:p>
  </w:endnote>
  <w:endnote w:type="continuationSeparator" w:id="0">
    <w:p w:rsidR="005834EA" w:rsidRDefault="0058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DF" w:rsidRDefault="007934D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E5008">
      <w:rPr>
        <w:rStyle w:val="PageNumber"/>
        <w:noProof/>
        <w:sz w:val="24"/>
        <w:szCs w:val="24"/>
      </w:rPr>
      <w:t>1</w:t>
    </w:r>
    <w:r>
      <w:rPr>
        <w:rStyle w:val="PageNumber"/>
        <w:sz w:val="24"/>
        <w:szCs w:val="24"/>
      </w:rPr>
      <w:fldChar w:fldCharType="end"/>
    </w:r>
  </w:p>
  <w:p w:rsidR="007934DF" w:rsidRDefault="00793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EA" w:rsidRDefault="005834EA">
      <w:r>
        <w:separator/>
      </w:r>
    </w:p>
  </w:footnote>
  <w:footnote w:type="continuationSeparator" w:id="0">
    <w:p w:rsidR="005834EA" w:rsidRDefault="00583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66544"/>
    <w:rsid w:val="000876B4"/>
    <w:rsid w:val="000A0540"/>
    <w:rsid w:val="000C0023"/>
    <w:rsid w:val="000D49BA"/>
    <w:rsid w:val="000D5760"/>
    <w:rsid w:val="00107F5D"/>
    <w:rsid w:val="00151EE8"/>
    <w:rsid w:val="001827E2"/>
    <w:rsid w:val="00185785"/>
    <w:rsid w:val="00193DA0"/>
    <w:rsid w:val="00193F97"/>
    <w:rsid w:val="001A407A"/>
    <w:rsid w:val="001A46F7"/>
    <w:rsid w:val="001A68BE"/>
    <w:rsid w:val="001A7B8D"/>
    <w:rsid w:val="001E6663"/>
    <w:rsid w:val="001E6F72"/>
    <w:rsid w:val="0020448B"/>
    <w:rsid w:val="002341A0"/>
    <w:rsid w:val="002C148E"/>
    <w:rsid w:val="003278CD"/>
    <w:rsid w:val="003340D8"/>
    <w:rsid w:val="00346C15"/>
    <w:rsid w:val="003666C0"/>
    <w:rsid w:val="003E24F7"/>
    <w:rsid w:val="003E5008"/>
    <w:rsid w:val="003F2E12"/>
    <w:rsid w:val="00422592"/>
    <w:rsid w:val="0043458D"/>
    <w:rsid w:val="00462CA6"/>
    <w:rsid w:val="00493868"/>
    <w:rsid w:val="00494B29"/>
    <w:rsid w:val="004A76F5"/>
    <w:rsid w:val="004C0EA6"/>
    <w:rsid w:val="004C58BE"/>
    <w:rsid w:val="004D0E85"/>
    <w:rsid w:val="004F26E9"/>
    <w:rsid w:val="00520402"/>
    <w:rsid w:val="00532DD5"/>
    <w:rsid w:val="005543BE"/>
    <w:rsid w:val="00556F39"/>
    <w:rsid w:val="00557696"/>
    <w:rsid w:val="00580714"/>
    <w:rsid w:val="00581C79"/>
    <w:rsid w:val="005834EA"/>
    <w:rsid w:val="00595FEF"/>
    <w:rsid w:val="00597B79"/>
    <w:rsid w:val="005B045E"/>
    <w:rsid w:val="005C6849"/>
    <w:rsid w:val="005F1CB0"/>
    <w:rsid w:val="00612EA4"/>
    <w:rsid w:val="00626CA5"/>
    <w:rsid w:val="00640B76"/>
    <w:rsid w:val="00646D0D"/>
    <w:rsid w:val="00665617"/>
    <w:rsid w:val="006D76FE"/>
    <w:rsid w:val="006F340C"/>
    <w:rsid w:val="00725C5C"/>
    <w:rsid w:val="00732713"/>
    <w:rsid w:val="00772FFC"/>
    <w:rsid w:val="00784D9F"/>
    <w:rsid w:val="007934DF"/>
    <w:rsid w:val="007A598B"/>
    <w:rsid w:val="007B442E"/>
    <w:rsid w:val="007D0038"/>
    <w:rsid w:val="007D71BD"/>
    <w:rsid w:val="007E38C6"/>
    <w:rsid w:val="008123DC"/>
    <w:rsid w:val="008209CF"/>
    <w:rsid w:val="00824E4E"/>
    <w:rsid w:val="00846C18"/>
    <w:rsid w:val="00855631"/>
    <w:rsid w:val="008F479D"/>
    <w:rsid w:val="0090431D"/>
    <w:rsid w:val="0092178B"/>
    <w:rsid w:val="00946AB0"/>
    <w:rsid w:val="00984CDB"/>
    <w:rsid w:val="009D5789"/>
    <w:rsid w:val="009F1247"/>
    <w:rsid w:val="009F499F"/>
    <w:rsid w:val="00A110F0"/>
    <w:rsid w:val="00A33F94"/>
    <w:rsid w:val="00A52249"/>
    <w:rsid w:val="00AD3F53"/>
    <w:rsid w:val="00AE7E8A"/>
    <w:rsid w:val="00AF4B65"/>
    <w:rsid w:val="00B64444"/>
    <w:rsid w:val="00B81548"/>
    <w:rsid w:val="00B82F92"/>
    <w:rsid w:val="00BB7E74"/>
    <w:rsid w:val="00C42C71"/>
    <w:rsid w:val="00C4704E"/>
    <w:rsid w:val="00CA2B37"/>
    <w:rsid w:val="00CD5390"/>
    <w:rsid w:val="00CE005A"/>
    <w:rsid w:val="00CE1E61"/>
    <w:rsid w:val="00CE4868"/>
    <w:rsid w:val="00D20BBD"/>
    <w:rsid w:val="00D878A4"/>
    <w:rsid w:val="00D9308B"/>
    <w:rsid w:val="00DB7BFC"/>
    <w:rsid w:val="00DF4E8B"/>
    <w:rsid w:val="00DF7B97"/>
    <w:rsid w:val="00E166E6"/>
    <w:rsid w:val="00E25DA1"/>
    <w:rsid w:val="00E50EC2"/>
    <w:rsid w:val="00E53B02"/>
    <w:rsid w:val="00E6174B"/>
    <w:rsid w:val="00EA7AE2"/>
    <w:rsid w:val="00F16BFA"/>
    <w:rsid w:val="00F25E2D"/>
    <w:rsid w:val="00F37052"/>
    <w:rsid w:val="00F413AC"/>
    <w:rsid w:val="00F510BF"/>
    <w:rsid w:val="00FD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7A598B"/>
    <w:rPr>
      <w:rFonts w:ascii="Segoe UI" w:hAnsi="Segoe UI" w:cs="Segoe UI"/>
      <w:sz w:val="18"/>
      <w:szCs w:val="18"/>
    </w:rPr>
  </w:style>
  <w:style w:type="character" w:customStyle="1" w:styleId="BalloonTextChar">
    <w:name w:val="Balloon Text Char"/>
    <w:basedOn w:val="DefaultParagraphFont"/>
    <w:link w:val="BalloonText"/>
    <w:rsid w:val="007A5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06">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23905884">
      <w:bodyDiv w:val="1"/>
      <w:marLeft w:val="0"/>
      <w:marRight w:val="0"/>
      <w:marTop w:val="0"/>
      <w:marBottom w:val="0"/>
      <w:divBdr>
        <w:top w:val="none" w:sz="0" w:space="0" w:color="auto"/>
        <w:left w:val="none" w:sz="0" w:space="0" w:color="auto"/>
        <w:bottom w:val="none" w:sz="0" w:space="0" w:color="auto"/>
        <w:right w:val="none" w:sz="0" w:space="0" w:color="auto"/>
      </w:divBdr>
    </w:div>
    <w:div w:id="526528091">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37229321">
      <w:bodyDiv w:val="1"/>
      <w:marLeft w:val="0"/>
      <w:marRight w:val="0"/>
      <w:marTop w:val="0"/>
      <w:marBottom w:val="0"/>
      <w:divBdr>
        <w:top w:val="none" w:sz="0" w:space="0" w:color="auto"/>
        <w:left w:val="none" w:sz="0" w:space="0" w:color="auto"/>
        <w:bottom w:val="none" w:sz="0" w:space="0" w:color="auto"/>
        <w:right w:val="none" w:sz="0" w:space="0" w:color="auto"/>
      </w:divBdr>
    </w:div>
    <w:div w:id="717507615">
      <w:bodyDiv w:val="1"/>
      <w:marLeft w:val="0"/>
      <w:marRight w:val="0"/>
      <w:marTop w:val="0"/>
      <w:marBottom w:val="0"/>
      <w:divBdr>
        <w:top w:val="none" w:sz="0" w:space="0" w:color="auto"/>
        <w:left w:val="none" w:sz="0" w:space="0" w:color="auto"/>
        <w:bottom w:val="none" w:sz="0" w:space="0" w:color="auto"/>
        <w:right w:val="none" w:sz="0" w:space="0" w:color="auto"/>
      </w:divBdr>
    </w:div>
    <w:div w:id="1002900804">
      <w:bodyDiv w:val="1"/>
      <w:marLeft w:val="0"/>
      <w:marRight w:val="0"/>
      <w:marTop w:val="0"/>
      <w:marBottom w:val="0"/>
      <w:divBdr>
        <w:top w:val="none" w:sz="0" w:space="0" w:color="auto"/>
        <w:left w:val="none" w:sz="0" w:space="0" w:color="auto"/>
        <w:bottom w:val="none" w:sz="0" w:space="0" w:color="auto"/>
        <w:right w:val="none" w:sz="0" w:space="0" w:color="auto"/>
      </w:divBdr>
    </w:div>
    <w:div w:id="1027097204">
      <w:bodyDiv w:val="1"/>
      <w:marLeft w:val="0"/>
      <w:marRight w:val="0"/>
      <w:marTop w:val="0"/>
      <w:marBottom w:val="0"/>
      <w:divBdr>
        <w:top w:val="none" w:sz="0" w:space="0" w:color="auto"/>
        <w:left w:val="none" w:sz="0" w:space="0" w:color="auto"/>
        <w:bottom w:val="none" w:sz="0" w:space="0" w:color="auto"/>
        <w:right w:val="none" w:sz="0" w:space="0" w:color="auto"/>
      </w:divBdr>
    </w:div>
    <w:div w:id="1096830920">
      <w:bodyDiv w:val="1"/>
      <w:marLeft w:val="0"/>
      <w:marRight w:val="0"/>
      <w:marTop w:val="0"/>
      <w:marBottom w:val="0"/>
      <w:divBdr>
        <w:top w:val="none" w:sz="0" w:space="0" w:color="auto"/>
        <w:left w:val="none" w:sz="0" w:space="0" w:color="auto"/>
        <w:bottom w:val="none" w:sz="0" w:space="0" w:color="auto"/>
        <w:right w:val="none" w:sz="0" w:space="0" w:color="auto"/>
      </w:divBdr>
    </w:div>
    <w:div w:id="1468428149">
      <w:bodyDiv w:val="1"/>
      <w:marLeft w:val="0"/>
      <w:marRight w:val="0"/>
      <w:marTop w:val="0"/>
      <w:marBottom w:val="0"/>
      <w:divBdr>
        <w:top w:val="none" w:sz="0" w:space="0" w:color="auto"/>
        <w:left w:val="none" w:sz="0" w:space="0" w:color="auto"/>
        <w:bottom w:val="none" w:sz="0" w:space="0" w:color="auto"/>
        <w:right w:val="none" w:sz="0" w:space="0" w:color="auto"/>
      </w:divBdr>
    </w:div>
    <w:div w:id="1531257343">
      <w:bodyDiv w:val="1"/>
      <w:marLeft w:val="0"/>
      <w:marRight w:val="0"/>
      <w:marTop w:val="0"/>
      <w:marBottom w:val="0"/>
      <w:divBdr>
        <w:top w:val="none" w:sz="0" w:space="0" w:color="auto"/>
        <w:left w:val="none" w:sz="0" w:space="0" w:color="auto"/>
        <w:bottom w:val="none" w:sz="0" w:space="0" w:color="auto"/>
        <w:right w:val="none" w:sz="0" w:space="0" w:color="auto"/>
      </w:divBdr>
    </w:div>
    <w:div w:id="159678856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 w:id="20748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ws.gov/informationquality/section515.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a36e885c0ccca58be9bf9d3a7438b9be&amp;node=50:13.0.1.1.1.3.1.5&amp;rgn=div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fr.gov/cgi-bin/text-idx?SID=a36e885c0ccca58be9bf9d3a7438b9be&amp;node=50:13.0.1.1.1.3.1.4&amp;rgn=div8" TargetMode="External"/><Relationship Id="rId5" Type="http://schemas.openxmlformats.org/officeDocument/2006/relationships/settings" Target="settings.xml"/><Relationship Id="rId15" Type="http://schemas.openxmlformats.org/officeDocument/2006/relationships/hyperlink" Target="http://www.bls.gov/oes" TargetMode="External"/><Relationship Id="rId10" Type="http://schemas.openxmlformats.org/officeDocument/2006/relationships/hyperlink" Target="http://www.nmfs.noaa.gov/msa2005/docs/MSA_amended_msa%20_20070112_FINAL.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D243-BE7C-4C62-B71C-C3BAC42D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2019-10-11T20:35:00Z</cp:lastPrinted>
  <dcterms:created xsi:type="dcterms:W3CDTF">2019-10-28T20:28:00Z</dcterms:created>
  <dcterms:modified xsi:type="dcterms:W3CDTF">2019-10-28T20:28:00Z</dcterms:modified>
</cp:coreProperties>
</file>