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647CE" w14:textId="77777777" w:rsidR="004E6088" w:rsidRDefault="008B0152" w:rsidP="008B0152">
      <w:pPr>
        <w:pStyle w:val="NoSpacing"/>
        <w:jc w:val="center"/>
        <w:rPr>
          <w:b/>
        </w:rPr>
      </w:pPr>
      <w:bookmarkStart w:id="0" w:name="_GoBack"/>
      <w:bookmarkEnd w:id="0"/>
      <w:r>
        <w:rPr>
          <w:b/>
        </w:rPr>
        <w:t>JUSTIFICATION FOR NONMATERIAL/NONSUBSTANTIVE CHANGE</w:t>
      </w:r>
    </w:p>
    <w:p w14:paraId="79BD82D9" w14:textId="77777777" w:rsidR="008B0152" w:rsidRDefault="008B0152" w:rsidP="008B0152">
      <w:pPr>
        <w:pStyle w:val="NoSpacing"/>
        <w:jc w:val="center"/>
        <w:rPr>
          <w:b/>
        </w:rPr>
      </w:pPr>
      <w:r>
        <w:rPr>
          <w:b/>
        </w:rPr>
        <w:t xml:space="preserve">Patent Trial and Appeal Board (PTAB) Actions </w:t>
      </w:r>
    </w:p>
    <w:p w14:paraId="7651B6F0" w14:textId="77777777" w:rsidR="008B0152" w:rsidRDefault="008B0152" w:rsidP="008B0152">
      <w:pPr>
        <w:pStyle w:val="NoSpacing"/>
        <w:jc w:val="center"/>
        <w:rPr>
          <w:b/>
        </w:rPr>
      </w:pPr>
      <w:r>
        <w:rPr>
          <w:b/>
        </w:rPr>
        <w:t>OMB Control Number 0651-0063</w:t>
      </w:r>
    </w:p>
    <w:p w14:paraId="37E41BFC" w14:textId="77777777" w:rsidR="008B0152" w:rsidRDefault="008B0152" w:rsidP="008B0152">
      <w:pPr>
        <w:pStyle w:val="NoSpacing"/>
        <w:jc w:val="both"/>
      </w:pPr>
    </w:p>
    <w:p w14:paraId="451263B2" w14:textId="77777777" w:rsidR="008B0152" w:rsidRPr="000E42BC" w:rsidRDefault="008B0152" w:rsidP="008B0152">
      <w:pPr>
        <w:pStyle w:val="NoSpacing"/>
        <w:jc w:val="both"/>
        <w:rPr>
          <w:rFonts w:cs="Arial"/>
        </w:rPr>
      </w:pPr>
      <w:r w:rsidRPr="000E42BC">
        <w:rPr>
          <w:rFonts w:cs="Arial"/>
          <w:u w:val="single"/>
        </w:rPr>
        <w:t>Background</w:t>
      </w:r>
    </w:p>
    <w:p w14:paraId="6D8772A3" w14:textId="77777777" w:rsidR="008B0152" w:rsidRPr="000E42BC" w:rsidRDefault="008B0152" w:rsidP="008B0152">
      <w:pPr>
        <w:pStyle w:val="NoSpacing"/>
        <w:jc w:val="both"/>
        <w:rPr>
          <w:rFonts w:cs="Arial"/>
        </w:rPr>
      </w:pPr>
    </w:p>
    <w:p w14:paraId="0045C24B" w14:textId="77777777" w:rsidR="008B0152" w:rsidRPr="000E42BC" w:rsidRDefault="008B0152" w:rsidP="008B0152">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14:paraId="0F3B5A17" w14:textId="77777777" w:rsidR="008B0152" w:rsidRPr="000E42BC" w:rsidRDefault="008B0152" w:rsidP="008B0152">
      <w:pPr>
        <w:pStyle w:val="NoSpacing"/>
        <w:jc w:val="both"/>
        <w:rPr>
          <w:rFonts w:cs="Arial"/>
        </w:rPr>
      </w:pPr>
    </w:p>
    <w:p w14:paraId="72FBE996" w14:textId="0427BB1F" w:rsidR="008B0152" w:rsidRPr="000E42BC" w:rsidRDefault="008B0152" w:rsidP="008B0152">
      <w:pPr>
        <w:pStyle w:val="NoSpacing"/>
        <w:jc w:val="both"/>
        <w:rPr>
          <w:rFonts w:cs="Arial"/>
        </w:rPr>
      </w:pPr>
      <w:r w:rsidRPr="000E42BC">
        <w:rPr>
          <w:rFonts w:cs="Arial"/>
        </w:rPr>
        <w:t>This request is to update the fees attached to collection</w:t>
      </w:r>
      <w:r>
        <w:rPr>
          <w:rFonts w:cs="Arial"/>
        </w:rPr>
        <w:t xml:space="preserve"> 0651-0063 (Patent Trial and Appeal Board (PTAB) Actions). There are four </w:t>
      </w:r>
      <w:r w:rsidRPr="000E42BC">
        <w:rPr>
          <w:rFonts w:cs="Arial"/>
        </w:rPr>
        <w:t>fees being adjusted as a result of the 20</w:t>
      </w:r>
      <w:r w:rsidR="00FF31E8">
        <w:rPr>
          <w:rFonts w:cs="Arial"/>
        </w:rPr>
        <w:t>20</w:t>
      </w:r>
      <w:r w:rsidRPr="000E42BC">
        <w:rPr>
          <w:rFonts w:cs="Arial"/>
        </w:rPr>
        <w:t xml:space="preserve"> Patent Biennial Fee Review.</w:t>
      </w:r>
    </w:p>
    <w:p w14:paraId="453D27C5" w14:textId="77777777" w:rsidR="008B0152" w:rsidRDefault="008B0152" w:rsidP="008B0152">
      <w:pPr>
        <w:pStyle w:val="NoSpacing"/>
        <w:jc w:val="both"/>
      </w:pPr>
    </w:p>
    <w:p w14:paraId="562B7B6B" w14:textId="77777777" w:rsidR="008B0152" w:rsidRDefault="008B0152" w:rsidP="008B0152">
      <w:pPr>
        <w:pStyle w:val="NoSpacing"/>
        <w:jc w:val="both"/>
        <w:rPr>
          <w:b/>
        </w:rPr>
      </w:pPr>
      <w:r>
        <w:rPr>
          <w:b/>
        </w:rPr>
        <w:t xml:space="preserve">Table 1: Increases in Fee Amount </w:t>
      </w:r>
    </w:p>
    <w:tbl>
      <w:tblPr>
        <w:tblStyle w:val="TableGrid"/>
        <w:tblW w:w="0" w:type="auto"/>
        <w:tblLook w:val="04A0" w:firstRow="1" w:lastRow="0" w:firstColumn="1" w:lastColumn="0" w:noHBand="0" w:noVBand="1"/>
      </w:tblPr>
      <w:tblGrid>
        <w:gridCol w:w="445"/>
        <w:gridCol w:w="2880"/>
        <w:gridCol w:w="2070"/>
        <w:gridCol w:w="2085"/>
        <w:gridCol w:w="1870"/>
      </w:tblGrid>
      <w:tr w:rsidR="001B71CC" w14:paraId="09C90845" w14:textId="77777777" w:rsidTr="001B71CC">
        <w:tc>
          <w:tcPr>
            <w:tcW w:w="445" w:type="dxa"/>
            <w:vAlign w:val="center"/>
          </w:tcPr>
          <w:p w14:paraId="5D2AA351" w14:textId="77777777" w:rsidR="001B71CC" w:rsidRDefault="001B71CC" w:rsidP="001B71CC">
            <w:pPr>
              <w:pStyle w:val="NoSpacing"/>
              <w:jc w:val="center"/>
              <w:rPr>
                <w:b/>
              </w:rPr>
            </w:pPr>
          </w:p>
          <w:p w14:paraId="47C84666" w14:textId="77777777" w:rsidR="001B71CC" w:rsidRDefault="001B71CC" w:rsidP="001B71CC">
            <w:pPr>
              <w:pStyle w:val="NoSpacing"/>
              <w:jc w:val="center"/>
              <w:rPr>
                <w:b/>
              </w:rPr>
            </w:pPr>
            <w:r>
              <w:rPr>
                <w:b/>
              </w:rPr>
              <w:t>IC #</w:t>
            </w:r>
          </w:p>
          <w:p w14:paraId="69418713" w14:textId="77777777" w:rsidR="001B71CC" w:rsidRPr="001B71CC" w:rsidRDefault="001B71CC" w:rsidP="001B71CC">
            <w:pPr>
              <w:pStyle w:val="NoSpacing"/>
              <w:jc w:val="center"/>
              <w:rPr>
                <w:b/>
              </w:rPr>
            </w:pPr>
          </w:p>
        </w:tc>
        <w:tc>
          <w:tcPr>
            <w:tcW w:w="2880" w:type="dxa"/>
            <w:vAlign w:val="center"/>
          </w:tcPr>
          <w:p w14:paraId="11E7E3CF" w14:textId="77777777" w:rsidR="001B71CC" w:rsidRPr="001B71CC" w:rsidRDefault="001B71CC" w:rsidP="001B71CC">
            <w:pPr>
              <w:pStyle w:val="NoSpacing"/>
              <w:jc w:val="center"/>
              <w:rPr>
                <w:b/>
              </w:rPr>
            </w:pPr>
            <w:r>
              <w:rPr>
                <w:b/>
              </w:rPr>
              <w:t>Item</w:t>
            </w:r>
          </w:p>
        </w:tc>
        <w:tc>
          <w:tcPr>
            <w:tcW w:w="2070" w:type="dxa"/>
            <w:vAlign w:val="center"/>
          </w:tcPr>
          <w:p w14:paraId="081B3200" w14:textId="77777777" w:rsidR="001B71CC" w:rsidRPr="001B71CC" w:rsidRDefault="001B71CC" w:rsidP="001B71CC">
            <w:pPr>
              <w:pStyle w:val="NoSpacing"/>
              <w:jc w:val="center"/>
              <w:rPr>
                <w:b/>
              </w:rPr>
            </w:pPr>
            <w:r>
              <w:rPr>
                <w:b/>
              </w:rPr>
              <w:t>Current Fees</w:t>
            </w:r>
          </w:p>
        </w:tc>
        <w:tc>
          <w:tcPr>
            <w:tcW w:w="2085" w:type="dxa"/>
            <w:vAlign w:val="center"/>
          </w:tcPr>
          <w:p w14:paraId="1659ED83" w14:textId="77777777" w:rsidR="001B71CC" w:rsidRPr="001B71CC" w:rsidRDefault="001B71CC" w:rsidP="001B71CC">
            <w:pPr>
              <w:pStyle w:val="NoSpacing"/>
              <w:jc w:val="center"/>
              <w:rPr>
                <w:b/>
              </w:rPr>
            </w:pPr>
            <w:r>
              <w:rPr>
                <w:b/>
              </w:rPr>
              <w:t>Proposed Fees</w:t>
            </w:r>
          </w:p>
        </w:tc>
        <w:tc>
          <w:tcPr>
            <w:tcW w:w="1870" w:type="dxa"/>
            <w:vAlign w:val="center"/>
          </w:tcPr>
          <w:p w14:paraId="12F98752" w14:textId="77777777" w:rsidR="001B71CC" w:rsidRPr="001B71CC" w:rsidRDefault="001B71CC" w:rsidP="001B71CC">
            <w:pPr>
              <w:pStyle w:val="NoSpacing"/>
              <w:jc w:val="center"/>
              <w:rPr>
                <w:b/>
              </w:rPr>
            </w:pPr>
            <w:r>
              <w:rPr>
                <w:b/>
              </w:rPr>
              <w:t>Changes in Cost</w:t>
            </w:r>
          </w:p>
        </w:tc>
      </w:tr>
      <w:tr w:rsidR="001B71CC" w14:paraId="274F81E5" w14:textId="77777777" w:rsidTr="001B71CC">
        <w:trPr>
          <w:trHeight w:val="1088"/>
        </w:trPr>
        <w:tc>
          <w:tcPr>
            <w:tcW w:w="445" w:type="dxa"/>
            <w:vAlign w:val="center"/>
          </w:tcPr>
          <w:p w14:paraId="004EEA61" w14:textId="77777777" w:rsidR="001B71CC" w:rsidRDefault="001B71CC" w:rsidP="001B71CC">
            <w:pPr>
              <w:jc w:val="center"/>
              <w:rPr>
                <w:rFonts w:ascii="Calibri" w:hAnsi="Calibri"/>
                <w:color w:val="000000"/>
              </w:rPr>
            </w:pPr>
            <w:r>
              <w:rPr>
                <w:rFonts w:ascii="Calibri" w:hAnsi="Calibri"/>
                <w:color w:val="000000"/>
              </w:rPr>
              <w:t>1</w:t>
            </w:r>
          </w:p>
        </w:tc>
        <w:tc>
          <w:tcPr>
            <w:tcW w:w="2880" w:type="dxa"/>
            <w:vAlign w:val="center"/>
          </w:tcPr>
          <w:p w14:paraId="6E823E43" w14:textId="77777777" w:rsidR="001B71CC" w:rsidRDefault="001B71CC" w:rsidP="001B71CC">
            <w:pPr>
              <w:rPr>
                <w:rFonts w:ascii="Calibri" w:hAnsi="Calibri"/>
                <w:color w:val="000000"/>
              </w:rPr>
            </w:pPr>
            <w:r>
              <w:rPr>
                <w:rFonts w:ascii="Calibri" w:hAnsi="Calibri"/>
                <w:color w:val="000000"/>
              </w:rPr>
              <w:t>Filing a Brief in Support of an Appeal in an Application or Ex Parte Reexamination Proceeding to the Board</w:t>
            </w:r>
          </w:p>
        </w:tc>
        <w:tc>
          <w:tcPr>
            <w:tcW w:w="2070" w:type="dxa"/>
            <w:vAlign w:val="center"/>
          </w:tcPr>
          <w:p w14:paraId="159B84EF" w14:textId="77777777" w:rsidR="001B71CC" w:rsidRDefault="001B71CC" w:rsidP="001B71CC">
            <w:pPr>
              <w:pStyle w:val="NoSpacing"/>
              <w:jc w:val="center"/>
            </w:pPr>
            <w:r>
              <w:t>$0</w:t>
            </w:r>
          </w:p>
        </w:tc>
        <w:tc>
          <w:tcPr>
            <w:tcW w:w="2085" w:type="dxa"/>
            <w:vAlign w:val="center"/>
          </w:tcPr>
          <w:p w14:paraId="0A47789A" w14:textId="77777777" w:rsidR="001B71CC" w:rsidRDefault="001B71CC" w:rsidP="001B71CC">
            <w:pPr>
              <w:pStyle w:val="NoSpacing"/>
              <w:jc w:val="center"/>
            </w:pPr>
            <w:r>
              <w:t>No change</w:t>
            </w:r>
          </w:p>
        </w:tc>
        <w:tc>
          <w:tcPr>
            <w:tcW w:w="1870" w:type="dxa"/>
            <w:vAlign w:val="center"/>
          </w:tcPr>
          <w:p w14:paraId="72EA7320" w14:textId="77777777" w:rsidR="001B71CC" w:rsidRDefault="001B71CC" w:rsidP="001B71CC">
            <w:pPr>
              <w:pStyle w:val="NoSpacing"/>
              <w:jc w:val="center"/>
            </w:pPr>
            <w:r>
              <w:t>No change</w:t>
            </w:r>
          </w:p>
        </w:tc>
      </w:tr>
      <w:tr w:rsidR="001B71CC" w14:paraId="3AA1323E" w14:textId="77777777" w:rsidTr="001B71CC">
        <w:tc>
          <w:tcPr>
            <w:tcW w:w="445" w:type="dxa"/>
            <w:vAlign w:val="center"/>
          </w:tcPr>
          <w:p w14:paraId="3036FDFE" w14:textId="77777777" w:rsidR="001B71CC" w:rsidRDefault="001B71CC" w:rsidP="001B71CC">
            <w:pPr>
              <w:jc w:val="center"/>
              <w:rPr>
                <w:rFonts w:ascii="Calibri" w:hAnsi="Calibri"/>
                <w:color w:val="000000"/>
              </w:rPr>
            </w:pPr>
            <w:r>
              <w:rPr>
                <w:rFonts w:ascii="Calibri" w:hAnsi="Calibri"/>
                <w:color w:val="000000"/>
              </w:rPr>
              <w:t>2</w:t>
            </w:r>
          </w:p>
        </w:tc>
        <w:tc>
          <w:tcPr>
            <w:tcW w:w="2880" w:type="dxa"/>
            <w:vAlign w:val="center"/>
          </w:tcPr>
          <w:p w14:paraId="48BABDE8" w14:textId="77777777" w:rsidR="001B71CC" w:rsidRDefault="001B71CC" w:rsidP="001B71CC">
            <w:pPr>
              <w:rPr>
                <w:rFonts w:ascii="Calibri" w:hAnsi="Calibri"/>
                <w:color w:val="000000"/>
              </w:rPr>
            </w:pPr>
            <w:r>
              <w:rPr>
                <w:rFonts w:ascii="Calibri" w:hAnsi="Calibri"/>
                <w:color w:val="000000"/>
              </w:rPr>
              <w:t xml:space="preserve">Filing a brief in support of an appeal in an inter partes reexamination proceeding </w:t>
            </w:r>
          </w:p>
        </w:tc>
        <w:tc>
          <w:tcPr>
            <w:tcW w:w="2070" w:type="dxa"/>
            <w:vAlign w:val="center"/>
          </w:tcPr>
          <w:p w14:paraId="3F1455CE" w14:textId="77777777" w:rsidR="001B71CC" w:rsidRDefault="001B71CC" w:rsidP="001B71CC">
            <w:pPr>
              <w:pStyle w:val="NoSpacing"/>
              <w:jc w:val="center"/>
            </w:pPr>
            <w:r>
              <w:t>$2,000 (large entity)</w:t>
            </w:r>
          </w:p>
          <w:p w14:paraId="0A2CA897" w14:textId="77777777" w:rsidR="001B71CC" w:rsidRDefault="001B71CC" w:rsidP="001B71CC">
            <w:pPr>
              <w:pStyle w:val="NoSpacing"/>
              <w:jc w:val="center"/>
            </w:pPr>
            <w:r>
              <w:t>$1,000 (small entity)</w:t>
            </w:r>
          </w:p>
          <w:p w14:paraId="6E4C59C8" w14:textId="77777777" w:rsidR="001B71CC" w:rsidRDefault="001B71CC" w:rsidP="001B71CC">
            <w:pPr>
              <w:pStyle w:val="NoSpacing"/>
              <w:jc w:val="center"/>
            </w:pPr>
            <w:r>
              <w:t>$500 (micro entity)</w:t>
            </w:r>
          </w:p>
        </w:tc>
        <w:tc>
          <w:tcPr>
            <w:tcW w:w="2085" w:type="dxa"/>
            <w:vAlign w:val="center"/>
          </w:tcPr>
          <w:p w14:paraId="021D3EF4" w14:textId="77777777" w:rsidR="001B71CC" w:rsidRDefault="001B71CC" w:rsidP="001B71CC">
            <w:pPr>
              <w:pStyle w:val="NoSpacing"/>
              <w:jc w:val="center"/>
            </w:pPr>
            <w:r>
              <w:t>$2,100 (large entity)</w:t>
            </w:r>
          </w:p>
          <w:p w14:paraId="3704BC55" w14:textId="77777777" w:rsidR="001B71CC" w:rsidRDefault="001B71CC" w:rsidP="001B71CC">
            <w:pPr>
              <w:pStyle w:val="NoSpacing"/>
              <w:jc w:val="center"/>
            </w:pPr>
            <w:r>
              <w:t>$1,050 (small entity)</w:t>
            </w:r>
          </w:p>
          <w:p w14:paraId="4BB9CA5E" w14:textId="77777777" w:rsidR="001B71CC" w:rsidRDefault="001B71CC" w:rsidP="001B71CC">
            <w:pPr>
              <w:pStyle w:val="NoSpacing"/>
              <w:jc w:val="center"/>
            </w:pPr>
            <w:r>
              <w:t>$525 (micro entity)</w:t>
            </w:r>
          </w:p>
        </w:tc>
        <w:tc>
          <w:tcPr>
            <w:tcW w:w="1870" w:type="dxa"/>
            <w:vAlign w:val="center"/>
          </w:tcPr>
          <w:p w14:paraId="31955F8D" w14:textId="77777777" w:rsidR="001B71CC" w:rsidRDefault="001B71CC" w:rsidP="001B71CC">
            <w:pPr>
              <w:pStyle w:val="NoSpacing"/>
              <w:jc w:val="center"/>
            </w:pPr>
            <w:r>
              <w:t>$100 (large entity)</w:t>
            </w:r>
          </w:p>
          <w:p w14:paraId="4A7F712C" w14:textId="77777777" w:rsidR="001B71CC" w:rsidRDefault="001B71CC" w:rsidP="001B71CC">
            <w:pPr>
              <w:pStyle w:val="NoSpacing"/>
              <w:jc w:val="center"/>
            </w:pPr>
            <w:r>
              <w:t>$50 (small entity)</w:t>
            </w:r>
          </w:p>
          <w:p w14:paraId="162593BB" w14:textId="77777777" w:rsidR="001B71CC" w:rsidRDefault="001B71CC" w:rsidP="001B71CC">
            <w:pPr>
              <w:pStyle w:val="NoSpacing"/>
              <w:jc w:val="center"/>
            </w:pPr>
            <w:r>
              <w:t>$25 (micro entity)</w:t>
            </w:r>
          </w:p>
        </w:tc>
      </w:tr>
      <w:tr w:rsidR="001B71CC" w14:paraId="15C09C8F" w14:textId="77777777" w:rsidTr="001B71CC">
        <w:tc>
          <w:tcPr>
            <w:tcW w:w="445" w:type="dxa"/>
            <w:vAlign w:val="center"/>
          </w:tcPr>
          <w:p w14:paraId="55114F09" w14:textId="77777777" w:rsidR="001B71CC" w:rsidRDefault="001B71CC" w:rsidP="001B71CC">
            <w:pPr>
              <w:jc w:val="center"/>
              <w:rPr>
                <w:rFonts w:ascii="Calibri" w:hAnsi="Calibri"/>
                <w:color w:val="000000"/>
              </w:rPr>
            </w:pPr>
            <w:r>
              <w:rPr>
                <w:rFonts w:ascii="Calibri" w:hAnsi="Calibri"/>
                <w:color w:val="000000"/>
              </w:rPr>
              <w:t>3</w:t>
            </w:r>
          </w:p>
        </w:tc>
        <w:tc>
          <w:tcPr>
            <w:tcW w:w="2880" w:type="dxa"/>
            <w:vAlign w:val="center"/>
          </w:tcPr>
          <w:p w14:paraId="1411F64C" w14:textId="77777777" w:rsidR="001B71CC" w:rsidRDefault="001B71CC" w:rsidP="001B71CC">
            <w:pPr>
              <w:rPr>
                <w:rFonts w:ascii="Calibri" w:hAnsi="Calibri"/>
                <w:color w:val="000000"/>
              </w:rPr>
            </w:pPr>
            <w:r>
              <w:rPr>
                <w:rFonts w:ascii="Calibri" w:hAnsi="Calibri"/>
                <w:color w:val="000000"/>
              </w:rPr>
              <w:t xml:space="preserve">Forwarding an Appeal in an Application or Ex Parte Reexamination Proceeding to the Board </w:t>
            </w:r>
          </w:p>
        </w:tc>
        <w:tc>
          <w:tcPr>
            <w:tcW w:w="2070" w:type="dxa"/>
            <w:vAlign w:val="center"/>
          </w:tcPr>
          <w:p w14:paraId="102275EA" w14:textId="77777777" w:rsidR="001B71CC" w:rsidRDefault="001B71CC" w:rsidP="001B71CC">
            <w:pPr>
              <w:pStyle w:val="NoSpacing"/>
              <w:jc w:val="center"/>
            </w:pPr>
            <w:r>
              <w:t>$2,240 (large entity)</w:t>
            </w:r>
          </w:p>
          <w:p w14:paraId="15123D3F" w14:textId="77777777" w:rsidR="001B71CC" w:rsidRDefault="001B71CC" w:rsidP="001B71CC">
            <w:pPr>
              <w:pStyle w:val="NoSpacing"/>
              <w:jc w:val="center"/>
            </w:pPr>
            <w:r>
              <w:t>$1,120 (small entity)</w:t>
            </w:r>
          </w:p>
          <w:p w14:paraId="77C445F1" w14:textId="77777777" w:rsidR="001B71CC" w:rsidRDefault="001B71CC" w:rsidP="001B71CC">
            <w:pPr>
              <w:pStyle w:val="NoSpacing"/>
              <w:jc w:val="center"/>
            </w:pPr>
            <w:r>
              <w:t>$560 (micro entity)</w:t>
            </w:r>
          </w:p>
        </w:tc>
        <w:tc>
          <w:tcPr>
            <w:tcW w:w="2085" w:type="dxa"/>
            <w:vAlign w:val="center"/>
          </w:tcPr>
          <w:p w14:paraId="3FBC2743" w14:textId="77777777" w:rsidR="001B71CC" w:rsidRDefault="001B71CC" w:rsidP="001B71CC">
            <w:pPr>
              <w:pStyle w:val="NoSpacing"/>
              <w:jc w:val="center"/>
            </w:pPr>
            <w:r>
              <w:t>$2,360 (large entity)</w:t>
            </w:r>
          </w:p>
          <w:p w14:paraId="303B00CB" w14:textId="77777777" w:rsidR="001B71CC" w:rsidRDefault="001B71CC" w:rsidP="001B71CC">
            <w:pPr>
              <w:pStyle w:val="NoSpacing"/>
              <w:jc w:val="center"/>
            </w:pPr>
            <w:r>
              <w:t>$1,180 (small entity)</w:t>
            </w:r>
          </w:p>
          <w:p w14:paraId="629A4236" w14:textId="77777777" w:rsidR="001B71CC" w:rsidRDefault="001B71CC" w:rsidP="001B71CC">
            <w:pPr>
              <w:pStyle w:val="NoSpacing"/>
              <w:jc w:val="center"/>
            </w:pPr>
            <w:r>
              <w:t>$590 (micro entity)</w:t>
            </w:r>
          </w:p>
        </w:tc>
        <w:tc>
          <w:tcPr>
            <w:tcW w:w="1870" w:type="dxa"/>
            <w:vAlign w:val="center"/>
          </w:tcPr>
          <w:p w14:paraId="52EB02FC" w14:textId="77777777" w:rsidR="001B71CC" w:rsidRDefault="001B71CC" w:rsidP="001B71CC">
            <w:pPr>
              <w:pStyle w:val="NoSpacing"/>
              <w:jc w:val="center"/>
            </w:pPr>
            <w:r>
              <w:t>$120 (large entity)</w:t>
            </w:r>
          </w:p>
          <w:p w14:paraId="1CDE5092" w14:textId="77777777" w:rsidR="001B71CC" w:rsidRDefault="001B71CC" w:rsidP="001B71CC">
            <w:pPr>
              <w:pStyle w:val="NoSpacing"/>
              <w:jc w:val="center"/>
            </w:pPr>
            <w:r>
              <w:t>$60 (small entity)</w:t>
            </w:r>
          </w:p>
          <w:p w14:paraId="17C5AE68" w14:textId="77777777" w:rsidR="001B71CC" w:rsidRDefault="001B71CC" w:rsidP="001B71CC">
            <w:pPr>
              <w:pStyle w:val="NoSpacing"/>
              <w:jc w:val="center"/>
            </w:pPr>
            <w:r>
              <w:t>$30 (micro entity)</w:t>
            </w:r>
          </w:p>
        </w:tc>
      </w:tr>
    </w:tbl>
    <w:p w14:paraId="43CCB719" w14:textId="77777777" w:rsidR="008B0152" w:rsidRDefault="008B0152" w:rsidP="008B0152">
      <w:pPr>
        <w:pStyle w:val="NoSpacing"/>
        <w:jc w:val="both"/>
      </w:pPr>
    </w:p>
    <w:p w14:paraId="1F990CF2" w14:textId="77777777" w:rsidR="001B71CC" w:rsidRDefault="001B71CC" w:rsidP="008B0152">
      <w:pPr>
        <w:pStyle w:val="NoSpacing"/>
        <w:jc w:val="both"/>
      </w:pPr>
      <w:r>
        <w:rPr>
          <w:b/>
        </w:rPr>
        <w:t>Table 2: Proposed Burden Cost</w:t>
      </w:r>
    </w:p>
    <w:tbl>
      <w:tblPr>
        <w:tblStyle w:val="TableGrid"/>
        <w:tblW w:w="0" w:type="auto"/>
        <w:tblLayout w:type="fixed"/>
        <w:tblLook w:val="04A0" w:firstRow="1" w:lastRow="0" w:firstColumn="1" w:lastColumn="0" w:noHBand="0" w:noVBand="1"/>
      </w:tblPr>
      <w:tblGrid>
        <w:gridCol w:w="625"/>
        <w:gridCol w:w="4500"/>
        <w:gridCol w:w="1260"/>
        <w:gridCol w:w="1350"/>
        <w:gridCol w:w="1615"/>
      </w:tblGrid>
      <w:tr w:rsidR="00F11DC9" w14:paraId="0E3A7315" w14:textId="77777777" w:rsidTr="009C5EBD">
        <w:tc>
          <w:tcPr>
            <w:tcW w:w="625" w:type="dxa"/>
            <w:vAlign w:val="center"/>
          </w:tcPr>
          <w:p w14:paraId="4D92666C" w14:textId="77777777" w:rsidR="00F11DC9" w:rsidRDefault="00F11DC9" w:rsidP="00F11DC9">
            <w:pPr>
              <w:pStyle w:val="NoSpacing"/>
              <w:jc w:val="center"/>
              <w:rPr>
                <w:b/>
              </w:rPr>
            </w:pPr>
          </w:p>
          <w:p w14:paraId="04701428" w14:textId="77777777" w:rsidR="00F11DC9" w:rsidRDefault="00F11DC9" w:rsidP="00F11DC9">
            <w:pPr>
              <w:pStyle w:val="NoSpacing"/>
              <w:jc w:val="center"/>
              <w:rPr>
                <w:b/>
              </w:rPr>
            </w:pPr>
            <w:r>
              <w:rPr>
                <w:b/>
              </w:rPr>
              <w:t>IC #</w:t>
            </w:r>
          </w:p>
          <w:p w14:paraId="5AC1EA9E" w14:textId="77777777" w:rsidR="00F11DC9" w:rsidRPr="00F11DC9" w:rsidRDefault="00F11DC9" w:rsidP="00F11DC9">
            <w:pPr>
              <w:pStyle w:val="NoSpacing"/>
              <w:jc w:val="center"/>
              <w:rPr>
                <w:b/>
              </w:rPr>
            </w:pPr>
          </w:p>
        </w:tc>
        <w:tc>
          <w:tcPr>
            <w:tcW w:w="4500" w:type="dxa"/>
            <w:vAlign w:val="center"/>
          </w:tcPr>
          <w:p w14:paraId="5C52900E" w14:textId="77777777" w:rsidR="00F11DC9" w:rsidRPr="00F11DC9" w:rsidRDefault="00F11DC9" w:rsidP="00F11DC9">
            <w:pPr>
              <w:pStyle w:val="NoSpacing"/>
              <w:jc w:val="center"/>
              <w:rPr>
                <w:b/>
              </w:rPr>
            </w:pPr>
            <w:r>
              <w:rPr>
                <w:b/>
              </w:rPr>
              <w:t>Item</w:t>
            </w:r>
          </w:p>
        </w:tc>
        <w:tc>
          <w:tcPr>
            <w:tcW w:w="1260" w:type="dxa"/>
            <w:vAlign w:val="center"/>
          </w:tcPr>
          <w:p w14:paraId="666D4F10" w14:textId="77777777" w:rsidR="00F11DC9" w:rsidRPr="00F11DC9" w:rsidRDefault="00F11DC9" w:rsidP="00F11DC9">
            <w:pPr>
              <w:pStyle w:val="NoSpacing"/>
              <w:jc w:val="center"/>
              <w:rPr>
                <w:b/>
              </w:rPr>
            </w:pPr>
            <w:r>
              <w:rPr>
                <w:b/>
              </w:rPr>
              <w:t>Responses</w:t>
            </w:r>
          </w:p>
        </w:tc>
        <w:tc>
          <w:tcPr>
            <w:tcW w:w="1350" w:type="dxa"/>
            <w:vAlign w:val="center"/>
          </w:tcPr>
          <w:p w14:paraId="0A7EFAD3" w14:textId="77777777" w:rsidR="00F11DC9" w:rsidRPr="00F11DC9" w:rsidRDefault="00F11DC9" w:rsidP="00F11DC9">
            <w:pPr>
              <w:pStyle w:val="NoSpacing"/>
              <w:jc w:val="center"/>
              <w:rPr>
                <w:b/>
              </w:rPr>
            </w:pPr>
            <w:r>
              <w:rPr>
                <w:b/>
              </w:rPr>
              <w:t>Proposed Fee</w:t>
            </w:r>
          </w:p>
        </w:tc>
        <w:tc>
          <w:tcPr>
            <w:tcW w:w="1615" w:type="dxa"/>
            <w:vAlign w:val="center"/>
          </w:tcPr>
          <w:p w14:paraId="4469143E" w14:textId="77777777" w:rsidR="00F11DC9" w:rsidRPr="00F11DC9" w:rsidRDefault="00F11DC9" w:rsidP="00F11DC9">
            <w:pPr>
              <w:pStyle w:val="NoSpacing"/>
              <w:jc w:val="center"/>
              <w:rPr>
                <w:b/>
              </w:rPr>
            </w:pPr>
            <w:r>
              <w:rPr>
                <w:b/>
              </w:rPr>
              <w:t>Proposed Total</w:t>
            </w:r>
          </w:p>
        </w:tc>
      </w:tr>
      <w:tr w:rsidR="00F11DC9" w14:paraId="1940DF29" w14:textId="77777777" w:rsidTr="009C5EBD">
        <w:tc>
          <w:tcPr>
            <w:tcW w:w="625" w:type="dxa"/>
            <w:vAlign w:val="center"/>
          </w:tcPr>
          <w:p w14:paraId="735D96F6" w14:textId="77777777" w:rsidR="00F11DC9" w:rsidRDefault="00F11DC9" w:rsidP="00F11DC9">
            <w:pPr>
              <w:jc w:val="center"/>
              <w:rPr>
                <w:rFonts w:ascii="Calibri" w:hAnsi="Calibri"/>
                <w:color w:val="000000"/>
              </w:rPr>
            </w:pPr>
            <w:r>
              <w:rPr>
                <w:rFonts w:ascii="Calibri" w:hAnsi="Calibri"/>
                <w:color w:val="000000"/>
              </w:rPr>
              <w:t>2</w:t>
            </w:r>
          </w:p>
        </w:tc>
        <w:tc>
          <w:tcPr>
            <w:tcW w:w="4500" w:type="dxa"/>
            <w:vAlign w:val="center"/>
          </w:tcPr>
          <w:p w14:paraId="68754D42" w14:textId="77777777" w:rsidR="00F11DC9" w:rsidRDefault="00F11DC9" w:rsidP="00F11DC9">
            <w:pPr>
              <w:rPr>
                <w:rFonts w:ascii="Calibri" w:hAnsi="Calibri"/>
                <w:color w:val="000000"/>
              </w:rPr>
            </w:pPr>
            <w:r>
              <w:rPr>
                <w:rFonts w:ascii="Calibri" w:hAnsi="Calibri"/>
                <w:color w:val="000000"/>
              </w:rPr>
              <w:t>Filing a brief in support of an appeal in an inter partes reexamination proceeding  (large entity)</w:t>
            </w:r>
          </w:p>
        </w:tc>
        <w:tc>
          <w:tcPr>
            <w:tcW w:w="1260" w:type="dxa"/>
            <w:vAlign w:val="center"/>
          </w:tcPr>
          <w:p w14:paraId="7721BA69" w14:textId="77777777" w:rsidR="00F11DC9" w:rsidRDefault="00F11DC9" w:rsidP="00F11DC9">
            <w:pPr>
              <w:jc w:val="right"/>
              <w:rPr>
                <w:rFonts w:ascii="Calibri" w:hAnsi="Calibri"/>
                <w:color w:val="000000"/>
              </w:rPr>
            </w:pPr>
            <w:r>
              <w:rPr>
                <w:rFonts w:ascii="Calibri" w:hAnsi="Calibri"/>
                <w:color w:val="000000"/>
              </w:rPr>
              <w:t>10</w:t>
            </w:r>
          </w:p>
        </w:tc>
        <w:tc>
          <w:tcPr>
            <w:tcW w:w="1350" w:type="dxa"/>
            <w:vAlign w:val="center"/>
          </w:tcPr>
          <w:p w14:paraId="63F93B63" w14:textId="77777777" w:rsidR="00F11DC9" w:rsidRDefault="00F11DC9" w:rsidP="00F11DC9">
            <w:pPr>
              <w:jc w:val="right"/>
              <w:rPr>
                <w:rFonts w:ascii="Calibri" w:hAnsi="Calibri"/>
                <w:color w:val="000000"/>
              </w:rPr>
            </w:pPr>
            <w:r>
              <w:rPr>
                <w:rFonts w:ascii="Calibri" w:hAnsi="Calibri"/>
                <w:color w:val="000000"/>
              </w:rPr>
              <w:t>$2,100.00</w:t>
            </w:r>
          </w:p>
        </w:tc>
        <w:tc>
          <w:tcPr>
            <w:tcW w:w="1615" w:type="dxa"/>
            <w:vAlign w:val="center"/>
          </w:tcPr>
          <w:p w14:paraId="6B683EDF" w14:textId="77777777" w:rsidR="00F11DC9" w:rsidRDefault="00F11DC9" w:rsidP="00F11DC9">
            <w:pPr>
              <w:jc w:val="right"/>
              <w:rPr>
                <w:rFonts w:ascii="Calibri" w:hAnsi="Calibri"/>
                <w:color w:val="000000"/>
              </w:rPr>
            </w:pPr>
            <w:r>
              <w:rPr>
                <w:rFonts w:ascii="Calibri" w:hAnsi="Calibri"/>
                <w:color w:val="000000"/>
              </w:rPr>
              <w:t>$21,000.00</w:t>
            </w:r>
          </w:p>
        </w:tc>
      </w:tr>
      <w:tr w:rsidR="00F11DC9" w14:paraId="3EFDE735" w14:textId="77777777" w:rsidTr="009C5EBD">
        <w:tc>
          <w:tcPr>
            <w:tcW w:w="625" w:type="dxa"/>
            <w:vAlign w:val="center"/>
          </w:tcPr>
          <w:p w14:paraId="68BDDBF8" w14:textId="77777777" w:rsidR="00F11DC9" w:rsidRDefault="00F11DC9" w:rsidP="00F11DC9">
            <w:pPr>
              <w:jc w:val="center"/>
              <w:rPr>
                <w:rFonts w:ascii="Calibri" w:hAnsi="Calibri"/>
                <w:color w:val="000000"/>
              </w:rPr>
            </w:pPr>
            <w:r>
              <w:rPr>
                <w:rFonts w:ascii="Calibri" w:hAnsi="Calibri"/>
                <w:color w:val="000000"/>
              </w:rPr>
              <w:t>2</w:t>
            </w:r>
          </w:p>
        </w:tc>
        <w:tc>
          <w:tcPr>
            <w:tcW w:w="4500" w:type="dxa"/>
            <w:vAlign w:val="center"/>
          </w:tcPr>
          <w:p w14:paraId="56AC9C26" w14:textId="77777777" w:rsidR="00F11DC9" w:rsidRDefault="00F11DC9" w:rsidP="00F11DC9">
            <w:pPr>
              <w:rPr>
                <w:rFonts w:ascii="Calibri" w:hAnsi="Calibri"/>
                <w:color w:val="000000"/>
              </w:rPr>
            </w:pPr>
            <w:r>
              <w:rPr>
                <w:rFonts w:ascii="Calibri" w:hAnsi="Calibri"/>
                <w:color w:val="000000"/>
              </w:rPr>
              <w:t>Filing a brief in support of an appeal in an inter partes reexamination proceeding (small entity)</w:t>
            </w:r>
          </w:p>
        </w:tc>
        <w:tc>
          <w:tcPr>
            <w:tcW w:w="1260" w:type="dxa"/>
            <w:vAlign w:val="center"/>
          </w:tcPr>
          <w:p w14:paraId="36EF3C97" w14:textId="77777777" w:rsidR="00F11DC9" w:rsidRDefault="00F11DC9" w:rsidP="00F11DC9">
            <w:pPr>
              <w:jc w:val="right"/>
              <w:rPr>
                <w:rFonts w:ascii="Calibri" w:hAnsi="Calibri"/>
                <w:color w:val="000000"/>
              </w:rPr>
            </w:pPr>
            <w:r>
              <w:rPr>
                <w:rFonts w:ascii="Calibri" w:hAnsi="Calibri"/>
                <w:color w:val="000000"/>
              </w:rPr>
              <w:t>1</w:t>
            </w:r>
          </w:p>
        </w:tc>
        <w:tc>
          <w:tcPr>
            <w:tcW w:w="1350" w:type="dxa"/>
            <w:vAlign w:val="center"/>
          </w:tcPr>
          <w:p w14:paraId="12F43E15" w14:textId="77777777" w:rsidR="00F11DC9" w:rsidRDefault="00F11DC9" w:rsidP="00F11DC9">
            <w:pPr>
              <w:jc w:val="right"/>
              <w:rPr>
                <w:rFonts w:ascii="Calibri" w:hAnsi="Calibri"/>
                <w:color w:val="000000"/>
              </w:rPr>
            </w:pPr>
            <w:r>
              <w:rPr>
                <w:rFonts w:ascii="Calibri" w:hAnsi="Calibri"/>
                <w:color w:val="000000"/>
              </w:rPr>
              <w:t>$1,050.00</w:t>
            </w:r>
          </w:p>
        </w:tc>
        <w:tc>
          <w:tcPr>
            <w:tcW w:w="1615" w:type="dxa"/>
            <w:vAlign w:val="center"/>
          </w:tcPr>
          <w:p w14:paraId="3EFE5B35" w14:textId="77777777" w:rsidR="00F11DC9" w:rsidRDefault="00F11DC9" w:rsidP="00F11DC9">
            <w:pPr>
              <w:jc w:val="right"/>
              <w:rPr>
                <w:rFonts w:ascii="Calibri" w:hAnsi="Calibri"/>
                <w:color w:val="000000"/>
              </w:rPr>
            </w:pPr>
            <w:r>
              <w:rPr>
                <w:rFonts w:ascii="Calibri" w:hAnsi="Calibri"/>
                <w:color w:val="000000"/>
              </w:rPr>
              <w:t>$1,050.00</w:t>
            </w:r>
          </w:p>
        </w:tc>
      </w:tr>
      <w:tr w:rsidR="00F11DC9" w14:paraId="25782F9F" w14:textId="77777777" w:rsidTr="009C5EBD">
        <w:tc>
          <w:tcPr>
            <w:tcW w:w="625" w:type="dxa"/>
            <w:vAlign w:val="center"/>
          </w:tcPr>
          <w:p w14:paraId="2D9BA5C3" w14:textId="77777777" w:rsidR="00F11DC9" w:rsidRDefault="00F11DC9" w:rsidP="00F11DC9">
            <w:pPr>
              <w:jc w:val="center"/>
              <w:rPr>
                <w:rFonts w:ascii="Calibri" w:hAnsi="Calibri"/>
                <w:color w:val="000000"/>
              </w:rPr>
            </w:pPr>
            <w:r>
              <w:rPr>
                <w:rFonts w:ascii="Calibri" w:hAnsi="Calibri"/>
                <w:color w:val="000000"/>
              </w:rPr>
              <w:t>2</w:t>
            </w:r>
          </w:p>
        </w:tc>
        <w:tc>
          <w:tcPr>
            <w:tcW w:w="4500" w:type="dxa"/>
            <w:vAlign w:val="center"/>
          </w:tcPr>
          <w:p w14:paraId="4732E495" w14:textId="77777777" w:rsidR="00F11DC9" w:rsidRDefault="00F11DC9" w:rsidP="00F11DC9">
            <w:pPr>
              <w:rPr>
                <w:rFonts w:ascii="Calibri" w:hAnsi="Calibri"/>
                <w:color w:val="000000"/>
              </w:rPr>
            </w:pPr>
            <w:r>
              <w:rPr>
                <w:rFonts w:ascii="Calibri" w:hAnsi="Calibri"/>
                <w:color w:val="000000"/>
              </w:rPr>
              <w:t>Filing a brief in support of an appeal in an inter partes reexamination proceeding (micro entity)</w:t>
            </w:r>
          </w:p>
        </w:tc>
        <w:tc>
          <w:tcPr>
            <w:tcW w:w="1260" w:type="dxa"/>
            <w:vAlign w:val="center"/>
          </w:tcPr>
          <w:p w14:paraId="0678118F" w14:textId="77777777" w:rsidR="00F11DC9" w:rsidRDefault="00F11DC9" w:rsidP="00F11DC9">
            <w:pPr>
              <w:jc w:val="right"/>
              <w:rPr>
                <w:rFonts w:ascii="Calibri" w:hAnsi="Calibri"/>
                <w:color w:val="000000"/>
              </w:rPr>
            </w:pPr>
            <w:r>
              <w:rPr>
                <w:rFonts w:ascii="Calibri" w:hAnsi="Calibri"/>
                <w:color w:val="000000"/>
              </w:rPr>
              <w:t>4</w:t>
            </w:r>
          </w:p>
        </w:tc>
        <w:tc>
          <w:tcPr>
            <w:tcW w:w="1350" w:type="dxa"/>
            <w:vAlign w:val="center"/>
          </w:tcPr>
          <w:p w14:paraId="47463DDE" w14:textId="77777777" w:rsidR="00F11DC9" w:rsidRDefault="00F11DC9" w:rsidP="00F11DC9">
            <w:pPr>
              <w:jc w:val="right"/>
              <w:rPr>
                <w:rFonts w:ascii="Calibri" w:hAnsi="Calibri"/>
                <w:color w:val="000000"/>
              </w:rPr>
            </w:pPr>
            <w:r>
              <w:rPr>
                <w:rFonts w:ascii="Calibri" w:hAnsi="Calibri"/>
                <w:color w:val="000000"/>
              </w:rPr>
              <w:t>$525.00</w:t>
            </w:r>
          </w:p>
        </w:tc>
        <w:tc>
          <w:tcPr>
            <w:tcW w:w="1615" w:type="dxa"/>
            <w:vAlign w:val="center"/>
          </w:tcPr>
          <w:p w14:paraId="6CC039D9" w14:textId="77777777" w:rsidR="00F11DC9" w:rsidRDefault="00F11DC9" w:rsidP="00F11DC9">
            <w:pPr>
              <w:jc w:val="right"/>
              <w:rPr>
                <w:rFonts w:ascii="Calibri" w:hAnsi="Calibri"/>
                <w:color w:val="000000"/>
              </w:rPr>
            </w:pPr>
            <w:r>
              <w:rPr>
                <w:rFonts w:ascii="Calibri" w:hAnsi="Calibri"/>
                <w:color w:val="000000"/>
              </w:rPr>
              <w:t>$2,100.00</w:t>
            </w:r>
          </w:p>
        </w:tc>
      </w:tr>
      <w:tr w:rsidR="00F11DC9" w14:paraId="0220ADA9" w14:textId="77777777" w:rsidTr="009C5EBD">
        <w:tc>
          <w:tcPr>
            <w:tcW w:w="625" w:type="dxa"/>
            <w:vAlign w:val="center"/>
          </w:tcPr>
          <w:p w14:paraId="0EC7AEEC" w14:textId="77777777" w:rsidR="00F11DC9" w:rsidRDefault="00F11DC9" w:rsidP="00F11DC9">
            <w:pPr>
              <w:jc w:val="center"/>
              <w:rPr>
                <w:rFonts w:ascii="Calibri" w:hAnsi="Calibri"/>
                <w:color w:val="000000"/>
              </w:rPr>
            </w:pPr>
            <w:r>
              <w:rPr>
                <w:rFonts w:ascii="Calibri" w:hAnsi="Calibri"/>
                <w:color w:val="000000"/>
              </w:rPr>
              <w:t>3</w:t>
            </w:r>
          </w:p>
        </w:tc>
        <w:tc>
          <w:tcPr>
            <w:tcW w:w="4500" w:type="dxa"/>
            <w:vAlign w:val="center"/>
          </w:tcPr>
          <w:p w14:paraId="1D8E4424" w14:textId="77777777" w:rsidR="00F11DC9" w:rsidRDefault="00F11DC9" w:rsidP="00F11DC9">
            <w:pPr>
              <w:rPr>
                <w:rFonts w:ascii="Calibri" w:hAnsi="Calibri"/>
                <w:color w:val="000000"/>
              </w:rPr>
            </w:pPr>
            <w:r>
              <w:rPr>
                <w:rFonts w:ascii="Calibri" w:hAnsi="Calibri"/>
                <w:color w:val="000000"/>
              </w:rPr>
              <w:t>Forwarding an Appeal in an Application or Ex Parte Reexamination Proceeding to the Board (large entity)</w:t>
            </w:r>
          </w:p>
        </w:tc>
        <w:tc>
          <w:tcPr>
            <w:tcW w:w="1260" w:type="dxa"/>
            <w:vAlign w:val="center"/>
          </w:tcPr>
          <w:p w14:paraId="75D8D997" w14:textId="77777777" w:rsidR="00F11DC9" w:rsidRDefault="00F11DC9" w:rsidP="00F11DC9">
            <w:pPr>
              <w:jc w:val="right"/>
              <w:rPr>
                <w:rFonts w:ascii="Calibri" w:hAnsi="Calibri"/>
                <w:color w:val="000000"/>
              </w:rPr>
            </w:pPr>
            <w:r>
              <w:rPr>
                <w:rFonts w:ascii="Calibri" w:hAnsi="Calibri"/>
                <w:color w:val="000000"/>
              </w:rPr>
              <w:t>11,341</w:t>
            </w:r>
          </w:p>
        </w:tc>
        <w:tc>
          <w:tcPr>
            <w:tcW w:w="1350" w:type="dxa"/>
            <w:vAlign w:val="center"/>
          </w:tcPr>
          <w:p w14:paraId="1B205EC2" w14:textId="77777777" w:rsidR="00F11DC9" w:rsidRDefault="00F11DC9" w:rsidP="00F11DC9">
            <w:pPr>
              <w:jc w:val="right"/>
              <w:rPr>
                <w:rFonts w:ascii="Calibri" w:hAnsi="Calibri"/>
                <w:color w:val="000000"/>
              </w:rPr>
            </w:pPr>
            <w:r>
              <w:rPr>
                <w:rFonts w:ascii="Calibri" w:hAnsi="Calibri"/>
                <w:color w:val="000000"/>
              </w:rPr>
              <w:t>$2,360.00</w:t>
            </w:r>
          </w:p>
        </w:tc>
        <w:tc>
          <w:tcPr>
            <w:tcW w:w="1615" w:type="dxa"/>
            <w:vAlign w:val="center"/>
          </w:tcPr>
          <w:p w14:paraId="43DFF757" w14:textId="77777777" w:rsidR="00F11DC9" w:rsidRDefault="00F11DC9" w:rsidP="00F11DC9">
            <w:pPr>
              <w:jc w:val="right"/>
              <w:rPr>
                <w:rFonts w:ascii="Calibri" w:hAnsi="Calibri"/>
                <w:color w:val="000000"/>
              </w:rPr>
            </w:pPr>
            <w:r>
              <w:rPr>
                <w:rFonts w:ascii="Calibri" w:hAnsi="Calibri"/>
                <w:color w:val="000000"/>
              </w:rPr>
              <w:t>$26,764,760.00</w:t>
            </w:r>
          </w:p>
        </w:tc>
      </w:tr>
      <w:tr w:rsidR="00F11DC9" w14:paraId="757E82E9" w14:textId="77777777" w:rsidTr="009C5EBD">
        <w:tc>
          <w:tcPr>
            <w:tcW w:w="625" w:type="dxa"/>
            <w:vAlign w:val="center"/>
          </w:tcPr>
          <w:p w14:paraId="3AB2D2D5" w14:textId="77777777" w:rsidR="00F11DC9" w:rsidRDefault="00F11DC9" w:rsidP="00F11DC9">
            <w:pPr>
              <w:jc w:val="center"/>
              <w:rPr>
                <w:rFonts w:ascii="Calibri" w:hAnsi="Calibri"/>
                <w:color w:val="000000"/>
              </w:rPr>
            </w:pPr>
            <w:r>
              <w:rPr>
                <w:rFonts w:ascii="Calibri" w:hAnsi="Calibri"/>
                <w:color w:val="000000"/>
              </w:rPr>
              <w:t>3</w:t>
            </w:r>
          </w:p>
        </w:tc>
        <w:tc>
          <w:tcPr>
            <w:tcW w:w="4500" w:type="dxa"/>
            <w:vAlign w:val="center"/>
          </w:tcPr>
          <w:p w14:paraId="794F162F" w14:textId="77777777" w:rsidR="00F11DC9" w:rsidRDefault="00F11DC9" w:rsidP="00F11DC9">
            <w:pPr>
              <w:rPr>
                <w:rFonts w:ascii="Calibri" w:hAnsi="Calibri"/>
                <w:color w:val="000000"/>
              </w:rPr>
            </w:pPr>
            <w:r>
              <w:rPr>
                <w:rFonts w:ascii="Calibri" w:hAnsi="Calibri"/>
                <w:color w:val="000000"/>
              </w:rPr>
              <w:t xml:space="preserve">Forwarding an Appeal in an Application or Ex </w:t>
            </w:r>
            <w:r>
              <w:rPr>
                <w:rFonts w:ascii="Calibri" w:hAnsi="Calibri"/>
                <w:color w:val="000000"/>
              </w:rPr>
              <w:lastRenderedPageBreak/>
              <w:t>Parte Reexamination Proceeding to the Board (small entity)</w:t>
            </w:r>
          </w:p>
        </w:tc>
        <w:tc>
          <w:tcPr>
            <w:tcW w:w="1260" w:type="dxa"/>
            <w:vAlign w:val="center"/>
          </w:tcPr>
          <w:p w14:paraId="6A1313FD" w14:textId="77777777" w:rsidR="00F11DC9" w:rsidRDefault="00F11DC9" w:rsidP="00F11DC9">
            <w:pPr>
              <w:jc w:val="right"/>
              <w:rPr>
                <w:rFonts w:ascii="Calibri" w:hAnsi="Calibri"/>
                <w:color w:val="000000"/>
              </w:rPr>
            </w:pPr>
            <w:r>
              <w:rPr>
                <w:rFonts w:ascii="Calibri" w:hAnsi="Calibri"/>
                <w:color w:val="000000"/>
              </w:rPr>
              <w:lastRenderedPageBreak/>
              <w:t>4,051</w:t>
            </w:r>
          </w:p>
        </w:tc>
        <w:tc>
          <w:tcPr>
            <w:tcW w:w="1350" w:type="dxa"/>
            <w:vAlign w:val="center"/>
          </w:tcPr>
          <w:p w14:paraId="78F2C81E" w14:textId="77777777" w:rsidR="00F11DC9" w:rsidRDefault="00F11DC9" w:rsidP="00F11DC9">
            <w:pPr>
              <w:jc w:val="right"/>
              <w:rPr>
                <w:rFonts w:ascii="Calibri" w:hAnsi="Calibri"/>
                <w:color w:val="000000"/>
              </w:rPr>
            </w:pPr>
            <w:r>
              <w:rPr>
                <w:rFonts w:ascii="Calibri" w:hAnsi="Calibri"/>
                <w:color w:val="000000"/>
              </w:rPr>
              <w:t>$1,180.00</w:t>
            </w:r>
          </w:p>
        </w:tc>
        <w:tc>
          <w:tcPr>
            <w:tcW w:w="1615" w:type="dxa"/>
            <w:vAlign w:val="center"/>
          </w:tcPr>
          <w:p w14:paraId="14F426BB" w14:textId="77777777" w:rsidR="00F11DC9" w:rsidRDefault="00F11DC9" w:rsidP="00F11DC9">
            <w:pPr>
              <w:jc w:val="right"/>
              <w:rPr>
                <w:rFonts w:ascii="Calibri" w:hAnsi="Calibri"/>
                <w:color w:val="000000"/>
              </w:rPr>
            </w:pPr>
            <w:r>
              <w:rPr>
                <w:rFonts w:ascii="Calibri" w:hAnsi="Calibri"/>
                <w:color w:val="000000"/>
              </w:rPr>
              <w:t>$4,780,180.00</w:t>
            </w:r>
          </w:p>
        </w:tc>
      </w:tr>
      <w:tr w:rsidR="00F11DC9" w14:paraId="2D2536F9" w14:textId="77777777" w:rsidTr="009C5EBD">
        <w:tc>
          <w:tcPr>
            <w:tcW w:w="625" w:type="dxa"/>
            <w:vAlign w:val="center"/>
          </w:tcPr>
          <w:p w14:paraId="11712094" w14:textId="77777777" w:rsidR="00F11DC9" w:rsidRDefault="00F11DC9" w:rsidP="00F11DC9">
            <w:pPr>
              <w:jc w:val="center"/>
              <w:rPr>
                <w:rFonts w:ascii="Calibri" w:hAnsi="Calibri"/>
                <w:color w:val="000000"/>
              </w:rPr>
            </w:pPr>
            <w:r>
              <w:rPr>
                <w:rFonts w:ascii="Calibri" w:hAnsi="Calibri"/>
                <w:color w:val="000000"/>
              </w:rPr>
              <w:lastRenderedPageBreak/>
              <w:t>3</w:t>
            </w:r>
          </w:p>
        </w:tc>
        <w:tc>
          <w:tcPr>
            <w:tcW w:w="4500" w:type="dxa"/>
            <w:vAlign w:val="center"/>
          </w:tcPr>
          <w:p w14:paraId="3BFB9207" w14:textId="77777777" w:rsidR="00F11DC9" w:rsidRDefault="00F11DC9" w:rsidP="00F11DC9">
            <w:pPr>
              <w:rPr>
                <w:rFonts w:ascii="Calibri" w:hAnsi="Calibri"/>
                <w:color w:val="000000"/>
              </w:rPr>
            </w:pPr>
            <w:r>
              <w:rPr>
                <w:rFonts w:ascii="Calibri" w:hAnsi="Calibri"/>
                <w:color w:val="000000"/>
              </w:rPr>
              <w:t>Forwarding an Appeal in an Application or Ex Parte Reexamination Proceeding to the Board (micro entity)</w:t>
            </w:r>
          </w:p>
        </w:tc>
        <w:tc>
          <w:tcPr>
            <w:tcW w:w="1260" w:type="dxa"/>
            <w:vAlign w:val="center"/>
          </w:tcPr>
          <w:p w14:paraId="3D1DDC3A" w14:textId="77777777" w:rsidR="00F11DC9" w:rsidRDefault="00F11DC9" w:rsidP="00F11DC9">
            <w:pPr>
              <w:jc w:val="right"/>
              <w:rPr>
                <w:rFonts w:ascii="Calibri" w:hAnsi="Calibri"/>
                <w:color w:val="000000"/>
              </w:rPr>
            </w:pPr>
            <w:r>
              <w:rPr>
                <w:rFonts w:ascii="Calibri" w:hAnsi="Calibri"/>
                <w:color w:val="000000"/>
              </w:rPr>
              <w:t>810</w:t>
            </w:r>
          </w:p>
        </w:tc>
        <w:tc>
          <w:tcPr>
            <w:tcW w:w="1350" w:type="dxa"/>
            <w:vAlign w:val="center"/>
          </w:tcPr>
          <w:p w14:paraId="3D967410" w14:textId="77777777" w:rsidR="00F11DC9" w:rsidRDefault="00F11DC9" w:rsidP="00F11DC9">
            <w:pPr>
              <w:jc w:val="right"/>
              <w:rPr>
                <w:rFonts w:ascii="Calibri" w:hAnsi="Calibri"/>
                <w:color w:val="000000"/>
              </w:rPr>
            </w:pPr>
            <w:r>
              <w:rPr>
                <w:rFonts w:ascii="Calibri" w:hAnsi="Calibri"/>
                <w:color w:val="000000"/>
              </w:rPr>
              <w:t>$590.00</w:t>
            </w:r>
          </w:p>
        </w:tc>
        <w:tc>
          <w:tcPr>
            <w:tcW w:w="1615" w:type="dxa"/>
            <w:vAlign w:val="center"/>
          </w:tcPr>
          <w:p w14:paraId="4FEF5F3B" w14:textId="77777777" w:rsidR="00F11DC9" w:rsidRDefault="00F11DC9" w:rsidP="00F11DC9">
            <w:pPr>
              <w:jc w:val="right"/>
              <w:rPr>
                <w:rFonts w:ascii="Calibri" w:hAnsi="Calibri"/>
                <w:color w:val="000000"/>
              </w:rPr>
            </w:pPr>
            <w:r>
              <w:rPr>
                <w:rFonts w:ascii="Calibri" w:hAnsi="Calibri"/>
                <w:color w:val="000000"/>
              </w:rPr>
              <w:t>$477,900.00</w:t>
            </w:r>
          </w:p>
        </w:tc>
      </w:tr>
      <w:tr w:rsidR="00F11DC9" w14:paraId="5FFC11E6" w14:textId="77777777" w:rsidTr="009C5EBD">
        <w:tc>
          <w:tcPr>
            <w:tcW w:w="625" w:type="dxa"/>
            <w:vAlign w:val="center"/>
          </w:tcPr>
          <w:p w14:paraId="5C2FF595" w14:textId="77777777" w:rsidR="00F11DC9" w:rsidRPr="00F11DC9" w:rsidRDefault="00F11DC9" w:rsidP="00F11DC9">
            <w:pPr>
              <w:pStyle w:val="NoSpacing"/>
              <w:jc w:val="center"/>
              <w:rPr>
                <w:b/>
              </w:rPr>
            </w:pPr>
          </w:p>
        </w:tc>
        <w:tc>
          <w:tcPr>
            <w:tcW w:w="4500" w:type="dxa"/>
            <w:vAlign w:val="center"/>
          </w:tcPr>
          <w:p w14:paraId="36ED47EC" w14:textId="77777777" w:rsidR="00F11DC9" w:rsidRPr="00F11DC9" w:rsidRDefault="00F11DC9" w:rsidP="00F11DC9">
            <w:pPr>
              <w:pStyle w:val="NoSpacing"/>
              <w:rPr>
                <w:b/>
              </w:rPr>
            </w:pPr>
            <w:r>
              <w:rPr>
                <w:b/>
              </w:rPr>
              <w:t>Totals</w:t>
            </w:r>
          </w:p>
        </w:tc>
        <w:tc>
          <w:tcPr>
            <w:tcW w:w="1260" w:type="dxa"/>
            <w:vAlign w:val="center"/>
          </w:tcPr>
          <w:p w14:paraId="665B432E" w14:textId="7A817BB5" w:rsidR="00F11DC9" w:rsidRPr="00FF31E8" w:rsidRDefault="00C82F5F" w:rsidP="00FF31E8">
            <w:pPr>
              <w:jc w:val="right"/>
              <w:rPr>
                <w:rFonts w:ascii="Calibri" w:hAnsi="Calibri" w:cs="Calibri"/>
                <w:color w:val="000000"/>
              </w:rPr>
            </w:pPr>
            <w:r>
              <w:rPr>
                <w:rFonts w:ascii="Calibri" w:hAnsi="Calibri" w:cs="Calibri"/>
                <w:color w:val="000000"/>
              </w:rPr>
              <w:t>16217</w:t>
            </w:r>
          </w:p>
        </w:tc>
        <w:tc>
          <w:tcPr>
            <w:tcW w:w="1350" w:type="dxa"/>
            <w:vAlign w:val="center"/>
          </w:tcPr>
          <w:p w14:paraId="562D39F7" w14:textId="77777777" w:rsidR="00F11DC9" w:rsidRPr="00F11DC9" w:rsidRDefault="00F11DC9" w:rsidP="00F11DC9">
            <w:pPr>
              <w:pStyle w:val="NoSpacing"/>
              <w:jc w:val="right"/>
              <w:rPr>
                <w:b/>
              </w:rPr>
            </w:pPr>
          </w:p>
        </w:tc>
        <w:tc>
          <w:tcPr>
            <w:tcW w:w="1615" w:type="dxa"/>
            <w:vAlign w:val="center"/>
          </w:tcPr>
          <w:p w14:paraId="77039871" w14:textId="7A10DC29" w:rsidR="00F11DC9" w:rsidRPr="00FF31E8" w:rsidRDefault="00C82F5F" w:rsidP="00FF31E8">
            <w:pPr>
              <w:jc w:val="right"/>
              <w:rPr>
                <w:rFonts w:ascii="Calibri" w:hAnsi="Calibri" w:cs="Calibri"/>
                <w:color w:val="000000"/>
              </w:rPr>
            </w:pPr>
            <w:r>
              <w:rPr>
                <w:rFonts w:ascii="Calibri" w:hAnsi="Calibri" w:cs="Calibri"/>
                <w:color w:val="000000"/>
              </w:rPr>
              <w:t xml:space="preserve">$32,046,990.00 </w:t>
            </w:r>
          </w:p>
        </w:tc>
      </w:tr>
    </w:tbl>
    <w:p w14:paraId="64477F4A" w14:textId="77777777" w:rsidR="001B71CC" w:rsidRDefault="001B71CC" w:rsidP="008B0152">
      <w:pPr>
        <w:pStyle w:val="NoSpacing"/>
        <w:jc w:val="both"/>
      </w:pPr>
    </w:p>
    <w:p w14:paraId="25EB38D0" w14:textId="77777777" w:rsidR="00F11DC9" w:rsidRDefault="00F11DC9" w:rsidP="008B0152">
      <w:pPr>
        <w:pStyle w:val="NoSpacing"/>
        <w:jc w:val="both"/>
      </w:pPr>
      <w:r>
        <w:rPr>
          <w:b/>
        </w:rPr>
        <w:t>Table 3: Changes in Cost</w:t>
      </w:r>
    </w:p>
    <w:tbl>
      <w:tblPr>
        <w:tblStyle w:val="TableGrid"/>
        <w:tblW w:w="0" w:type="auto"/>
        <w:tblLook w:val="04A0" w:firstRow="1" w:lastRow="0" w:firstColumn="1" w:lastColumn="0" w:noHBand="0" w:noVBand="1"/>
      </w:tblPr>
      <w:tblGrid>
        <w:gridCol w:w="568"/>
        <w:gridCol w:w="3980"/>
        <w:gridCol w:w="1608"/>
        <w:gridCol w:w="1608"/>
        <w:gridCol w:w="1586"/>
      </w:tblGrid>
      <w:tr w:rsidR="009C5EBD" w14:paraId="7D7799B2" w14:textId="77777777" w:rsidTr="00FF31E8">
        <w:tc>
          <w:tcPr>
            <w:tcW w:w="568" w:type="dxa"/>
            <w:vAlign w:val="center"/>
          </w:tcPr>
          <w:p w14:paraId="4BEF51DD" w14:textId="77777777" w:rsidR="009C5EBD" w:rsidRDefault="009C5EBD" w:rsidP="00793D6F">
            <w:pPr>
              <w:pStyle w:val="NoSpacing"/>
              <w:jc w:val="center"/>
              <w:rPr>
                <w:b/>
              </w:rPr>
            </w:pPr>
          </w:p>
          <w:p w14:paraId="37245E02" w14:textId="77777777" w:rsidR="009C5EBD" w:rsidRDefault="009C5EBD" w:rsidP="00793D6F">
            <w:pPr>
              <w:pStyle w:val="NoSpacing"/>
              <w:jc w:val="center"/>
              <w:rPr>
                <w:b/>
              </w:rPr>
            </w:pPr>
            <w:r>
              <w:rPr>
                <w:b/>
              </w:rPr>
              <w:t>IC #</w:t>
            </w:r>
          </w:p>
          <w:p w14:paraId="09373A96" w14:textId="77777777" w:rsidR="009C5EBD" w:rsidRPr="00F11DC9" w:rsidRDefault="009C5EBD" w:rsidP="00793D6F">
            <w:pPr>
              <w:pStyle w:val="NoSpacing"/>
              <w:jc w:val="center"/>
              <w:rPr>
                <w:b/>
              </w:rPr>
            </w:pPr>
          </w:p>
        </w:tc>
        <w:tc>
          <w:tcPr>
            <w:tcW w:w="3980" w:type="dxa"/>
            <w:vAlign w:val="center"/>
          </w:tcPr>
          <w:p w14:paraId="26CF4763" w14:textId="77777777" w:rsidR="009C5EBD" w:rsidRPr="00F11DC9" w:rsidRDefault="009C5EBD" w:rsidP="00793D6F">
            <w:pPr>
              <w:pStyle w:val="NoSpacing"/>
              <w:jc w:val="center"/>
              <w:rPr>
                <w:b/>
              </w:rPr>
            </w:pPr>
            <w:r>
              <w:rPr>
                <w:b/>
              </w:rPr>
              <w:t>Item</w:t>
            </w:r>
          </w:p>
        </w:tc>
        <w:tc>
          <w:tcPr>
            <w:tcW w:w="1608" w:type="dxa"/>
            <w:vAlign w:val="center"/>
          </w:tcPr>
          <w:p w14:paraId="78F271F6" w14:textId="77777777" w:rsidR="009C5EBD" w:rsidRPr="00F11DC9" w:rsidRDefault="009C5EBD" w:rsidP="00793D6F">
            <w:pPr>
              <w:pStyle w:val="NoSpacing"/>
              <w:jc w:val="center"/>
              <w:rPr>
                <w:b/>
              </w:rPr>
            </w:pPr>
            <w:r>
              <w:rPr>
                <w:b/>
              </w:rPr>
              <w:t>Current Cost</w:t>
            </w:r>
          </w:p>
        </w:tc>
        <w:tc>
          <w:tcPr>
            <w:tcW w:w="1608" w:type="dxa"/>
            <w:vAlign w:val="center"/>
          </w:tcPr>
          <w:p w14:paraId="080AD1C6" w14:textId="77777777" w:rsidR="009C5EBD" w:rsidRPr="00F11DC9" w:rsidRDefault="009C5EBD" w:rsidP="00793D6F">
            <w:pPr>
              <w:pStyle w:val="NoSpacing"/>
              <w:jc w:val="center"/>
              <w:rPr>
                <w:b/>
              </w:rPr>
            </w:pPr>
            <w:r>
              <w:rPr>
                <w:b/>
              </w:rPr>
              <w:t>Proposed Cost</w:t>
            </w:r>
          </w:p>
        </w:tc>
        <w:tc>
          <w:tcPr>
            <w:tcW w:w="1586" w:type="dxa"/>
            <w:vAlign w:val="center"/>
          </w:tcPr>
          <w:p w14:paraId="221E3F85" w14:textId="77777777" w:rsidR="009C5EBD" w:rsidRPr="00F11DC9" w:rsidRDefault="009C5EBD" w:rsidP="00793D6F">
            <w:pPr>
              <w:pStyle w:val="NoSpacing"/>
              <w:jc w:val="center"/>
              <w:rPr>
                <w:b/>
              </w:rPr>
            </w:pPr>
            <w:r>
              <w:rPr>
                <w:b/>
              </w:rPr>
              <w:t>Estimated Change</w:t>
            </w:r>
          </w:p>
        </w:tc>
      </w:tr>
      <w:tr w:rsidR="009C5EBD" w14:paraId="776582BB" w14:textId="77777777" w:rsidTr="00FF31E8">
        <w:tc>
          <w:tcPr>
            <w:tcW w:w="568" w:type="dxa"/>
            <w:vAlign w:val="center"/>
          </w:tcPr>
          <w:p w14:paraId="70502D55" w14:textId="77777777" w:rsidR="009C5EBD" w:rsidRDefault="009C5EBD" w:rsidP="009C5EBD">
            <w:pPr>
              <w:jc w:val="center"/>
              <w:rPr>
                <w:rFonts w:ascii="Calibri" w:hAnsi="Calibri"/>
                <w:color w:val="000000"/>
              </w:rPr>
            </w:pPr>
            <w:r>
              <w:rPr>
                <w:rFonts w:ascii="Calibri" w:hAnsi="Calibri"/>
                <w:color w:val="000000"/>
              </w:rPr>
              <w:t>2</w:t>
            </w:r>
          </w:p>
        </w:tc>
        <w:tc>
          <w:tcPr>
            <w:tcW w:w="3980" w:type="dxa"/>
            <w:vAlign w:val="center"/>
          </w:tcPr>
          <w:p w14:paraId="4EE816D4" w14:textId="77777777" w:rsidR="009C5EBD" w:rsidRDefault="009C5EBD" w:rsidP="009C5EBD">
            <w:pPr>
              <w:rPr>
                <w:rFonts w:ascii="Calibri" w:hAnsi="Calibri"/>
                <w:color w:val="000000"/>
              </w:rPr>
            </w:pPr>
            <w:r>
              <w:rPr>
                <w:rFonts w:ascii="Calibri" w:hAnsi="Calibri"/>
                <w:color w:val="000000"/>
              </w:rPr>
              <w:t>Filing a brief in support of an appeal in an inter partes reexamination proceeding  (large entity)</w:t>
            </w:r>
          </w:p>
        </w:tc>
        <w:tc>
          <w:tcPr>
            <w:tcW w:w="1608" w:type="dxa"/>
            <w:vAlign w:val="center"/>
          </w:tcPr>
          <w:p w14:paraId="38C0B415" w14:textId="77777777" w:rsidR="009C5EBD" w:rsidRDefault="009C5EBD" w:rsidP="009C5EBD">
            <w:pPr>
              <w:jc w:val="right"/>
              <w:rPr>
                <w:rFonts w:ascii="Calibri" w:hAnsi="Calibri"/>
                <w:color w:val="000000"/>
              </w:rPr>
            </w:pPr>
            <w:r>
              <w:rPr>
                <w:rFonts w:ascii="Calibri" w:hAnsi="Calibri"/>
                <w:color w:val="000000"/>
              </w:rPr>
              <w:t>$20,000.00</w:t>
            </w:r>
          </w:p>
        </w:tc>
        <w:tc>
          <w:tcPr>
            <w:tcW w:w="1608" w:type="dxa"/>
            <w:vAlign w:val="center"/>
          </w:tcPr>
          <w:p w14:paraId="53C96723" w14:textId="77777777" w:rsidR="009C5EBD" w:rsidRDefault="009C5EBD" w:rsidP="009C5EBD">
            <w:pPr>
              <w:jc w:val="right"/>
              <w:rPr>
                <w:rFonts w:ascii="Calibri" w:hAnsi="Calibri"/>
                <w:color w:val="000000"/>
              </w:rPr>
            </w:pPr>
            <w:r>
              <w:rPr>
                <w:rFonts w:ascii="Calibri" w:hAnsi="Calibri"/>
                <w:color w:val="000000"/>
              </w:rPr>
              <w:t>$21,000.00</w:t>
            </w:r>
          </w:p>
        </w:tc>
        <w:tc>
          <w:tcPr>
            <w:tcW w:w="1586" w:type="dxa"/>
            <w:vAlign w:val="center"/>
          </w:tcPr>
          <w:p w14:paraId="70869DED" w14:textId="77777777" w:rsidR="009C5EBD" w:rsidRDefault="009C5EBD" w:rsidP="009C5EBD">
            <w:pPr>
              <w:jc w:val="right"/>
              <w:rPr>
                <w:rFonts w:ascii="Calibri" w:hAnsi="Calibri"/>
                <w:color w:val="000000"/>
              </w:rPr>
            </w:pPr>
            <w:r>
              <w:rPr>
                <w:rFonts w:ascii="Calibri" w:hAnsi="Calibri"/>
                <w:color w:val="000000"/>
              </w:rPr>
              <w:t>$1,000.00</w:t>
            </w:r>
          </w:p>
        </w:tc>
      </w:tr>
      <w:tr w:rsidR="009C5EBD" w14:paraId="698CEC2B" w14:textId="77777777" w:rsidTr="00FF31E8">
        <w:tc>
          <w:tcPr>
            <w:tcW w:w="568" w:type="dxa"/>
            <w:vAlign w:val="center"/>
          </w:tcPr>
          <w:p w14:paraId="0C554708" w14:textId="77777777" w:rsidR="009C5EBD" w:rsidRDefault="009C5EBD" w:rsidP="009C5EBD">
            <w:pPr>
              <w:jc w:val="center"/>
              <w:rPr>
                <w:rFonts w:ascii="Calibri" w:hAnsi="Calibri"/>
                <w:color w:val="000000"/>
              </w:rPr>
            </w:pPr>
            <w:r>
              <w:rPr>
                <w:rFonts w:ascii="Calibri" w:hAnsi="Calibri"/>
                <w:color w:val="000000"/>
              </w:rPr>
              <w:t>2</w:t>
            </w:r>
          </w:p>
        </w:tc>
        <w:tc>
          <w:tcPr>
            <w:tcW w:w="3980" w:type="dxa"/>
            <w:vAlign w:val="center"/>
          </w:tcPr>
          <w:p w14:paraId="3E92C490" w14:textId="77777777" w:rsidR="009C5EBD" w:rsidRDefault="009C5EBD" w:rsidP="009C5EBD">
            <w:pPr>
              <w:rPr>
                <w:rFonts w:ascii="Calibri" w:hAnsi="Calibri"/>
                <w:color w:val="000000"/>
              </w:rPr>
            </w:pPr>
            <w:r>
              <w:rPr>
                <w:rFonts w:ascii="Calibri" w:hAnsi="Calibri"/>
                <w:color w:val="000000"/>
              </w:rPr>
              <w:t>Filing a brief in support of an appeal in an inter partes reexamination proceeding (small entity)</w:t>
            </w:r>
          </w:p>
        </w:tc>
        <w:tc>
          <w:tcPr>
            <w:tcW w:w="1608" w:type="dxa"/>
            <w:vAlign w:val="center"/>
          </w:tcPr>
          <w:p w14:paraId="1F8BAD2B" w14:textId="77777777" w:rsidR="009C5EBD" w:rsidRDefault="009C5EBD" w:rsidP="009C5EBD">
            <w:pPr>
              <w:jc w:val="right"/>
              <w:rPr>
                <w:rFonts w:ascii="Calibri" w:hAnsi="Calibri"/>
                <w:color w:val="000000"/>
              </w:rPr>
            </w:pPr>
            <w:r>
              <w:rPr>
                <w:rFonts w:ascii="Calibri" w:hAnsi="Calibri"/>
                <w:color w:val="000000"/>
              </w:rPr>
              <w:t>$1,000.00</w:t>
            </w:r>
          </w:p>
        </w:tc>
        <w:tc>
          <w:tcPr>
            <w:tcW w:w="1608" w:type="dxa"/>
            <w:vAlign w:val="center"/>
          </w:tcPr>
          <w:p w14:paraId="4C7F10D4" w14:textId="77777777" w:rsidR="009C5EBD" w:rsidRDefault="009C5EBD" w:rsidP="009C5EBD">
            <w:pPr>
              <w:jc w:val="right"/>
              <w:rPr>
                <w:rFonts w:ascii="Calibri" w:hAnsi="Calibri"/>
                <w:color w:val="000000"/>
              </w:rPr>
            </w:pPr>
            <w:r>
              <w:rPr>
                <w:rFonts w:ascii="Calibri" w:hAnsi="Calibri"/>
                <w:color w:val="000000"/>
              </w:rPr>
              <w:t>$1,050.00</w:t>
            </w:r>
          </w:p>
        </w:tc>
        <w:tc>
          <w:tcPr>
            <w:tcW w:w="1586" w:type="dxa"/>
            <w:vAlign w:val="center"/>
          </w:tcPr>
          <w:p w14:paraId="41B5766C" w14:textId="77777777" w:rsidR="009C5EBD" w:rsidRDefault="009C5EBD" w:rsidP="009C5EBD">
            <w:pPr>
              <w:jc w:val="right"/>
              <w:rPr>
                <w:rFonts w:ascii="Calibri" w:hAnsi="Calibri"/>
                <w:color w:val="000000"/>
              </w:rPr>
            </w:pPr>
            <w:r>
              <w:rPr>
                <w:rFonts w:ascii="Calibri" w:hAnsi="Calibri"/>
                <w:color w:val="000000"/>
              </w:rPr>
              <w:t>$50.00</w:t>
            </w:r>
          </w:p>
        </w:tc>
      </w:tr>
      <w:tr w:rsidR="009C5EBD" w14:paraId="31CD13AD" w14:textId="77777777" w:rsidTr="00FF31E8">
        <w:tc>
          <w:tcPr>
            <w:tcW w:w="568" w:type="dxa"/>
            <w:vAlign w:val="center"/>
          </w:tcPr>
          <w:p w14:paraId="027DAD7B" w14:textId="77777777" w:rsidR="009C5EBD" w:rsidRDefault="009C5EBD" w:rsidP="009C5EBD">
            <w:pPr>
              <w:jc w:val="center"/>
              <w:rPr>
                <w:rFonts w:ascii="Calibri" w:hAnsi="Calibri"/>
                <w:color w:val="000000"/>
              </w:rPr>
            </w:pPr>
            <w:r>
              <w:rPr>
                <w:rFonts w:ascii="Calibri" w:hAnsi="Calibri"/>
                <w:color w:val="000000"/>
              </w:rPr>
              <w:t>2</w:t>
            </w:r>
          </w:p>
        </w:tc>
        <w:tc>
          <w:tcPr>
            <w:tcW w:w="3980" w:type="dxa"/>
            <w:vAlign w:val="center"/>
          </w:tcPr>
          <w:p w14:paraId="2A74FD69" w14:textId="77777777" w:rsidR="009C5EBD" w:rsidRDefault="009C5EBD" w:rsidP="009C5EBD">
            <w:pPr>
              <w:rPr>
                <w:rFonts w:ascii="Calibri" w:hAnsi="Calibri"/>
                <w:color w:val="000000"/>
              </w:rPr>
            </w:pPr>
            <w:r>
              <w:rPr>
                <w:rFonts w:ascii="Calibri" w:hAnsi="Calibri"/>
                <w:color w:val="000000"/>
              </w:rPr>
              <w:t>Filing a brief in support of an appeal in an inter partes reexamination proceeding (micro entity)</w:t>
            </w:r>
          </w:p>
        </w:tc>
        <w:tc>
          <w:tcPr>
            <w:tcW w:w="1608" w:type="dxa"/>
            <w:vAlign w:val="center"/>
          </w:tcPr>
          <w:p w14:paraId="652A61B0" w14:textId="77777777" w:rsidR="009C5EBD" w:rsidRDefault="009C5EBD" w:rsidP="009C5EBD">
            <w:pPr>
              <w:jc w:val="right"/>
              <w:rPr>
                <w:rFonts w:ascii="Calibri" w:hAnsi="Calibri"/>
                <w:color w:val="000000"/>
              </w:rPr>
            </w:pPr>
            <w:r>
              <w:rPr>
                <w:rFonts w:ascii="Calibri" w:hAnsi="Calibri"/>
                <w:color w:val="000000"/>
              </w:rPr>
              <w:t>$500.00</w:t>
            </w:r>
          </w:p>
        </w:tc>
        <w:tc>
          <w:tcPr>
            <w:tcW w:w="1608" w:type="dxa"/>
            <w:vAlign w:val="center"/>
          </w:tcPr>
          <w:p w14:paraId="25F284CA" w14:textId="77777777" w:rsidR="009C5EBD" w:rsidRDefault="009C5EBD" w:rsidP="009C5EBD">
            <w:pPr>
              <w:jc w:val="right"/>
              <w:rPr>
                <w:rFonts w:ascii="Calibri" w:hAnsi="Calibri"/>
                <w:color w:val="000000"/>
              </w:rPr>
            </w:pPr>
            <w:r>
              <w:rPr>
                <w:rFonts w:ascii="Calibri" w:hAnsi="Calibri"/>
                <w:color w:val="000000"/>
              </w:rPr>
              <w:t>$525.00</w:t>
            </w:r>
          </w:p>
        </w:tc>
        <w:tc>
          <w:tcPr>
            <w:tcW w:w="1586" w:type="dxa"/>
            <w:vAlign w:val="center"/>
          </w:tcPr>
          <w:p w14:paraId="63DD09C7" w14:textId="77777777" w:rsidR="009C5EBD" w:rsidRDefault="009C5EBD" w:rsidP="009C5EBD">
            <w:pPr>
              <w:jc w:val="right"/>
              <w:rPr>
                <w:rFonts w:ascii="Calibri" w:hAnsi="Calibri"/>
                <w:color w:val="000000"/>
              </w:rPr>
            </w:pPr>
            <w:r>
              <w:rPr>
                <w:rFonts w:ascii="Calibri" w:hAnsi="Calibri"/>
                <w:color w:val="000000"/>
              </w:rPr>
              <w:t>$25.00</w:t>
            </w:r>
          </w:p>
        </w:tc>
      </w:tr>
      <w:tr w:rsidR="009C5EBD" w14:paraId="0FCA3BC6" w14:textId="77777777" w:rsidTr="00FF31E8">
        <w:tc>
          <w:tcPr>
            <w:tcW w:w="568" w:type="dxa"/>
            <w:vAlign w:val="center"/>
          </w:tcPr>
          <w:p w14:paraId="23789B68" w14:textId="77777777" w:rsidR="009C5EBD" w:rsidRDefault="009C5EBD" w:rsidP="009C5EBD">
            <w:pPr>
              <w:jc w:val="center"/>
              <w:rPr>
                <w:rFonts w:ascii="Calibri" w:hAnsi="Calibri"/>
                <w:color w:val="000000"/>
              </w:rPr>
            </w:pPr>
            <w:r>
              <w:rPr>
                <w:rFonts w:ascii="Calibri" w:hAnsi="Calibri"/>
                <w:color w:val="000000"/>
              </w:rPr>
              <w:t>3</w:t>
            </w:r>
          </w:p>
        </w:tc>
        <w:tc>
          <w:tcPr>
            <w:tcW w:w="3980" w:type="dxa"/>
            <w:vAlign w:val="center"/>
          </w:tcPr>
          <w:p w14:paraId="64EEAA2A" w14:textId="77777777" w:rsidR="009C5EBD" w:rsidRDefault="009C5EBD" w:rsidP="009C5EBD">
            <w:pPr>
              <w:rPr>
                <w:rFonts w:ascii="Calibri" w:hAnsi="Calibri"/>
                <w:color w:val="000000"/>
              </w:rPr>
            </w:pPr>
            <w:r>
              <w:rPr>
                <w:rFonts w:ascii="Calibri" w:hAnsi="Calibri"/>
                <w:color w:val="000000"/>
              </w:rPr>
              <w:t>Forwarding an Appeal in an Application or Ex Parte Reexamination Proceeding to the Board (large entity)</w:t>
            </w:r>
          </w:p>
        </w:tc>
        <w:tc>
          <w:tcPr>
            <w:tcW w:w="1608" w:type="dxa"/>
            <w:vAlign w:val="center"/>
          </w:tcPr>
          <w:p w14:paraId="3302EEBE" w14:textId="77777777" w:rsidR="009C5EBD" w:rsidRDefault="009C5EBD" w:rsidP="009C5EBD">
            <w:pPr>
              <w:jc w:val="right"/>
              <w:rPr>
                <w:rFonts w:ascii="Calibri" w:hAnsi="Calibri"/>
                <w:color w:val="000000"/>
              </w:rPr>
            </w:pPr>
            <w:r>
              <w:rPr>
                <w:rFonts w:ascii="Calibri" w:hAnsi="Calibri"/>
                <w:color w:val="000000"/>
              </w:rPr>
              <w:t>$22,682,000.00</w:t>
            </w:r>
          </w:p>
        </w:tc>
        <w:tc>
          <w:tcPr>
            <w:tcW w:w="1608" w:type="dxa"/>
            <w:vAlign w:val="center"/>
          </w:tcPr>
          <w:p w14:paraId="128DAE91" w14:textId="77777777" w:rsidR="009C5EBD" w:rsidRDefault="009C5EBD" w:rsidP="009C5EBD">
            <w:pPr>
              <w:jc w:val="right"/>
              <w:rPr>
                <w:rFonts w:ascii="Calibri" w:hAnsi="Calibri"/>
                <w:color w:val="000000"/>
              </w:rPr>
            </w:pPr>
            <w:r>
              <w:rPr>
                <w:rFonts w:ascii="Calibri" w:hAnsi="Calibri"/>
                <w:color w:val="000000"/>
              </w:rPr>
              <w:t>$26,764,760.00</w:t>
            </w:r>
          </w:p>
        </w:tc>
        <w:tc>
          <w:tcPr>
            <w:tcW w:w="1586" w:type="dxa"/>
            <w:vAlign w:val="center"/>
          </w:tcPr>
          <w:p w14:paraId="606EA559" w14:textId="77777777" w:rsidR="009C5EBD" w:rsidRDefault="009C5EBD" w:rsidP="009C5EBD">
            <w:pPr>
              <w:jc w:val="right"/>
              <w:rPr>
                <w:rFonts w:ascii="Calibri" w:hAnsi="Calibri"/>
                <w:color w:val="000000"/>
              </w:rPr>
            </w:pPr>
            <w:r>
              <w:rPr>
                <w:rFonts w:ascii="Calibri" w:hAnsi="Calibri"/>
                <w:color w:val="000000"/>
              </w:rPr>
              <w:t>$4,082,760.00</w:t>
            </w:r>
          </w:p>
        </w:tc>
      </w:tr>
      <w:tr w:rsidR="009C5EBD" w14:paraId="596CE644" w14:textId="77777777" w:rsidTr="00FF31E8">
        <w:tc>
          <w:tcPr>
            <w:tcW w:w="568" w:type="dxa"/>
            <w:vAlign w:val="center"/>
          </w:tcPr>
          <w:p w14:paraId="5C63D8BE" w14:textId="77777777" w:rsidR="009C5EBD" w:rsidRDefault="009C5EBD" w:rsidP="009C5EBD">
            <w:pPr>
              <w:jc w:val="center"/>
              <w:rPr>
                <w:rFonts w:ascii="Calibri" w:hAnsi="Calibri"/>
                <w:color w:val="000000"/>
              </w:rPr>
            </w:pPr>
            <w:r>
              <w:rPr>
                <w:rFonts w:ascii="Calibri" w:hAnsi="Calibri"/>
                <w:color w:val="000000"/>
              </w:rPr>
              <w:t>3</w:t>
            </w:r>
          </w:p>
        </w:tc>
        <w:tc>
          <w:tcPr>
            <w:tcW w:w="3980" w:type="dxa"/>
            <w:vAlign w:val="center"/>
          </w:tcPr>
          <w:p w14:paraId="7D7EEB9A" w14:textId="77777777" w:rsidR="009C5EBD" w:rsidRDefault="009C5EBD" w:rsidP="009C5EBD">
            <w:pPr>
              <w:rPr>
                <w:rFonts w:ascii="Calibri" w:hAnsi="Calibri"/>
                <w:color w:val="000000"/>
              </w:rPr>
            </w:pPr>
            <w:r>
              <w:rPr>
                <w:rFonts w:ascii="Calibri" w:hAnsi="Calibri"/>
                <w:color w:val="000000"/>
              </w:rPr>
              <w:t>Forwarding an Appeal in an Application or Ex Parte Reexamination Proceeding to the Board (small entity)</w:t>
            </w:r>
          </w:p>
        </w:tc>
        <w:tc>
          <w:tcPr>
            <w:tcW w:w="1608" w:type="dxa"/>
            <w:vAlign w:val="center"/>
          </w:tcPr>
          <w:p w14:paraId="09217972" w14:textId="77777777" w:rsidR="009C5EBD" w:rsidRDefault="009C5EBD" w:rsidP="009C5EBD">
            <w:pPr>
              <w:jc w:val="right"/>
              <w:rPr>
                <w:rFonts w:ascii="Calibri" w:hAnsi="Calibri"/>
                <w:color w:val="000000"/>
              </w:rPr>
            </w:pPr>
            <w:r>
              <w:rPr>
                <w:rFonts w:ascii="Calibri" w:hAnsi="Calibri"/>
                <w:color w:val="000000"/>
              </w:rPr>
              <w:t>$4,051,000.00</w:t>
            </w:r>
          </w:p>
        </w:tc>
        <w:tc>
          <w:tcPr>
            <w:tcW w:w="1608" w:type="dxa"/>
            <w:vAlign w:val="center"/>
          </w:tcPr>
          <w:p w14:paraId="643CBFB0" w14:textId="77777777" w:rsidR="009C5EBD" w:rsidRDefault="009C5EBD" w:rsidP="009C5EBD">
            <w:pPr>
              <w:jc w:val="right"/>
              <w:rPr>
                <w:rFonts w:ascii="Calibri" w:hAnsi="Calibri"/>
                <w:color w:val="000000"/>
              </w:rPr>
            </w:pPr>
            <w:r>
              <w:rPr>
                <w:rFonts w:ascii="Calibri" w:hAnsi="Calibri"/>
                <w:color w:val="000000"/>
              </w:rPr>
              <w:t>$4,780,180.00</w:t>
            </w:r>
          </w:p>
        </w:tc>
        <w:tc>
          <w:tcPr>
            <w:tcW w:w="1586" w:type="dxa"/>
            <w:vAlign w:val="center"/>
          </w:tcPr>
          <w:p w14:paraId="0992A266" w14:textId="77777777" w:rsidR="009C5EBD" w:rsidRDefault="009C5EBD" w:rsidP="009C5EBD">
            <w:pPr>
              <w:jc w:val="right"/>
              <w:rPr>
                <w:rFonts w:ascii="Calibri" w:hAnsi="Calibri"/>
                <w:color w:val="000000"/>
              </w:rPr>
            </w:pPr>
            <w:r>
              <w:rPr>
                <w:rFonts w:ascii="Calibri" w:hAnsi="Calibri"/>
                <w:color w:val="000000"/>
              </w:rPr>
              <w:t>$729,180.00</w:t>
            </w:r>
          </w:p>
        </w:tc>
      </w:tr>
      <w:tr w:rsidR="009C5EBD" w14:paraId="21701BF7" w14:textId="77777777" w:rsidTr="00FF31E8">
        <w:tc>
          <w:tcPr>
            <w:tcW w:w="568" w:type="dxa"/>
            <w:vAlign w:val="center"/>
          </w:tcPr>
          <w:p w14:paraId="41CA95EB" w14:textId="77777777" w:rsidR="009C5EBD" w:rsidRDefault="009C5EBD" w:rsidP="009C5EBD">
            <w:pPr>
              <w:jc w:val="center"/>
              <w:rPr>
                <w:rFonts w:ascii="Calibri" w:hAnsi="Calibri"/>
                <w:color w:val="000000"/>
              </w:rPr>
            </w:pPr>
            <w:r>
              <w:rPr>
                <w:rFonts w:ascii="Calibri" w:hAnsi="Calibri"/>
                <w:color w:val="000000"/>
              </w:rPr>
              <w:t>3</w:t>
            </w:r>
          </w:p>
        </w:tc>
        <w:tc>
          <w:tcPr>
            <w:tcW w:w="3980" w:type="dxa"/>
            <w:vAlign w:val="center"/>
          </w:tcPr>
          <w:p w14:paraId="13E642B3" w14:textId="77777777" w:rsidR="009C5EBD" w:rsidRDefault="009C5EBD" w:rsidP="009C5EBD">
            <w:pPr>
              <w:rPr>
                <w:rFonts w:ascii="Calibri" w:hAnsi="Calibri"/>
                <w:color w:val="000000"/>
              </w:rPr>
            </w:pPr>
            <w:r>
              <w:rPr>
                <w:rFonts w:ascii="Calibri" w:hAnsi="Calibri"/>
                <w:color w:val="000000"/>
              </w:rPr>
              <w:t>Forwarding an Appeal in an Application or Ex Parte Reexamination Proceeding to the Board (micro entity)</w:t>
            </w:r>
          </w:p>
        </w:tc>
        <w:tc>
          <w:tcPr>
            <w:tcW w:w="1608" w:type="dxa"/>
            <w:vAlign w:val="center"/>
          </w:tcPr>
          <w:p w14:paraId="039976D7" w14:textId="77777777" w:rsidR="009C5EBD" w:rsidRDefault="009C5EBD" w:rsidP="009C5EBD">
            <w:pPr>
              <w:jc w:val="right"/>
              <w:rPr>
                <w:rFonts w:ascii="Calibri" w:hAnsi="Calibri"/>
                <w:color w:val="000000"/>
              </w:rPr>
            </w:pPr>
            <w:r>
              <w:rPr>
                <w:rFonts w:ascii="Calibri" w:hAnsi="Calibri"/>
                <w:color w:val="000000"/>
              </w:rPr>
              <w:t>$405,000.00</w:t>
            </w:r>
          </w:p>
        </w:tc>
        <w:tc>
          <w:tcPr>
            <w:tcW w:w="1608" w:type="dxa"/>
            <w:vAlign w:val="center"/>
          </w:tcPr>
          <w:p w14:paraId="3170D738" w14:textId="77777777" w:rsidR="009C5EBD" w:rsidRDefault="009C5EBD" w:rsidP="009C5EBD">
            <w:pPr>
              <w:jc w:val="right"/>
              <w:rPr>
                <w:rFonts w:ascii="Calibri" w:hAnsi="Calibri"/>
                <w:color w:val="000000"/>
              </w:rPr>
            </w:pPr>
            <w:r>
              <w:rPr>
                <w:rFonts w:ascii="Calibri" w:hAnsi="Calibri"/>
                <w:color w:val="000000"/>
              </w:rPr>
              <w:t>$477,900.00</w:t>
            </w:r>
          </w:p>
        </w:tc>
        <w:tc>
          <w:tcPr>
            <w:tcW w:w="1586" w:type="dxa"/>
            <w:vAlign w:val="center"/>
          </w:tcPr>
          <w:p w14:paraId="50FD5343" w14:textId="77777777" w:rsidR="009C5EBD" w:rsidRDefault="009C5EBD" w:rsidP="009C5EBD">
            <w:pPr>
              <w:jc w:val="right"/>
              <w:rPr>
                <w:rFonts w:ascii="Calibri" w:hAnsi="Calibri"/>
                <w:color w:val="000000"/>
              </w:rPr>
            </w:pPr>
            <w:r>
              <w:rPr>
                <w:rFonts w:ascii="Calibri" w:hAnsi="Calibri"/>
                <w:color w:val="000000"/>
              </w:rPr>
              <w:t>$72,900.00</w:t>
            </w:r>
          </w:p>
        </w:tc>
      </w:tr>
      <w:tr w:rsidR="009C5EBD" w14:paraId="196349A6" w14:textId="77777777" w:rsidTr="00FF31E8">
        <w:tc>
          <w:tcPr>
            <w:tcW w:w="568" w:type="dxa"/>
            <w:vAlign w:val="center"/>
          </w:tcPr>
          <w:p w14:paraId="4BD86B56" w14:textId="77777777" w:rsidR="009C5EBD" w:rsidRPr="00F11DC9" w:rsidRDefault="009C5EBD" w:rsidP="00793D6F">
            <w:pPr>
              <w:pStyle w:val="NoSpacing"/>
              <w:jc w:val="center"/>
              <w:rPr>
                <w:b/>
              </w:rPr>
            </w:pPr>
          </w:p>
        </w:tc>
        <w:tc>
          <w:tcPr>
            <w:tcW w:w="3980" w:type="dxa"/>
            <w:vAlign w:val="center"/>
          </w:tcPr>
          <w:p w14:paraId="489AA72C" w14:textId="77777777" w:rsidR="009C5EBD" w:rsidRPr="00F11DC9" w:rsidRDefault="009C5EBD" w:rsidP="00793D6F">
            <w:pPr>
              <w:pStyle w:val="NoSpacing"/>
              <w:rPr>
                <w:b/>
              </w:rPr>
            </w:pPr>
            <w:r>
              <w:rPr>
                <w:b/>
              </w:rPr>
              <w:t>Totals</w:t>
            </w:r>
          </w:p>
        </w:tc>
        <w:tc>
          <w:tcPr>
            <w:tcW w:w="1608" w:type="dxa"/>
            <w:vAlign w:val="center"/>
          </w:tcPr>
          <w:p w14:paraId="14900E19" w14:textId="3714F8EF" w:rsidR="009C5EBD" w:rsidRPr="00FF31E8" w:rsidRDefault="00C82F5F" w:rsidP="00FF31E8">
            <w:pPr>
              <w:rPr>
                <w:rFonts w:ascii="Calibri" w:hAnsi="Calibri" w:cs="Calibri"/>
                <w:color w:val="000000"/>
              </w:rPr>
            </w:pPr>
            <w:r>
              <w:rPr>
                <w:rFonts w:ascii="Calibri" w:hAnsi="Calibri" w:cs="Calibri"/>
                <w:color w:val="000000"/>
              </w:rPr>
              <w:t xml:space="preserve">$27,159,500.00 </w:t>
            </w:r>
          </w:p>
        </w:tc>
        <w:tc>
          <w:tcPr>
            <w:tcW w:w="1608" w:type="dxa"/>
            <w:vAlign w:val="center"/>
          </w:tcPr>
          <w:p w14:paraId="5FF1BD6F" w14:textId="7642F513" w:rsidR="009C5EBD" w:rsidRPr="00FF31E8" w:rsidRDefault="008F2345" w:rsidP="00FF31E8">
            <w:pPr>
              <w:jc w:val="right"/>
              <w:rPr>
                <w:rFonts w:ascii="Calibri" w:hAnsi="Calibri" w:cs="Calibri"/>
                <w:color w:val="000000"/>
              </w:rPr>
            </w:pPr>
            <w:r>
              <w:rPr>
                <w:rFonts w:ascii="Calibri" w:hAnsi="Calibri" w:cs="Calibri"/>
                <w:color w:val="000000"/>
              </w:rPr>
              <w:t xml:space="preserve">$32,045,415.00 </w:t>
            </w:r>
          </w:p>
        </w:tc>
        <w:tc>
          <w:tcPr>
            <w:tcW w:w="1586" w:type="dxa"/>
            <w:vAlign w:val="center"/>
          </w:tcPr>
          <w:p w14:paraId="25A72C82" w14:textId="5E67F062" w:rsidR="009C5EBD" w:rsidRPr="00FF31E8" w:rsidRDefault="008F2345" w:rsidP="00FF31E8">
            <w:pPr>
              <w:jc w:val="right"/>
              <w:rPr>
                <w:rFonts w:ascii="Calibri" w:hAnsi="Calibri" w:cs="Calibri"/>
                <w:color w:val="000000"/>
              </w:rPr>
            </w:pPr>
            <w:r>
              <w:rPr>
                <w:rFonts w:ascii="Calibri" w:hAnsi="Calibri" w:cs="Calibri"/>
                <w:color w:val="000000"/>
              </w:rPr>
              <w:t xml:space="preserve">$4,885,915.00 </w:t>
            </w:r>
          </w:p>
        </w:tc>
      </w:tr>
    </w:tbl>
    <w:p w14:paraId="110D37A7" w14:textId="77777777" w:rsidR="00F11DC9" w:rsidRDefault="00F11DC9" w:rsidP="008B0152">
      <w:pPr>
        <w:pStyle w:val="NoSpacing"/>
        <w:jc w:val="both"/>
      </w:pPr>
    </w:p>
    <w:p w14:paraId="431CCD0C" w14:textId="77777777" w:rsidR="009C5EBD" w:rsidRDefault="009C5EBD" w:rsidP="008B0152">
      <w:pPr>
        <w:pStyle w:val="NoSpacing"/>
        <w:jc w:val="both"/>
      </w:pPr>
      <w:r>
        <w:rPr>
          <w:u w:val="single"/>
        </w:rPr>
        <w:t>Summary of Changes</w:t>
      </w:r>
    </w:p>
    <w:p w14:paraId="42F314DC" w14:textId="77777777" w:rsidR="009C5EBD" w:rsidRDefault="009C5EBD" w:rsidP="008B0152">
      <w:pPr>
        <w:pStyle w:val="NoSpacing"/>
        <w:jc w:val="both"/>
      </w:pPr>
    </w:p>
    <w:p w14:paraId="02740B0D" w14:textId="48317455" w:rsidR="009C5EBD" w:rsidRPr="002578A3" w:rsidRDefault="009C5EBD" w:rsidP="002578A3">
      <w:pPr>
        <w:jc w:val="both"/>
        <w:rPr>
          <w:rFonts w:ascii="Calibri" w:hAnsi="Calibri" w:cs="Calibri"/>
          <w:color w:val="000000"/>
        </w:rPr>
      </w:pPr>
      <w:r>
        <w:t>The Patent Fee Review results in a revision of</w:t>
      </w:r>
      <w:r w:rsidR="002578A3">
        <w:t xml:space="preserve"> four forms and an increase of </w:t>
      </w:r>
      <w:r w:rsidR="002578A3">
        <w:rPr>
          <w:rFonts w:ascii="Calibri" w:hAnsi="Calibri" w:cs="Calibri"/>
          <w:color w:val="000000"/>
        </w:rPr>
        <w:t>$4,885,915.00</w:t>
      </w:r>
      <w:r>
        <w:t xml:space="preserve"> in annual (non-hourly) costs for collection 0651-0063.</w:t>
      </w:r>
    </w:p>
    <w:p w14:paraId="38D89E02" w14:textId="77777777" w:rsidR="009C5EBD" w:rsidRDefault="009C5EBD" w:rsidP="008B0152">
      <w:pPr>
        <w:pStyle w:val="NoSpacing"/>
        <w:jc w:val="both"/>
      </w:pPr>
    </w:p>
    <w:p w14:paraId="6932739D" w14:textId="77777777" w:rsidR="009C5EBD" w:rsidRDefault="009C5EBD" w:rsidP="008B0152">
      <w:pPr>
        <w:pStyle w:val="NoSpacing"/>
        <w:jc w:val="both"/>
      </w:pPr>
      <w:r>
        <w:rPr>
          <w:u w:val="single"/>
        </w:rPr>
        <w:t>Changes in Burden</w:t>
      </w:r>
    </w:p>
    <w:p w14:paraId="4F8A4A6A" w14:textId="77777777" w:rsidR="009C5EBD" w:rsidRDefault="009C5EBD" w:rsidP="008B0152">
      <w:pPr>
        <w:pStyle w:val="NoSpacing"/>
        <w:jc w:val="both"/>
      </w:pPr>
    </w:p>
    <w:tbl>
      <w:tblPr>
        <w:tblStyle w:val="TableGrid"/>
        <w:tblW w:w="0" w:type="auto"/>
        <w:tblLook w:val="04A0" w:firstRow="1" w:lastRow="0" w:firstColumn="1" w:lastColumn="0" w:noHBand="0" w:noVBand="1"/>
      </w:tblPr>
      <w:tblGrid>
        <w:gridCol w:w="2337"/>
        <w:gridCol w:w="2337"/>
        <w:gridCol w:w="2338"/>
        <w:gridCol w:w="2338"/>
      </w:tblGrid>
      <w:tr w:rsidR="009C5EBD" w14:paraId="4FF4BB1E" w14:textId="77777777" w:rsidTr="009C5EBD">
        <w:tc>
          <w:tcPr>
            <w:tcW w:w="2337" w:type="dxa"/>
            <w:vAlign w:val="center"/>
          </w:tcPr>
          <w:p w14:paraId="0755B26E" w14:textId="77777777" w:rsidR="009C5EBD" w:rsidRPr="009C5EBD" w:rsidRDefault="009C5EBD" w:rsidP="009C5EBD">
            <w:pPr>
              <w:pStyle w:val="NoSpacing"/>
              <w:jc w:val="center"/>
              <w:rPr>
                <w:b/>
              </w:rPr>
            </w:pPr>
            <w:r>
              <w:rPr>
                <w:b/>
              </w:rPr>
              <w:t>Burden Type</w:t>
            </w:r>
          </w:p>
        </w:tc>
        <w:tc>
          <w:tcPr>
            <w:tcW w:w="2337" w:type="dxa"/>
            <w:vAlign w:val="center"/>
          </w:tcPr>
          <w:p w14:paraId="7DAAEB57" w14:textId="77777777" w:rsidR="009C5EBD" w:rsidRPr="009C5EBD" w:rsidRDefault="009C5EBD" w:rsidP="009C5EBD">
            <w:pPr>
              <w:pStyle w:val="NoSpacing"/>
              <w:jc w:val="center"/>
              <w:rPr>
                <w:b/>
              </w:rPr>
            </w:pPr>
            <w:r>
              <w:rPr>
                <w:b/>
              </w:rPr>
              <w:t>Currently Approved</w:t>
            </w:r>
          </w:p>
        </w:tc>
        <w:tc>
          <w:tcPr>
            <w:tcW w:w="2338" w:type="dxa"/>
            <w:vAlign w:val="center"/>
          </w:tcPr>
          <w:p w14:paraId="21137074" w14:textId="77777777" w:rsidR="009C5EBD" w:rsidRPr="009C5EBD" w:rsidRDefault="009C5EBD" w:rsidP="009C5EBD">
            <w:pPr>
              <w:pStyle w:val="NoSpacing"/>
              <w:jc w:val="center"/>
              <w:rPr>
                <w:b/>
              </w:rPr>
            </w:pPr>
            <w:r>
              <w:rPr>
                <w:b/>
              </w:rPr>
              <w:t>Proposed Change</w:t>
            </w:r>
          </w:p>
        </w:tc>
        <w:tc>
          <w:tcPr>
            <w:tcW w:w="2338" w:type="dxa"/>
            <w:vAlign w:val="center"/>
          </w:tcPr>
          <w:p w14:paraId="01CDD1C2" w14:textId="77777777" w:rsidR="009C5EBD" w:rsidRPr="009C5EBD" w:rsidRDefault="009C5EBD" w:rsidP="009C5EBD">
            <w:pPr>
              <w:pStyle w:val="NoSpacing"/>
              <w:jc w:val="center"/>
              <w:rPr>
                <w:b/>
              </w:rPr>
            </w:pPr>
            <w:r>
              <w:rPr>
                <w:b/>
              </w:rPr>
              <w:t>New Estimate</w:t>
            </w:r>
          </w:p>
        </w:tc>
      </w:tr>
      <w:tr w:rsidR="009C5EBD" w14:paraId="14A1D57B" w14:textId="77777777" w:rsidTr="009C5EBD">
        <w:tc>
          <w:tcPr>
            <w:tcW w:w="2337" w:type="dxa"/>
            <w:vAlign w:val="center"/>
          </w:tcPr>
          <w:p w14:paraId="7ABB5E37" w14:textId="77777777" w:rsidR="009C5EBD" w:rsidRDefault="009C5EBD" w:rsidP="00FF31E8">
            <w:pPr>
              <w:pStyle w:val="NoSpacing"/>
              <w:jc w:val="right"/>
            </w:pPr>
            <w:r>
              <w:t>Non-hourly Costs</w:t>
            </w:r>
          </w:p>
        </w:tc>
        <w:tc>
          <w:tcPr>
            <w:tcW w:w="2337" w:type="dxa"/>
            <w:vAlign w:val="center"/>
          </w:tcPr>
          <w:p w14:paraId="011A5F8B" w14:textId="7E5DF51F" w:rsidR="009C5EBD" w:rsidRDefault="00A9296A" w:rsidP="00FF31E8">
            <w:pPr>
              <w:pStyle w:val="NoSpacing"/>
              <w:jc w:val="right"/>
            </w:pPr>
            <w:r>
              <w:rPr>
                <w:color w:val="000000"/>
              </w:rPr>
              <w:t>$</w:t>
            </w:r>
            <w:r w:rsidR="008F2345">
              <w:rPr>
                <w:color w:val="000000"/>
              </w:rPr>
              <w:t>48,516,748</w:t>
            </w:r>
          </w:p>
        </w:tc>
        <w:tc>
          <w:tcPr>
            <w:tcW w:w="2338" w:type="dxa"/>
            <w:vAlign w:val="center"/>
          </w:tcPr>
          <w:p w14:paraId="248A236E" w14:textId="0C7CD207" w:rsidR="009C5EBD" w:rsidRPr="00FF31E8" w:rsidRDefault="008F2345" w:rsidP="00FF31E8">
            <w:pPr>
              <w:jc w:val="right"/>
              <w:rPr>
                <w:rFonts w:ascii="Calibri" w:hAnsi="Calibri" w:cs="Calibri"/>
                <w:color w:val="000000"/>
              </w:rPr>
            </w:pPr>
            <w:r>
              <w:rPr>
                <w:rFonts w:ascii="Calibri" w:hAnsi="Calibri" w:cs="Calibri"/>
                <w:color w:val="000000"/>
              </w:rPr>
              <w:t xml:space="preserve">$4,885,915.00 </w:t>
            </w:r>
          </w:p>
        </w:tc>
        <w:tc>
          <w:tcPr>
            <w:tcW w:w="2338" w:type="dxa"/>
            <w:vAlign w:val="center"/>
          </w:tcPr>
          <w:p w14:paraId="627DF160" w14:textId="7591935B" w:rsidR="009C5EBD" w:rsidRDefault="00A9296A" w:rsidP="00FF31E8">
            <w:pPr>
              <w:pStyle w:val="NoSpacing"/>
              <w:jc w:val="right"/>
            </w:pPr>
            <w:r>
              <w:t>$</w:t>
            </w:r>
            <w:r w:rsidR="008F2345" w:rsidRPr="008F2345">
              <w:t>53,402,663</w:t>
            </w:r>
          </w:p>
        </w:tc>
      </w:tr>
    </w:tbl>
    <w:p w14:paraId="1F878EDA" w14:textId="77777777" w:rsidR="009C5EBD" w:rsidRDefault="009C5EBD" w:rsidP="00FF31E8">
      <w:pPr>
        <w:pStyle w:val="NoSpacing"/>
        <w:jc w:val="right"/>
      </w:pPr>
    </w:p>
    <w:p w14:paraId="2E7FF965" w14:textId="77777777" w:rsidR="009C5EBD" w:rsidRDefault="009C5EBD" w:rsidP="008B0152">
      <w:pPr>
        <w:pStyle w:val="NoSpacing"/>
        <w:jc w:val="both"/>
      </w:pPr>
      <w:r>
        <w:t>0651-0063’s revised burden is as follows:</w:t>
      </w:r>
    </w:p>
    <w:p w14:paraId="7E8F5401" w14:textId="77777777" w:rsidR="009C5EBD" w:rsidRDefault="009C5EBD" w:rsidP="008B0152">
      <w:pPr>
        <w:pStyle w:val="NoSpacing"/>
        <w:jc w:val="both"/>
      </w:pPr>
    </w:p>
    <w:p w14:paraId="5B96B308" w14:textId="3E6779CB" w:rsidR="009C5EBD" w:rsidRPr="009C5EBD" w:rsidRDefault="00A9296A" w:rsidP="009C5EBD">
      <w:pPr>
        <w:pStyle w:val="NoSpacing"/>
        <w:numPr>
          <w:ilvl w:val="0"/>
          <w:numId w:val="1"/>
        </w:numPr>
        <w:jc w:val="both"/>
      </w:pPr>
      <w:r>
        <w:t>$</w:t>
      </w:r>
      <w:r w:rsidRPr="008F2345">
        <w:t>53,402,663</w:t>
      </w:r>
      <w:r>
        <w:t xml:space="preserve"> </w:t>
      </w:r>
      <w:r w:rsidR="009C5EBD">
        <w:t>in annual (non-hourly) costs</w:t>
      </w:r>
    </w:p>
    <w:sectPr w:rsidR="009C5EBD" w:rsidRPr="009C5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43A80"/>
    <w:multiLevelType w:val="hybridMultilevel"/>
    <w:tmpl w:val="206A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52"/>
    <w:rsid w:val="001B71CC"/>
    <w:rsid w:val="002578A3"/>
    <w:rsid w:val="003E1099"/>
    <w:rsid w:val="004A5B9A"/>
    <w:rsid w:val="004E6088"/>
    <w:rsid w:val="005F2971"/>
    <w:rsid w:val="008B0152"/>
    <w:rsid w:val="008F2345"/>
    <w:rsid w:val="009C5EBD"/>
    <w:rsid w:val="00A9296A"/>
    <w:rsid w:val="00C82F5F"/>
    <w:rsid w:val="00EC1AC2"/>
    <w:rsid w:val="00F11DC9"/>
    <w:rsid w:val="00FF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152"/>
    <w:pPr>
      <w:spacing w:after="0" w:line="240" w:lineRule="auto"/>
    </w:pPr>
  </w:style>
  <w:style w:type="table" w:styleId="TableGrid">
    <w:name w:val="Table Grid"/>
    <w:basedOn w:val="TableNormal"/>
    <w:uiPriority w:val="39"/>
    <w:rsid w:val="001B7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2345"/>
    <w:rPr>
      <w:sz w:val="16"/>
      <w:szCs w:val="16"/>
    </w:rPr>
  </w:style>
  <w:style w:type="paragraph" w:styleId="CommentText">
    <w:name w:val="annotation text"/>
    <w:basedOn w:val="Normal"/>
    <w:link w:val="CommentTextChar"/>
    <w:uiPriority w:val="99"/>
    <w:semiHidden/>
    <w:unhideWhenUsed/>
    <w:rsid w:val="008F2345"/>
    <w:pPr>
      <w:spacing w:line="240" w:lineRule="auto"/>
    </w:pPr>
    <w:rPr>
      <w:sz w:val="20"/>
      <w:szCs w:val="20"/>
    </w:rPr>
  </w:style>
  <w:style w:type="character" w:customStyle="1" w:styleId="CommentTextChar">
    <w:name w:val="Comment Text Char"/>
    <w:basedOn w:val="DefaultParagraphFont"/>
    <w:link w:val="CommentText"/>
    <w:uiPriority w:val="99"/>
    <w:semiHidden/>
    <w:rsid w:val="008F2345"/>
    <w:rPr>
      <w:sz w:val="20"/>
      <w:szCs w:val="20"/>
    </w:rPr>
  </w:style>
  <w:style w:type="paragraph" w:styleId="CommentSubject">
    <w:name w:val="annotation subject"/>
    <w:basedOn w:val="CommentText"/>
    <w:next w:val="CommentText"/>
    <w:link w:val="CommentSubjectChar"/>
    <w:uiPriority w:val="99"/>
    <w:semiHidden/>
    <w:unhideWhenUsed/>
    <w:rsid w:val="008F2345"/>
    <w:rPr>
      <w:b/>
      <w:bCs/>
    </w:rPr>
  </w:style>
  <w:style w:type="character" w:customStyle="1" w:styleId="CommentSubjectChar">
    <w:name w:val="Comment Subject Char"/>
    <w:basedOn w:val="CommentTextChar"/>
    <w:link w:val="CommentSubject"/>
    <w:uiPriority w:val="99"/>
    <w:semiHidden/>
    <w:rsid w:val="008F2345"/>
    <w:rPr>
      <w:b/>
      <w:bCs/>
      <w:sz w:val="20"/>
      <w:szCs w:val="20"/>
    </w:rPr>
  </w:style>
  <w:style w:type="paragraph" w:styleId="BalloonText">
    <w:name w:val="Balloon Text"/>
    <w:basedOn w:val="Normal"/>
    <w:link w:val="BalloonTextChar"/>
    <w:uiPriority w:val="99"/>
    <w:semiHidden/>
    <w:unhideWhenUsed/>
    <w:rsid w:val="008F2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3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152"/>
    <w:pPr>
      <w:spacing w:after="0" w:line="240" w:lineRule="auto"/>
    </w:pPr>
  </w:style>
  <w:style w:type="table" w:styleId="TableGrid">
    <w:name w:val="Table Grid"/>
    <w:basedOn w:val="TableNormal"/>
    <w:uiPriority w:val="39"/>
    <w:rsid w:val="001B7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2345"/>
    <w:rPr>
      <w:sz w:val="16"/>
      <w:szCs w:val="16"/>
    </w:rPr>
  </w:style>
  <w:style w:type="paragraph" w:styleId="CommentText">
    <w:name w:val="annotation text"/>
    <w:basedOn w:val="Normal"/>
    <w:link w:val="CommentTextChar"/>
    <w:uiPriority w:val="99"/>
    <w:semiHidden/>
    <w:unhideWhenUsed/>
    <w:rsid w:val="008F2345"/>
    <w:pPr>
      <w:spacing w:line="240" w:lineRule="auto"/>
    </w:pPr>
    <w:rPr>
      <w:sz w:val="20"/>
      <w:szCs w:val="20"/>
    </w:rPr>
  </w:style>
  <w:style w:type="character" w:customStyle="1" w:styleId="CommentTextChar">
    <w:name w:val="Comment Text Char"/>
    <w:basedOn w:val="DefaultParagraphFont"/>
    <w:link w:val="CommentText"/>
    <w:uiPriority w:val="99"/>
    <w:semiHidden/>
    <w:rsid w:val="008F2345"/>
    <w:rPr>
      <w:sz w:val="20"/>
      <w:szCs w:val="20"/>
    </w:rPr>
  </w:style>
  <w:style w:type="paragraph" w:styleId="CommentSubject">
    <w:name w:val="annotation subject"/>
    <w:basedOn w:val="CommentText"/>
    <w:next w:val="CommentText"/>
    <w:link w:val="CommentSubjectChar"/>
    <w:uiPriority w:val="99"/>
    <w:semiHidden/>
    <w:unhideWhenUsed/>
    <w:rsid w:val="008F2345"/>
    <w:rPr>
      <w:b/>
      <w:bCs/>
    </w:rPr>
  </w:style>
  <w:style w:type="character" w:customStyle="1" w:styleId="CommentSubjectChar">
    <w:name w:val="Comment Subject Char"/>
    <w:basedOn w:val="CommentTextChar"/>
    <w:link w:val="CommentSubject"/>
    <w:uiPriority w:val="99"/>
    <w:semiHidden/>
    <w:rsid w:val="008F2345"/>
    <w:rPr>
      <w:b/>
      <w:bCs/>
      <w:sz w:val="20"/>
      <w:szCs w:val="20"/>
    </w:rPr>
  </w:style>
  <w:style w:type="paragraph" w:styleId="BalloonText">
    <w:name w:val="Balloon Text"/>
    <w:basedOn w:val="Normal"/>
    <w:link w:val="BalloonTextChar"/>
    <w:uiPriority w:val="99"/>
    <w:semiHidden/>
    <w:unhideWhenUsed/>
    <w:rsid w:val="008F2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944653">
      <w:bodyDiv w:val="1"/>
      <w:marLeft w:val="0"/>
      <w:marRight w:val="0"/>
      <w:marTop w:val="0"/>
      <w:marBottom w:val="0"/>
      <w:divBdr>
        <w:top w:val="none" w:sz="0" w:space="0" w:color="auto"/>
        <w:left w:val="none" w:sz="0" w:space="0" w:color="auto"/>
        <w:bottom w:val="none" w:sz="0" w:space="0" w:color="auto"/>
        <w:right w:val="none" w:sz="0" w:space="0" w:color="auto"/>
      </w:divBdr>
    </w:div>
    <w:div w:id="799229549">
      <w:bodyDiv w:val="1"/>
      <w:marLeft w:val="0"/>
      <w:marRight w:val="0"/>
      <w:marTop w:val="0"/>
      <w:marBottom w:val="0"/>
      <w:divBdr>
        <w:top w:val="none" w:sz="0" w:space="0" w:color="auto"/>
        <w:left w:val="none" w:sz="0" w:space="0" w:color="auto"/>
        <w:bottom w:val="none" w:sz="0" w:space="0" w:color="auto"/>
        <w:right w:val="none" w:sz="0" w:space="0" w:color="auto"/>
      </w:divBdr>
    </w:div>
    <w:div w:id="863326728">
      <w:bodyDiv w:val="1"/>
      <w:marLeft w:val="0"/>
      <w:marRight w:val="0"/>
      <w:marTop w:val="0"/>
      <w:marBottom w:val="0"/>
      <w:divBdr>
        <w:top w:val="none" w:sz="0" w:space="0" w:color="auto"/>
        <w:left w:val="none" w:sz="0" w:space="0" w:color="auto"/>
        <w:bottom w:val="none" w:sz="0" w:space="0" w:color="auto"/>
        <w:right w:val="none" w:sz="0" w:space="0" w:color="auto"/>
      </w:divBdr>
    </w:div>
    <w:div w:id="1297947937">
      <w:bodyDiv w:val="1"/>
      <w:marLeft w:val="0"/>
      <w:marRight w:val="0"/>
      <w:marTop w:val="0"/>
      <w:marBottom w:val="0"/>
      <w:divBdr>
        <w:top w:val="none" w:sz="0" w:space="0" w:color="auto"/>
        <w:left w:val="none" w:sz="0" w:space="0" w:color="auto"/>
        <w:bottom w:val="none" w:sz="0" w:space="0" w:color="auto"/>
        <w:right w:val="none" w:sz="0" w:space="0" w:color="auto"/>
      </w:divBdr>
    </w:div>
    <w:div w:id="1494834748">
      <w:bodyDiv w:val="1"/>
      <w:marLeft w:val="0"/>
      <w:marRight w:val="0"/>
      <w:marTop w:val="0"/>
      <w:marBottom w:val="0"/>
      <w:divBdr>
        <w:top w:val="none" w:sz="0" w:space="0" w:color="auto"/>
        <w:left w:val="none" w:sz="0" w:space="0" w:color="auto"/>
        <w:bottom w:val="none" w:sz="0" w:space="0" w:color="auto"/>
        <w:right w:val="none" w:sz="0" w:space="0" w:color="auto"/>
      </w:divBdr>
    </w:div>
    <w:div w:id="1815293973">
      <w:bodyDiv w:val="1"/>
      <w:marLeft w:val="0"/>
      <w:marRight w:val="0"/>
      <w:marTop w:val="0"/>
      <w:marBottom w:val="0"/>
      <w:divBdr>
        <w:top w:val="none" w:sz="0" w:space="0" w:color="auto"/>
        <w:left w:val="none" w:sz="0" w:space="0" w:color="auto"/>
        <w:bottom w:val="none" w:sz="0" w:space="0" w:color="auto"/>
        <w:right w:val="none" w:sz="0" w:space="0" w:color="auto"/>
      </w:divBdr>
    </w:div>
    <w:div w:id="20821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Horner, Linda</DisplayName>
        <AccountId>274</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5479-832F-421F-B157-566394B2C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370AA-BC60-44EA-A3F8-9CAC3BD53D63}">
  <ds:schemaRefs>
    <ds:schemaRef ds:uri="http://schemas.microsoft.com/sharepoint/v3/contenttype/forms"/>
  </ds:schemaRefs>
</ds:datastoreItem>
</file>

<file path=customXml/itemProps3.xml><?xml version="1.0" encoding="utf-8"?>
<ds:datastoreItem xmlns:ds="http://schemas.openxmlformats.org/officeDocument/2006/customXml" ds:itemID="{BEE5D442-5FF5-4350-9DE2-BF06F884A024}">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4E063DE1-4338-4283-BDAB-D0D00BB2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2019-10-03T19:53:00Z</dcterms:created>
  <dcterms:modified xsi:type="dcterms:W3CDTF">2019-10-03T19:53:00Z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