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51" w:rsidP="00215951" w:rsidRDefault="00215951" w14:paraId="426C1926" w14:textId="77777777">
      <w:pPr>
        <w:pStyle w:val="NoSpacing"/>
        <w:jc w:val="center"/>
        <w:rPr>
          <w:b/>
        </w:rPr>
      </w:pPr>
      <w:r>
        <w:rPr>
          <w:b/>
        </w:rPr>
        <w:t>JUSTIFICATION FOR NONMATERIAL/NONSUBSTANTIVE CHANGE</w:t>
      </w:r>
    </w:p>
    <w:p w:rsidR="00215951" w:rsidP="00215951" w:rsidRDefault="00215951" w14:paraId="480D9E3F" w14:textId="77777777">
      <w:pPr>
        <w:pStyle w:val="NoSpacing"/>
        <w:jc w:val="center"/>
        <w:rPr>
          <w:b/>
        </w:rPr>
      </w:pPr>
      <w:r>
        <w:rPr>
          <w:b/>
        </w:rPr>
        <w:t>United States Patent and Trademark Office</w:t>
      </w:r>
    </w:p>
    <w:p w:rsidR="009A0EDC" w:rsidP="00215951" w:rsidRDefault="00215951" w14:paraId="4D7CAFC0" w14:textId="77777777">
      <w:pPr>
        <w:pStyle w:val="NoSpacing"/>
        <w:jc w:val="center"/>
        <w:rPr>
          <w:b/>
        </w:rPr>
      </w:pPr>
      <w:r>
        <w:rPr>
          <w:b/>
        </w:rPr>
        <w:t>Trademark Petitions</w:t>
      </w:r>
    </w:p>
    <w:p w:rsidR="00215951" w:rsidP="00215951" w:rsidRDefault="00215951" w14:paraId="436F42EC" w14:textId="77777777">
      <w:pPr>
        <w:pStyle w:val="NoSpacing"/>
        <w:jc w:val="center"/>
        <w:rPr>
          <w:b/>
        </w:rPr>
      </w:pPr>
      <w:r>
        <w:rPr>
          <w:b/>
        </w:rPr>
        <w:t>OMB Control Number 0651-0061</w:t>
      </w:r>
    </w:p>
    <w:p w:rsidR="00215951" w:rsidP="00215951" w:rsidRDefault="00516B63" w14:paraId="1E674056" w14:textId="6A741C7B">
      <w:pPr>
        <w:pStyle w:val="NoSpacing"/>
        <w:jc w:val="center"/>
      </w:pPr>
      <w:r>
        <w:rPr>
          <w:b/>
        </w:rPr>
        <w:t>2020</w:t>
      </w:r>
    </w:p>
    <w:p w:rsidR="00215951" w:rsidP="00215951" w:rsidRDefault="00215951" w14:paraId="7A1BEC98" w14:textId="77777777">
      <w:pPr>
        <w:pStyle w:val="NoSpacing"/>
        <w:jc w:val="both"/>
      </w:pPr>
    </w:p>
    <w:p w:rsidR="00215951" w:rsidP="00215951" w:rsidRDefault="00215951" w14:paraId="1C507CC1" w14:textId="77777777">
      <w:pPr>
        <w:pStyle w:val="NoSpacing"/>
        <w:jc w:val="both"/>
        <w:rPr>
          <w:u w:val="single"/>
        </w:rPr>
      </w:pPr>
      <w:r>
        <w:rPr>
          <w:u w:val="single"/>
        </w:rPr>
        <w:t>Background</w:t>
      </w:r>
    </w:p>
    <w:p w:rsidR="00215951" w:rsidP="00215951" w:rsidRDefault="00215951" w14:paraId="56CEC391" w14:textId="2D9C9C2B">
      <w:pPr>
        <w:pStyle w:val="NoSpacing"/>
        <w:jc w:val="both"/>
      </w:pPr>
    </w:p>
    <w:p w:rsidRPr="00B90BC1" w:rsidR="00B90BC1" w:rsidP="00B90BC1" w:rsidRDefault="00B90BC1" w14:paraId="67308BDD" w14:textId="77777777">
      <w:pPr>
        <w:pStyle w:val="NoSpacing"/>
        <w:jc w:val="both"/>
        <w:rPr>
          <w:rFonts w:cstheme="minorHAnsi"/>
        </w:rPr>
      </w:pPr>
      <w:r w:rsidRPr="00B90BC1">
        <w:rPr>
          <w:rFonts w:cstheme="minorHAnsi"/>
        </w:rPr>
        <w:t>The United States Patent and Trademark Office (USPTO) administers the Trademark Act, 15 U.S.C. § 1051 et seq., which provides for the registration of trademarks, service marks, collective trademarks and service marks, collective membership marks, and certification marks. Individuals and businesses that use or intend to use such marks in commerce may file an application to register their marks with the USPTO. Individuals and businesses may also submit various communications to the USPTO, including letters of protest, requests to make special, responses to petition inquiry letters, petitions to make special, requests to restore a filing date, and requests for reinstatement.</w:t>
      </w:r>
    </w:p>
    <w:p w:rsidRPr="00B90BC1" w:rsidR="00B90BC1" w:rsidP="00215951" w:rsidRDefault="00B90BC1" w14:paraId="3659BA3A" w14:textId="77777777">
      <w:pPr>
        <w:pStyle w:val="NoSpacing"/>
        <w:jc w:val="both"/>
        <w:rPr>
          <w:rFonts w:cstheme="minorHAnsi"/>
        </w:rPr>
      </w:pPr>
    </w:p>
    <w:p w:rsidRPr="00B90BC1" w:rsidR="00215951" w:rsidP="00215951" w:rsidRDefault="00215951" w14:paraId="55316824" w14:textId="10E69572">
      <w:pPr>
        <w:pStyle w:val="NoSpacing"/>
        <w:jc w:val="both"/>
        <w:rPr>
          <w:rFonts w:cstheme="minorHAnsi"/>
        </w:rPr>
      </w:pPr>
      <w:r w:rsidRPr="00B90BC1">
        <w:rPr>
          <w:rFonts w:cstheme="minorHAnsi"/>
        </w:rPr>
        <w:t xml:space="preserve">The United States Patent and Trademark Office (USPTO) is submitting this request to </w:t>
      </w:r>
      <w:r w:rsidRPr="00B90BC1" w:rsidR="008A7A4A">
        <w:rPr>
          <w:rFonts w:cstheme="minorHAnsi"/>
        </w:rPr>
        <w:t xml:space="preserve">adjust the burdens </w:t>
      </w:r>
      <w:r w:rsidRPr="00B90BC1">
        <w:rPr>
          <w:rFonts w:cstheme="minorHAnsi"/>
        </w:rPr>
        <w:t xml:space="preserve">associated with collection 0651-0061 (Trademark Petitions) in conjunction with rulemaking RIN 0651-AD15 (Changes to the Trademark Rules of Practice to Mandate Electronic Filing). As a result, the USPTO expects that there will be </w:t>
      </w:r>
      <w:r w:rsidRPr="00B90BC1" w:rsidR="008A7A4A">
        <w:rPr>
          <w:rFonts w:cstheme="minorHAnsi"/>
        </w:rPr>
        <w:t xml:space="preserve">a reduction in 2 hours of cost burden and </w:t>
      </w:r>
      <w:r w:rsidRPr="00B90BC1">
        <w:rPr>
          <w:rFonts w:cstheme="minorHAnsi"/>
        </w:rPr>
        <w:t>an annual (non-hourly) cost burden decrease of $</w:t>
      </w:r>
      <w:r w:rsidRPr="00B90BC1" w:rsidR="008A7A4A">
        <w:rPr>
          <w:rFonts w:cstheme="minorHAnsi"/>
        </w:rPr>
        <w:t>2</w:t>
      </w:r>
      <w:r w:rsidRPr="00B90BC1">
        <w:rPr>
          <w:rFonts w:cstheme="minorHAnsi"/>
        </w:rPr>
        <w:t xml:space="preserve"> as a result of removing the postage costs.</w:t>
      </w:r>
    </w:p>
    <w:p w:rsidR="00215951" w:rsidP="00215951" w:rsidRDefault="00215951" w14:paraId="63751E71" w14:textId="77777777">
      <w:pPr>
        <w:pStyle w:val="NoSpacing"/>
        <w:jc w:val="both"/>
      </w:pPr>
    </w:p>
    <w:p w:rsidRPr="00073485" w:rsidR="00E712EF" w:rsidP="00E712EF" w:rsidRDefault="00E712EF" w14:paraId="1F1DCE70" w14:textId="77777777">
      <w:pPr>
        <w:pStyle w:val="NoSpacing"/>
        <w:rPr>
          <w:b/>
          <w:u w:val="single"/>
        </w:rPr>
      </w:pPr>
      <w:r w:rsidRPr="00073485">
        <w:rPr>
          <w:b/>
          <w:u w:val="single"/>
        </w:rPr>
        <w:t>Changed Details</w:t>
      </w:r>
    </w:p>
    <w:p w:rsidR="00E712EF" w:rsidP="00215951" w:rsidRDefault="00E712EF" w14:paraId="55855C0E" w14:textId="77777777">
      <w:pPr>
        <w:pStyle w:val="NoSpacing"/>
        <w:jc w:val="both"/>
      </w:pPr>
    </w:p>
    <w:tbl>
      <w:tblPr>
        <w:tblStyle w:val="TableGrid"/>
        <w:tblW w:w="5000" w:type="pct"/>
        <w:tblLook w:val="04A0" w:firstRow="1" w:lastRow="0" w:firstColumn="1" w:lastColumn="0" w:noHBand="0" w:noVBand="1"/>
      </w:tblPr>
      <w:tblGrid>
        <w:gridCol w:w="2486"/>
        <w:gridCol w:w="1348"/>
        <w:gridCol w:w="1348"/>
        <w:gridCol w:w="1348"/>
        <w:gridCol w:w="935"/>
        <w:gridCol w:w="1004"/>
        <w:gridCol w:w="1107"/>
      </w:tblGrid>
      <w:tr w:rsidRPr="00073485" w:rsidR="00E712EF" w:rsidTr="00D6093F" w14:paraId="331DA122" w14:textId="77777777">
        <w:tc>
          <w:tcPr>
            <w:tcW w:w="1298" w:type="pct"/>
            <w:vAlign w:val="center"/>
          </w:tcPr>
          <w:p w:rsidRPr="00073485" w:rsidR="00E712EF" w:rsidP="003B2D13" w:rsidRDefault="00E712EF" w14:paraId="782955DB" w14:textId="77777777">
            <w:pPr>
              <w:pStyle w:val="NoSpacing"/>
              <w:jc w:val="both"/>
              <w:rPr>
                <w:b/>
              </w:rPr>
            </w:pPr>
            <w:r w:rsidRPr="00073485">
              <w:rPr>
                <w:b/>
              </w:rPr>
              <w:t>IC Item</w:t>
            </w:r>
          </w:p>
        </w:tc>
        <w:tc>
          <w:tcPr>
            <w:tcW w:w="704" w:type="pct"/>
            <w:vAlign w:val="center"/>
          </w:tcPr>
          <w:p w:rsidRPr="00073485" w:rsidR="00E712EF" w:rsidP="003B2D13" w:rsidRDefault="00E712EF" w14:paraId="64CFAB6A" w14:textId="77777777">
            <w:pPr>
              <w:pStyle w:val="NoSpacing"/>
              <w:jc w:val="both"/>
              <w:rPr>
                <w:b/>
              </w:rPr>
            </w:pPr>
            <w:r w:rsidRPr="00073485">
              <w:rPr>
                <w:b/>
              </w:rPr>
              <w:t>Current Respondent Numbers</w:t>
            </w:r>
          </w:p>
        </w:tc>
        <w:tc>
          <w:tcPr>
            <w:tcW w:w="704" w:type="pct"/>
          </w:tcPr>
          <w:p w:rsidRPr="00073485" w:rsidR="00E712EF" w:rsidP="003B2D13" w:rsidRDefault="00E712EF" w14:paraId="0DF00144" w14:textId="77777777">
            <w:pPr>
              <w:pStyle w:val="NoSpacing"/>
              <w:jc w:val="both"/>
              <w:rPr>
                <w:b/>
              </w:rPr>
            </w:pPr>
            <w:r w:rsidRPr="00073485">
              <w:rPr>
                <w:b/>
              </w:rPr>
              <w:t>Changes in Respondent Numbers</w:t>
            </w:r>
          </w:p>
        </w:tc>
        <w:tc>
          <w:tcPr>
            <w:tcW w:w="704" w:type="pct"/>
            <w:vAlign w:val="center"/>
          </w:tcPr>
          <w:p w:rsidRPr="00073485" w:rsidR="00E712EF" w:rsidP="003B2D13" w:rsidRDefault="00E712EF" w14:paraId="4B6D3591" w14:textId="77777777">
            <w:pPr>
              <w:pStyle w:val="NoSpacing"/>
              <w:jc w:val="both"/>
              <w:rPr>
                <w:b/>
              </w:rPr>
            </w:pPr>
            <w:r w:rsidRPr="00073485">
              <w:rPr>
                <w:b/>
              </w:rPr>
              <w:t>Proposed Respondent</w:t>
            </w:r>
          </w:p>
        </w:tc>
        <w:tc>
          <w:tcPr>
            <w:tcW w:w="488" w:type="pct"/>
            <w:vAlign w:val="center"/>
          </w:tcPr>
          <w:p w:rsidRPr="00073485" w:rsidR="00E712EF" w:rsidP="003B2D13" w:rsidRDefault="00E712EF" w14:paraId="37ACC76E" w14:textId="77777777">
            <w:pPr>
              <w:pStyle w:val="NoSpacing"/>
              <w:jc w:val="both"/>
              <w:rPr>
                <w:b/>
              </w:rPr>
            </w:pPr>
            <w:r w:rsidRPr="00073485">
              <w:rPr>
                <w:b/>
              </w:rPr>
              <w:t>Current Burden Hours</w:t>
            </w:r>
          </w:p>
        </w:tc>
        <w:tc>
          <w:tcPr>
            <w:tcW w:w="524" w:type="pct"/>
            <w:vAlign w:val="center"/>
          </w:tcPr>
          <w:p w:rsidRPr="00073485" w:rsidR="00E712EF" w:rsidP="003B2D13" w:rsidRDefault="00E712EF" w14:paraId="7A6B92EF" w14:textId="77777777">
            <w:pPr>
              <w:pStyle w:val="NoSpacing"/>
              <w:jc w:val="both"/>
              <w:rPr>
                <w:b/>
              </w:rPr>
            </w:pPr>
            <w:r w:rsidRPr="00073485">
              <w:rPr>
                <w:b/>
              </w:rPr>
              <w:t>Changes in Burden Hours</w:t>
            </w:r>
          </w:p>
        </w:tc>
        <w:tc>
          <w:tcPr>
            <w:tcW w:w="579" w:type="pct"/>
          </w:tcPr>
          <w:p w:rsidRPr="00073485" w:rsidR="00E712EF" w:rsidP="003B2D13" w:rsidRDefault="00E712EF" w14:paraId="0BF0E213" w14:textId="77777777">
            <w:pPr>
              <w:pStyle w:val="NoSpacing"/>
              <w:jc w:val="both"/>
              <w:rPr>
                <w:b/>
              </w:rPr>
            </w:pPr>
            <w:r w:rsidRPr="00073485">
              <w:rPr>
                <w:b/>
              </w:rPr>
              <w:t>Proposed Burden Hours</w:t>
            </w:r>
          </w:p>
        </w:tc>
      </w:tr>
      <w:tr w:rsidRPr="00073485" w:rsidR="00E712EF" w:rsidTr="00D6093F" w14:paraId="05646996" w14:textId="77777777">
        <w:tc>
          <w:tcPr>
            <w:tcW w:w="1298" w:type="pct"/>
            <w:vAlign w:val="center"/>
          </w:tcPr>
          <w:p w:rsidRPr="00073485" w:rsidR="00E712EF" w:rsidP="003B2D13" w:rsidRDefault="008E5DC0" w14:paraId="12BB71F7" w14:textId="03266DF0">
            <w:pPr>
              <w:pStyle w:val="NoSpacing"/>
              <w:jc w:val="both"/>
              <w:rPr>
                <w:b/>
              </w:rPr>
            </w:pPr>
            <w:r w:rsidRPr="008E5DC0">
              <w:rPr>
                <w:rFonts w:ascii="Arial" w:hAnsi="Arial" w:eastAsia="Times New Roman" w:cs="Times New Roman"/>
                <w:sz w:val="16"/>
                <w:szCs w:val="24"/>
              </w:rPr>
              <w:t>Letter of Protest (TEAS Global)</w:t>
            </w:r>
          </w:p>
        </w:tc>
        <w:tc>
          <w:tcPr>
            <w:tcW w:w="704" w:type="pct"/>
            <w:vAlign w:val="center"/>
          </w:tcPr>
          <w:p w:rsidRPr="00E61C12" w:rsidR="00E712EF" w:rsidP="003B2D13" w:rsidRDefault="00E61C12" w14:paraId="3C0FD7B0" w14:textId="06983293">
            <w:pPr>
              <w:pStyle w:val="NoSpacing"/>
              <w:jc w:val="both"/>
              <w:rPr>
                <w:rFonts w:ascii="Arial" w:hAnsi="Arial" w:cs="Arial"/>
                <w:sz w:val="16"/>
                <w:szCs w:val="16"/>
              </w:rPr>
            </w:pPr>
            <w:r w:rsidRPr="00E61C12">
              <w:rPr>
                <w:rFonts w:ascii="Arial" w:hAnsi="Arial" w:eastAsia="Times New Roman" w:cs="Arial"/>
                <w:sz w:val="16"/>
                <w:szCs w:val="16"/>
              </w:rPr>
              <w:t>3,475</w:t>
            </w:r>
          </w:p>
        </w:tc>
        <w:tc>
          <w:tcPr>
            <w:tcW w:w="704" w:type="pct"/>
          </w:tcPr>
          <w:p w:rsidRPr="00E61C12" w:rsidR="00E712EF" w:rsidP="00E61C12" w:rsidRDefault="00E61C12" w14:paraId="46D2554D" w14:textId="647F65AB">
            <w:pPr>
              <w:pStyle w:val="NoSpacing"/>
              <w:jc w:val="both"/>
              <w:rPr>
                <w:rFonts w:ascii="Arial" w:hAnsi="Arial" w:cs="Arial"/>
                <w:sz w:val="16"/>
                <w:szCs w:val="16"/>
              </w:rPr>
            </w:pPr>
            <w:r>
              <w:rPr>
                <w:rFonts w:ascii="Arial" w:hAnsi="Arial" w:cs="Arial"/>
                <w:sz w:val="16"/>
                <w:szCs w:val="16"/>
              </w:rPr>
              <w:t>5</w:t>
            </w:r>
          </w:p>
        </w:tc>
        <w:tc>
          <w:tcPr>
            <w:tcW w:w="704" w:type="pct"/>
            <w:vAlign w:val="center"/>
          </w:tcPr>
          <w:p w:rsidRPr="00E61C12" w:rsidR="00E712EF" w:rsidP="003B2D13" w:rsidRDefault="00E61C12" w14:paraId="0E1F4710" w14:textId="066C3800">
            <w:pPr>
              <w:pStyle w:val="NoSpacing"/>
              <w:jc w:val="both"/>
              <w:rPr>
                <w:rFonts w:ascii="Arial" w:hAnsi="Arial" w:cs="Arial"/>
                <w:sz w:val="16"/>
                <w:szCs w:val="16"/>
              </w:rPr>
            </w:pPr>
            <w:r>
              <w:rPr>
                <w:rFonts w:ascii="Arial" w:hAnsi="Arial" w:cs="Arial"/>
                <w:sz w:val="16"/>
                <w:szCs w:val="16"/>
              </w:rPr>
              <w:t>3,480</w:t>
            </w:r>
          </w:p>
        </w:tc>
        <w:tc>
          <w:tcPr>
            <w:tcW w:w="488" w:type="pct"/>
            <w:vAlign w:val="center"/>
          </w:tcPr>
          <w:p w:rsidRPr="00E61C12" w:rsidR="00E712EF" w:rsidP="003B2D13" w:rsidRDefault="008A7A4A" w14:paraId="60F5ED5A" w14:textId="5936E0EA">
            <w:pPr>
              <w:pStyle w:val="NoSpacing"/>
              <w:jc w:val="both"/>
              <w:rPr>
                <w:rFonts w:ascii="Arial" w:hAnsi="Arial" w:cs="Arial"/>
                <w:sz w:val="16"/>
                <w:szCs w:val="16"/>
              </w:rPr>
            </w:pPr>
            <w:r>
              <w:rPr>
                <w:rFonts w:ascii="Arial" w:hAnsi="Arial"/>
                <w:sz w:val="16"/>
                <w:szCs w:val="20"/>
              </w:rPr>
              <w:t>3,475</w:t>
            </w:r>
          </w:p>
        </w:tc>
        <w:tc>
          <w:tcPr>
            <w:tcW w:w="524" w:type="pct"/>
            <w:vAlign w:val="center"/>
          </w:tcPr>
          <w:p w:rsidRPr="00E61C12" w:rsidR="00E712EF" w:rsidP="003B2D13" w:rsidRDefault="008A7A4A" w14:paraId="559F8CE8" w14:textId="5CEDF037">
            <w:pPr>
              <w:pStyle w:val="NoSpacing"/>
              <w:jc w:val="both"/>
              <w:rPr>
                <w:rFonts w:ascii="Arial" w:hAnsi="Arial" w:cs="Arial"/>
                <w:sz w:val="16"/>
                <w:szCs w:val="16"/>
              </w:rPr>
            </w:pPr>
            <w:r>
              <w:rPr>
                <w:rFonts w:ascii="Arial" w:hAnsi="Arial" w:cs="Arial"/>
                <w:sz w:val="16"/>
                <w:szCs w:val="16"/>
              </w:rPr>
              <w:t>5</w:t>
            </w:r>
          </w:p>
        </w:tc>
        <w:tc>
          <w:tcPr>
            <w:tcW w:w="579" w:type="pct"/>
          </w:tcPr>
          <w:p w:rsidRPr="00E61C12" w:rsidR="00E712EF" w:rsidP="003B2D13" w:rsidRDefault="008A7A4A" w14:paraId="64ED79BE" w14:textId="2E6DE5D7">
            <w:pPr>
              <w:pStyle w:val="NoSpacing"/>
              <w:jc w:val="both"/>
              <w:rPr>
                <w:rFonts w:ascii="Arial" w:hAnsi="Arial" w:cs="Arial"/>
                <w:sz w:val="16"/>
                <w:szCs w:val="16"/>
              </w:rPr>
            </w:pPr>
            <w:r>
              <w:rPr>
                <w:rFonts w:ascii="Arial" w:hAnsi="Arial" w:cs="Arial"/>
                <w:sz w:val="16"/>
                <w:szCs w:val="16"/>
              </w:rPr>
              <w:t>3480</w:t>
            </w:r>
          </w:p>
        </w:tc>
      </w:tr>
      <w:tr w:rsidRPr="00073485" w:rsidR="008E5DC0" w:rsidTr="00D6093F" w14:paraId="4945A26B" w14:textId="77777777">
        <w:tc>
          <w:tcPr>
            <w:tcW w:w="1298" w:type="pct"/>
            <w:vAlign w:val="center"/>
          </w:tcPr>
          <w:p w:rsidRPr="00073485" w:rsidR="008E5DC0" w:rsidP="008E5DC0" w:rsidRDefault="008E5DC0" w14:paraId="783340C2" w14:textId="676A4E70">
            <w:pPr>
              <w:pStyle w:val="NoSpacing"/>
              <w:jc w:val="both"/>
              <w:rPr>
                <w:b/>
              </w:rPr>
            </w:pPr>
            <w:r>
              <w:rPr>
                <w:rFonts w:ascii="Arial" w:hAnsi="Arial"/>
                <w:sz w:val="16"/>
              </w:rPr>
              <w:t>Letter of Protest (Paper)</w:t>
            </w:r>
          </w:p>
        </w:tc>
        <w:tc>
          <w:tcPr>
            <w:tcW w:w="704" w:type="pct"/>
            <w:vAlign w:val="center"/>
          </w:tcPr>
          <w:p w:rsidRPr="00E61C12" w:rsidR="008E5DC0" w:rsidP="008E5DC0" w:rsidRDefault="00E61C12" w14:paraId="61484531" w14:textId="2F188950">
            <w:pPr>
              <w:pStyle w:val="NoSpacing"/>
              <w:jc w:val="both"/>
              <w:rPr>
                <w:rFonts w:ascii="Arial" w:hAnsi="Arial" w:cs="Arial"/>
                <w:sz w:val="16"/>
                <w:szCs w:val="16"/>
              </w:rPr>
            </w:pPr>
            <w:r w:rsidRPr="00E61C12">
              <w:rPr>
                <w:rFonts w:ascii="Arial" w:hAnsi="Arial" w:cs="Arial"/>
                <w:sz w:val="16"/>
                <w:szCs w:val="16"/>
              </w:rPr>
              <w:t>10</w:t>
            </w:r>
          </w:p>
        </w:tc>
        <w:tc>
          <w:tcPr>
            <w:tcW w:w="704" w:type="pct"/>
          </w:tcPr>
          <w:p w:rsidRPr="00E61C12" w:rsidR="008E5DC0" w:rsidP="008E5DC0" w:rsidRDefault="00E61C12" w14:paraId="2C93463D" w14:textId="368BFBE0">
            <w:pPr>
              <w:pStyle w:val="NoSpacing"/>
              <w:jc w:val="both"/>
              <w:rPr>
                <w:rFonts w:ascii="Arial" w:hAnsi="Arial" w:cs="Arial"/>
                <w:sz w:val="16"/>
                <w:szCs w:val="16"/>
              </w:rPr>
            </w:pPr>
            <w:r w:rsidRPr="00E61C12">
              <w:rPr>
                <w:rFonts w:ascii="Arial" w:hAnsi="Arial" w:cs="Arial"/>
                <w:sz w:val="16"/>
                <w:szCs w:val="16"/>
              </w:rPr>
              <w:t>-5</w:t>
            </w:r>
          </w:p>
        </w:tc>
        <w:tc>
          <w:tcPr>
            <w:tcW w:w="704" w:type="pct"/>
            <w:vAlign w:val="center"/>
          </w:tcPr>
          <w:p w:rsidRPr="00E61C12" w:rsidR="008E5DC0" w:rsidP="008E5DC0" w:rsidRDefault="00E61C12" w14:paraId="28FA590B" w14:textId="0B00F354">
            <w:pPr>
              <w:pStyle w:val="NoSpacing"/>
              <w:jc w:val="both"/>
              <w:rPr>
                <w:rFonts w:ascii="Arial" w:hAnsi="Arial" w:cs="Arial"/>
                <w:sz w:val="16"/>
                <w:szCs w:val="16"/>
              </w:rPr>
            </w:pPr>
            <w:r>
              <w:rPr>
                <w:rFonts w:ascii="Arial" w:hAnsi="Arial" w:cs="Arial"/>
                <w:sz w:val="16"/>
                <w:szCs w:val="16"/>
              </w:rPr>
              <w:t>5</w:t>
            </w:r>
          </w:p>
        </w:tc>
        <w:tc>
          <w:tcPr>
            <w:tcW w:w="488" w:type="pct"/>
            <w:vAlign w:val="center"/>
          </w:tcPr>
          <w:p w:rsidRPr="00E61C12" w:rsidR="008E5DC0" w:rsidP="008E5DC0" w:rsidRDefault="008A7A4A" w14:paraId="2736CE65" w14:textId="4B2973BD">
            <w:pPr>
              <w:pStyle w:val="NoSpacing"/>
              <w:jc w:val="both"/>
              <w:rPr>
                <w:rFonts w:ascii="Arial" w:hAnsi="Arial" w:cs="Arial"/>
                <w:sz w:val="16"/>
                <w:szCs w:val="16"/>
              </w:rPr>
            </w:pPr>
            <w:r>
              <w:rPr>
                <w:rFonts w:ascii="Arial" w:hAnsi="Arial"/>
                <w:sz w:val="16"/>
                <w:szCs w:val="20"/>
              </w:rPr>
              <w:t>13</w:t>
            </w:r>
          </w:p>
        </w:tc>
        <w:tc>
          <w:tcPr>
            <w:tcW w:w="524" w:type="pct"/>
            <w:vAlign w:val="center"/>
          </w:tcPr>
          <w:p w:rsidRPr="00E61C12" w:rsidR="008E5DC0" w:rsidP="0063115B" w:rsidRDefault="008A7A4A" w14:paraId="7C98B288" w14:textId="504C0BBB">
            <w:pPr>
              <w:pStyle w:val="NoSpacing"/>
              <w:jc w:val="both"/>
              <w:rPr>
                <w:rFonts w:ascii="Arial" w:hAnsi="Arial" w:cs="Arial"/>
                <w:sz w:val="16"/>
                <w:szCs w:val="16"/>
              </w:rPr>
            </w:pPr>
            <w:r>
              <w:rPr>
                <w:rFonts w:ascii="Arial" w:hAnsi="Arial" w:cs="Arial"/>
                <w:sz w:val="16"/>
                <w:szCs w:val="16"/>
              </w:rPr>
              <w:t>-7</w:t>
            </w:r>
          </w:p>
        </w:tc>
        <w:tc>
          <w:tcPr>
            <w:tcW w:w="579" w:type="pct"/>
          </w:tcPr>
          <w:p w:rsidRPr="00E61C12" w:rsidR="008E5DC0" w:rsidP="008E5DC0" w:rsidRDefault="008A7A4A" w14:paraId="0906144E" w14:textId="126A7706">
            <w:pPr>
              <w:pStyle w:val="NoSpacing"/>
              <w:jc w:val="both"/>
              <w:rPr>
                <w:rFonts w:ascii="Arial" w:hAnsi="Arial" w:cs="Arial"/>
                <w:sz w:val="16"/>
                <w:szCs w:val="16"/>
              </w:rPr>
            </w:pPr>
            <w:r>
              <w:rPr>
                <w:rFonts w:ascii="Arial" w:hAnsi="Arial" w:cs="Arial"/>
                <w:sz w:val="16"/>
                <w:szCs w:val="16"/>
              </w:rPr>
              <w:t>6</w:t>
            </w:r>
          </w:p>
        </w:tc>
      </w:tr>
      <w:tr w:rsidRPr="00073485" w:rsidR="00E61C12" w:rsidTr="00D6093F" w14:paraId="004013E7" w14:textId="77777777">
        <w:tc>
          <w:tcPr>
            <w:tcW w:w="1298" w:type="pct"/>
            <w:vAlign w:val="center"/>
          </w:tcPr>
          <w:p w:rsidRPr="00073485" w:rsidR="00E61C12" w:rsidP="00E61C12" w:rsidRDefault="00E61C12" w14:paraId="174FC0E7" w14:textId="69E2D877">
            <w:pPr>
              <w:pStyle w:val="NoSpacing"/>
              <w:jc w:val="both"/>
              <w:rPr>
                <w:b/>
              </w:rPr>
            </w:pPr>
            <w:r>
              <w:rPr>
                <w:b/>
              </w:rPr>
              <w:t>Total</w:t>
            </w:r>
          </w:p>
        </w:tc>
        <w:tc>
          <w:tcPr>
            <w:tcW w:w="704" w:type="pct"/>
            <w:vAlign w:val="center"/>
          </w:tcPr>
          <w:p w:rsidRPr="00E61C12" w:rsidR="00E61C12" w:rsidP="00E61C12" w:rsidRDefault="008A7A4A" w14:paraId="69A80DCC" w14:textId="2670DCDC">
            <w:pPr>
              <w:pStyle w:val="NoSpacing"/>
              <w:jc w:val="both"/>
              <w:rPr>
                <w:rFonts w:ascii="Arial" w:hAnsi="Arial" w:cs="Arial"/>
                <w:sz w:val="16"/>
                <w:szCs w:val="16"/>
              </w:rPr>
            </w:pPr>
            <w:r>
              <w:rPr>
                <w:rFonts w:ascii="Arial" w:hAnsi="Arial" w:cs="Arial"/>
                <w:sz w:val="16"/>
                <w:szCs w:val="16"/>
              </w:rPr>
              <w:t>3485</w:t>
            </w:r>
          </w:p>
        </w:tc>
        <w:tc>
          <w:tcPr>
            <w:tcW w:w="704" w:type="pct"/>
          </w:tcPr>
          <w:p w:rsidRPr="00E61C12" w:rsidR="00E61C12" w:rsidP="00E61C12" w:rsidRDefault="008A7A4A" w14:paraId="6F262791" w14:textId="563B0AD8">
            <w:pPr>
              <w:pStyle w:val="NoSpacing"/>
              <w:jc w:val="both"/>
              <w:rPr>
                <w:rFonts w:ascii="Arial" w:hAnsi="Arial" w:cs="Arial"/>
                <w:sz w:val="16"/>
                <w:szCs w:val="16"/>
              </w:rPr>
            </w:pPr>
            <w:r>
              <w:rPr>
                <w:rFonts w:ascii="Arial" w:hAnsi="Arial" w:cs="Arial"/>
                <w:sz w:val="16"/>
                <w:szCs w:val="16"/>
              </w:rPr>
              <w:t>0</w:t>
            </w:r>
          </w:p>
        </w:tc>
        <w:tc>
          <w:tcPr>
            <w:tcW w:w="704" w:type="pct"/>
            <w:vAlign w:val="center"/>
          </w:tcPr>
          <w:p w:rsidRPr="00E61C12" w:rsidR="00E61C12" w:rsidP="00E61C12" w:rsidRDefault="008A7A4A" w14:paraId="25C8EB6D" w14:textId="0DFDA1F6">
            <w:pPr>
              <w:pStyle w:val="NoSpacing"/>
              <w:jc w:val="both"/>
              <w:rPr>
                <w:rFonts w:ascii="Arial" w:hAnsi="Arial" w:cs="Arial"/>
                <w:sz w:val="16"/>
                <w:szCs w:val="16"/>
              </w:rPr>
            </w:pPr>
            <w:r>
              <w:rPr>
                <w:rFonts w:ascii="Arial" w:hAnsi="Arial" w:cs="Arial"/>
                <w:sz w:val="16"/>
                <w:szCs w:val="16"/>
              </w:rPr>
              <w:t>3485</w:t>
            </w:r>
          </w:p>
        </w:tc>
        <w:tc>
          <w:tcPr>
            <w:tcW w:w="488" w:type="pct"/>
            <w:vAlign w:val="center"/>
          </w:tcPr>
          <w:p w:rsidRPr="00E61C12" w:rsidR="00E61C12" w:rsidP="00E61C12" w:rsidRDefault="008A7A4A" w14:paraId="27FC70EB" w14:textId="4600BCA2">
            <w:pPr>
              <w:pStyle w:val="NoSpacing"/>
              <w:jc w:val="both"/>
              <w:rPr>
                <w:rFonts w:ascii="Arial" w:hAnsi="Arial" w:cs="Arial"/>
                <w:sz w:val="16"/>
                <w:szCs w:val="16"/>
              </w:rPr>
            </w:pPr>
            <w:r>
              <w:rPr>
                <w:rFonts w:ascii="Arial" w:hAnsi="Arial" w:cs="Arial"/>
                <w:sz w:val="16"/>
                <w:szCs w:val="16"/>
              </w:rPr>
              <w:t>2488</w:t>
            </w:r>
          </w:p>
        </w:tc>
        <w:tc>
          <w:tcPr>
            <w:tcW w:w="524" w:type="pct"/>
            <w:vAlign w:val="center"/>
          </w:tcPr>
          <w:p w:rsidRPr="00E61C12" w:rsidR="00E61C12" w:rsidP="00E61C12" w:rsidRDefault="008A7A4A" w14:paraId="1A84A351" w14:textId="08549312">
            <w:pPr>
              <w:pStyle w:val="NoSpacing"/>
              <w:jc w:val="both"/>
              <w:rPr>
                <w:rFonts w:ascii="Arial" w:hAnsi="Arial" w:cs="Arial"/>
                <w:sz w:val="16"/>
                <w:szCs w:val="16"/>
              </w:rPr>
            </w:pPr>
            <w:r>
              <w:rPr>
                <w:rFonts w:ascii="Arial" w:hAnsi="Arial" w:cs="Arial"/>
                <w:sz w:val="16"/>
                <w:szCs w:val="16"/>
              </w:rPr>
              <w:t>-2</w:t>
            </w:r>
          </w:p>
        </w:tc>
        <w:tc>
          <w:tcPr>
            <w:tcW w:w="579" w:type="pct"/>
          </w:tcPr>
          <w:p w:rsidR="0063115B" w:rsidP="0063115B" w:rsidRDefault="008A7A4A" w14:paraId="4DEC38B6" w14:textId="6CA0C4EE">
            <w:pPr>
              <w:jc w:val="both"/>
              <w:rPr>
                <w:rFonts w:ascii="Arial" w:hAnsi="Arial" w:cs="Arial"/>
                <w:color w:val="000000"/>
                <w:sz w:val="16"/>
                <w:szCs w:val="16"/>
              </w:rPr>
            </w:pPr>
            <w:r>
              <w:rPr>
                <w:rFonts w:ascii="Arial" w:hAnsi="Arial" w:cs="Arial"/>
                <w:color w:val="000000"/>
                <w:sz w:val="16"/>
                <w:szCs w:val="16"/>
              </w:rPr>
              <w:t>2486</w:t>
            </w:r>
          </w:p>
          <w:p w:rsidRPr="00E61C12" w:rsidR="00E61C12" w:rsidP="00E61C12" w:rsidRDefault="00E61C12" w14:paraId="6D7A19E3" w14:textId="5473647C">
            <w:pPr>
              <w:pStyle w:val="NoSpacing"/>
              <w:jc w:val="both"/>
              <w:rPr>
                <w:rFonts w:ascii="Arial" w:hAnsi="Arial" w:cs="Arial"/>
                <w:sz w:val="16"/>
                <w:szCs w:val="16"/>
              </w:rPr>
            </w:pPr>
          </w:p>
        </w:tc>
      </w:tr>
    </w:tbl>
    <w:p w:rsidR="00E712EF" w:rsidP="00215951" w:rsidRDefault="00E712EF" w14:paraId="354830E7" w14:textId="77777777">
      <w:pPr>
        <w:pStyle w:val="NoSpacing"/>
        <w:jc w:val="both"/>
      </w:pPr>
    </w:p>
    <w:p w:rsidR="00E712EF" w:rsidP="00215951" w:rsidRDefault="00E712EF" w14:paraId="2D88D94C" w14:textId="77777777">
      <w:pPr>
        <w:pStyle w:val="NoSpacing"/>
        <w:jc w:val="both"/>
      </w:pPr>
    </w:p>
    <w:tbl>
      <w:tblPr>
        <w:tblStyle w:val="TableGrid"/>
        <w:tblW w:w="0" w:type="auto"/>
        <w:tblLook w:val="04A0" w:firstRow="1" w:lastRow="0" w:firstColumn="1" w:lastColumn="0" w:noHBand="0" w:noVBand="1"/>
      </w:tblPr>
      <w:tblGrid>
        <w:gridCol w:w="2734"/>
        <w:gridCol w:w="1481"/>
        <w:gridCol w:w="1482"/>
        <w:gridCol w:w="1372"/>
      </w:tblGrid>
      <w:tr w:rsidRPr="00073485" w:rsidR="00E712EF" w:rsidTr="00D6093F" w14:paraId="3AB21183" w14:textId="77777777">
        <w:trPr>
          <w:trHeight w:val="692"/>
        </w:trPr>
        <w:tc>
          <w:tcPr>
            <w:tcW w:w="2734" w:type="dxa"/>
          </w:tcPr>
          <w:p w:rsidRPr="00073485" w:rsidR="00E712EF" w:rsidP="003B2D13" w:rsidRDefault="00E712EF" w14:paraId="7605167E" w14:textId="77777777">
            <w:pPr>
              <w:pStyle w:val="NoSpacing"/>
              <w:rPr>
                <w:b/>
              </w:rPr>
            </w:pPr>
            <w:r w:rsidRPr="00073485">
              <w:rPr>
                <w:b/>
              </w:rPr>
              <w:t>IC Item</w:t>
            </w:r>
          </w:p>
        </w:tc>
        <w:tc>
          <w:tcPr>
            <w:tcW w:w="1481" w:type="dxa"/>
          </w:tcPr>
          <w:p w:rsidRPr="00073485" w:rsidR="00E712EF" w:rsidP="003B2D13" w:rsidRDefault="00E712EF" w14:paraId="3C3CD077" w14:textId="0BB77D0C">
            <w:pPr>
              <w:pStyle w:val="NoSpacing"/>
              <w:rPr>
                <w:b/>
              </w:rPr>
            </w:pPr>
            <w:r w:rsidRPr="00073485">
              <w:rPr>
                <w:b/>
              </w:rPr>
              <w:t xml:space="preserve">Current </w:t>
            </w:r>
            <w:r w:rsidR="00844471">
              <w:rPr>
                <w:b/>
              </w:rPr>
              <w:t xml:space="preserve">Non-Hourly </w:t>
            </w:r>
            <w:r w:rsidRPr="00073485">
              <w:rPr>
                <w:b/>
              </w:rPr>
              <w:t>Cost</w:t>
            </w:r>
          </w:p>
        </w:tc>
        <w:tc>
          <w:tcPr>
            <w:tcW w:w="1482" w:type="dxa"/>
          </w:tcPr>
          <w:p w:rsidRPr="00073485" w:rsidR="00E712EF" w:rsidP="003B2D13" w:rsidRDefault="00E712EF" w14:paraId="04164644" w14:textId="2F36BDD6">
            <w:pPr>
              <w:pStyle w:val="NoSpacing"/>
              <w:rPr>
                <w:b/>
                <w:u w:val="single"/>
              </w:rPr>
            </w:pPr>
            <w:r w:rsidRPr="00073485">
              <w:rPr>
                <w:b/>
              </w:rPr>
              <w:t xml:space="preserve">Changes in </w:t>
            </w:r>
            <w:r w:rsidR="00844471">
              <w:rPr>
                <w:b/>
              </w:rPr>
              <w:t xml:space="preserve">Non-Hourly </w:t>
            </w:r>
            <w:r w:rsidRPr="00073485">
              <w:rPr>
                <w:b/>
              </w:rPr>
              <w:t>Cost</w:t>
            </w:r>
          </w:p>
        </w:tc>
        <w:tc>
          <w:tcPr>
            <w:tcW w:w="1372" w:type="dxa"/>
          </w:tcPr>
          <w:p w:rsidRPr="00073485" w:rsidR="00E712EF" w:rsidP="003B2D13" w:rsidRDefault="00E712EF" w14:paraId="65925ACB" w14:textId="12A23F68">
            <w:pPr>
              <w:pStyle w:val="NoSpacing"/>
              <w:rPr>
                <w:b/>
                <w:u w:val="single"/>
              </w:rPr>
            </w:pPr>
            <w:r w:rsidRPr="00073485">
              <w:rPr>
                <w:b/>
              </w:rPr>
              <w:t xml:space="preserve">Proposed </w:t>
            </w:r>
            <w:r w:rsidR="00844471">
              <w:rPr>
                <w:b/>
              </w:rPr>
              <w:t xml:space="preserve">Non-Hourly </w:t>
            </w:r>
            <w:r w:rsidRPr="00073485">
              <w:rPr>
                <w:b/>
              </w:rPr>
              <w:t>Cost</w:t>
            </w:r>
          </w:p>
        </w:tc>
      </w:tr>
      <w:tr w:rsidRPr="00073485" w:rsidR="00082283" w:rsidTr="00076FFF" w14:paraId="1E1ACC01" w14:textId="77777777">
        <w:tc>
          <w:tcPr>
            <w:tcW w:w="2734" w:type="dxa"/>
            <w:vAlign w:val="center"/>
          </w:tcPr>
          <w:p w:rsidRPr="00073485" w:rsidR="00082283" w:rsidP="00082283" w:rsidRDefault="00082283" w14:paraId="5C569A6A" w14:textId="0580B96B">
            <w:pPr>
              <w:pStyle w:val="NoSpacing"/>
              <w:rPr>
                <w:b/>
              </w:rPr>
            </w:pPr>
            <w:r>
              <w:rPr>
                <w:rFonts w:ascii="Arial" w:hAnsi="Arial"/>
                <w:sz w:val="16"/>
              </w:rPr>
              <w:t xml:space="preserve">Letter of Protest </w:t>
            </w:r>
          </w:p>
        </w:tc>
        <w:tc>
          <w:tcPr>
            <w:tcW w:w="1481" w:type="dxa"/>
          </w:tcPr>
          <w:p w:rsidRPr="002A6E33" w:rsidR="00082283" w:rsidP="00082283" w:rsidRDefault="002A6E33" w14:paraId="016ECDD2" w14:textId="0B6ACB51">
            <w:pPr>
              <w:pStyle w:val="NoSpacing"/>
              <w:rPr>
                <w:rFonts w:ascii="Arial" w:hAnsi="Arial" w:cs="Arial"/>
                <w:sz w:val="16"/>
                <w:szCs w:val="16"/>
              </w:rPr>
            </w:pPr>
            <w:r w:rsidRPr="002A6E33">
              <w:rPr>
                <w:rFonts w:ascii="Arial" w:hAnsi="Arial" w:cs="Arial"/>
                <w:sz w:val="16"/>
                <w:szCs w:val="16"/>
              </w:rPr>
              <w:t>5.00</w:t>
            </w:r>
          </w:p>
        </w:tc>
        <w:tc>
          <w:tcPr>
            <w:tcW w:w="1482" w:type="dxa"/>
          </w:tcPr>
          <w:p w:rsidRPr="002A6E33" w:rsidR="00082283" w:rsidP="00D6093F" w:rsidRDefault="008A7A4A" w14:paraId="12DAA7B1" w14:textId="6C1CB61E">
            <w:pPr>
              <w:pStyle w:val="NoSpacing"/>
              <w:rPr>
                <w:rFonts w:ascii="Arial" w:hAnsi="Arial" w:cs="Arial"/>
                <w:sz w:val="16"/>
                <w:szCs w:val="16"/>
              </w:rPr>
            </w:pPr>
            <w:r>
              <w:rPr>
                <w:rFonts w:ascii="Arial" w:hAnsi="Arial" w:cs="Arial"/>
                <w:sz w:val="16"/>
                <w:szCs w:val="16"/>
              </w:rPr>
              <w:t>-2</w:t>
            </w:r>
          </w:p>
        </w:tc>
        <w:tc>
          <w:tcPr>
            <w:tcW w:w="1372" w:type="dxa"/>
          </w:tcPr>
          <w:p w:rsidRPr="002A6E33" w:rsidR="00082283" w:rsidP="00082283" w:rsidRDefault="008A7A4A" w14:paraId="695FDFD5" w14:textId="03694F27">
            <w:pPr>
              <w:pStyle w:val="NoSpacing"/>
              <w:rPr>
                <w:rFonts w:ascii="Arial" w:hAnsi="Arial" w:cs="Arial"/>
                <w:sz w:val="16"/>
                <w:szCs w:val="16"/>
              </w:rPr>
            </w:pPr>
            <w:r>
              <w:rPr>
                <w:rFonts w:ascii="Arial" w:hAnsi="Arial" w:cs="Arial"/>
                <w:sz w:val="16"/>
                <w:szCs w:val="16"/>
              </w:rPr>
              <w:t>3</w:t>
            </w:r>
          </w:p>
        </w:tc>
      </w:tr>
      <w:tr w:rsidRPr="00073485" w:rsidR="00082283" w:rsidTr="003B2D13" w14:paraId="554C102E" w14:textId="77777777">
        <w:tc>
          <w:tcPr>
            <w:tcW w:w="2734" w:type="dxa"/>
          </w:tcPr>
          <w:p w:rsidRPr="00073485" w:rsidR="00082283" w:rsidP="00082283" w:rsidRDefault="00082283" w14:paraId="0371C822" w14:textId="19BB5E24">
            <w:pPr>
              <w:pStyle w:val="NoSpacing"/>
              <w:rPr>
                <w:b/>
              </w:rPr>
            </w:pPr>
            <w:r>
              <w:rPr>
                <w:b/>
              </w:rPr>
              <w:t>Total</w:t>
            </w:r>
          </w:p>
        </w:tc>
        <w:tc>
          <w:tcPr>
            <w:tcW w:w="1481" w:type="dxa"/>
          </w:tcPr>
          <w:p w:rsidRPr="00073485" w:rsidR="00082283" w:rsidP="00082283" w:rsidRDefault="00082283" w14:paraId="3F176298" w14:textId="77777777">
            <w:pPr>
              <w:pStyle w:val="NoSpacing"/>
              <w:rPr>
                <w:b/>
              </w:rPr>
            </w:pPr>
          </w:p>
        </w:tc>
        <w:tc>
          <w:tcPr>
            <w:tcW w:w="1482" w:type="dxa"/>
          </w:tcPr>
          <w:p w:rsidRPr="00073485" w:rsidR="00082283" w:rsidP="00082283" w:rsidRDefault="00082283" w14:paraId="7F2E3B6E" w14:textId="77777777">
            <w:pPr>
              <w:pStyle w:val="NoSpacing"/>
              <w:rPr>
                <w:b/>
              </w:rPr>
            </w:pPr>
          </w:p>
        </w:tc>
        <w:tc>
          <w:tcPr>
            <w:tcW w:w="1372" w:type="dxa"/>
          </w:tcPr>
          <w:p w:rsidRPr="00073485" w:rsidR="00082283" w:rsidP="00082283" w:rsidRDefault="008A7A4A" w14:paraId="2BAADF7A" w14:textId="5A133CC1">
            <w:pPr>
              <w:pStyle w:val="NoSpacing"/>
              <w:rPr>
                <w:b/>
              </w:rPr>
            </w:pPr>
            <w:r>
              <w:rPr>
                <w:b/>
              </w:rPr>
              <w:t>3</w:t>
            </w:r>
          </w:p>
        </w:tc>
      </w:tr>
    </w:tbl>
    <w:p w:rsidR="00E712EF" w:rsidP="00215951" w:rsidRDefault="00E712EF" w14:paraId="62158BC7" w14:textId="77777777">
      <w:pPr>
        <w:pStyle w:val="NoSpacing"/>
        <w:jc w:val="both"/>
      </w:pPr>
    </w:p>
    <w:p w:rsidR="00E712EF" w:rsidP="00215951" w:rsidRDefault="00E712EF" w14:paraId="6FA02DAD" w14:textId="77777777">
      <w:pPr>
        <w:pStyle w:val="NoSpacing"/>
        <w:jc w:val="both"/>
      </w:pPr>
    </w:p>
    <w:p w:rsidR="00215951" w:rsidP="00215951" w:rsidRDefault="00215951" w14:paraId="6F0544A0" w14:textId="77777777">
      <w:pPr>
        <w:pStyle w:val="NoSpacing"/>
        <w:jc w:val="both"/>
      </w:pPr>
      <w:r>
        <w:rPr>
          <w:u w:val="single"/>
        </w:rPr>
        <w:t>Summary of Changes</w:t>
      </w:r>
    </w:p>
    <w:p w:rsidR="00215951" w:rsidP="00215951" w:rsidRDefault="00215951" w14:paraId="382694DA" w14:textId="77777777">
      <w:pPr>
        <w:pStyle w:val="NoSpacing"/>
        <w:jc w:val="both"/>
      </w:pPr>
    </w:p>
    <w:p w:rsidR="00215951" w:rsidP="00215951" w:rsidRDefault="00215951" w14:paraId="3B294A3C" w14:textId="7649ED75">
      <w:pPr>
        <w:pStyle w:val="NoSpacing"/>
        <w:jc w:val="both"/>
      </w:pPr>
      <w:r>
        <w:t xml:space="preserve">The postage costs will be </w:t>
      </w:r>
      <w:r w:rsidR="00844471">
        <w:t xml:space="preserve">reduced in </w:t>
      </w:r>
      <w:r>
        <w:t>this collection, resulting in a decrease of $</w:t>
      </w:r>
      <w:r w:rsidR="00844471">
        <w:t>2</w:t>
      </w:r>
      <w:r>
        <w:t xml:space="preserve"> to the annual (non-hourly) cost burden.</w:t>
      </w:r>
    </w:p>
    <w:p w:rsidR="00215951" w:rsidP="00215951" w:rsidRDefault="00215951" w14:paraId="3A11ADDF" w14:textId="77777777">
      <w:pPr>
        <w:pStyle w:val="NoSpacing"/>
        <w:jc w:val="both"/>
      </w:pPr>
    </w:p>
    <w:p w:rsidR="00215951" w:rsidP="00215951" w:rsidRDefault="00215951" w14:paraId="53482831" w14:textId="77777777">
      <w:pPr>
        <w:pStyle w:val="NoSpacing"/>
        <w:jc w:val="both"/>
      </w:pPr>
      <w:r>
        <w:rPr>
          <w:u w:val="single"/>
        </w:rPr>
        <w:t>Changes in Burden</w:t>
      </w:r>
    </w:p>
    <w:p w:rsidR="00215951" w:rsidP="00215951" w:rsidRDefault="00215951" w14:paraId="123AB406" w14:textId="77777777">
      <w:pPr>
        <w:pStyle w:val="NoSpacing"/>
        <w:jc w:val="both"/>
      </w:pPr>
    </w:p>
    <w:tbl>
      <w:tblPr>
        <w:tblStyle w:val="TableGrid"/>
        <w:tblW w:w="0" w:type="auto"/>
        <w:tblLook w:val="04A0" w:firstRow="1" w:lastRow="0" w:firstColumn="1" w:lastColumn="0" w:noHBand="0" w:noVBand="1"/>
      </w:tblPr>
      <w:tblGrid>
        <w:gridCol w:w="2337"/>
        <w:gridCol w:w="2337"/>
        <w:gridCol w:w="2338"/>
        <w:gridCol w:w="2338"/>
      </w:tblGrid>
      <w:tr w:rsidRPr="00F90757" w:rsidR="00673FEF" w:rsidTr="00B2439A" w14:paraId="3173DCC9" w14:textId="77777777">
        <w:tc>
          <w:tcPr>
            <w:tcW w:w="2337" w:type="dxa"/>
            <w:vAlign w:val="center"/>
          </w:tcPr>
          <w:p w:rsidRPr="00F90757" w:rsidR="00673FEF" w:rsidP="00B2439A" w:rsidRDefault="00673FEF" w14:paraId="19FC6A44" w14:textId="77777777">
            <w:pPr>
              <w:pStyle w:val="NoSpacing"/>
              <w:jc w:val="center"/>
              <w:rPr>
                <w:b/>
              </w:rPr>
            </w:pPr>
            <w:r>
              <w:rPr>
                <w:b/>
              </w:rPr>
              <w:t>Burden Type</w:t>
            </w:r>
          </w:p>
        </w:tc>
        <w:tc>
          <w:tcPr>
            <w:tcW w:w="2337" w:type="dxa"/>
            <w:vAlign w:val="center"/>
          </w:tcPr>
          <w:p w:rsidRPr="00F90757" w:rsidR="00673FEF" w:rsidP="00B2439A" w:rsidRDefault="00673FEF" w14:paraId="038578C4" w14:textId="77777777">
            <w:pPr>
              <w:pStyle w:val="NoSpacing"/>
              <w:jc w:val="center"/>
              <w:rPr>
                <w:b/>
              </w:rPr>
            </w:pPr>
            <w:r>
              <w:rPr>
                <w:b/>
              </w:rPr>
              <w:t>Currently Approved</w:t>
            </w:r>
          </w:p>
        </w:tc>
        <w:tc>
          <w:tcPr>
            <w:tcW w:w="2338" w:type="dxa"/>
            <w:vAlign w:val="center"/>
          </w:tcPr>
          <w:p w:rsidRPr="00F90757" w:rsidR="00673FEF" w:rsidP="00B2439A" w:rsidRDefault="00673FEF" w14:paraId="3276A450" w14:textId="77777777">
            <w:pPr>
              <w:pStyle w:val="NoSpacing"/>
              <w:jc w:val="center"/>
              <w:rPr>
                <w:b/>
              </w:rPr>
            </w:pPr>
            <w:r>
              <w:rPr>
                <w:b/>
              </w:rPr>
              <w:t xml:space="preserve">Proposed </w:t>
            </w:r>
          </w:p>
        </w:tc>
        <w:tc>
          <w:tcPr>
            <w:tcW w:w="2338" w:type="dxa"/>
            <w:vAlign w:val="center"/>
          </w:tcPr>
          <w:p w:rsidRPr="00F90757" w:rsidR="00673FEF" w:rsidP="00B2439A" w:rsidRDefault="00673FEF" w14:paraId="0C8A51E1" w14:textId="77777777">
            <w:pPr>
              <w:pStyle w:val="NoSpacing"/>
              <w:jc w:val="center"/>
              <w:rPr>
                <w:b/>
              </w:rPr>
            </w:pPr>
            <w:r>
              <w:rPr>
                <w:b/>
              </w:rPr>
              <w:t>New Estimate</w:t>
            </w:r>
          </w:p>
        </w:tc>
      </w:tr>
      <w:tr w:rsidRPr="00BC0E48" w:rsidR="00673FEF" w:rsidTr="00B2439A" w14:paraId="65237537" w14:textId="77777777">
        <w:tc>
          <w:tcPr>
            <w:tcW w:w="2337" w:type="dxa"/>
            <w:vAlign w:val="center"/>
          </w:tcPr>
          <w:p w:rsidR="00673FEF" w:rsidP="00B2439A" w:rsidRDefault="00673FEF" w14:paraId="44E9DFC3" w14:textId="77777777">
            <w:pPr>
              <w:pStyle w:val="NoSpacing"/>
            </w:pPr>
            <w:r>
              <w:lastRenderedPageBreak/>
              <w:t>Annual Respondent</w:t>
            </w:r>
          </w:p>
        </w:tc>
        <w:tc>
          <w:tcPr>
            <w:tcW w:w="2337" w:type="dxa"/>
            <w:vAlign w:val="center"/>
          </w:tcPr>
          <w:p w:rsidRPr="00BC0E48" w:rsidR="00673FEF" w:rsidP="00B2439A" w:rsidRDefault="00673FEF" w14:paraId="5B3A2663" w14:textId="29A0FF00">
            <w:pPr>
              <w:pStyle w:val="NoSpacing"/>
              <w:jc w:val="right"/>
            </w:pPr>
            <w:r>
              <w:rPr>
                <w:color w:val="000000"/>
              </w:rPr>
              <w:t>4,768</w:t>
            </w:r>
          </w:p>
        </w:tc>
        <w:tc>
          <w:tcPr>
            <w:tcW w:w="2338" w:type="dxa"/>
            <w:vAlign w:val="center"/>
          </w:tcPr>
          <w:p w:rsidRPr="00BC0E48" w:rsidR="00673FEF" w:rsidP="00B2439A" w:rsidRDefault="008A7A4A" w14:paraId="60DF890B" w14:textId="3F7A8516">
            <w:pPr>
              <w:pStyle w:val="NoSpacing"/>
              <w:jc w:val="right"/>
            </w:pPr>
            <w:r>
              <w:t>-0</w:t>
            </w:r>
          </w:p>
        </w:tc>
        <w:tc>
          <w:tcPr>
            <w:tcW w:w="2338" w:type="dxa"/>
            <w:vAlign w:val="center"/>
          </w:tcPr>
          <w:p w:rsidRPr="00BC0E48" w:rsidR="00673FEF" w:rsidP="00673FEF" w:rsidRDefault="008A7A4A" w14:paraId="7A99461B" w14:textId="1F8BA49F">
            <w:pPr>
              <w:pStyle w:val="NoSpacing"/>
              <w:jc w:val="right"/>
            </w:pPr>
            <w:r>
              <w:rPr>
                <w:color w:val="000000"/>
              </w:rPr>
              <w:t>4,768</w:t>
            </w:r>
          </w:p>
        </w:tc>
      </w:tr>
      <w:tr w:rsidR="00673FEF" w:rsidTr="00B2439A" w14:paraId="2AEB1B03" w14:textId="77777777">
        <w:tc>
          <w:tcPr>
            <w:tcW w:w="2337" w:type="dxa"/>
            <w:vAlign w:val="center"/>
          </w:tcPr>
          <w:p w:rsidR="00673FEF" w:rsidP="00B2439A" w:rsidRDefault="00673FEF" w14:paraId="1C549F1E" w14:textId="77777777">
            <w:pPr>
              <w:pStyle w:val="NoSpacing"/>
            </w:pPr>
            <w:r>
              <w:t xml:space="preserve">Annual hour burden </w:t>
            </w:r>
          </w:p>
        </w:tc>
        <w:tc>
          <w:tcPr>
            <w:tcW w:w="2337" w:type="dxa"/>
            <w:vAlign w:val="center"/>
          </w:tcPr>
          <w:p w:rsidR="00673FEF" w:rsidP="00B2439A" w:rsidRDefault="00673FEF" w14:paraId="7568F718" w14:textId="2EC46522">
            <w:pPr>
              <w:pStyle w:val="NoSpacing"/>
              <w:jc w:val="right"/>
            </w:pPr>
            <w:r>
              <w:rPr>
                <w:color w:val="000000"/>
              </w:rPr>
              <w:t>4,336</w:t>
            </w:r>
          </w:p>
        </w:tc>
        <w:tc>
          <w:tcPr>
            <w:tcW w:w="2338" w:type="dxa"/>
            <w:vAlign w:val="center"/>
          </w:tcPr>
          <w:p w:rsidR="00673FEF" w:rsidP="00C604EF" w:rsidRDefault="00673FEF" w14:paraId="56DC5292" w14:textId="538D1688">
            <w:pPr>
              <w:pStyle w:val="NoSpacing"/>
              <w:jc w:val="right"/>
            </w:pPr>
            <w:r>
              <w:t>-</w:t>
            </w:r>
            <w:r w:rsidR="008A7A4A">
              <w:t>2</w:t>
            </w:r>
          </w:p>
        </w:tc>
        <w:tc>
          <w:tcPr>
            <w:tcW w:w="2338" w:type="dxa"/>
            <w:vAlign w:val="center"/>
          </w:tcPr>
          <w:p w:rsidR="00673FEF" w:rsidP="00C604EF" w:rsidRDefault="008A7A4A" w14:paraId="5D5898CF" w14:textId="75ED71B6">
            <w:pPr>
              <w:pStyle w:val="NoSpacing"/>
              <w:jc w:val="right"/>
            </w:pPr>
            <w:r>
              <w:rPr>
                <w:color w:val="000000"/>
              </w:rPr>
              <w:t>4,334</w:t>
            </w:r>
          </w:p>
        </w:tc>
      </w:tr>
      <w:tr w:rsidR="00673FEF" w:rsidTr="00B2439A" w14:paraId="6DE37B4D" w14:textId="77777777">
        <w:tc>
          <w:tcPr>
            <w:tcW w:w="2337" w:type="dxa"/>
            <w:vAlign w:val="center"/>
          </w:tcPr>
          <w:p w:rsidR="00673FEF" w:rsidP="00B2439A" w:rsidRDefault="00673FEF" w14:paraId="18780574" w14:textId="77777777">
            <w:pPr>
              <w:pStyle w:val="NoSpacing"/>
            </w:pPr>
            <w:r>
              <w:t>Annual (non-hourly) cost burden</w:t>
            </w:r>
          </w:p>
        </w:tc>
        <w:tc>
          <w:tcPr>
            <w:tcW w:w="2337" w:type="dxa"/>
            <w:vAlign w:val="center"/>
          </w:tcPr>
          <w:p w:rsidR="00673FEF" w:rsidP="00B2439A" w:rsidRDefault="00673FEF" w14:paraId="4F75F1EE" w14:textId="26D732F9">
            <w:pPr>
              <w:pStyle w:val="NoSpacing"/>
              <w:jc w:val="right"/>
            </w:pPr>
            <w:r>
              <w:t>$</w:t>
            </w:r>
            <w:r>
              <w:rPr>
                <w:color w:val="000000"/>
              </w:rPr>
              <w:t>53,510</w:t>
            </w:r>
          </w:p>
        </w:tc>
        <w:tc>
          <w:tcPr>
            <w:tcW w:w="2338" w:type="dxa"/>
            <w:vAlign w:val="center"/>
          </w:tcPr>
          <w:p w:rsidR="00673FEF" w:rsidP="008A7A4A" w:rsidRDefault="00673FEF" w14:paraId="7ACF198A" w14:textId="122405CD">
            <w:pPr>
              <w:pStyle w:val="NoSpacing"/>
              <w:jc w:val="right"/>
            </w:pPr>
            <w:r w:rsidRPr="008811D8">
              <w:t>-</w:t>
            </w:r>
            <w:r>
              <w:t>$</w:t>
            </w:r>
            <w:r w:rsidR="008A7A4A">
              <w:t>2</w:t>
            </w:r>
          </w:p>
        </w:tc>
        <w:tc>
          <w:tcPr>
            <w:tcW w:w="2338" w:type="dxa"/>
            <w:vAlign w:val="center"/>
          </w:tcPr>
          <w:p w:rsidR="00673FEF" w:rsidP="00673FEF" w:rsidRDefault="008A7A4A" w14:paraId="7613BA6A" w14:textId="17558919">
            <w:pPr>
              <w:pStyle w:val="NoSpacing"/>
              <w:jc w:val="right"/>
            </w:pPr>
            <w:r>
              <w:t>$53,508</w:t>
            </w:r>
          </w:p>
        </w:tc>
      </w:tr>
    </w:tbl>
    <w:p w:rsidR="00215951" w:rsidP="00215951" w:rsidRDefault="00215951" w14:paraId="39FCCCDB" w14:textId="77777777">
      <w:pPr>
        <w:pStyle w:val="NoSpacing"/>
        <w:jc w:val="both"/>
      </w:pPr>
    </w:p>
    <w:p w:rsidR="00215951" w:rsidP="00215951" w:rsidRDefault="00215951" w14:paraId="324BBC3C" w14:textId="77777777">
      <w:pPr>
        <w:pStyle w:val="NoSpacing"/>
        <w:jc w:val="both"/>
      </w:pPr>
      <w:r>
        <w:t>0651-0061’s revised total burden is as follows:</w:t>
      </w:r>
    </w:p>
    <w:p w:rsidR="00215951" w:rsidP="00215951" w:rsidRDefault="00215951" w14:paraId="1E811900" w14:textId="77777777">
      <w:pPr>
        <w:pStyle w:val="NoSpacing"/>
        <w:jc w:val="both"/>
      </w:pPr>
    </w:p>
    <w:p w:rsidRPr="003319E2" w:rsidR="003319E2" w:rsidP="00215951" w:rsidRDefault="003319E2" w14:paraId="1A5DCBDC" w14:textId="3B836110">
      <w:pPr>
        <w:pStyle w:val="NoSpacing"/>
        <w:numPr>
          <w:ilvl w:val="0"/>
          <w:numId w:val="1"/>
        </w:numPr>
        <w:jc w:val="both"/>
      </w:pPr>
      <w:r>
        <w:rPr>
          <w:color w:val="000000"/>
        </w:rPr>
        <w:t>4,7</w:t>
      </w:r>
      <w:r w:rsidR="008A7A4A">
        <w:rPr>
          <w:color w:val="000000"/>
        </w:rPr>
        <w:t>68</w:t>
      </w:r>
      <w:r>
        <w:rPr>
          <w:color w:val="000000"/>
        </w:rPr>
        <w:t xml:space="preserve"> annual respondents </w:t>
      </w:r>
      <w:bookmarkStart w:name="_GoBack" w:id="0"/>
      <w:bookmarkEnd w:id="0"/>
    </w:p>
    <w:p w:rsidR="003319E2" w:rsidP="003319E2" w:rsidRDefault="008A7A4A" w14:paraId="542B6CEC" w14:textId="74655066">
      <w:pPr>
        <w:pStyle w:val="NoSpacing"/>
        <w:numPr>
          <w:ilvl w:val="0"/>
          <w:numId w:val="1"/>
        </w:numPr>
        <w:jc w:val="both"/>
      </w:pPr>
      <w:r>
        <w:t>4,334</w:t>
      </w:r>
      <w:r w:rsidR="000C626F">
        <w:t xml:space="preserve"> annual hour burden</w:t>
      </w:r>
    </w:p>
    <w:p w:rsidRPr="00F90757" w:rsidR="00215951" w:rsidP="00215951" w:rsidRDefault="00215951" w14:paraId="59A8C840" w14:textId="2D90B52F">
      <w:pPr>
        <w:pStyle w:val="NoSpacing"/>
        <w:numPr>
          <w:ilvl w:val="0"/>
          <w:numId w:val="1"/>
        </w:numPr>
        <w:jc w:val="both"/>
      </w:pPr>
      <w:r>
        <w:t>$</w:t>
      </w:r>
      <w:r w:rsidR="008A7A4A">
        <w:t>53,508</w:t>
      </w:r>
      <w:r w:rsidR="003319E2">
        <w:t xml:space="preserve"> </w:t>
      </w:r>
      <w:r>
        <w:t>in annual (non-hourly) cost burden</w:t>
      </w:r>
    </w:p>
    <w:p w:rsidRPr="00215951" w:rsidR="00215951" w:rsidP="00215951" w:rsidRDefault="00215951" w14:paraId="3B172261" w14:textId="77777777">
      <w:pPr>
        <w:pStyle w:val="NoSpacing"/>
        <w:jc w:val="both"/>
      </w:pPr>
    </w:p>
    <w:sectPr w:rsidRPr="00215951" w:rsidR="00215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78A2"/>
    <w:multiLevelType w:val="hybridMultilevel"/>
    <w:tmpl w:val="8482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51"/>
    <w:rsid w:val="00082283"/>
    <w:rsid w:val="00091C82"/>
    <w:rsid w:val="000C626F"/>
    <w:rsid w:val="00215951"/>
    <w:rsid w:val="002A6E33"/>
    <w:rsid w:val="003319E2"/>
    <w:rsid w:val="004B0AED"/>
    <w:rsid w:val="00516B63"/>
    <w:rsid w:val="0063115B"/>
    <w:rsid w:val="00673FEF"/>
    <w:rsid w:val="006A7F58"/>
    <w:rsid w:val="00844471"/>
    <w:rsid w:val="008A7A4A"/>
    <w:rsid w:val="008E5DC0"/>
    <w:rsid w:val="009A0EDC"/>
    <w:rsid w:val="009A7A80"/>
    <w:rsid w:val="00AB7A76"/>
    <w:rsid w:val="00B90BC1"/>
    <w:rsid w:val="00BA5C0B"/>
    <w:rsid w:val="00C604EF"/>
    <w:rsid w:val="00D6093F"/>
    <w:rsid w:val="00E40A20"/>
    <w:rsid w:val="00E55194"/>
    <w:rsid w:val="00E61C12"/>
    <w:rsid w:val="00E712EF"/>
    <w:rsid w:val="00EA18D1"/>
    <w:rsid w:val="00F9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E0F4"/>
  <w15:docId w15:val="{8A8B2289-D714-4916-A316-0FF233C0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951"/>
    <w:pPr>
      <w:spacing w:after="0" w:line="240" w:lineRule="auto"/>
    </w:pPr>
  </w:style>
  <w:style w:type="table" w:styleId="TableGrid">
    <w:name w:val="Table Grid"/>
    <w:basedOn w:val="TableNormal"/>
    <w:uiPriority w:val="39"/>
    <w:rsid w:val="0021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DC0"/>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E5D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444350">
      <w:bodyDiv w:val="1"/>
      <w:marLeft w:val="0"/>
      <w:marRight w:val="0"/>
      <w:marTop w:val="0"/>
      <w:marBottom w:val="0"/>
      <w:divBdr>
        <w:top w:val="none" w:sz="0" w:space="0" w:color="auto"/>
        <w:left w:val="none" w:sz="0" w:space="0" w:color="auto"/>
        <w:bottom w:val="none" w:sz="0" w:space="0" w:color="auto"/>
        <w:right w:val="none" w:sz="0" w:space="0" w:color="auto"/>
      </w:divBdr>
    </w:div>
    <w:div w:id="20682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Props1.xml><?xml version="1.0" encoding="utf-8"?>
<ds:datastoreItem xmlns:ds="http://schemas.openxmlformats.org/officeDocument/2006/customXml" ds:itemID="{CA745ADF-DEDB-4D10-BE1F-59853644EF36}">
  <ds:schemaRefs>
    <ds:schemaRef ds:uri="http://schemas.microsoft.com/sharepoint/v3/contenttype/forms"/>
  </ds:schemaRefs>
</ds:datastoreItem>
</file>

<file path=customXml/itemProps2.xml><?xml version="1.0" encoding="utf-8"?>
<ds:datastoreItem xmlns:ds="http://schemas.openxmlformats.org/officeDocument/2006/customXml" ds:itemID="{B29DE012-DF19-4E2E-B3F8-5EE57DDD3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05BB0-D8B5-4C99-BDA1-CB49E6E8E522}">
  <ds:schemaRefs>
    <ds:schemaRef ds:uri="http://schemas.microsoft.com/office/2006/documentManagement/types"/>
    <ds:schemaRef ds:uri="5DFC53CF-7C17-4489-98AB-5F87C96333B9"/>
    <ds:schemaRef ds:uri="http://purl.org/dc/terms/"/>
    <ds:schemaRef ds:uri="http://purl.org/dc/elements/1.1/"/>
    <ds:schemaRef ds:uri="http://purl.org/dc/dcmitype/"/>
    <ds:schemaRef ds:uri="e85de8a9-5cd3-41fe-a1a0-70bc17107555"/>
    <ds:schemaRef ds:uri="E85DE8A9-5CD3-41FE-A1A0-70BC17107555"/>
    <ds:schemaRef ds:uri="5dfc53cf-7c17-4489-98ab-5f87c96333b9"/>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Ameyedowo, Barbara (AMBIT)</cp:lastModifiedBy>
  <cp:revision>2</cp:revision>
  <dcterms:created xsi:type="dcterms:W3CDTF">2020-01-28T20:16:00Z</dcterms:created>
  <dcterms:modified xsi:type="dcterms:W3CDTF">2020-01-28T20:16:00Z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