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5B4" w:rsidRDefault="00EB55B4">
      <w:pPr>
        <w:jc w:val="center"/>
      </w:pPr>
      <w:bookmarkStart w:id="0" w:name="_GoBack"/>
      <w:bookmarkEnd w:id="0"/>
      <w:r>
        <w:t>United States Department of Justice</w:t>
      </w:r>
    </w:p>
    <w:p w:rsidR="00EB55B4" w:rsidRDefault="00EB55B4">
      <w:pPr>
        <w:jc w:val="center"/>
      </w:pPr>
      <w:r>
        <w:t>Bureau of Alcohol, Tobacco, Firearms and Explosives</w:t>
      </w:r>
    </w:p>
    <w:p w:rsidR="00EB55B4" w:rsidRDefault="00EB55B4">
      <w:pPr>
        <w:jc w:val="center"/>
      </w:pPr>
      <w:r>
        <w:t>Information Collection Request</w:t>
      </w:r>
    </w:p>
    <w:p w:rsidR="00EB55B4" w:rsidRDefault="00EB55B4">
      <w:pPr>
        <w:jc w:val="center"/>
      </w:pPr>
      <w:r>
        <w:t>1140-0055</w:t>
      </w:r>
    </w:p>
    <w:p w:rsidR="00EB55B4" w:rsidRDefault="00EB55B4">
      <w:pPr>
        <w:jc w:val="center"/>
      </w:pPr>
      <w:r>
        <w:t>Identification of Explosive Materials</w:t>
      </w:r>
    </w:p>
    <w:p w:rsidR="00EB55B4" w:rsidRDefault="00EB55B4" w:rsidP="00F344ED">
      <w:pPr>
        <w:spacing w:after="480"/>
        <w:jc w:val="center"/>
      </w:pPr>
      <w:r>
        <w:t>Supporting Statement</w:t>
      </w:r>
    </w:p>
    <w:p w:rsidR="00EB55B4" w:rsidRDefault="00EB55B4" w:rsidP="00FC5467">
      <w:pPr>
        <w:numPr>
          <w:ilvl w:val="0"/>
          <w:numId w:val="27"/>
        </w:numPr>
        <w:spacing w:after="240"/>
      </w:pPr>
      <w:r>
        <w:t>Justification</w:t>
      </w:r>
    </w:p>
    <w:p w:rsidR="00EB55B4" w:rsidRDefault="00711C32" w:rsidP="00FC5467">
      <w:pPr>
        <w:numPr>
          <w:ilvl w:val="1"/>
          <w:numId w:val="27"/>
        </w:numPr>
        <w:tabs>
          <w:tab w:val="left" w:pos="1080"/>
          <w:tab w:val="left" w:pos="1260"/>
        </w:tabs>
        <w:spacing w:after="240"/>
        <w:ind w:left="1080" w:hanging="360"/>
      </w:pPr>
      <w:r>
        <w:t>ATF is responsible</w:t>
      </w:r>
      <w:r w:rsidR="00EB55B4">
        <w:t xml:space="preserve"> for enforcing Title XI of the Organized Crime Control Act of 1970 and the implementing regulations at 27 CFR Part 55</w:t>
      </w:r>
      <w:r w:rsidR="00E57A18">
        <w:t>5</w:t>
      </w:r>
      <w:r w:rsidR="00EB55B4">
        <w:t>. One of the primary purposes of the Act was to reduce the hazards to persons and property arising from misuse of explosives materials.</w:t>
      </w:r>
    </w:p>
    <w:p w:rsidR="00EB55B4" w:rsidRDefault="00EB55B4" w:rsidP="00FC5467">
      <w:pPr>
        <w:spacing w:after="240"/>
        <w:ind w:left="1080"/>
      </w:pPr>
      <w:r>
        <w:t xml:space="preserve">In an effort to protect the public from misuse of explosive materials, ATF requires that explosives manufacturers mark all explosives manufactured with specific information, such as the name of the manufacturer and the </w:t>
      </w:r>
      <w:r w:rsidR="00F344ED">
        <w:t>date and shift of manufacture.</w:t>
      </w:r>
    </w:p>
    <w:p w:rsidR="00EB55B4" w:rsidRDefault="00EB55B4" w:rsidP="00FC5467">
      <w:pPr>
        <w:spacing w:after="240"/>
        <w:ind w:left="1080"/>
      </w:pPr>
      <w:r>
        <w:t>These requirements help ensure that explosive materials can be effectively traced for criminal enforcement purposes. That is, the explosives can be tracked through the records kept by licensees and permittees. This process often provides valuable information in explosion and bombing investigations, and is useful for inspection purposes in verifying inventory and proper conduct of business practices.</w:t>
      </w:r>
    </w:p>
    <w:p w:rsidR="00EB55B4" w:rsidRDefault="00BC621E" w:rsidP="00FC5467">
      <w:pPr>
        <w:numPr>
          <w:ilvl w:val="1"/>
          <w:numId w:val="27"/>
        </w:numPr>
        <w:tabs>
          <w:tab w:val="left" w:pos="1080"/>
        </w:tabs>
        <w:spacing w:after="240"/>
        <w:ind w:left="1080" w:hanging="360"/>
      </w:pPr>
      <w:r>
        <w:t>Each licen</w:t>
      </w:r>
      <w:r w:rsidR="006B41DF">
        <w:t xml:space="preserve">sed manufacturer of explosive materials shall legibly identify by marking all explosive materials he manufacturers for sale or distribution. </w:t>
      </w:r>
      <w:r w:rsidR="00EB55B4">
        <w:t xml:space="preserve">The marking of explosives is used in the process of tracing recovered explosive materials. In furtherance of criminal investigations, the ATF </w:t>
      </w:r>
      <w:r w:rsidR="0048154C">
        <w:t>United States Bomb Data Center</w:t>
      </w:r>
      <w:r w:rsidR="00EB55B4">
        <w:t xml:space="preserve"> conducts explosives traces by contacting the manufacturer of the materials and “tracing” them through successive dealers.</w:t>
      </w:r>
    </w:p>
    <w:p w:rsidR="00EB55B4" w:rsidRDefault="00EB55B4" w:rsidP="00FC5467">
      <w:pPr>
        <w:spacing w:after="240"/>
        <w:ind w:left="1080"/>
      </w:pPr>
      <w:r>
        <w:t>Additionally, ATF inspectors rely on the manufacturer’s markings in the required records to verify inventories and proper conduct of business practices.</w:t>
      </w:r>
    </w:p>
    <w:p w:rsidR="00EB55B4" w:rsidRDefault="00EB55B4" w:rsidP="00FC5467">
      <w:pPr>
        <w:numPr>
          <w:ilvl w:val="1"/>
          <w:numId w:val="27"/>
        </w:numPr>
        <w:spacing w:after="240"/>
        <w:ind w:left="1080" w:hanging="420"/>
      </w:pPr>
      <w:r>
        <w:t>The collection does not involve the use of automated, electronic, mechanical, or other technological collection techniques or other fo</w:t>
      </w:r>
      <w:r w:rsidR="00F344ED">
        <w:t>rms of information technology.</w:t>
      </w:r>
    </w:p>
    <w:p w:rsidR="00EB55B4" w:rsidRDefault="00EB55B4" w:rsidP="00FC5467">
      <w:pPr>
        <w:numPr>
          <w:ilvl w:val="1"/>
          <w:numId w:val="27"/>
        </w:numPr>
        <w:spacing w:after="240"/>
        <w:ind w:left="1080" w:hanging="360"/>
      </w:pPr>
      <w:r>
        <w:t>ATF is not aware of any similar marking requirements for explosive materials. ATF is the only entity charged with enforcing the implementing regulations for this information collection.</w:t>
      </w:r>
    </w:p>
    <w:p w:rsidR="00EB55B4" w:rsidRDefault="00EB55B4" w:rsidP="00FC5467">
      <w:pPr>
        <w:numPr>
          <w:ilvl w:val="1"/>
          <w:numId w:val="27"/>
        </w:numPr>
        <w:spacing w:after="240"/>
        <w:ind w:left="1080" w:hanging="330"/>
      </w:pPr>
      <w:r>
        <w:t>The collection of this information does not have any impact on small business.</w:t>
      </w:r>
    </w:p>
    <w:p w:rsidR="00EB55B4" w:rsidRDefault="00EB55B4" w:rsidP="00FC5467">
      <w:pPr>
        <w:numPr>
          <w:ilvl w:val="1"/>
          <w:numId w:val="27"/>
        </w:numPr>
        <w:spacing w:after="240"/>
        <w:ind w:left="1080" w:hanging="360"/>
      </w:pPr>
      <w:r>
        <w:lastRenderedPageBreak/>
        <w:t>Failure to collect this information would hinder explosive trace efforts for criminal enforcement cases. Additionally, compliance inspection activities, such as inventory verifications for public safety, would be adversely affected.</w:t>
      </w:r>
    </w:p>
    <w:p w:rsidR="00EB55B4" w:rsidRDefault="00EB55B4" w:rsidP="00FC5467">
      <w:pPr>
        <w:numPr>
          <w:ilvl w:val="1"/>
          <w:numId w:val="27"/>
        </w:numPr>
        <w:tabs>
          <w:tab w:val="left" w:pos="1080"/>
        </w:tabs>
        <w:spacing w:after="240"/>
        <w:ind w:left="1080" w:hanging="360"/>
      </w:pPr>
      <w:r>
        <w:t>Respondents are required to report information only as often as necessitated by criminal enforcement or regulatory activities. Respondents are required to record information by the close of the next business day</w:t>
      </w:r>
      <w:r w:rsidR="00E65055">
        <w:t>,</w:t>
      </w:r>
      <w:r>
        <w:t xml:space="preserve"> following the manufacture or receipt of explosive materials. This is to ensure that records are available for t</w:t>
      </w:r>
      <w:r w:rsidR="00711C32">
        <w:t xml:space="preserve">racing or inspection purposes. </w:t>
      </w:r>
      <w:r>
        <w:t xml:space="preserve">Respondents are required to maintain records for 5 years. This is to ensure </w:t>
      </w:r>
      <w:r w:rsidR="00E65055">
        <w:t xml:space="preserve">their </w:t>
      </w:r>
      <w:r>
        <w:t>availability for criminal enforcement (tracing) purposes.</w:t>
      </w:r>
    </w:p>
    <w:p w:rsidR="00EB55B4" w:rsidRDefault="002554C1" w:rsidP="00FC5467">
      <w:pPr>
        <w:numPr>
          <w:ilvl w:val="1"/>
          <w:numId w:val="27"/>
        </w:numPr>
        <w:spacing w:after="240"/>
        <w:ind w:left="1080" w:hanging="360"/>
      </w:pPr>
      <w:r>
        <w:t>No comments were received during</w:t>
      </w:r>
      <w:r w:rsidR="004232B4">
        <w:t xml:space="preserve"> either</w:t>
      </w:r>
      <w:r>
        <w:t xml:space="preserve"> the </w:t>
      </w:r>
      <w:r w:rsidR="00EB55B4">
        <w:t>6</w:t>
      </w:r>
      <w:r w:rsidR="00E57A18">
        <w:t>0-day</w:t>
      </w:r>
      <w:r>
        <w:t xml:space="preserve"> </w:t>
      </w:r>
      <w:r w:rsidR="007F1FDF">
        <w:t>or the 30</w:t>
      </w:r>
      <w:r w:rsidR="004232B4">
        <w:t>-day Federal Register Notice period</w:t>
      </w:r>
      <w:r w:rsidR="00E57A18">
        <w:t>.</w:t>
      </w:r>
    </w:p>
    <w:p w:rsidR="00EB55B4" w:rsidRDefault="00EB55B4" w:rsidP="00FC5467">
      <w:pPr>
        <w:numPr>
          <w:ilvl w:val="1"/>
          <w:numId w:val="27"/>
        </w:numPr>
        <w:spacing w:after="240"/>
        <w:ind w:left="1080" w:hanging="360"/>
      </w:pPr>
      <w:r>
        <w:t>No payment or gift is associated with this information collection.</w:t>
      </w:r>
    </w:p>
    <w:p w:rsidR="00EB55B4" w:rsidRDefault="00711C32" w:rsidP="00FC5467">
      <w:pPr>
        <w:numPr>
          <w:ilvl w:val="1"/>
          <w:numId w:val="27"/>
        </w:numPr>
        <w:tabs>
          <w:tab w:val="left" w:pos="1080"/>
        </w:tabs>
        <w:spacing w:after="240"/>
        <w:ind w:left="1080" w:hanging="360"/>
      </w:pPr>
      <w:r>
        <w:t xml:space="preserve">Confidentiality is not assured. </w:t>
      </w:r>
      <w:r w:rsidR="00E57A18">
        <w:t>The records that contain</w:t>
      </w:r>
      <w:r w:rsidR="00EB55B4">
        <w:t xml:space="preserve"> the information regarding the markings of explosives are maintained on the premises of an explosive licenses or permittee.</w:t>
      </w:r>
    </w:p>
    <w:p w:rsidR="00EB55B4" w:rsidRDefault="00EB55B4" w:rsidP="00FC5467">
      <w:pPr>
        <w:numPr>
          <w:ilvl w:val="1"/>
          <w:numId w:val="27"/>
        </w:numPr>
        <w:tabs>
          <w:tab w:val="left" w:pos="1080"/>
        </w:tabs>
        <w:spacing w:after="240"/>
      </w:pPr>
      <w:r>
        <w:t>No questions of a sensitive nature are asked.</w:t>
      </w:r>
    </w:p>
    <w:p w:rsidR="00EB55B4" w:rsidRDefault="00EB55B4" w:rsidP="00E42D5B">
      <w:pPr>
        <w:pStyle w:val="ListParagraph"/>
        <w:numPr>
          <w:ilvl w:val="1"/>
          <w:numId w:val="27"/>
        </w:numPr>
        <w:tabs>
          <w:tab w:val="left" w:pos="1080"/>
        </w:tabs>
        <w:ind w:left="1080" w:hanging="360"/>
      </w:pPr>
      <w:r>
        <w:t xml:space="preserve">There are </w:t>
      </w:r>
      <w:r w:rsidR="006F48B5">
        <w:t>2</w:t>
      </w:r>
      <w:r>
        <w:t>,</w:t>
      </w:r>
      <w:r w:rsidR="00F344ED">
        <w:t>153</w:t>
      </w:r>
      <w:r>
        <w:t xml:space="preserve"> respondents associated with thi</w:t>
      </w:r>
      <w:r w:rsidR="00E57A18">
        <w:t xml:space="preserve">s information collection. </w:t>
      </w:r>
      <w:r w:rsidR="00F52C0F">
        <w:t>Manufacturers customarily place markings on their ma</w:t>
      </w:r>
      <w:r w:rsidR="00F344ED">
        <w:t xml:space="preserve">nufactured explosive products. </w:t>
      </w:r>
      <w:r w:rsidR="00F52C0F">
        <w:t>ATF estimates manufacturing operations to involv</w:t>
      </w:r>
      <w:r w:rsidR="00711C32">
        <w:t xml:space="preserve">e 2 production shifts per day. </w:t>
      </w:r>
      <w:r w:rsidR="00E57A18">
        <w:t xml:space="preserve">Each respondent </w:t>
      </w:r>
      <w:r>
        <w:t>respond</w:t>
      </w:r>
      <w:r w:rsidR="00E57A18">
        <w:t>s</w:t>
      </w:r>
      <w:r>
        <w:t xml:space="preserve"> </w:t>
      </w:r>
      <w:r w:rsidR="00C6580A">
        <w:t>520</w:t>
      </w:r>
      <w:r>
        <w:t xml:space="preserve"> time</w:t>
      </w:r>
      <w:r w:rsidR="00C6580A">
        <w:t>s</w:t>
      </w:r>
      <w:r>
        <w:t xml:space="preserve">. </w:t>
      </w:r>
      <w:r w:rsidR="00E57A18">
        <w:t xml:space="preserve">The total number of responses is </w:t>
      </w:r>
      <w:r w:rsidR="00F52C0F">
        <w:t>1,1</w:t>
      </w:r>
      <w:r w:rsidR="00F344ED">
        <w:t>19,560</w:t>
      </w:r>
      <w:r w:rsidR="00E57A18">
        <w:t xml:space="preserve">. </w:t>
      </w:r>
      <w:r>
        <w:t xml:space="preserve">The average amount of time estimated for a respondent to respond is </w:t>
      </w:r>
      <w:r w:rsidR="004E3423">
        <w:t>3 seconds</w:t>
      </w:r>
      <w:r w:rsidR="00711C32">
        <w:t xml:space="preserve"> twice per day</w:t>
      </w:r>
      <w:r>
        <w:t xml:space="preserve">. </w:t>
      </w:r>
      <w:r w:rsidR="001E7B54">
        <w:t>Therefore,</w:t>
      </w:r>
      <w:r w:rsidR="00473B59">
        <w:t xml:space="preserve"> </w:t>
      </w:r>
      <w:r>
        <w:t xml:space="preserve">the burden </w:t>
      </w:r>
      <w:r w:rsidR="00473B59">
        <w:t xml:space="preserve">to include additional information for this collection is </w:t>
      </w:r>
      <w:r w:rsidR="00711C32">
        <w:t>6</w:t>
      </w:r>
      <w:r w:rsidR="00473B59">
        <w:t xml:space="preserve"> seconds</w:t>
      </w:r>
      <w:r w:rsidR="00256086">
        <w:t xml:space="preserve"> </w:t>
      </w:r>
      <w:r w:rsidR="00711C32">
        <w:t xml:space="preserve">for </w:t>
      </w:r>
      <w:r w:rsidR="00473B59">
        <w:t>a total annual burden of</w:t>
      </w:r>
      <w:r w:rsidR="00B2703A">
        <w:t xml:space="preserve"> 932.</w:t>
      </w:r>
      <w:r w:rsidR="00E42D5B">
        <w:t xml:space="preserve">9 </w:t>
      </w:r>
      <w:r w:rsidR="00B2703A">
        <w:t>or</w:t>
      </w:r>
      <w:r w:rsidR="00473B59">
        <w:t xml:space="preserve"> </w:t>
      </w:r>
      <w:r w:rsidR="00256086">
        <w:t>9</w:t>
      </w:r>
      <w:r w:rsidR="00F344ED">
        <w:t>33</w:t>
      </w:r>
      <w:r w:rsidR="00473B59">
        <w:t xml:space="preserve"> </w:t>
      </w:r>
      <w:r w:rsidR="001F656F">
        <w:t xml:space="preserve">(rounded) </w:t>
      </w:r>
      <w:r w:rsidR="00473B59">
        <w:t>hour</w:t>
      </w:r>
      <w:r w:rsidR="00256086">
        <w:t>s</w:t>
      </w:r>
      <w:r w:rsidR="00473B59">
        <w:t xml:space="preserve"> (2,</w:t>
      </w:r>
      <w:r w:rsidR="00F344ED">
        <w:t>153</w:t>
      </w:r>
      <w:r w:rsidR="00473B59">
        <w:t xml:space="preserve"> respondents x </w:t>
      </w:r>
      <w:r w:rsidR="001F656F">
        <w:t xml:space="preserve">260 workdays x </w:t>
      </w:r>
      <w:r w:rsidR="00E42D5B">
        <w:t>0.00166667 hours (</w:t>
      </w:r>
      <w:r w:rsidR="00E42D5B" w:rsidRPr="00E42D5B">
        <w:t>to</w:t>
      </w:r>
      <w:r w:rsidR="00711C32">
        <w:t>tal six (6) seconds to respond per</w:t>
      </w:r>
      <w:r w:rsidR="00E42D5B" w:rsidRPr="00E42D5B">
        <w:t xml:space="preserve"> day)</w:t>
      </w:r>
      <w:r w:rsidR="00F344ED">
        <w:t>.</w:t>
      </w:r>
    </w:p>
    <w:p w:rsidR="00E42D5B" w:rsidRDefault="00E42D5B" w:rsidP="00E42D5B">
      <w:pPr>
        <w:pStyle w:val="ListParagraph"/>
        <w:tabs>
          <w:tab w:val="left" w:pos="1080"/>
        </w:tabs>
        <w:ind w:left="1080"/>
      </w:pPr>
    </w:p>
    <w:p w:rsidR="00EB55B4" w:rsidRDefault="00EB55B4" w:rsidP="00FC5467">
      <w:pPr>
        <w:numPr>
          <w:ilvl w:val="1"/>
          <w:numId w:val="27"/>
        </w:numPr>
        <w:tabs>
          <w:tab w:val="left" w:pos="1080"/>
        </w:tabs>
        <w:spacing w:after="240"/>
      </w:pPr>
      <w:r>
        <w:t>There is no cost to the respondent for this collection of information.</w:t>
      </w:r>
    </w:p>
    <w:p w:rsidR="00EB55B4" w:rsidRDefault="00EB55B4" w:rsidP="00FC5467">
      <w:pPr>
        <w:numPr>
          <w:ilvl w:val="1"/>
          <w:numId w:val="27"/>
        </w:numPr>
        <w:tabs>
          <w:tab w:val="left" w:pos="1080"/>
        </w:tabs>
        <w:spacing w:after="240"/>
      </w:pPr>
      <w:r>
        <w:t>There is no cost to the Federal Government.</w:t>
      </w:r>
    </w:p>
    <w:p w:rsidR="00EB55B4" w:rsidRDefault="00F344ED" w:rsidP="00FC5467">
      <w:pPr>
        <w:numPr>
          <w:ilvl w:val="1"/>
          <w:numId w:val="27"/>
        </w:numPr>
        <w:tabs>
          <w:tab w:val="left" w:pos="1080"/>
        </w:tabs>
        <w:spacing w:after="240"/>
        <w:ind w:left="1080" w:hanging="360"/>
      </w:pPr>
      <w:r>
        <w:t xml:space="preserve">The adjustment associated with this collection is a decrease in the number </w:t>
      </w:r>
      <w:r w:rsidR="001E7B54">
        <w:t>of respondents</w:t>
      </w:r>
      <w:r>
        <w:t xml:space="preserve"> by 52</w:t>
      </w:r>
      <w:r w:rsidR="001F656F">
        <w:t>.</w:t>
      </w:r>
      <w:r w:rsidR="001E7B54">
        <w:t xml:space="preserve"> Consequently, the total responses and burden hours have reduced by 27, 040 and 23 hours respectively, since the last renewal in 2016.</w:t>
      </w:r>
    </w:p>
    <w:p w:rsidR="00EB55B4" w:rsidRDefault="00EB55B4" w:rsidP="00FC5467">
      <w:pPr>
        <w:numPr>
          <w:ilvl w:val="1"/>
          <w:numId w:val="27"/>
        </w:numPr>
        <w:tabs>
          <w:tab w:val="left" w:pos="1080"/>
        </w:tabs>
        <w:spacing w:after="240"/>
      </w:pPr>
      <w:r>
        <w:t>The results of this collection will not be published.</w:t>
      </w:r>
    </w:p>
    <w:p w:rsidR="00EB55B4" w:rsidRDefault="00EB55B4" w:rsidP="00FC5467">
      <w:pPr>
        <w:numPr>
          <w:ilvl w:val="1"/>
          <w:numId w:val="27"/>
        </w:numPr>
        <w:tabs>
          <w:tab w:val="left" w:pos="1080"/>
        </w:tabs>
        <w:spacing w:after="240"/>
        <w:ind w:left="1080" w:hanging="360"/>
      </w:pPr>
      <w:r>
        <w:t>ATF does not request approval to not display the expiration date of OMB approval for this information collection.</w:t>
      </w:r>
    </w:p>
    <w:p w:rsidR="00EB55B4" w:rsidRDefault="00EB55B4" w:rsidP="00FC5467">
      <w:pPr>
        <w:numPr>
          <w:ilvl w:val="1"/>
          <w:numId w:val="27"/>
        </w:numPr>
        <w:tabs>
          <w:tab w:val="left" w:pos="1080"/>
        </w:tabs>
        <w:spacing w:after="240"/>
      </w:pPr>
      <w:r>
        <w:t>There are no exceptions to the certification statement.</w:t>
      </w:r>
    </w:p>
    <w:p w:rsidR="00EB55B4" w:rsidRDefault="00EB55B4" w:rsidP="00F344ED">
      <w:pPr>
        <w:spacing w:after="240"/>
      </w:pPr>
      <w:r>
        <w:lastRenderedPageBreak/>
        <w:t>B.  Collections of Informatio</w:t>
      </w:r>
      <w:r w:rsidR="00F344ED">
        <w:t>n Employing Statistical Methods</w:t>
      </w:r>
    </w:p>
    <w:p w:rsidR="00EB55B4" w:rsidRDefault="00EB55B4" w:rsidP="00FC5467">
      <w:pPr>
        <w:ind w:firstLine="720"/>
      </w:pPr>
      <w:r>
        <w:t>This collection of information employs no statistical methods.</w:t>
      </w:r>
    </w:p>
    <w:sectPr w:rsidR="00EB55B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21" w:rsidRDefault="00EA4921">
      <w:r>
        <w:separator/>
      </w:r>
    </w:p>
  </w:endnote>
  <w:endnote w:type="continuationSeparator" w:id="0">
    <w:p w:rsidR="00EA4921" w:rsidRDefault="00EA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B4" w:rsidRDefault="00EB5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5B4" w:rsidRDefault="00EB5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B4" w:rsidRDefault="00EB5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D41">
      <w:rPr>
        <w:rStyle w:val="PageNumber"/>
        <w:noProof/>
      </w:rPr>
      <w:t>1</w:t>
    </w:r>
    <w:r>
      <w:rPr>
        <w:rStyle w:val="PageNumber"/>
      </w:rPr>
      <w:fldChar w:fldCharType="end"/>
    </w:r>
  </w:p>
  <w:p w:rsidR="00EB55B4" w:rsidRDefault="00EB5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21" w:rsidRDefault="00EA4921">
      <w:r>
        <w:separator/>
      </w:r>
    </w:p>
  </w:footnote>
  <w:footnote w:type="continuationSeparator" w:id="0">
    <w:p w:rsidR="00EA4921" w:rsidRDefault="00EA4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686"/>
    <w:multiLevelType w:val="hybridMultilevel"/>
    <w:tmpl w:val="03482EC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E1691C"/>
    <w:multiLevelType w:val="hybridMultilevel"/>
    <w:tmpl w:val="C7DA747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110A99"/>
    <w:multiLevelType w:val="hybridMultilevel"/>
    <w:tmpl w:val="2F80C2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253D9F"/>
    <w:multiLevelType w:val="hybridMultilevel"/>
    <w:tmpl w:val="7F0A3C36"/>
    <w:lvl w:ilvl="0" w:tplc="DF9882E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270D3A"/>
    <w:multiLevelType w:val="hybridMultilevel"/>
    <w:tmpl w:val="98DC955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F75F31"/>
    <w:multiLevelType w:val="hybridMultilevel"/>
    <w:tmpl w:val="4134CE6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7710C1"/>
    <w:multiLevelType w:val="hybridMultilevel"/>
    <w:tmpl w:val="4F1C505E"/>
    <w:lvl w:ilvl="0" w:tplc="4B2E8AE8">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5C303C"/>
    <w:multiLevelType w:val="hybridMultilevel"/>
    <w:tmpl w:val="C3DEBB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722DFC"/>
    <w:multiLevelType w:val="hybridMultilevel"/>
    <w:tmpl w:val="F0407EE8"/>
    <w:lvl w:ilvl="0" w:tplc="AB22D82E">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2A7453"/>
    <w:multiLevelType w:val="hybridMultilevel"/>
    <w:tmpl w:val="F198E0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A501F9"/>
    <w:multiLevelType w:val="hybridMultilevel"/>
    <w:tmpl w:val="EC50530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B607DC"/>
    <w:multiLevelType w:val="hybridMultilevel"/>
    <w:tmpl w:val="35BE39C6"/>
    <w:lvl w:ilvl="0" w:tplc="546C297E">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B11B12"/>
    <w:multiLevelType w:val="hybridMultilevel"/>
    <w:tmpl w:val="7F3A459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87650D"/>
    <w:multiLevelType w:val="hybridMultilevel"/>
    <w:tmpl w:val="2FAE7A8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B15551"/>
    <w:multiLevelType w:val="hybridMultilevel"/>
    <w:tmpl w:val="F7A04DA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B574C7"/>
    <w:multiLevelType w:val="hybridMultilevel"/>
    <w:tmpl w:val="7F9867AA"/>
    <w:lvl w:ilvl="0" w:tplc="04090015">
      <w:start w:val="1"/>
      <w:numFmt w:val="upperLetter"/>
      <w:lvlText w:val="%1."/>
      <w:lvlJc w:val="left"/>
      <w:pPr>
        <w:ind w:left="360" w:hanging="360"/>
      </w:pPr>
    </w:lvl>
    <w:lvl w:ilvl="1" w:tplc="8626E5DC">
      <w:start w:val="1"/>
      <w:numFmt w:val="decimal"/>
      <w:lvlText w:val="%2."/>
      <w:lvlJc w:val="left"/>
      <w:pPr>
        <w:ind w:left="780" w:hanging="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E5C56B4"/>
    <w:multiLevelType w:val="hybridMultilevel"/>
    <w:tmpl w:val="00586AA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A7655B"/>
    <w:multiLevelType w:val="hybridMultilevel"/>
    <w:tmpl w:val="21D670E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CC723D"/>
    <w:multiLevelType w:val="hybridMultilevel"/>
    <w:tmpl w:val="6FB87FB2"/>
    <w:lvl w:ilvl="0" w:tplc="C596A0E8">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9C691F"/>
    <w:multiLevelType w:val="hybridMultilevel"/>
    <w:tmpl w:val="473E900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B33AEF"/>
    <w:multiLevelType w:val="hybridMultilevel"/>
    <w:tmpl w:val="AD1CB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637366"/>
    <w:multiLevelType w:val="hybridMultilevel"/>
    <w:tmpl w:val="8AA695B8"/>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D47AE5"/>
    <w:multiLevelType w:val="hybridMultilevel"/>
    <w:tmpl w:val="FCAA89F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1C0797"/>
    <w:multiLevelType w:val="hybridMultilevel"/>
    <w:tmpl w:val="3B569D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D43B34"/>
    <w:multiLevelType w:val="hybridMultilevel"/>
    <w:tmpl w:val="2700994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944057"/>
    <w:multiLevelType w:val="hybridMultilevel"/>
    <w:tmpl w:val="36E69C20"/>
    <w:lvl w:ilvl="0" w:tplc="06625C52">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6240EDD"/>
    <w:multiLevelType w:val="hybridMultilevel"/>
    <w:tmpl w:val="63320A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980676"/>
    <w:multiLevelType w:val="hybridMultilevel"/>
    <w:tmpl w:val="F858061C"/>
    <w:lvl w:ilvl="0" w:tplc="04090015">
      <w:start w:val="1"/>
      <w:numFmt w:val="upperLetter"/>
      <w:lvlText w:val="%1."/>
      <w:lvlJc w:val="left"/>
      <w:pPr>
        <w:tabs>
          <w:tab w:val="num" w:pos="720"/>
        </w:tabs>
        <w:ind w:left="720" w:hanging="360"/>
      </w:pPr>
      <w:rPr>
        <w:rFonts w:hint="default"/>
      </w:rPr>
    </w:lvl>
    <w:lvl w:ilvl="1" w:tplc="98B015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
  </w:num>
  <w:num w:numId="3">
    <w:abstractNumId w:val="26"/>
  </w:num>
  <w:num w:numId="4">
    <w:abstractNumId w:val="9"/>
  </w:num>
  <w:num w:numId="5">
    <w:abstractNumId w:val="0"/>
  </w:num>
  <w:num w:numId="6">
    <w:abstractNumId w:val="7"/>
  </w:num>
  <w:num w:numId="7">
    <w:abstractNumId w:val="23"/>
  </w:num>
  <w:num w:numId="8">
    <w:abstractNumId w:val="14"/>
  </w:num>
  <w:num w:numId="9">
    <w:abstractNumId w:val="13"/>
  </w:num>
  <w:num w:numId="10">
    <w:abstractNumId w:val="17"/>
  </w:num>
  <w:num w:numId="11">
    <w:abstractNumId w:val="22"/>
  </w:num>
  <w:num w:numId="12">
    <w:abstractNumId w:val="19"/>
  </w:num>
  <w:num w:numId="13">
    <w:abstractNumId w:val="24"/>
  </w:num>
  <w:num w:numId="14">
    <w:abstractNumId w:val="18"/>
  </w:num>
  <w:num w:numId="15">
    <w:abstractNumId w:val="3"/>
  </w:num>
  <w:num w:numId="16">
    <w:abstractNumId w:val="25"/>
  </w:num>
  <w:num w:numId="17">
    <w:abstractNumId w:val="1"/>
  </w:num>
  <w:num w:numId="18">
    <w:abstractNumId w:val="12"/>
  </w:num>
  <w:num w:numId="19">
    <w:abstractNumId w:val="10"/>
  </w:num>
  <w:num w:numId="20">
    <w:abstractNumId w:val="5"/>
  </w:num>
  <w:num w:numId="21">
    <w:abstractNumId w:val="16"/>
  </w:num>
  <w:num w:numId="22">
    <w:abstractNumId w:val="21"/>
  </w:num>
  <w:num w:numId="23">
    <w:abstractNumId w:val="11"/>
  </w:num>
  <w:num w:numId="24">
    <w:abstractNumId w:val="8"/>
  </w:num>
  <w:num w:numId="25">
    <w:abstractNumId w:val="4"/>
  </w:num>
  <w:num w:numId="26">
    <w:abstractNumId w:val="20"/>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18"/>
    <w:rsid w:val="00013B8E"/>
    <w:rsid w:val="000601A8"/>
    <w:rsid w:val="00126E46"/>
    <w:rsid w:val="001C16A6"/>
    <w:rsid w:val="001E7B54"/>
    <w:rsid w:val="001F656F"/>
    <w:rsid w:val="002554C1"/>
    <w:rsid w:val="00256086"/>
    <w:rsid w:val="00284D0A"/>
    <w:rsid w:val="002D5D80"/>
    <w:rsid w:val="00310402"/>
    <w:rsid w:val="00363203"/>
    <w:rsid w:val="00372C02"/>
    <w:rsid w:val="003D10AD"/>
    <w:rsid w:val="004232B4"/>
    <w:rsid w:val="00440A19"/>
    <w:rsid w:val="0046450C"/>
    <w:rsid w:val="00473B59"/>
    <w:rsid w:val="0048154C"/>
    <w:rsid w:val="004860FB"/>
    <w:rsid w:val="004B5D2F"/>
    <w:rsid w:val="004C039B"/>
    <w:rsid w:val="004C6FC4"/>
    <w:rsid w:val="004D05DF"/>
    <w:rsid w:val="004E3423"/>
    <w:rsid w:val="0050036E"/>
    <w:rsid w:val="00555BC6"/>
    <w:rsid w:val="005E1E16"/>
    <w:rsid w:val="005F596E"/>
    <w:rsid w:val="00615872"/>
    <w:rsid w:val="00661C13"/>
    <w:rsid w:val="006B41DF"/>
    <w:rsid w:val="006C732D"/>
    <w:rsid w:val="006F48B5"/>
    <w:rsid w:val="00711C32"/>
    <w:rsid w:val="007F036D"/>
    <w:rsid w:val="007F1FDF"/>
    <w:rsid w:val="008312EF"/>
    <w:rsid w:val="008A5B8F"/>
    <w:rsid w:val="008C0AE0"/>
    <w:rsid w:val="008E1BDC"/>
    <w:rsid w:val="00923F07"/>
    <w:rsid w:val="009E5C47"/>
    <w:rsid w:val="00A003A7"/>
    <w:rsid w:val="00A96D41"/>
    <w:rsid w:val="00B2703A"/>
    <w:rsid w:val="00B70D5A"/>
    <w:rsid w:val="00BC5C02"/>
    <w:rsid w:val="00BC621E"/>
    <w:rsid w:val="00C05934"/>
    <w:rsid w:val="00C6580A"/>
    <w:rsid w:val="00CD6911"/>
    <w:rsid w:val="00D41965"/>
    <w:rsid w:val="00D74C54"/>
    <w:rsid w:val="00DC1637"/>
    <w:rsid w:val="00DF08E2"/>
    <w:rsid w:val="00E42D5B"/>
    <w:rsid w:val="00E57A18"/>
    <w:rsid w:val="00E65055"/>
    <w:rsid w:val="00E66C2D"/>
    <w:rsid w:val="00EA4921"/>
    <w:rsid w:val="00EB55B4"/>
    <w:rsid w:val="00F344ED"/>
    <w:rsid w:val="00F36DAD"/>
    <w:rsid w:val="00F44150"/>
    <w:rsid w:val="00F52C0F"/>
    <w:rsid w:val="00FA55E9"/>
    <w:rsid w:val="00FC5467"/>
    <w:rsid w:val="00FF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0601A8"/>
    <w:rPr>
      <w:sz w:val="16"/>
      <w:szCs w:val="16"/>
    </w:rPr>
  </w:style>
  <w:style w:type="paragraph" w:styleId="CommentText">
    <w:name w:val="annotation text"/>
    <w:basedOn w:val="Normal"/>
    <w:link w:val="CommentTextChar"/>
    <w:rsid w:val="000601A8"/>
    <w:rPr>
      <w:sz w:val="20"/>
      <w:szCs w:val="20"/>
    </w:rPr>
  </w:style>
  <w:style w:type="character" w:customStyle="1" w:styleId="CommentTextChar">
    <w:name w:val="Comment Text Char"/>
    <w:basedOn w:val="DefaultParagraphFont"/>
    <w:link w:val="CommentText"/>
    <w:rsid w:val="000601A8"/>
  </w:style>
  <w:style w:type="paragraph" w:styleId="CommentSubject">
    <w:name w:val="annotation subject"/>
    <w:basedOn w:val="CommentText"/>
    <w:next w:val="CommentText"/>
    <w:link w:val="CommentSubjectChar"/>
    <w:rsid w:val="000601A8"/>
    <w:rPr>
      <w:b/>
      <w:bCs/>
      <w:lang w:val="x-none" w:eastAsia="x-none"/>
    </w:rPr>
  </w:style>
  <w:style w:type="character" w:customStyle="1" w:styleId="CommentSubjectChar">
    <w:name w:val="Comment Subject Char"/>
    <w:link w:val="CommentSubject"/>
    <w:rsid w:val="000601A8"/>
    <w:rPr>
      <w:b/>
      <w:bCs/>
    </w:rPr>
  </w:style>
  <w:style w:type="paragraph" w:styleId="BalloonText">
    <w:name w:val="Balloon Text"/>
    <w:basedOn w:val="Normal"/>
    <w:link w:val="BalloonTextChar"/>
    <w:rsid w:val="000601A8"/>
    <w:rPr>
      <w:rFonts w:ascii="Tahoma" w:hAnsi="Tahoma"/>
      <w:sz w:val="16"/>
      <w:szCs w:val="16"/>
      <w:lang w:val="x-none" w:eastAsia="x-none"/>
    </w:rPr>
  </w:style>
  <w:style w:type="character" w:customStyle="1" w:styleId="BalloonTextChar">
    <w:name w:val="Balloon Text Char"/>
    <w:link w:val="BalloonText"/>
    <w:rsid w:val="000601A8"/>
    <w:rPr>
      <w:rFonts w:ascii="Tahoma" w:hAnsi="Tahoma" w:cs="Tahoma"/>
      <w:sz w:val="16"/>
      <w:szCs w:val="16"/>
    </w:rPr>
  </w:style>
  <w:style w:type="paragraph" w:styleId="ListParagraph">
    <w:name w:val="List Paragraph"/>
    <w:basedOn w:val="Normal"/>
    <w:uiPriority w:val="34"/>
    <w:qFormat/>
    <w:rsid w:val="00E42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0601A8"/>
    <w:rPr>
      <w:sz w:val="16"/>
      <w:szCs w:val="16"/>
    </w:rPr>
  </w:style>
  <w:style w:type="paragraph" w:styleId="CommentText">
    <w:name w:val="annotation text"/>
    <w:basedOn w:val="Normal"/>
    <w:link w:val="CommentTextChar"/>
    <w:rsid w:val="000601A8"/>
    <w:rPr>
      <w:sz w:val="20"/>
      <w:szCs w:val="20"/>
    </w:rPr>
  </w:style>
  <w:style w:type="character" w:customStyle="1" w:styleId="CommentTextChar">
    <w:name w:val="Comment Text Char"/>
    <w:basedOn w:val="DefaultParagraphFont"/>
    <w:link w:val="CommentText"/>
    <w:rsid w:val="000601A8"/>
  </w:style>
  <w:style w:type="paragraph" w:styleId="CommentSubject">
    <w:name w:val="annotation subject"/>
    <w:basedOn w:val="CommentText"/>
    <w:next w:val="CommentText"/>
    <w:link w:val="CommentSubjectChar"/>
    <w:rsid w:val="000601A8"/>
    <w:rPr>
      <w:b/>
      <w:bCs/>
      <w:lang w:val="x-none" w:eastAsia="x-none"/>
    </w:rPr>
  </w:style>
  <w:style w:type="character" w:customStyle="1" w:styleId="CommentSubjectChar">
    <w:name w:val="Comment Subject Char"/>
    <w:link w:val="CommentSubject"/>
    <w:rsid w:val="000601A8"/>
    <w:rPr>
      <w:b/>
      <w:bCs/>
    </w:rPr>
  </w:style>
  <w:style w:type="paragraph" w:styleId="BalloonText">
    <w:name w:val="Balloon Text"/>
    <w:basedOn w:val="Normal"/>
    <w:link w:val="BalloonTextChar"/>
    <w:rsid w:val="000601A8"/>
    <w:rPr>
      <w:rFonts w:ascii="Tahoma" w:hAnsi="Tahoma"/>
      <w:sz w:val="16"/>
      <w:szCs w:val="16"/>
      <w:lang w:val="x-none" w:eastAsia="x-none"/>
    </w:rPr>
  </w:style>
  <w:style w:type="character" w:customStyle="1" w:styleId="BalloonTextChar">
    <w:name w:val="Balloon Text Char"/>
    <w:link w:val="BalloonText"/>
    <w:rsid w:val="000601A8"/>
    <w:rPr>
      <w:rFonts w:ascii="Tahoma" w:hAnsi="Tahoma" w:cs="Tahoma"/>
      <w:sz w:val="16"/>
      <w:szCs w:val="16"/>
    </w:rPr>
  </w:style>
  <w:style w:type="paragraph" w:styleId="ListParagraph">
    <w:name w:val="List Paragraph"/>
    <w:basedOn w:val="Normal"/>
    <w:uiPriority w:val="34"/>
    <w:qFormat/>
    <w:rsid w:val="00E42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EC1E8-DEA0-474C-B4C3-E25A60EA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2019-10-23T18:18:00Z</dcterms:created>
  <dcterms:modified xsi:type="dcterms:W3CDTF">2019-10-23T18:18:00Z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