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DE" w:rsidRDefault="003F40DE">
      <w:pPr>
        <w:jc w:val="center"/>
      </w:pPr>
      <w:bookmarkStart w:id="0" w:name="_GoBack"/>
      <w:bookmarkEnd w:id="0"/>
      <w:r>
        <w:t>Department of Justice</w:t>
      </w:r>
    </w:p>
    <w:p w:rsidR="003F40DE" w:rsidRDefault="003F40DE">
      <w:pPr>
        <w:jc w:val="center"/>
      </w:pPr>
      <w:r>
        <w:t>Bureau of Alcohol, Tobacco, Firearms and Explosives</w:t>
      </w:r>
    </w:p>
    <w:p w:rsidR="003F40DE" w:rsidRDefault="003F40DE">
      <w:pPr>
        <w:jc w:val="center"/>
      </w:pPr>
      <w:r>
        <w:t>Supporting Statement</w:t>
      </w:r>
    </w:p>
    <w:p w:rsidR="003F40DE" w:rsidRDefault="003F40DE"/>
    <w:p w:rsidR="003F40DE" w:rsidRDefault="003F40DE" w:rsidP="002669CA">
      <w:pPr>
        <w:jc w:val="center"/>
      </w:pPr>
      <w:r>
        <w:t>1140-0004</w:t>
      </w:r>
    </w:p>
    <w:p w:rsidR="003F40DE" w:rsidRDefault="003F40DE" w:rsidP="002669CA">
      <w:pPr>
        <w:jc w:val="center"/>
      </w:pPr>
      <w:r>
        <w:t>Interstate Firearms Shipment Theft/Loss</w:t>
      </w:r>
      <w:r w:rsidR="00107ED2">
        <w:t xml:space="preserve"> Report</w:t>
      </w:r>
    </w:p>
    <w:p w:rsidR="003F40DE" w:rsidRDefault="003F40DE" w:rsidP="002669CA">
      <w:pPr>
        <w:jc w:val="center"/>
      </w:pPr>
      <w:r>
        <w:t>ATF F 3310.6</w:t>
      </w:r>
    </w:p>
    <w:p w:rsidR="003F40DE" w:rsidRDefault="003F40DE"/>
    <w:p w:rsidR="003F40DE" w:rsidRDefault="003F40DE"/>
    <w:p w:rsidR="003F40DE" w:rsidRDefault="003F40DE">
      <w:pPr>
        <w:numPr>
          <w:ilvl w:val="0"/>
          <w:numId w:val="1"/>
        </w:numPr>
      </w:pPr>
      <w:r>
        <w:t>Justification</w:t>
      </w:r>
    </w:p>
    <w:p w:rsidR="008B1BDA" w:rsidRDefault="008B1BDA" w:rsidP="002669CA">
      <w:pPr>
        <w:ind w:left="720"/>
      </w:pPr>
    </w:p>
    <w:p w:rsidR="00C95A60" w:rsidRDefault="00C95A60" w:rsidP="005A2B8E">
      <w:pPr>
        <w:numPr>
          <w:ilvl w:val="1"/>
          <w:numId w:val="1"/>
        </w:numPr>
      </w:pPr>
      <w:r w:rsidRPr="007F59F1">
        <w:t xml:space="preserve">27 CFR Part 478 requires Federal Firearms Licensees’ </w:t>
      </w:r>
      <w:r w:rsidR="0036742C">
        <w:t xml:space="preserve">(FFLs) </w:t>
      </w:r>
      <w:r w:rsidRPr="007F59F1">
        <w:t xml:space="preserve">who discover </w:t>
      </w:r>
      <w:r w:rsidR="001A17FD">
        <w:t xml:space="preserve">that </w:t>
      </w:r>
      <w:r w:rsidRPr="007F59F1">
        <w:t>a firearm</w:t>
      </w:r>
      <w:r w:rsidR="001A17FD">
        <w:t>(s)</w:t>
      </w:r>
      <w:r w:rsidR="002669CA">
        <w:t xml:space="preserve"> they</w:t>
      </w:r>
      <w:r w:rsidRPr="007F59F1">
        <w:t xml:space="preserve"> shipped was stolen or lost in transit, must report the theft or loss to ATF and the appropriate local authorities within 48 hours of discovery</w:t>
      </w:r>
      <w:r w:rsidR="0036742C">
        <w:t>. Reports can be filed</w:t>
      </w:r>
      <w:r w:rsidR="00C9592D">
        <w:t xml:space="preserve"> </w:t>
      </w:r>
      <w:r w:rsidR="001A17FD">
        <w:t>using</w:t>
      </w:r>
      <w:r w:rsidR="005A2B8E">
        <w:t xml:space="preserve"> </w:t>
      </w:r>
      <w:r w:rsidR="00C119F5">
        <w:t xml:space="preserve">the </w:t>
      </w:r>
      <w:r w:rsidR="005A2B8E" w:rsidRPr="00C119F5">
        <w:t>Interstate Firearms Shipment Theft/Loss Report</w:t>
      </w:r>
      <w:r w:rsidR="001A17FD" w:rsidRPr="00C119F5">
        <w:t xml:space="preserve"> </w:t>
      </w:r>
      <w:r w:rsidR="00C119F5" w:rsidRPr="00C119F5">
        <w:t xml:space="preserve">- </w:t>
      </w:r>
      <w:r w:rsidR="00C9592D" w:rsidRPr="00C119F5">
        <w:t>ATF Form 3310.</w:t>
      </w:r>
      <w:r w:rsidR="005A2B8E" w:rsidRPr="00C119F5">
        <w:t>6</w:t>
      </w:r>
      <w:r w:rsidRPr="007F59F1">
        <w:t>.</w:t>
      </w:r>
    </w:p>
    <w:p w:rsidR="0072475D" w:rsidRDefault="0072475D" w:rsidP="002669CA">
      <w:pPr>
        <w:ind w:left="1440"/>
      </w:pPr>
    </w:p>
    <w:p w:rsidR="0072475D" w:rsidRDefault="0072475D" w:rsidP="002669CA">
      <w:pPr>
        <w:ind w:left="1440"/>
      </w:pPr>
      <w:r w:rsidRPr="0072475D">
        <w:t>ATF requests approval to make the following changes to OMB 1140-0004 (Interstate Firea</w:t>
      </w:r>
      <w:r w:rsidR="002669CA">
        <w:t>rms Shipment Theft/Loss Report -</w:t>
      </w:r>
      <w:r w:rsidRPr="0072475D">
        <w:t xml:space="preserve"> ATF Form 3310.6</w:t>
      </w:r>
      <w:r w:rsidR="002669CA">
        <w:t>)</w:t>
      </w:r>
      <w:r w:rsidRPr="0072475D">
        <w:t>:</w:t>
      </w:r>
    </w:p>
    <w:p w:rsidR="0072475D" w:rsidRPr="0072475D" w:rsidRDefault="0072475D" w:rsidP="002669CA">
      <w:pPr>
        <w:ind w:left="1440"/>
      </w:pPr>
    </w:p>
    <w:p w:rsidR="0072475D" w:rsidRPr="0072475D" w:rsidRDefault="002669CA" w:rsidP="002669CA">
      <w:pPr>
        <w:numPr>
          <w:ilvl w:val="0"/>
          <w:numId w:val="3"/>
        </w:numPr>
        <w:ind w:left="1800"/>
      </w:pPr>
      <w:r>
        <w:t xml:space="preserve">Edit </w:t>
      </w:r>
      <w:r w:rsidR="0072475D" w:rsidRPr="0072475D">
        <w:t xml:space="preserve">“Name and </w:t>
      </w:r>
      <w:r>
        <w:t xml:space="preserve">FFL#” </w:t>
      </w:r>
      <w:r w:rsidR="00733DBE">
        <w:t>to emphasize</w:t>
      </w:r>
      <w:r w:rsidR="0072475D" w:rsidRPr="0072475D">
        <w:t xml:space="preserve"> inclusion of name A</w:t>
      </w:r>
      <w:r>
        <w:t>ND FFL # to alleviate confusion.</w:t>
      </w:r>
    </w:p>
    <w:p w:rsidR="0072475D" w:rsidRPr="0072475D" w:rsidRDefault="0072475D" w:rsidP="002669CA">
      <w:pPr>
        <w:numPr>
          <w:ilvl w:val="0"/>
          <w:numId w:val="3"/>
        </w:numPr>
        <w:ind w:left="1800"/>
      </w:pPr>
      <w:r w:rsidRPr="0072475D">
        <w:t>Delete “Shipper” from “Carrier Claim Number” and add “(if available)”</w:t>
      </w:r>
    </w:p>
    <w:p w:rsidR="0072475D" w:rsidRPr="0072475D" w:rsidRDefault="0072475D" w:rsidP="002669CA">
      <w:pPr>
        <w:numPr>
          <w:ilvl w:val="0"/>
          <w:numId w:val="3"/>
        </w:numPr>
        <w:ind w:left="1800"/>
      </w:pPr>
      <w:r w:rsidRPr="0072475D">
        <w:t>Remove “Federal Firearms Licensee (if applicable)” field</w:t>
      </w:r>
    </w:p>
    <w:p w:rsidR="0072475D" w:rsidRPr="0072475D" w:rsidRDefault="0072475D" w:rsidP="002669CA">
      <w:pPr>
        <w:numPr>
          <w:ilvl w:val="0"/>
          <w:numId w:val="3"/>
        </w:numPr>
        <w:ind w:left="1800"/>
      </w:pPr>
      <w:r w:rsidRPr="0072475D">
        <w:t>Edit “Firearm(s) Description (</w:t>
      </w:r>
      <w:r w:rsidRPr="0072475D">
        <w:rPr>
          <w:i/>
        </w:rPr>
        <w:t>Use ATF Form 3310.11A Continuation Sheet if additional space is needed</w:t>
      </w:r>
      <w:r w:rsidRPr="0072475D">
        <w:t>)</w:t>
      </w:r>
      <w:r w:rsidR="002669CA">
        <w:t>.</w:t>
      </w:r>
    </w:p>
    <w:p w:rsidR="0072475D" w:rsidRPr="0072475D" w:rsidRDefault="0072475D" w:rsidP="002669CA">
      <w:pPr>
        <w:numPr>
          <w:ilvl w:val="0"/>
          <w:numId w:val="3"/>
        </w:numPr>
        <w:ind w:left="1800"/>
      </w:pPr>
      <w:r w:rsidRPr="0072475D">
        <w:t xml:space="preserve">Add field: [check box] </w:t>
      </w:r>
      <w:r w:rsidR="002669CA">
        <w:t xml:space="preserve">This is because </w:t>
      </w:r>
      <w:r w:rsidR="002669CA" w:rsidRPr="0072475D">
        <w:t>some</w:t>
      </w:r>
      <w:r w:rsidRPr="0072475D">
        <w:t xml:space="preserve"> or all of the stolen/missing inventory listed above falls within the purview of the National Firearms Act (NFA). </w:t>
      </w:r>
      <w:r w:rsidR="002669CA">
        <w:t>This is consistent with ATF F 3310.11.</w:t>
      </w:r>
    </w:p>
    <w:p w:rsidR="0072475D" w:rsidRPr="007F59F1" w:rsidRDefault="0072475D" w:rsidP="002669CA">
      <w:pPr>
        <w:numPr>
          <w:ilvl w:val="0"/>
          <w:numId w:val="3"/>
        </w:numPr>
        <w:ind w:left="1800"/>
      </w:pPr>
      <w:r w:rsidRPr="0072475D">
        <w:t xml:space="preserve">Edit: </w:t>
      </w:r>
      <w:r w:rsidR="002669CA">
        <w:t>“</w:t>
      </w:r>
      <w:r w:rsidRPr="0072475D">
        <w:t xml:space="preserve">Shipper/Transferor FFL </w:t>
      </w:r>
      <w:r w:rsidR="002669CA">
        <w:t>are</w:t>
      </w:r>
      <w:r w:rsidRPr="0072475D">
        <w:t xml:space="preserve"> also required by law to submit ATF Form 3310.11.</w:t>
      </w:r>
      <w:r w:rsidR="002669CA">
        <w:t>”</w:t>
      </w:r>
      <w:r w:rsidRPr="0072475D">
        <w:t xml:space="preserve"> </w:t>
      </w:r>
      <w:r w:rsidR="002669CA">
        <w:t>This will</w:t>
      </w:r>
      <w:r w:rsidRPr="0072475D">
        <w:t xml:space="preserve"> alleviate confusion regarding the submission of both</w:t>
      </w:r>
      <w:r w:rsidR="002669CA">
        <w:t xml:space="preserve"> 3310.6 and 3310.11 by same FFL.</w:t>
      </w:r>
    </w:p>
    <w:p w:rsidR="003F40DE" w:rsidRDefault="003F40DE" w:rsidP="007F59F1">
      <w:pPr>
        <w:ind w:left="1440"/>
      </w:pPr>
    </w:p>
    <w:p w:rsidR="003F40DE" w:rsidRDefault="003F40DE" w:rsidP="00640AD2">
      <w:pPr>
        <w:numPr>
          <w:ilvl w:val="1"/>
          <w:numId w:val="1"/>
        </w:numPr>
      </w:pPr>
      <w:r>
        <w:t>Th</w:t>
      </w:r>
      <w:r w:rsidR="00640AD2">
        <w:t>e</w:t>
      </w:r>
      <w:r>
        <w:t xml:space="preserve"> </w:t>
      </w:r>
      <w:r w:rsidR="00640AD2" w:rsidRPr="00640AD2">
        <w:t xml:space="preserve">Interstate Firearms Shipment Theft/Loss Report </w:t>
      </w:r>
      <w:r w:rsidR="00E10475">
        <w:t>is</w:t>
      </w:r>
      <w:r>
        <w:t xml:space="preserve"> voluntary</w:t>
      </w:r>
      <w:r w:rsidR="00E10475">
        <w:t xml:space="preserve"> for </w:t>
      </w:r>
      <w:r w:rsidR="007403DC">
        <w:t xml:space="preserve">all </w:t>
      </w:r>
      <w:r w:rsidR="00E10475">
        <w:t>others</w:t>
      </w:r>
      <w:r>
        <w:t>,</w:t>
      </w:r>
      <w:r w:rsidR="00E10475">
        <w:t xml:space="preserve"> </w:t>
      </w:r>
      <w:r w:rsidR="007403DC">
        <w:t>including</w:t>
      </w:r>
      <w:r w:rsidR="00FD24CA">
        <w:t xml:space="preserve"> </w:t>
      </w:r>
      <w:r>
        <w:t>common carriers</w:t>
      </w:r>
      <w:r w:rsidR="00FD24CA">
        <w:t xml:space="preserve"> and consignees</w:t>
      </w:r>
      <w:r w:rsidR="00E10475">
        <w:t>,</w:t>
      </w:r>
      <w:r>
        <w:t xml:space="preserve"> to report the loss or theft of firearms </w:t>
      </w:r>
      <w:r w:rsidR="00640AD2">
        <w:t xml:space="preserve">during </w:t>
      </w:r>
      <w:r>
        <w:t>interstate shipment. The</w:t>
      </w:r>
      <w:r w:rsidR="00640AD2">
        <w:t xml:space="preserve"> collected</w:t>
      </w:r>
      <w:r>
        <w:t xml:space="preserve"> information </w:t>
      </w:r>
      <w:r w:rsidR="00640AD2">
        <w:t xml:space="preserve">may be </w:t>
      </w:r>
      <w:r>
        <w:t>used</w:t>
      </w:r>
      <w:r w:rsidR="00640AD2">
        <w:t xml:space="preserve"> </w:t>
      </w:r>
      <w:r>
        <w:t>by ATF to investigate and develop criminal cases against individual(s) involved in</w:t>
      </w:r>
      <w:r w:rsidR="0036742C">
        <w:t xml:space="preserve"> firearm crimes</w:t>
      </w:r>
      <w:r>
        <w:t>. Title 18, United States Code</w:t>
      </w:r>
      <w:r w:rsidR="0036742C">
        <w:t xml:space="preserve"> (U.S.C.)</w:t>
      </w:r>
      <w:r>
        <w:t>, 922(j) makes it “unlawful for any person to receive, conceal, store, barter, sell or dispose of any stolen firearm or stolen ammunition which is moving as, which is a part of, or which constitutes, interstate or foreign commerce, knowing or having reasonable cause to believe that the firearm or ammunition was stolen</w:t>
      </w:r>
      <w:r w:rsidR="00640AD2">
        <w:t>.</w:t>
      </w:r>
      <w:r>
        <w:t>”</w:t>
      </w:r>
    </w:p>
    <w:p w:rsidR="003F40DE" w:rsidRDefault="003F40DE"/>
    <w:p w:rsidR="003F40DE" w:rsidRDefault="00640AD2" w:rsidP="002669CA">
      <w:pPr>
        <w:ind w:left="1440"/>
      </w:pPr>
      <w:r>
        <w:lastRenderedPageBreak/>
        <w:t xml:space="preserve">The </w:t>
      </w:r>
      <w:r w:rsidRPr="00640AD2">
        <w:t>Interstate Firearms Shipment Thef</w:t>
      </w:r>
      <w:r>
        <w:t xml:space="preserve">t/Loss Report - ATF Form 3310.6 </w:t>
      </w:r>
      <w:r w:rsidR="003F40DE">
        <w:t xml:space="preserve">is used by </w:t>
      </w:r>
      <w:r w:rsidR="00FD24CA">
        <w:t>victims</w:t>
      </w:r>
      <w:r w:rsidR="003F40DE">
        <w:t xml:space="preserve"> to ensure that firearms stolen</w:t>
      </w:r>
      <w:r w:rsidR="00AB4D11">
        <w:t xml:space="preserve"> during</w:t>
      </w:r>
      <w:r w:rsidR="003F40DE">
        <w:t xml:space="preserve"> interstate </w:t>
      </w:r>
      <w:r w:rsidR="002669CA">
        <w:t>shipments</w:t>
      </w:r>
      <w:r w:rsidR="003F40DE">
        <w:t xml:space="preserve"> are reported to </w:t>
      </w:r>
      <w:r w:rsidR="00AB4D11">
        <w:t>an appropriate</w:t>
      </w:r>
      <w:r w:rsidR="003F40DE">
        <w:t xml:space="preserve"> law enfo</w:t>
      </w:r>
      <w:r w:rsidR="00C551F5">
        <w:t>rcement agency</w:t>
      </w:r>
      <w:r w:rsidR="00AB4D11">
        <w:t xml:space="preserve">. </w:t>
      </w:r>
      <w:r w:rsidR="003C4A41">
        <w:t>D</w:t>
      </w:r>
      <w:r w:rsidR="00AB4D11">
        <w:t>espite the</w:t>
      </w:r>
      <w:r w:rsidR="00C551F5">
        <w:t xml:space="preserve"> </w:t>
      </w:r>
      <w:r w:rsidR="002B4C05">
        <w:t>inter</w:t>
      </w:r>
      <w:r w:rsidR="00FD24CA">
        <w:t>-</w:t>
      </w:r>
      <w:r w:rsidR="003F40DE">
        <w:t xml:space="preserve">jurisdictional nature of these </w:t>
      </w:r>
      <w:r w:rsidR="00AB4D11">
        <w:t>incidents, which</w:t>
      </w:r>
      <w:r w:rsidR="003F40DE">
        <w:t xml:space="preserve"> place </w:t>
      </w:r>
      <w:r w:rsidR="00E10475">
        <w:t>s</w:t>
      </w:r>
      <w:r w:rsidR="003F40DE">
        <w:t xml:space="preserve">tate and local law enforcement agencies at a disadvantage </w:t>
      </w:r>
      <w:r>
        <w:t xml:space="preserve">when </w:t>
      </w:r>
      <w:r w:rsidR="003F40DE">
        <w:t>determining the appropriate jurisdiction</w:t>
      </w:r>
      <w:r w:rsidR="00AB4D11">
        <w:t xml:space="preserve">(s) to </w:t>
      </w:r>
      <w:r w:rsidR="003F40DE">
        <w:t>conduct</w:t>
      </w:r>
      <w:r w:rsidR="00AB4D11">
        <w:t xml:space="preserve"> their</w:t>
      </w:r>
      <w:r w:rsidR="003F40DE">
        <w:t xml:space="preserve"> investigations</w:t>
      </w:r>
      <w:r w:rsidR="003C4A41">
        <w:t>, the report enhances the efficiency of their activities</w:t>
      </w:r>
      <w:r w:rsidR="003F40DE">
        <w:t>.</w:t>
      </w:r>
    </w:p>
    <w:p w:rsidR="003F40DE" w:rsidRDefault="003F40DE"/>
    <w:p w:rsidR="003F40DE" w:rsidRDefault="003F40DE" w:rsidP="002669CA">
      <w:pPr>
        <w:pStyle w:val="ListParagraph"/>
        <w:numPr>
          <w:ilvl w:val="1"/>
          <w:numId w:val="1"/>
        </w:numPr>
      </w:pPr>
      <w:r>
        <w:t>The complete</w:t>
      </w:r>
      <w:r w:rsidR="00FD24CA">
        <w:t>d</w:t>
      </w:r>
      <w:r w:rsidR="003C4A41" w:rsidRPr="003C4A41">
        <w:t xml:space="preserve"> Interstate Firearms Shipment Theft/Loss Report - ATF Form 3310.6</w:t>
      </w:r>
      <w:r w:rsidR="003C4A41">
        <w:t xml:space="preserve"> </w:t>
      </w:r>
      <w:r w:rsidR="00AB4D11">
        <w:t xml:space="preserve">can be </w:t>
      </w:r>
      <w:r w:rsidR="00E10475">
        <w:t>emailed, faxed or</w:t>
      </w:r>
      <w:r w:rsidR="00FD24CA">
        <w:t xml:space="preserve"> </w:t>
      </w:r>
      <w:r>
        <w:t>mail</w:t>
      </w:r>
      <w:r w:rsidR="00FD24CA">
        <w:t>ed</w:t>
      </w:r>
      <w:r>
        <w:t xml:space="preserve"> to the ATF National Tracing Center for subsequent referral to the appropriate</w:t>
      </w:r>
      <w:r w:rsidR="00AB4D11">
        <w:t xml:space="preserve"> ATF</w:t>
      </w:r>
      <w:r>
        <w:t xml:space="preserve"> </w:t>
      </w:r>
      <w:r w:rsidR="00AB4D11">
        <w:t>Field Office</w:t>
      </w:r>
      <w:r>
        <w:t xml:space="preserve">. ATF </w:t>
      </w:r>
      <w:r w:rsidR="00AB4D11">
        <w:t>personnel will</w:t>
      </w:r>
      <w:r>
        <w:t xml:space="preserve"> ensure </w:t>
      </w:r>
      <w:r w:rsidR="00AB4D11">
        <w:t xml:space="preserve">that </w:t>
      </w:r>
      <w:r>
        <w:t>stolen firearms data is entered into the National Crime Information Center (NCIC)</w:t>
      </w:r>
      <w:r w:rsidR="00AB4D11">
        <w:t xml:space="preserve"> database</w:t>
      </w:r>
      <w:r w:rsidR="003D379A">
        <w:t>,</w:t>
      </w:r>
      <w:r w:rsidR="00AB4D11">
        <w:t xml:space="preserve"> </w:t>
      </w:r>
      <w:r w:rsidR="003C4A41">
        <w:t>so</w:t>
      </w:r>
      <w:r>
        <w:t xml:space="preserve"> </w:t>
      </w:r>
      <w:r w:rsidR="002669CA">
        <w:t xml:space="preserve">that </w:t>
      </w:r>
      <w:r>
        <w:t>interstate theft investigations</w:t>
      </w:r>
      <w:r w:rsidR="003C4A41">
        <w:t xml:space="preserve"> can be initiated in a timely manner</w:t>
      </w:r>
      <w:r w:rsidR="00C94283">
        <w:t>,</w:t>
      </w:r>
      <w:r w:rsidR="002669CA">
        <w:t xml:space="preserve"> and</w:t>
      </w:r>
      <w:r w:rsidR="003D379A">
        <w:t xml:space="preserve"> </w:t>
      </w:r>
      <w:r>
        <w:t xml:space="preserve">criminal </w:t>
      </w:r>
      <w:r w:rsidR="003C4A41">
        <w:t xml:space="preserve">charges can be brought </w:t>
      </w:r>
      <w:r>
        <w:t xml:space="preserve">against individuals </w:t>
      </w:r>
      <w:r w:rsidR="003D379A">
        <w:t>who</w:t>
      </w:r>
      <w:r>
        <w:t xml:space="preserve"> violat</w:t>
      </w:r>
      <w:r w:rsidR="003D379A">
        <w:t xml:space="preserve">e </w:t>
      </w:r>
      <w:r>
        <w:t>firearm laws.</w:t>
      </w:r>
      <w:r w:rsidR="003D379A">
        <w:t xml:space="preserve"> </w:t>
      </w:r>
      <w:r>
        <w:t xml:space="preserve">ATF </w:t>
      </w:r>
      <w:r w:rsidR="002B4C05">
        <w:t>F 3310.6 is</w:t>
      </w:r>
      <w:r w:rsidR="003D379A">
        <w:t xml:space="preserve"> also</w:t>
      </w:r>
      <w:r w:rsidR="002B4C05">
        <w:t xml:space="preserve"> available on the AT</w:t>
      </w:r>
      <w:r w:rsidR="00FD24CA">
        <w:t>F</w:t>
      </w:r>
      <w:r w:rsidR="002B4C05">
        <w:t xml:space="preserve"> website as a fillable, printable form.</w:t>
      </w:r>
      <w:r w:rsidR="00421EB7">
        <w:t xml:space="preserve"> Individuals with disabilities (508 Compliant) can access this form. ATF </w:t>
      </w:r>
      <w:r w:rsidR="00FD24CA">
        <w:t>accepts electronic</w:t>
      </w:r>
      <w:r w:rsidR="003D379A">
        <w:t>ally signed and submitted</w:t>
      </w:r>
      <w:r w:rsidR="00FD24CA">
        <w:t xml:space="preserve"> cop</w:t>
      </w:r>
      <w:r w:rsidR="003C4A41">
        <w:t>ies</w:t>
      </w:r>
      <w:r w:rsidR="00FD24CA">
        <w:t xml:space="preserve"> of the completed form</w:t>
      </w:r>
      <w:r w:rsidR="003D379A">
        <w:t>, which</w:t>
      </w:r>
      <w:r w:rsidR="00FD24CA">
        <w:t xml:space="preserve"> </w:t>
      </w:r>
      <w:r w:rsidR="003D379A">
        <w:t xml:space="preserve">will </w:t>
      </w:r>
      <w:r w:rsidR="00FD24CA">
        <w:t xml:space="preserve">expedite </w:t>
      </w:r>
      <w:r w:rsidR="003D379A">
        <w:t>the</w:t>
      </w:r>
      <w:r w:rsidR="003C4A41">
        <w:t>ir</w:t>
      </w:r>
      <w:r w:rsidR="003D379A">
        <w:t xml:space="preserve"> </w:t>
      </w:r>
      <w:r w:rsidR="00FD24CA">
        <w:t xml:space="preserve">review </w:t>
      </w:r>
      <w:r w:rsidR="003D379A">
        <w:t xml:space="preserve">by </w:t>
      </w:r>
      <w:r w:rsidR="00FD24CA">
        <w:t xml:space="preserve">law enforcement authorities.  </w:t>
      </w:r>
    </w:p>
    <w:p w:rsidR="003F40DE" w:rsidRDefault="003F40DE"/>
    <w:p w:rsidR="003F40DE" w:rsidRDefault="00421EB7">
      <w:pPr>
        <w:numPr>
          <w:ilvl w:val="1"/>
          <w:numId w:val="1"/>
        </w:numPr>
      </w:pPr>
      <w:r>
        <w:t xml:space="preserve">ATF uses a uniform </w:t>
      </w:r>
      <w:r w:rsidR="003F40DE">
        <w:t>subjec</w:t>
      </w:r>
      <w:r>
        <w:t xml:space="preserve">t classification system </w:t>
      </w:r>
      <w:r w:rsidR="003F40DE">
        <w:t>to identify duplication</w:t>
      </w:r>
      <w:r>
        <w:t xml:space="preserve"> and to ensure that any similar information </w:t>
      </w:r>
      <w:r w:rsidR="006E5736">
        <w:t>already available cannot be used for the purpose of this information collection</w:t>
      </w:r>
      <w:r w:rsidR="002669CA">
        <w:t xml:space="preserve"> (IC)</w:t>
      </w:r>
      <w:r w:rsidR="006E5736">
        <w:t>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The collection of information has no impact on small businesses.</w:t>
      </w:r>
    </w:p>
    <w:p w:rsidR="003F40DE" w:rsidRDefault="003F40DE"/>
    <w:p w:rsidR="003F40DE" w:rsidRDefault="00276443">
      <w:pPr>
        <w:numPr>
          <w:ilvl w:val="1"/>
          <w:numId w:val="1"/>
        </w:numPr>
      </w:pPr>
      <w:r>
        <w:t xml:space="preserve">Without this </w:t>
      </w:r>
      <w:r w:rsidR="002669CA">
        <w:t>IC,</w:t>
      </w:r>
      <w:r w:rsidR="003F40DE">
        <w:t xml:space="preserve"> </w:t>
      </w:r>
      <w:r w:rsidR="003D379A">
        <w:t>Federal authorities would be unaware of thefts, and ATF would be unable to investigate these incidents</w:t>
      </w:r>
      <w:r w:rsidR="003F40DE">
        <w:t>. It is necessary to report the thefts as they occur</w:t>
      </w:r>
      <w:r>
        <w:t>,</w:t>
      </w:r>
      <w:r w:rsidR="002669CA">
        <w:t xml:space="preserve"> to ensure </w:t>
      </w:r>
      <w:r w:rsidR="003F40DE">
        <w:t>timely investigation of the</w:t>
      </w:r>
      <w:r w:rsidR="00C94283">
        <w:t xml:space="preserve">se </w:t>
      </w:r>
      <w:r w:rsidR="003F40DE">
        <w:t>violation</w:t>
      </w:r>
      <w:r w:rsidR="00C94283">
        <w:t>s</w:t>
      </w:r>
      <w:r w:rsidR="003F40DE">
        <w:t xml:space="preserve">. Failure to </w:t>
      </w:r>
      <w:r>
        <w:t xml:space="preserve">report these incidents </w:t>
      </w:r>
      <w:r w:rsidR="003F40DE">
        <w:t xml:space="preserve">would </w:t>
      </w:r>
      <w:r>
        <w:t>reduce</w:t>
      </w:r>
      <w:r w:rsidR="003F40DE">
        <w:t xml:space="preserve"> opportunities to identify </w:t>
      </w:r>
      <w:r w:rsidR="00C94283">
        <w:t xml:space="preserve">and prosecute </w:t>
      </w:r>
      <w:r w:rsidR="003F40DE">
        <w:t>the criminal suspects.</w:t>
      </w:r>
    </w:p>
    <w:p w:rsidR="003F40DE" w:rsidRDefault="003F40DE"/>
    <w:p w:rsidR="003F40DE" w:rsidRDefault="003F40DE" w:rsidP="00B40EA8">
      <w:pPr>
        <w:numPr>
          <w:ilvl w:val="1"/>
          <w:numId w:val="1"/>
        </w:numPr>
      </w:pPr>
      <w:r>
        <w:t>There are no special circumstances for this information collection</w:t>
      </w:r>
      <w:r w:rsidR="003C4A41">
        <w:t xml:space="preserve">, which conforms to </w:t>
      </w:r>
      <w:r>
        <w:t>5 CFR 1320.6</w:t>
      </w:r>
      <w:r w:rsidR="003C4A41">
        <w:t xml:space="preserve"> guidelines</w:t>
      </w:r>
      <w:r>
        <w:t>.</w:t>
      </w:r>
    </w:p>
    <w:p w:rsidR="003F40DE" w:rsidRDefault="003F40DE"/>
    <w:p w:rsidR="003F40DE" w:rsidRDefault="00D71E7B">
      <w:pPr>
        <w:numPr>
          <w:ilvl w:val="1"/>
          <w:numId w:val="1"/>
        </w:numPr>
      </w:pPr>
      <w:r>
        <w:t xml:space="preserve">No comments were received during </w:t>
      </w:r>
      <w:r w:rsidR="00532199">
        <w:t xml:space="preserve">either </w:t>
      </w:r>
      <w:r>
        <w:t xml:space="preserve">the </w:t>
      </w:r>
      <w:r w:rsidR="006E5736">
        <w:t>60-day</w:t>
      </w:r>
      <w:r w:rsidR="00C43CAA">
        <w:t xml:space="preserve"> </w:t>
      </w:r>
      <w:r w:rsidR="00532199">
        <w:t xml:space="preserve">or the 30-day </w:t>
      </w:r>
      <w:r>
        <w:t xml:space="preserve">Federal Register Notice </w:t>
      </w:r>
      <w:r w:rsidR="00532199">
        <w:t>p</w:t>
      </w:r>
      <w:r>
        <w:t xml:space="preserve">eriod. </w:t>
      </w:r>
    </w:p>
    <w:p w:rsidR="003F40DE" w:rsidRDefault="003F40DE"/>
    <w:p w:rsidR="003F40DE" w:rsidRDefault="006E5736">
      <w:pPr>
        <w:numPr>
          <w:ilvl w:val="1"/>
          <w:numId w:val="1"/>
        </w:numPr>
      </w:pPr>
      <w:r>
        <w:t xml:space="preserve">No </w:t>
      </w:r>
      <w:r w:rsidR="003F40DE">
        <w:t>payment or gift is associated with this collection.</w:t>
      </w:r>
    </w:p>
    <w:p w:rsidR="003F40DE" w:rsidRDefault="003F40DE"/>
    <w:p w:rsidR="003F40DE" w:rsidRDefault="00C551F5" w:rsidP="003C4A41">
      <w:pPr>
        <w:numPr>
          <w:ilvl w:val="1"/>
          <w:numId w:val="1"/>
        </w:numPr>
      </w:pPr>
      <w:r>
        <w:t>The</w:t>
      </w:r>
      <w:r w:rsidR="003C4A41">
        <w:t xml:space="preserve"> collected information is entered in the </w:t>
      </w:r>
      <w:r w:rsidR="003C4A41" w:rsidRPr="003C4A41">
        <w:t>National Crime Information Center (NCIC) database</w:t>
      </w:r>
      <w:r w:rsidR="003C4A41">
        <w:t xml:space="preserve"> by ATF personnel.</w:t>
      </w:r>
      <w:r>
        <w:t xml:space="preserve"> </w:t>
      </w:r>
      <w:r w:rsidR="00276443">
        <w:t>Confidentiality is not assured.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No questions of a sensitive nature are asked.</w:t>
      </w:r>
    </w:p>
    <w:p w:rsidR="003F40DE" w:rsidRDefault="003F40DE"/>
    <w:p w:rsidR="003F40DE" w:rsidRDefault="0007726E">
      <w:pPr>
        <w:numPr>
          <w:ilvl w:val="1"/>
          <w:numId w:val="1"/>
        </w:numPr>
      </w:pPr>
      <w:r>
        <w:lastRenderedPageBreak/>
        <w:t>The number of re</w:t>
      </w:r>
      <w:r w:rsidR="002669CA">
        <w:t>spondents associated with this IC</w:t>
      </w:r>
      <w:r>
        <w:t xml:space="preserve"> is </w:t>
      </w:r>
      <w:r w:rsidR="00F51504">
        <w:t>950</w:t>
      </w:r>
      <w:r>
        <w:t xml:space="preserve">.  Each respondent </w:t>
      </w:r>
      <w:r w:rsidR="00D449D0">
        <w:t xml:space="preserve">answers </w:t>
      </w:r>
      <w:r w:rsidR="0036742C">
        <w:t>one (</w:t>
      </w:r>
      <w:r>
        <w:t>1</w:t>
      </w:r>
      <w:r w:rsidR="0036742C">
        <w:t>)</w:t>
      </w:r>
      <w:r>
        <w:t xml:space="preserve"> time</w:t>
      </w:r>
      <w:r w:rsidR="0036742C">
        <w:t>,</w:t>
      </w:r>
      <w:r>
        <w:t xml:space="preserve"> therefore the total annual number of responses is </w:t>
      </w:r>
      <w:r w:rsidR="00F51504">
        <w:t>950</w:t>
      </w:r>
      <w:r>
        <w:t xml:space="preserve">. It takes </w:t>
      </w:r>
      <w:r w:rsidR="00C94283">
        <w:t xml:space="preserve">an average </w:t>
      </w:r>
      <w:r>
        <w:t xml:space="preserve">20 minutes to complete the form. The total annual hours associated with this collection is </w:t>
      </w:r>
      <w:r w:rsidR="0086720B">
        <w:t>317</w:t>
      </w:r>
      <w:r w:rsidR="003F40DE">
        <w:t>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The</w:t>
      </w:r>
      <w:r w:rsidR="0007726E">
        <w:t>re is no start-up cost</w:t>
      </w:r>
      <w:r>
        <w:t xml:space="preserve"> to the respondent. The annual cost to the respondent i</w:t>
      </w:r>
      <w:r w:rsidR="007679C9">
        <w:t xml:space="preserve">s postage to mail the </w:t>
      </w:r>
      <w:r w:rsidR="00FD24CA">
        <w:t xml:space="preserve">original </w:t>
      </w:r>
      <w:r w:rsidR="007679C9">
        <w:t>form</w:t>
      </w:r>
      <w:r w:rsidR="00FD24CA">
        <w:t xml:space="preserve"> (</w:t>
      </w:r>
      <w:r w:rsidR="00F51504">
        <w:t>0</w:t>
      </w:r>
      <w:r w:rsidR="007679C9">
        <w:t>.</w:t>
      </w:r>
      <w:r w:rsidR="00F51504">
        <w:t>55</w:t>
      </w:r>
      <w:r w:rsidR="007679C9">
        <w:t xml:space="preserve"> x </w:t>
      </w:r>
      <w:r w:rsidR="0086720B">
        <w:t xml:space="preserve">950 </w:t>
      </w:r>
      <w:r w:rsidR="007679C9">
        <w:t>= $</w:t>
      </w:r>
      <w:r w:rsidR="0086720B">
        <w:t>523</w:t>
      </w:r>
      <w:r w:rsidR="00FD24CA">
        <w:t>)</w:t>
      </w:r>
      <w:r>
        <w:t>.</w:t>
      </w:r>
      <w:r w:rsidR="00F51504">
        <w:rPr>
          <w:rStyle w:val="FootnoteReference"/>
        </w:rPr>
        <w:footnoteReference w:id="1"/>
      </w:r>
      <w:r>
        <w:t xml:space="preserve"> The cost on the 83-I form will be reported as 0</w:t>
      </w:r>
      <w:r w:rsidR="007A68C3">
        <w:t>,</w:t>
      </w:r>
      <w:r w:rsidR="00733DBE">
        <w:t xml:space="preserve"> </w:t>
      </w:r>
      <w:r>
        <w:t>since the cost is to be reported in thousands of dollars.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The annual cost to the Federal Government is $1,495.00 in distribution expenditures.</w:t>
      </w:r>
    </w:p>
    <w:p w:rsidR="003F40DE" w:rsidRDefault="003F40DE"/>
    <w:p w:rsidR="003F40DE" w:rsidRDefault="00311106">
      <w:pPr>
        <w:numPr>
          <w:ilvl w:val="1"/>
          <w:numId w:val="1"/>
        </w:numPr>
      </w:pPr>
      <w:r>
        <w:t>The adjustment associated with this collection</w:t>
      </w:r>
      <w:r w:rsidR="00300C83">
        <w:t xml:space="preserve"> include an increase in respondents and total burden hours</w:t>
      </w:r>
      <w:r w:rsidR="00D449D0">
        <w:t xml:space="preserve"> for this IC</w:t>
      </w:r>
      <w:r w:rsidR="00300C83">
        <w:t xml:space="preserve"> by 400 and 1</w:t>
      </w:r>
      <w:r w:rsidR="00E82BFB">
        <w:t>35</w:t>
      </w:r>
      <w:r w:rsidR="00300C83">
        <w:t xml:space="preserve"> </w:t>
      </w:r>
      <w:r w:rsidR="002669CA">
        <w:t xml:space="preserve">hours </w:t>
      </w:r>
      <w:r w:rsidR="00300C83">
        <w:t>respectively, since the last ren</w:t>
      </w:r>
      <w:r w:rsidR="00D449D0">
        <w:t>ewal in 201</w:t>
      </w:r>
      <w:r w:rsidR="002669CA">
        <w:t>6</w:t>
      </w:r>
      <w:r w:rsidR="003F40DE">
        <w:t>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The results of this information collection will not be published.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 xml:space="preserve">ATF does </w:t>
      </w:r>
      <w:r w:rsidRPr="00C66BCA">
        <w:t>not request approval to not</w:t>
      </w:r>
      <w:r>
        <w:t xml:space="preserve"> display the expiration date of OMB approval for this information collection.</w:t>
      </w:r>
    </w:p>
    <w:p w:rsidR="003F40DE" w:rsidRDefault="003F40DE"/>
    <w:p w:rsidR="003F40DE" w:rsidRDefault="003F40DE">
      <w:pPr>
        <w:numPr>
          <w:ilvl w:val="1"/>
          <w:numId w:val="1"/>
        </w:numPr>
      </w:pPr>
      <w:r>
        <w:t>There are no exceptions to the certification statement.</w:t>
      </w:r>
    </w:p>
    <w:p w:rsidR="003F40DE" w:rsidRDefault="003F40DE"/>
    <w:p w:rsidR="003F40DE" w:rsidRDefault="003F40DE">
      <w:pPr>
        <w:numPr>
          <w:ilvl w:val="0"/>
          <w:numId w:val="1"/>
        </w:numPr>
      </w:pPr>
      <w:r>
        <w:t>Collections of Information Employing Statistical Methods</w:t>
      </w:r>
    </w:p>
    <w:p w:rsidR="003F40DE" w:rsidRDefault="003F40DE">
      <w:pPr>
        <w:ind w:left="360"/>
      </w:pPr>
    </w:p>
    <w:p w:rsidR="003F40DE" w:rsidRDefault="003F40DE" w:rsidP="002669CA">
      <w:pPr>
        <w:ind w:left="360" w:firstLine="360"/>
      </w:pPr>
      <w:r>
        <w:t>None</w:t>
      </w:r>
    </w:p>
    <w:sectPr w:rsidR="003F40D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6A" w:rsidRDefault="0025206A">
      <w:r>
        <w:separator/>
      </w:r>
    </w:p>
  </w:endnote>
  <w:endnote w:type="continuationSeparator" w:id="0">
    <w:p w:rsidR="0025206A" w:rsidRDefault="0025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C9" w:rsidRDefault="00767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79C9" w:rsidRDefault="00767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C9" w:rsidRDefault="00767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540">
      <w:rPr>
        <w:rStyle w:val="PageNumber"/>
        <w:noProof/>
      </w:rPr>
      <w:t>2</w:t>
    </w:r>
    <w:r>
      <w:rPr>
        <w:rStyle w:val="PageNumber"/>
      </w:rPr>
      <w:fldChar w:fldCharType="end"/>
    </w:r>
  </w:p>
  <w:p w:rsidR="007679C9" w:rsidRDefault="00767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6A" w:rsidRDefault="0025206A">
      <w:r>
        <w:separator/>
      </w:r>
    </w:p>
  </w:footnote>
  <w:footnote w:type="continuationSeparator" w:id="0">
    <w:p w:rsidR="0025206A" w:rsidRDefault="0025206A">
      <w:r>
        <w:continuationSeparator/>
      </w:r>
    </w:p>
  </w:footnote>
  <w:footnote w:id="1">
    <w:p w:rsidR="00F51504" w:rsidRDefault="00F515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1504">
        <w:t>https://www.usps.com/business/prices.htm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5E62"/>
    <w:multiLevelType w:val="hybridMultilevel"/>
    <w:tmpl w:val="4B0C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756A2"/>
    <w:multiLevelType w:val="hybridMultilevel"/>
    <w:tmpl w:val="945C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A0FAA"/>
    <w:multiLevelType w:val="hybridMultilevel"/>
    <w:tmpl w:val="3DD22C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43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05"/>
    <w:rsid w:val="0004434E"/>
    <w:rsid w:val="00045610"/>
    <w:rsid w:val="0007726E"/>
    <w:rsid w:val="000D2571"/>
    <w:rsid w:val="00107ED2"/>
    <w:rsid w:val="0011264D"/>
    <w:rsid w:val="001A17FD"/>
    <w:rsid w:val="001E3B5A"/>
    <w:rsid w:val="001F4FA6"/>
    <w:rsid w:val="002406AC"/>
    <w:rsid w:val="0025206A"/>
    <w:rsid w:val="00260025"/>
    <w:rsid w:val="002669CA"/>
    <w:rsid w:val="00276443"/>
    <w:rsid w:val="00286540"/>
    <w:rsid w:val="002A7EBB"/>
    <w:rsid w:val="002B4C05"/>
    <w:rsid w:val="00300C83"/>
    <w:rsid w:val="00311106"/>
    <w:rsid w:val="0036742C"/>
    <w:rsid w:val="00397919"/>
    <w:rsid w:val="003C4A41"/>
    <w:rsid w:val="003D379A"/>
    <w:rsid w:val="003F40DE"/>
    <w:rsid w:val="00421EB7"/>
    <w:rsid w:val="00453767"/>
    <w:rsid w:val="00532199"/>
    <w:rsid w:val="005A2B8E"/>
    <w:rsid w:val="00640AD2"/>
    <w:rsid w:val="006E5736"/>
    <w:rsid w:val="0072475D"/>
    <w:rsid w:val="0073364E"/>
    <w:rsid w:val="00733DBE"/>
    <w:rsid w:val="007403DC"/>
    <w:rsid w:val="0075131F"/>
    <w:rsid w:val="007679C9"/>
    <w:rsid w:val="007A68C3"/>
    <w:rsid w:val="007C26D1"/>
    <w:rsid w:val="007F59F1"/>
    <w:rsid w:val="0086720B"/>
    <w:rsid w:val="008B1BDA"/>
    <w:rsid w:val="008C0971"/>
    <w:rsid w:val="009520A8"/>
    <w:rsid w:val="00991AB9"/>
    <w:rsid w:val="00A07635"/>
    <w:rsid w:val="00A87593"/>
    <w:rsid w:val="00AB4D11"/>
    <w:rsid w:val="00AB6D27"/>
    <w:rsid w:val="00AD5540"/>
    <w:rsid w:val="00AF1B81"/>
    <w:rsid w:val="00AF48A7"/>
    <w:rsid w:val="00B176AE"/>
    <w:rsid w:val="00B40EA8"/>
    <w:rsid w:val="00B47A79"/>
    <w:rsid w:val="00BF76FC"/>
    <w:rsid w:val="00C119F5"/>
    <w:rsid w:val="00C34264"/>
    <w:rsid w:val="00C4372E"/>
    <w:rsid w:val="00C43CAA"/>
    <w:rsid w:val="00C551F5"/>
    <w:rsid w:val="00C66BCA"/>
    <w:rsid w:val="00C94283"/>
    <w:rsid w:val="00C9592D"/>
    <w:rsid w:val="00C95A60"/>
    <w:rsid w:val="00D063EA"/>
    <w:rsid w:val="00D3021D"/>
    <w:rsid w:val="00D33053"/>
    <w:rsid w:val="00D449D0"/>
    <w:rsid w:val="00D44FF1"/>
    <w:rsid w:val="00D71E7B"/>
    <w:rsid w:val="00D82EFD"/>
    <w:rsid w:val="00DD0CA4"/>
    <w:rsid w:val="00E10475"/>
    <w:rsid w:val="00E614DB"/>
    <w:rsid w:val="00E82BFB"/>
    <w:rsid w:val="00F200BC"/>
    <w:rsid w:val="00F51504"/>
    <w:rsid w:val="00F672C6"/>
    <w:rsid w:val="00FD24CA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10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047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F515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1504"/>
  </w:style>
  <w:style w:type="character" w:styleId="FootnoteReference">
    <w:name w:val="footnote reference"/>
    <w:rsid w:val="00F515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10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047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F515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1504"/>
  </w:style>
  <w:style w:type="character" w:styleId="FootnoteReference">
    <w:name w:val="footnote reference"/>
    <w:rsid w:val="00F515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FA98-D4BA-45B4-9CB5-D4286254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2016-03-22T19:19:00Z</cp:lastPrinted>
  <dcterms:created xsi:type="dcterms:W3CDTF">2019-10-25T15:53:00Z</dcterms:created>
  <dcterms:modified xsi:type="dcterms:W3CDTF">2019-10-25T15:53:00Z</dcterms:modified>
</cp:coreProperties>
</file>