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6F" w:rsidRPr="00F13168" w:rsidRDefault="00F0566F" w:rsidP="00F0566F">
      <w:pPr>
        <w:pStyle w:val="Heading1"/>
        <w:tabs>
          <w:tab w:val="left" w:pos="2790"/>
        </w:tabs>
        <w:rPr>
          <w:sz w:val="24"/>
        </w:rPr>
      </w:pPr>
      <w:bookmarkStart w:id="0" w:name="_GoBack"/>
      <w:bookmarkEnd w:id="0"/>
      <w:r w:rsidRPr="00F13168">
        <w:rPr>
          <w:sz w:val="24"/>
        </w:rPr>
        <w:t>Department of Justice</w:t>
      </w:r>
    </w:p>
    <w:p w:rsidR="00F0566F" w:rsidRPr="00F13168" w:rsidRDefault="00F0566F" w:rsidP="00F0566F">
      <w:pPr>
        <w:pStyle w:val="Heading1"/>
        <w:rPr>
          <w:sz w:val="24"/>
        </w:rPr>
      </w:pPr>
      <w:r w:rsidRPr="00F13168">
        <w:rPr>
          <w:sz w:val="24"/>
        </w:rPr>
        <w:t>Bureau of Alcohol, Tobacco, Firearms and Explosives</w:t>
      </w:r>
    </w:p>
    <w:p w:rsidR="00F0566F" w:rsidRPr="00F13168" w:rsidRDefault="00F0566F" w:rsidP="00F0566F"/>
    <w:p w:rsidR="00F0566F" w:rsidRDefault="00F0566F" w:rsidP="00F0566F">
      <w:pPr>
        <w:pStyle w:val="Heading1"/>
        <w:rPr>
          <w:sz w:val="24"/>
        </w:rPr>
      </w:pPr>
      <w:r w:rsidRPr="00F13168">
        <w:rPr>
          <w:sz w:val="24"/>
        </w:rPr>
        <w:t xml:space="preserve">Information Collection </w:t>
      </w:r>
      <w:r>
        <w:rPr>
          <w:sz w:val="24"/>
        </w:rPr>
        <w:t>Request</w:t>
      </w:r>
    </w:p>
    <w:p w:rsidR="00F0566F" w:rsidRPr="00DB09BE" w:rsidRDefault="00F0566F" w:rsidP="00F0566F">
      <w:pPr>
        <w:jc w:val="center"/>
      </w:pPr>
      <w:r>
        <w:t>OMB 1140-0091</w:t>
      </w:r>
    </w:p>
    <w:p w:rsidR="00F0566F" w:rsidRPr="00F13168" w:rsidRDefault="00F0566F" w:rsidP="00F0566F">
      <w:pPr>
        <w:jc w:val="center"/>
      </w:pPr>
      <w:r w:rsidRPr="00F13168">
        <w:t>Supporting Statement</w:t>
      </w:r>
    </w:p>
    <w:p w:rsidR="00F0566F" w:rsidRPr="00F13168" w:rsidRDefault="00F0566F" w:rsidP="00F0566F">
      <w:pPr>
        <w:jc w:val="center"/>
      </w:pPr>
    </w:p>
    <w:p w:rsidR="00F0566F" w:rsidRPr="0010231E" w:rsidRDefault="00F0566F" w:rsidP="00F0566F">
      <w:pPr>
        <w:jc w:val="center"/>
        <w:rPr>
          <w:b/>
        </w:rPr>
      </w:pPr>
      <w:r>
        <w:rPr>
          <w:b/>
        </w:rPr>
        <w:t>National Response Team (NRT) Customer Satisfaction Survey</w:t>
      </w:r>
    </w:p>
    <w:p w:rsidR="00F0566F" w:rsidRDefault="00F0566F" w:rsidP="00F0566F"/>
    <w:p w:rsidR="00F0566F" w:rsidRDefault="00F0566F" w:rsidP="00F0566F">
      <w:pPr>
        <w:pStyle w:val="BodyTextIndent"/>
        <w:tabs>
          <w:tab w:val="num" w:pos="360"/>
          <w:tab w:val="left" w:pos="450"/>
        </w:tabs>
        <w:ind w:left="360" w:hanging="360"/>
        <w:rPr>
          <w:b/>
          <w:sz w:val="24"/>
        </w:rPr>
      </w:pPr>
    </w:p>
    <w:p w:rsidR="00555BB1" w:rsidRPr="00F0566F" w:rsidRDefault="00555BB1" w:rsidP="00F0566F">
      <w:pPr>
        <w:pStyle w:val="BodyTextIndent"/>
        <w:tabs>
          <w:tab w:val="num" w:pos="360"/>
          <w:tab w:val="left" w:pos="450"/>
        </w:tabs>
        <w:ind w:left="360" w:hanging="360"/>
        <w:rPr>
          <w:b/>
          <w:color w:val="FF0000"/>
          <w:sz w:val="24"/>
        </w:rPr>
      </w:pPr>
      <w:r w:rsidRPr="00687FDB">
        <w:rPr>
          <w:color w:val="000000" w:themeColor="text1"/>
          <w:sz w:val="24"/>
        </w:rPr>
        <w:t>B</w:t>
      </w:r>
      <w:r w:rsidR="00F0566F" w:rsidRPr="00687FDB">
        <w:rPr>
          <w:color w:val="000000" w:themeColor="text1"/>
          <w:sz w:val="24"/>
        </w:rPr>
        <w:t>.</w:t>
      </w:r>
      <w:r w:rsidR="00F0566F" w:rsidRPr="00687FDB">
        <w:rPr>
          <w:color w:val="FF0000"/>
          <w:sz w:val="24"/>
        </w:rPr>
        <w:t xml:space="preserve"> </w:t>
      </w:r>
      <w:r w:rsidR="00F0566F" w:rsidRPr="00F0566F">
        <w:rPr>
          <w:color w:val="FF0000"/>
          <w:sz w:val="24"/>
        </w:rPr>
        <w:tab/>
      </w:r>
      <w:r w:rsidRPr="00687FDB">
        <w:rPr>
          <w:sz w:val="24"/>
          <w:u w:val="single"/>
        </w:rPr>
        <w:t>Collections of Information Employing Statistical Methods</w:t>
      </w:r>
      <w:r w:rsidRPr="00687FDB">
        <w:rPr>
          <w:sz w:val="24"/>
        </w:rPr>
        <w:t xml:space="preserve">:  </w:t>
      </w:r>
    </w:p>
    <w:p w:rsidR="00555BB1" w:rsidRPr="00EC1C78" w:rsidRDefault="00555BB1" w:rsidP="00555BB1">
      <w:pPr>
        <w:pStyle w:val="BodyTextIndent"/>
        <w:tabs>
          <w:tab w:val="num" w:pos="360"/>
          <w:tab w:val="left" w:pos="450"/>
        </w:tabs>
        <w:ind w:left="360" w:hanging="360"/>
        <w:rPr>
          <w:color w:val="FF0000"/>
          <w:sz w:val="24"/>
        </w:rPr>
      </w:pPr>
      <w:r w:rsidRPr="00EC1C78">
        <w:rPr>
          <w:color w:val="FF0000"/>
          <w:sz w:val="24"/>
        </w:rPr>
        <w:t xml:space="preserve">     </w:t>
      </w:r>
    </w:p>
    <w:p w:rsidR="00555BB1" w:rsidRPr="00F0566F" w:rsidRDefault="00555BB1" w:rsidP="00555BB1">
      <w:pPr>
        <w:pStyle w:val="BodyText"/>
        <w:numPr>
          <w:ilvl w:val="0"/>
          <w:numId w:val="1"/>
        </w:numPr>
        <w:tabs>
          <w:tab w:val="clear" w:pos="1125"/>
          <w:tab w:val="left" w:pos="850"/>
        </w:tabs>
        <w:ind w:left="900" w:hanging="490"/>
        <w:rPr>
          <w:sz w:val="24"/>
        </w:rPr>
      </w:pPr>
      <w:r w:rsidRPr="00F0566F">
        <w:rPr>
          <w:sz w:val="24"/>
        </w:rPr>
        <w:t xml:space="preserve">The customer survey is directed at customers of ATF’s arson and explosives programs and investigative assets who use our National Response Team (NRT) services.  ATF will use the survey to assess strengths and weaknesses of the NRT services.  We estimate that there will be approximately 20 respondents per year.    </w:t>
      </w:r>
    </w:p>
    <w:p w:rsidR="00555BB1" w:rsidRPr="00F0566F" w:rsidRDefault="00555BB1" w:rsidP="00555BB1">
      <w:pPr>
        <w:pStyle w:val="BodyText"/>
        <w:ind w:left="900"/>
        <w:rPr>
          <w:sz w:val="24"/>
        </w:rPr>
      </w:pPr>
    </w:p>
    <w:p w:rsidR="00555BB1" w:rsidRPr="00F0566F" w:rsidRDefault="00555BB1" w:rsidP="00555BB1">
      <w:pPr>
        <w:pStyle w:val="BodyText"/>
        <w:tabs>
          <w:tab w:val="left" w:pos="850"/>
        </w:tabs>
        <w:ind w:left="850" w:hanging="490"/>
        <w:rPr>
          <w:sz w:val="24"/>
        </w:rPr>
      </w:pPr>
      <w:r w:rsidRPr="00F0566F">
        <w:rPr>
          <w:sz w:val="24"/>
        </w:rPr>
        <w:t>2.</w:t>
      </w:r>
      <w:r w:rsidRPr="00F0566F">
        <w:rPr>
          <w:sz w:val="24"/>
        </w:rPr>
        <w:tab/>
        <w:t xml:space="preserve">ATF’s goal of the survey is to reach customers in order to learn of the strengths in the National Response Teams customer service and the changes that should be made in the way ATF provides services to customers. </w:t>
      </w:r>
    </w:p>
    <w:p w:rsidR="00555BB1" w:rsidRPr="00F0566F" w:rsidRDefault="00555BB1" w:rsidP="00555BB1">
      <w:pPr>
        <w:pStyle w:val="BodyText"/>
        <w:rPr>
          <w:sz w:val="24"/>
        </w:rPr>
      </w:pPr>
    </w:p>
    <w:p w:rsidR="00555BB1" w:rsidRPr="00F0566F" w:rsidRDefault="00555BB1" w:rsidP="00555BB1">
      <w:pPr>
        <w:pStyle w:val="BodyText"/>
        <w:tabs>
          <w:tab w:val="left" w:pos="850"/>
        </w:tabs>
        <w:ind w:left="850" w:hanging="490"/>
        <w:rPr>
          <w:sz w:val="24"/>
        </w:rPr>
      </w:pPr>
      <w:r w:rsidRPr="00F0566F">
        <w:rPr>
          <w:sz w:val="24"/>
        </w:rPr>
        <w:t>3.</w:t>
      </w:r>
      <w:r w:rsidRPr="00F0566F">
        <w:rPr>
          <w:sz w:val="24"/>
        </w:rPr>
        <w:tab/>
        <w:t>Methods to increase the response rate and minimize non-respondents include:</w:t>
      </w:r>
    </w:p>
    <w:p w:rsidR="00555BB1" w:rsidRPr="00F0566F" w:rsidRDefault="00555BB1" w:rsidP="00555BB1">
      <w:pPr>
        <w:pStyle w:val="BodyText"/>
        <w:rPr>
          <w:sz w:val="24"/>
        </w:rPr>
      </w:pPr>
    </w:p>
    <w:p w:rsidR="00555BB1" w:rsidRPr="00F0566F" w:rsidRDefault="00555BB1" w:rsidP="00555BB1">
      <w:pPr>
        <w:pStyle w:val="BodyText"/>
        <w:numPr>
          <w:ilvl w:val="0"/>
          <w:numId w:val="3"/>
        </w:numPr>
        <w:tabs>
          <w:tab w:val="clear" w:pos="720"/>
        </w:tabs>
        <w:ind w:left="1440" w:hanging="540"/>
        <w:rPr>
          <w:sz w:val="24"/>
        </w:rPr>
      </w:pPr>
      <w:r w:rsidRPr="00F0566F">
        <w:rPr>
          <w:sz w:val="24"/>
        </w:rPr>
        <w:t xml:space="preserve">A preliminary e-mail is sent to inform the department or agency that the survey will be arriving soon. </w:t>
      </w:r>
    </w:p>
    <w:p w:rsidR="00555BB1" w:rsidRPr="00F0566F" w:rsidRDefault="00555BB1" w:rsidP="00555BB1">
      <w:pPr>
        <w:pStyle w:val="BodyText"/>
        <w:ind w:left="1440"/>
        <w:rPr>
          <w:sz w:val="24"/>
        </w:rPr>
      </w:pPr>
    </w:p>
    <w:p w:rsidR="00555BB1" w:rsidRPr="00F0566F" w:rsidRDefault="00555BB1" w:rsidP="00555BB1">
      <w:pPr>
        <w:pStyle w:val="BodyText"/>
        <w:numPr>
          <w:ilvl w:val="0"/>
          <w:numId w:val="3"/>
        </w:numPr>
        <w:tabs>
          <w:tab w:val="clear" w:pos="720"/>
        </w:tabs>
        <w:ind w:left="1440" w:hanging="540"/>
        <w:rPr>
          <w:sz w:val="24"/>
        </w:rPr>
      </w:pPr>
      <w:r w:rsidRPr="00F0566F">
        <w:rPr>
          <w:sz w:val="24"/>
        </w:rPr>
        <w:t>Respondents have the alternative to respond by paper and pencil or electronically.</w:t>
      </w:r>
    </w:p>
    <w:p w:rsidR="00555BB1" w:rsidRPr="00F0566F" w:rsidRDefault="00555BB1" w:rsidP="00555BB1">
      <w:pPr>
        <w:pStyle w:val="BodyText"/>
        <w:ind w:left="1440" w:hanging="540"/>
        <w:rPr>
          <w:sz w:val="24"/>
        </w:rPr>
      </w:pPr>
    </w:p>
    <w:p w:rsidR="00555BB1" w:rsidRPr="00F0566F" w:rsidRDefault="00555BB1" w:rsidP="00555BB1">
      <w:pPr>
        <w:pStyle w:val="BodyText"/>
        <w:numPr>
          <w:ilvl w:val="0"/>
          <w:numId w:val="3"/>
        </w:numPr>
        <w:tabs>
          <w:tab w:val="clear" w:pos="720"/>
        </w:tabs>
        <w:ind w:left="1440" w:hanging="540"/>
        <w:rPr>
          <w:sz w:val="24"/>
        </w:rPr>
      </w:pPr>
      <w:r w:rsidRPr="00F0566F">
        <w:rPr>
          <w:sz w:val="24"/>
        </w:rPr>
        <w:t>Respondents have the choice of identifying themselves and/or their organization or not.</w:t>
      </w:r>
    </w:p>
    <w:p w:rsidR="00555BB1" w:rsidRPr="00F0566F" w:rsidRDefault="00555BB1" w:rsidP="00555BB1">
      <w:pPr>
        <w:pStyle w:val="BodyText"/>
        <w:ind w:left="1440" w:hanging="540"/>
        <w:rPr>
          <w:sz w:val="24"/>
        </w:rPr>
      </w:pPr>
    </w:p>
    <w:p w:rsidR="00555BB1" w:rsidRPr="00F0566F" w:rsidRDefault="00555BB1" w:rsidP="00555BB1">
      <w:pPr>
        <w:pStyle w:val="BodyText"/>
        <w:numPr>
          <w:ilvl w:val="0"/>
          <w:numId w:val="3"/>
        </w:numPr>
        <w:tabs>
          <w:tab w:val="clear" w:pos="720"/>
        </w:tabs>
        <w:ind w:left="1440" w:hanging="540"/>
        <w:rPr>
          <w:sz w:val="24"/>
        </w:rPr>
      </w:pPr>
      <w:r w:rsidRPr="00F0566F">
        <w:rPr>
          <w:sz w:val="24"/>
        </w:rPr>
        <w:t>Respondents requiring assistance are promised follow-up.</w:t>
      </w:r>
    </w:p>
    <w:p w:rsidR="00555BB1" w:rsidRPr="00F0566F" w:rsidRDefault="00555BB1" w:rsidP="00555BB1">
      <w:pPr>
        <w:pStyle w:val="BodyText"/>
        <w:ind w:left="1440" w:hanging="540"/>
        <w:rPr>
          <w:sz w:val="24"/>
        </w:rPr>
      </w:pPr>
    </w:p>
    <w:p w:rsidR="00555BB1" w:rsidRPr="00F0566F" w:rsidRDefault="00555BB1" w:rsidP="00555BB1">
      <w:pPr>
        <w:pStyle w:val="BodyText"/>
        <w:numPr>
          <w:ilvl w:val="0"/>
          <w:numId w:val="3"/>
        </w:numPr>
        <w:tabs>
          <w:tab w:val="clear" w:pos="720"/>
        </w:tabs>
        <w:ind w:left="1440" w:hanging="540"/>
        <w:rPr>
          <w:sz w:val="24"/>
        </w:rPr>
      </w:pPr>
      <w:r w:rsidRPr="00F0566F">
        <w:rPr>
          <w:sz w:val="24"/>
        </w:rPr>
        <w:t>Names of individuals or organizations will not appear in reports.</w:t>
      </w:r>
    </w:p>
    <w:p w:rsidR="00555BB1" w:rsidRPr="00F0566F" w:rsidRDefault="00555BB1" w:rsidP="00555BB1">
      <w:pPr>
        <w:pStyle w:val="ListParagraph"/>
      </w:pPr>
    </w:p>
    <w:p w:rsidR="00555BB1" w:rsidRPr="00F0566F" w:rsidRDefault="00555BB1" w:rsidP="00555BB1">
      <w:pPr>
        <w:pStyle w:val="BodyText"/>
        <w:numPr>
          <w:ilvl w:val="0"/>
          <w:numId w:val="3"/>
        </w:numPr>
        <w:tabs>
          <w:tab w:val="clear" w:pos="720"/>
        </w:tabs>
        <w:ind w:left="1440" w:hanging="540"/>
        <w:rPr>
          <w:sz w:val="24"/>
        </w:rPr>
      </w:pPr>
      <w:r w:rsidRPr="00F0566F">
        <w:rPr>
          <w:sz w:val="24"/>
        </w:rPr>
        <w:t>If a response is not received in two weeks, a reminder e-mail is sent to the respondent.</w:t>
      </w:r>
    </w:p>
    <w:p w:rsidR="00555BB1" w:rsidRPr="00F0566F" w:rsidRDefault="00555BB1" w:rsidP="00555BB1">
      <w:pPr>
        <w:pStyle w:val="BodyText"/>
        <w:rPr>
          <w:sz w:val="24"/>
        </w:rPr>
      </w:pPr>
    </w:p>
    <w:p w:rsidR="00555BB1" w:rsidRPr="00F0566F" w:rsidRDefault="00555BB1" w:rsidP="00555BB1">
      <w:pPr>
        <w:pStyle w:val="BodyText"/>
        <w:numPr>
          <w:ilvl w:val="0"/>
          <w:numId w:val="2"/>
        </w:numPr>
        <w:tabs>
          <w:tab w:val="clear" w:pos="1080"/>
          <w:tab w:val="left" w:pos="850"/>
        </w:tabs>
        <w:ind w:left="850" w:hanging="490"/>
        <w:rPr>
          <w:sz w:val="24"/>
        </w:rPr>
      </w:pPr>
      <w:r w:rsidRPr="00F0566F">
        <w:rPr>
          <w:sz w:val="24"/>
        </w:rPr>
        <w:t xml:space="preserve">The survey is a reinstatement of a previously approved survey that ATF used to capture feedback on NRT customer service.  The previously approved survey was pre-tested for clarity and comments before administration.  The survey has been examined by ATF and has content validity.  Comments were positive but did lead to the refinement and clarification of instructions.  ATF will now provide the survey to respondents electronically.    </w:t>
      </w:r>
    </w:p>
    <w:p w:rsidR="00555BB1" w:rsidRPr="00F0566F" w:rsidRDefault="00555BB1" w:rsidP="00555BB1">
      <w:pPr>
        <w:pStyle w:val="BodyText"/>
        <w:tabs>
          <w:tab w:val="left" w:pos="850"/>
        </w:tabs>
        <w:ind w:left="360"/>
        <w:rPr>
          <w:sz w:val="24"/>
        </w:rPr>
      </w:pPr>
    </w:p>
    <w:p w:rsidR="00555BB1" w:rsidRPr="00F0566F" w:rsidRDefault="00555BB1" w:rsidP="00555BB1">
      <w:pPr>
        <w:pStyle w:val="BodyTextIndent2"/>
        <w:tabs>
          <w:tab w:val="clear" w:pos="893"/>
          <w:tab w:val="left" w:pos="850"/>
        </w:tabs>
        <w:ind w:left="850" w:hanging="490"/>
        <w:rPr>
          <w:sz w:val="24"/>
        </w:rPr>
      </w:pPr>
      <w:r w:rsidRPr="00F0566F">
        <w:rPr>
          <w:sz w:val="24"/>
        </w:rPr>
        <w:t>5.</w:t>
      </w:r>
      <w:r w:rsidRPr="00F0566F">
        <w:rPr>
          <w:sz w:val="24"/>
        </w:rPr>
        <w:tab/>
        <w:t>Program Analyst Jennifer George, Bureau of Alcohol, Tobacco, Firearms and Explosives, National Center for Explosives Training and Research, 3750 Corporal Rd, Huntsville, AL 35898, 256-261-7614, is the contact person and will be receiving the survey.</w:t>
      </w:r>
    </w:p>
    <w:p w:rsidR="00555BB1" w:rsidRPr="00F0566F" w:rsidRDefault="00555BB1" w:rsidP="00555BB1">
      <w:pPr>
        <w:pStyle w:val="BodyTextIndent2"/>
        <w:tabs>
          <w:tab w:val="num" w:pos="360"/>
          <w:tab w:val="left" w:pos="450"/>
        </w:tabs>
        <w:ind w:left="360" w:hanging="360"/>
        <w:rPr>
          <w:sz w:val="24"/>
        </w:rPr>
      </w:pPr>
    </w:p>
    <w:p w:rsidR="00E94C60" w:rsidRDefault="00F07774"/>
    <w:sectPr w:rsidR="00E94C60" w:rsidSect="00FE395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0B" w:rsidRDefault="00687FDB">
      <w:r>
        <w:separator/>
      </w:r>
    </w:p>
  </w:endnote>
  <w:endnote w:type="continuationSeparator" w:id="0">
    <w:p w:rsidR="0066590B" w:rsidRDefault="0068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B5" w:rsidRDefault="00555B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5B5" w:rsidRDefault="00F07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5B5" w:rsidRDefault="00555B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7774">
      <w:rPr>
        <w:rStyle w:val="PageNumber"/>
        <w:noProof/>
      </w:rPr>
      <w:t>1</w:t>
    </w:r>
    <w:r>
      <w:rPr>
        <w:rStyle w:val="PageNumber"/>
      </w:rPr>
      <w:fldChar w:fldCharType="end"/>
    </w:r>
  </w:p>
  <w:p w:rsidR="00E735B5" w:rsidRDefault="00F07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0B" w:rsidRDefault="00687FDB">
      <w:r>
        <w:separator/>
      </w:r>
    </w:p>
  </w:footnote>
  <w:footnote w:type="continuationSeparator" w:id="0">
    <w:p w:rsidR="0066590B" w:rsidRDefault="00687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4C53"/>
    <w:multiLevelType w:val="hybridMultilevel"/>
    <w:tmpl w:val="8EB2A5D6"/>
    <w:lvl w:ilvl="0" w:tplc="96445650">
      <w:start w:val="1"/>
      <w:numFmt w:val="decimal"/>
      <w:lvlText w:val="%1."/>
      <w:lvlJc w:val="left"/>
      <w:pPr>
        <w:tabs>
          <w:tab w:val="num" w:pos="1125"/>
        </w:tabs>
        <w:ind w:left="1125" w:hanging="765"/>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9253FA"/>
    <w:multiLevelType w:val="hybridMultilevel"/>
    <w:tmpl w:val="1AC08F1A"/>
    <w:lvl w:ilvl="0" w:tplc="1CC04E8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B0C5F45"/>
    <w:multiLevelType w:val="hybridMultilevel"/>
    <w:tmpl w:val="4340488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B1"/>
    <w:rsid w:val="001B1C3D"/>
    <w:rsid w:val="00555BB1"/>
    <w:rsid w:val="0066590B"/>
    <w:rsid w:val="00687FDB"/>
    <w:rsid w:val="009E6C18"/>
    <w:rsid w:val="00E81D0A"/>
    <w:rsid w:val="00F0566F"/>
    <w:rsid w:val="00F0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66F"/>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5BB1"/>
    <w:rPr>
      <w:sz w:val="28"/>
    </w:rPr>
  </w:style>
  <w:style w:type="character" w:customStyle="1" w:styleId="BodyTextChar">
    <w:name w:val="Body Text Char"/>
    <w:basedOn w:val="DefaultParagraphFont"/>
    <w:link w:val="BodyText"/>
    <w:rsid w:val="00555BB1"/>
    <w:rPr>
      <w:rFonts w:ascii="Times New Roman" w:eastAsia="Times New Roman" w:hAnsi="Times New Roman" w:cs="Times New Roman"/>
      <w:sz w:val="28"/>
      <w:szCs w:val="24"/>
    </w:rPr>
  </w:style>
  <w:style w:type="paragraph" w:styleId="BodyTextIndent">
    <w:name w:val="Body Text Indent"/>
    <w:basedOn w:val="Normal"/>
    <w:link w:val="BodyTextIndentChar"/>
    <w:rsid w:val="00555BB1"/>
    <w:pPr>
      <w:ind w:left="900" w:hanging="540"/>
    </w:pPr>
    <w:rPr>
      <w:sz w:val="28"/>
    </w:rPr>
  </w:style>
  <w:style w:type="character" w:customStyle="1" w:styleId="BodyTextIndentChar">
    <w:name w:val="Body Text Indent Char"/>
    <w:basedOn w:val="DefaultParagraphFont"/>
    <w:link w:val="BodyTextIndent"/>
    <w:rsid w:val="00555BB1"/>
    <w:rPr>
      <w:rFonts w:ascii="Times New Roman" w:eastAsia="Times New Roman" w:hAnsi="Times New Roman" w:cs="Times New Roman"/>
      <w:sz w:val="28"/>
      <w:szCs w:val="24"/>
    </w:rPr>
  </w:style>
  <w:style w:type="paragraph" w:styleId="BodyTextIndent2">
    <w:name w:val="Body Text Indent 2"/>
    <w:basedOn w:val="Normal"/>
    <w:link w:val="BodyTextIndent2Char"/>
    <w:rsid w:val="00555BB1"/>
    <w:pPr>
      <w:tabs>
        <w:tab w:val="left" w:pos="893"/>
      </w:tabs>
      <w:ind w:left="907" w:hanging="547"/>
    </w:pPr>
    <w:rPr>
      <w:sz w:val="28"/>
    </w:rPr>
  </w:style>
  <w:style w:type="character" w:customStyle="1" w:styleId="BodyTextIndent2Char">
    <w:name w:val="Body Text Indent 2 Char"/>
    <w:basedOn w:val="DefaultParagraphFont"/>
    <w:link w:val="BodyTextIndent2"/>
    <w:rsid w:val="00555BB1"/>
    <w:rPr>
      <w:rFonts w:ascii="Times New Roman" w:eastAsia="Times New Roman" w:hAnsi="Times New Roman" w:cs="Times New Roman"/>
      <w:sz w:val="28"/>
      <w:szCs w:val="24"/>
    </w:rPr>
  </w:style>
  <w:style w:type="paragraph" w:styleId="Footer">
    <w:name w:val="footer"/>
    <w:basedOn w:val="Normal"/>
    <w:link w:val="FooterChar"/>
    <w:rsid w:val="00555BB1"/>
    <w:pPr>
      <w:tabs>
        <w:tab w:val="center" w:pos="4320"/>
        <w:tab w:val="right" w:pos="8640"/>
      </w:tabs>
    </w:pPr>
  </w:style>
  <w:style w:type="character" w:customStyle="1" w:styleId="FooterChar">
    <w:name w:val="Footer Char"/>
    <w:basedOn w:val="DefaultParagraphFont"/>
    <w:link w:val="Footer"/>
    <w:rsid w:val="00555BB1"/>
    <w:rPr>
      <w:rFonts w:ascii="Times New Roman" w:eastAsia="Times New Roman" w:hAnsi="Times New Roman" w:cs="Times New Roman"/>
      <w:sz w:val="24"/>
      <w:szCs w:val="24"/>
    </w:rPr>
  </w:style>
  <w:style w:type="character" w:styleId="PageNumber">
    <w:name w:val="page number"/>
    <w:basedOn w:val="DefaultParagraphFont"/>
    <w:rsid w:val="00555BB1"/>
  </w:style>
  <w:style w:type="paragraph" w:styleId="ListParagraph">
    <w:name w:val="List Paragraph"/>
    <w:basedOn w:val="Normal"/>
    <w:uiPriority w:val="34"/>
    <w:qFormat/>
    <w:rsid w:val="00555BB1"/>
    <w:pPr>
      <w:ind w:left="720"/>
      <w:contextualSpacing/>
    </w:pPr>
  </w:style>
  <w:style w:type="character" w:styleId="CommentReference">
    <w:name w:val="annotation reference"/>
    <w:basedOn w:val="DefaultParagraphFont"/>
    <w:semiHidden/>
    <w:unhideWhenUsed/>
    <w:rsid w:val="00555BB1"/>
    <w:rPr>
      <w:sz w:val="16"/>
      <w:szCs w:val="16"/>
    </w:rPr>
  </w:style>
  <w:style w:type="paragraph" w:styleId="CommentText">
    <w:name w:val="annotation text"/>
    <w:basedOn w:val="Normal"/>
    <w:link w:val="CommentTextChar"/>
    <w:semiHidden/>
    <w:unhideWhenUsed/>
    <w:rsid w:val="00555BB1"/>
    <w:rPr>
      <w:sz w:val="20"/>
      <w:szCs w:val="20"/>
    </w:rPr>
  </w:style>
  <w:style w:type="character" w:customStyle="1" w:styleId="CommentTextChar">
    <w:name w:val="Comment Text Char"/>
    <w:basedOn w:val="DefaultParagraphFont"/>
    <w:link w:val="CommentText"/>
    <w:semiHidden/>
    <w:rsid w:val="00555B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5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55BB1"/>
    <w:rPr>
      <w:b/>
      <w:bCs/>
    </w:rPr>
  </w:style>
  <w:style w:type="character" w:customStyle="1" w:styleId="CommentSubjectChar">
    <w:name w:val="Comment Subject Char"/>
    <w:basedOn w:val="CommentTextChar"/>
    <w:link w:val="CommentSubject"/>
    <w:uiPriority w:val="99"/>
    <w:semiHidden/>
    <w:rsid w:val="00555BB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0566F"/>
    <w:pPr>
      <w:tabs>
        <w:tab w:val="center" w:pos="4680"/>
        <w:tab w:val="right" w:pos="9360"/>
      </w:tabs>
    </w:pPr>
  </w:style>
  <w:style w:type="character" w:customStyle="1" w:styleId="HeaderChar">
    <w:name w:val="Header Char"/>
    <w:basedOn w:val="DefaultParagraphFont"/>
    <w:link w:val="Header"/>
    <w:uiPriority w:val="99"/>
    <w:rsid w:val="00F0566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0566F"/>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0566F"/>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5BB1"/>
    <w:rPr>
      <w:sz w:val="28"/>
    </w:rPr>
  </w:style>
  <w:style w:type="character" w:customStyle="1" w:styleId="BodyTextChar">
    <w:name w:val="Body Text Char"/>
    <w:basedOn w:val="DefaultParagraphFont"/>
    <w:link w:val="BodyText"/>
    <w:rsid w:val="00555BB1"/>
    <w:rPr>
      <w:rFonts w:ascii="Times New Roman" w:eastAsia="Times New Roman" w:hAnsi="Times New Roman" w:cs="Times New Roman"/>
      <w:sz w:val="28"/>
      <w:szCs w:val="24"/>
    </w:rPr>
  </w:style>
  <w:style w:type="paragraph" w:styleId="BodyTextIndent">
    <w:name w:val="Body Text Indent"/>
    <w:basedOn w:val="Normal"/>
    <w:link w:val="BodyTextIndentChar"/>
    <w:rsid w:val="00555BB1"/>
    <w:pPr>
      <w:ind w:left="900" w:hanging="540"/>
    </w:pPr>
    <w:rPr>
      <w:sz w:val="28"/>
    </w:rPr>
  </w:style>
  <w:style w:type="character" w:customStyle="1" w:styleId="BodyTextIndentChar">
    <w:name w:val="Body Text Indent Char"/>
    <w:basedOn w:val="DefaultParagraphFont"/>
    <w:link w:val="BodyTextIndent"/>
    <w:rsid w:val="00555BB1"/>
    <w:rPr>
      <w:rFonts w:ascii="Times New Roman" w:eastAsia="Times New Roman" w:hAnsi="Times New Roman" w:cs="Times New Roman"/>
      <w:sz w:val="28"/>
      <w:szCs w:val="24"/>
    </w:rPr>
  </w:style>
  <w:style w:type="paragraph" w:styleId="BodyTextIndent2">
    <w:name w:val="Body Text Indent 2"/>
    <w:basedOn w:val="Normal"/>
    <w:link w:val="BodyTextIndent2Char"/>
    <w:rsid w:val="00555BB1"/>
    <w:pPr>
      <w:tabs>
        <w:tab w:val="left" w:pos="893"/>
      </w:tabs>
      <w:ind w:left="907" w:hanging="547"/>
    </w:pPr>
    <w:rPr>
      <w:sz w:val="28"/>
    </w:rPr>
  </w:style>
  <w:style w:type="character" w:customStyle="1" w:styleId="BodyTextIndent2Char">
    <w:name w:val="Body Text Indent 2 Char"/>
    <w:basedOn w:val="DefaultParagraphFont"/>
    <w:link w:val="BodyTextIndent2"/>
    <w:rsid w:val="00555BB1"/>
    <w:rPr>
      <w:rFonts w:ascii="Times New Roman" w:eastAsia="Times New Roman" w:hAnsi="Times New Roman" w:cs="Times New Roman"/>
      <w:sz w:val="28"/>
      <w:szCs w:val="24"/>
    </w:rPr>
  </w:style>
  <w:style w:type="paragraph" w:styleId="Footer">
    <w:name w:val="footer"/>
    <w:basedOn w:val="Normal"/>
    <w:link w:val="FooterChar"/>
    <w:rsid w:val="00555BB1"/>
    <w:pPr>
      <w:tabs>
        <w:tab w:val="center" w:pos="4320"/>
        <w:tab w:val="right" w:pos="8640"/>
      </w:tabs>
    </w:pPr>
  </w:style>
  <w:style w:type="character" w:customStyle="1" w:styleId="FooterChar">
    <w:name w:val="Footer Char"/>
    <w:basedOn w:val="DefaultParagraphFont"/>
    <w:link w:val="Footer"/>
    <w:rsid w:val="00555BB1"/>
    <w:rPr>
      <w:rFonts w:ascii="Times New Roman" w:eastAsia="Times New Roman" w:hAnsi="Times New Roman" w:cs="Times New Roman"/>
      <w:sz w:val="24"/>
      <w:szCs w:val="24"/>
    </w:rPr>
  </w:style>
  <w:style w:type="character" w:styleId="PageNumber">
    <w:name w:val="page number"/>
    <w:basedOn w:val="DefaultParagraphFont"/>
    <w:rsid w:val="00555BB1"/>
  </w:style>
  <w:style w:type="paragraph" w:styleId="ListParagraph">
    <w:name w:val="List Paragraph"/>
    <w:basedOn w:val="Normal"/>
    <w:uiPriority w:val="34"/>
    <w:qFormat/>
    <w:rsid w:val="00555BB1"/>
    <w:pPr>
      <w:ind w:left="720"/>
      <w:contextualSpacing/>
    </w:pPr>
  </w:style>
  <w:style w:type="character" w:styleId="CommentReference">
    <w:name w:val="annotation reference"/>
    <w:basedOn w:val="DefaultParagraphFont"/>
    <w:semiHidden/>
    <w:unhideWhenUsed/>
    <w:rsid w:val="00555BB1"/>
    <w:rPr>
      <w:sz w:val="16"/>
      <w:szCs w:val="16"/>
    </w:rPr>
  </w:style>
  <w:style w:type="paragraph" w:styleId="CommentText">
    <w:name w:val="annotation text"/>
    <w:basedOn w:val="Normal"/>
    <w:link w:val="CommentTextChar"/>
    <w:semiHidden/>
    <w:unhideWhenUsed/>
    <w:rsid w:val="00555BB1"/>
    <w:rPr>
      <w:sz w:val="20"/>
      <w:szCs w:val="20"/>
    </w:rPr>
  </w:style>
  <w:style w:type="character" w:customStyle="1" w:styleId="CommentTextChar">
    <w:name w:val="Comment Text Char"/>
    <w:basedOn w:val="DefaultParagraphFont"/>
    <w:link w:val="CommentText"/>
    <w:semiHidden/>
    <w:rsid w:val="00555B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5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BB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55BB1"/>
    <w:rPr>
      <w:b/>
      <w:bCs/>
    </w:rPr>
  </w:style>
  <w:style w:type="character" w:customStyle="1" w:styleId="CommentSubjectChar">
    <w:name w:val="Comment Subject Char"/>
    <w:basedOn w:val="CommentTextChar"/>
    <w:link w:val="CommentSubject"/>
    <w:uiPriority w:val="99"/>
    <w:semiHidden/>
    <w:rsid w:val="00555BB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0566F"/>
    <w:pPr>
      <w:tabs>
        <w:tab w:val="center" w:pos="4680"/>
        <w:tab w:val="right" w:pos="9360"/>
      </w:tabs>
    </w:pPr>
  </w:style>
  <w:style w:type="character" w:customStyle="1" w:styleId="HeaderChar">
    <w:name w:val="Header Char"/>
    <w:basedOn w:val="DefaultParagraphFont"/>
    <w:link w:val="Header"/>
    <w:uiPriority w:val="99"/>
    <w:rsid w:val="00F0566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0566F"/>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Jennifer D.</dc:creator>
  <cp:keywords/>
  <dc:description/>
  <cp:lastModifiedBy>SYSTEM</cp:lastModifiedBy>
  <cp:revision>2</cp:revision>
  <dcterms:created xsi:type="dcterms:W3CDTF">2019-10-25T16:52:00Z</dcterms:created>
  <dcterms:modified xsi:type="dcterms:W3CDTF">2019-10-25T16:52:00Z</dcterms:modified>
</cp:coreProperties>
</file>