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753BD" w14:textId="77777777" w:rsidR="008E544B" w:rsidRDefault="008E544B" w:rsidP="008E544B">
      <w:pPr>
        <w:pStyle w:val="C1-CtrBoldHd"/>
        <w:spacing w:after="0"/>
        <w:rPr>
          <w:sz w:val="32"/>
        </w:rPr>
      </w:pPr>
      <w:bookmarkStart w:id="0" w:name="_Toc260729212"/>
      <w:bookmarkStart w:id="1" w:name="_GoBack"/>
      <w:bookmarkEnd w:id="1"/>
    </w:p>
    <w:p w14:paraId="4BC43D52" w14:textId="77777777" w:rsidR="008E544B" w:rsidRDefault="008E544B" w:rsidP="008E544B">
      <w:pPr>
        <w:pStyle w:val="C1-CtrBoldHd"/>
        <w:spacing w:after="0"/>
        <w:rPr>
          <w:sz w:val="32"/>
        </w:rPr>
      </w:pPr>
    </w:p>
    <w:p w14:paraId="42714D74" w14:textId="77777777" w:rsidR="008E544B" w:rsidRDefault="008E544B" w:rsidP="008E544B">
      <w:pPr>
        <w:pStyle w:val="C1-CtrBoldHd"/>
        <w:spacing w:after="0"/>
        <w:rPr>
          <w:sz w:val="32"/>
        </w:rPr>
      </w:pPr>
    </w:p>
    <w:p w14:paraId="0FB52CBE" w14:textId="77777777" w:rsidR="008E544B" w:rsidRDefault="008E544B" w:rsidP="008E544B">
      <w:pPr>
        <w:pStyle w:val="C1-CtrBoldHd"/>
        <w:spacing w:after="0"/>
        <w:rPr>
          <w:sz w:val="32"/>
        </w:rPr>
      </w:pPr>
      <w:r>
        <w:rPr>
          <w:sz w:val="32"/>
        </w:rPr>
        <w:t>Progress in International Reading Literacy Study</w:t>
      </w:r>
    </w:p>
    <w:p w14:paraId="34822115" w14:textId="77777777" w:rsidR="008E544B" w:rsidRDefault="008E544B" w:rsidP="008E544B">
      <w:pPr>
        <w:pStyle w:val="C1-CtrBoldHd"/>
        <w:spacing w:after="0"/>
        <w:rPr>
          <w:sz w:val="32"/>
        </w:rPr>
      </w:pPr>
      <w:r w:rsidRPr="009850EA">
        <w:rPr>
          <w:sz w:val="32"/>
        </w:rPr>
        <w:t>(</w:t>
      </w:r>
      <w:r>
        <w:rPr>
          <w:sz w:val="32"/>
        </w:rPr>
        <w:t>PIRLS 2021</w:t>
      </w:r>
      <w:r w:rsidRPr="009850EA">
        <w:rPr>
          <w:sz w:val="32"/>
        </w:rPr>
        <w:t>)</w:t>
      </w:r>
      <w:r w:rsidR="009C2587">
        <w:rPr>
          <w:sz w:val="32"/>
        </w:rPr>
        <w:t xml:space="preserve"> </w:t>
      </w:r>
      <w:r w:rsidR="000324FD">
        <w:rPr>
          <w:sz w:val="32"/>
        </w:rPr>
        <w:t>Main study</w:t>
      </w:r>
      <w:r w:rsidRPr="009850EA">
        <w:rPr>
          <w:sz w:val="32"/>
        </w:rPr>
        <w:t xml:space="preserve"> RECRUITMENT</w:t>
      </w:r>
      <w:r w:rsidR="0072244B">
        <w:rPr>
          <w:sz w:val="32"/>
        </w:rPr>
        <w:t xml:space="preserve"> and field test</w:t>
      </w:r>
    </w:p>
    <w:p w14:paraId="7F3BF4F9" w14:textId="77777777" w:rsidR="008E544B" w:rsidRPr="00F6344F" w:rsidRDefault="008E544B" w:rsidP="008E544B">
      <w:pPr>
        <w:pStyle w:val="C1-CtrBoldHd"/>
        <w:spacing w:after="0"/>
        <w:rPr>
          <w:sz w:val="24"/>
        </w:rPr>
      </w:pPr>
    </w:p>
    <w:p w14:paraId="3A31E633" w14:textId="77777777" w:rsidR="008E544B" w:rsidRPr="003D6A50" w:rsidRDefault="008E544B" w:rsidP="008E544B">
      <w:pPr>
        <w:pStyle w:val="C1-CtrBoldHd"/>
        <w:spacing w:after="0"/>
        <w:rPr>
          <w:sz w:val="28"/>
        </w:rPr>
      </w:pPr>
    </w:p>
    <w:p w14:paraId="2759022E" w14:textId="77777777" w:rsidR="008E544B" w:rsidRDefault="008E544B" w:rsidP="008E544B">
      <w:pPr>
        <w:pStyle w:val="C1-CtrBoldHd"/>
        <w:spacing w:after="0"/>
        <w:rPr>
          <w:sz w:val="24"/>
        </w:rPr>
      </w:pPr>
    </w:p>
    <w:p w14:paraId="1CB55569" w14:textId="77777777" w:rsidR="008E544B" w:rsidRDefault="008E544B" w:rsidP="008E544B">
      <w:pPr>
        <w:pStyle w:val="C1-CtrBoldHd"/>
        <w:spacing w:after="0"/>
        <w:rPr>
          <w:sz w:val="24"/>
        </w:rPr>
      </w:pPr>
    </w:p>
    <w:p w14:paraId="739A678C" w14:textId="77777777" w:rsidR="008E544B" w:rsidRDefault="008E544B" w:rsidP="008E544B">
      <w:pPr>
        <w:pStyle w:val="C1-CtrBoldHd"/>
        <w:spacing w:after="0"/>
        <w:rPr>
          <w:sz w:val="24"/>
        </w:rPr>
      </w:pPr>
    </w:p>
    <w:p w14:paraId="05834DDD" w14:textId="77777777" w:rsidR="008E544B" w:rsidRPr="00F6344F" w:rsidRDefault="008E544B" w:rsidP="008E544B">
      <w:pPr>
        <w:pStyle w:val="C1-CtrBoldHd"/>
        <w:spacing w:after="0"/>
        <w:rPr>
          <w:sz w:val="24"/>
        </w:rPr>
      </w:pPr>
    </w:p>
    <w:p w14:paraId="194ECF42" w14:textId="77777777" w:rsidR="008E544B" w:rsidRDefault="008E544B" w:rsidP="008E544B">
      <w:pPr>
        <w:pStyle w:val="C1-CtrBoldHd"/>
        <w:spacing w:after="0"/>
        <w:rPr>
          <w:sz w:val="28"/>
        </w:rPr>
      </w:pPr>
      <w:r w:rsidRPr="00C30BA4">
        <w:rPr>
          <w:sz w:val="28"/>
        </w:rPr>
        <w:t xml:space="preserve">OMB# </w:t>
      </w:r>
      <w:r w:rsidRPr="00206C45">
        <w:rPr>
          <w:sz w:val="28"/>
        </w:rPr>
        <w:t>1850-0645</w:t>
      </w:r>
      <w:r>
        <w:rPr>
          <w:sz w:val="28"/>
        </w:rPr>
        <w:t xml:space="preserve"> </w:t>
      </w:r>
      <w:r w:rsidRPr="00EA0160">
        <w:rPr>
          <w:caps w:val="0"/>
          <w:sz w:val="28"/>
        </w:rPr>
        <w:t>v</w:t>
      </w:r>
      <w:r w:rsidRPr="00EA0160">
        <w:rPr>
          <w:sz w:val="28"/>
        </w:rPr>
        <w:t>.</w:t>
      </w:r>
      <w:r w:rsidR="000324FD">
        <w:rPr>
          <w:sz w:val="28"/>
        </w:rPr>
        <w:t>13</w:t>
      </w:r>
    </w:p>
    <w:p w14:paraId="7F71E4C0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4F61886B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6BBB55A6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0CD1A6E9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61FCF7CF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40BB9EC2" w14:textId="77777777" w:rsidR="008E544B" w:rsidRDefault="008E544B" w:rsidP="008E544B">
      <w:pPr>
        <w:pStyle w:val="C1-CtrBoldHd"/>
        <w:spacing w:after="0"/>
        <w:rPr>
          <w:sz w:val="28"/>
        </w:rPr>
      </w:pPr>
      <w:r>
        <w:rPr>
          <w:sz w:val="28"/>
        </w:rPr>
        <w:t>AppendiX B:</w:t>
      </w:r>
    </w:p>
    <w:p w14:paraId="78C65B27" w14:textId="77777777" w:rsidR="008E544B" w:rsidRPr="00907C2F" w:rsidRDefault="008E544B" w:rsidP="008E5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4B">
        <w:rPr>
          <w:rFonts w:ascii="Times New Roman" w:hAnsi="Times New Roman" w:cs="Times New Roman"/>
          <w:b/>
          <w:sz w:val="24"/>
          <w:szCs w:val="24"/>
        </w:rPr>
        <w:t>Non-Response Bias Analysis Plan</w:t>
      </w:r>
    </w:p>
    <w:p w14:paraId="6CA3EFD6" w14:textId="77777777"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14:paraId="6834CA91" w14:textId="77777777"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14:paraId="4C4C172F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1E223F3E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22E0E6D8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2904C496" w14:textId="77777777" w:rsidR="008E544B" w:rsidRPr="003D6A50" w:rsidRDefault="008E544B" w:rsidP="008E544B">
      <w:pPr>
        <w:pStyle w:val="C1-CtrBoldHd"/>
        <w:spacing w:after="0"/>
        <w:rPr>
          <w:sz w:val="28"/>
        </w:rPr>
      </w:pPr>
    </w:p>
    <w:p w14:paraId="36F67959" w14:textId="4FF42A43" w:rsidR="008E544B" w:rsidRPr="003D6A50" w:rsidRDefault="008E544B" w:rsidP="008E544B">
      <w:pPr>
        <w:pStyle w:val="C1-CtrBoldHd"/>
        <w:spacing w:after="0"/>
        <w:rPr>
          <w:caps w:val="0"/>
          <w:sz w:val="28"/>
        </w:rPr>
      </w:pPr>
    </w:p>
    <w:p w14:paraId="289A106B" w14:textId="77777777" w:rsidR="008E544B" w:rsidRPr="003D6A50" w:rsidRDefault="008E544B" w:rsidP="008E544B">
      <w:pPr>
        <w:pStyle w:val="C1-CtrBoldHd"/>
        <w:spacing w:after="0"/>
        <w:rPr>
          <w:caps w:val="0"/>
          <w:sz w:val="28"/>
        </w:rPr>
      </w:pPr>
    </w:p>
    <w:p w14:paraId="39749E7B" w14:textId="77777777" w:rsidR="008E544B" w:rsidRPr="003D6A50" w:rsidRDefault="008E544B" w:rsidP="008E544B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National Center for Education Statistics</w:t>
      </w:r>
    </w:p>
    <w:p w14:paraId="49F0A4B5" w14:textId="77777777" w:rsidR="008E544B" w:rsidRDefault="008E544B" w:rsidP="008E544B">
      <w:pPr>
        <w:pStyle w:val="C1-CtrBoldHd"/>
        <w:spacing w:after="0"/>
        <w:rPr>
          <w:caps w:val="0"/>
          <w:sz w:val="28"/>
        </w:rPr>
      </w:pPr>
      <w:smartTag w:uri="urn:schemas-microsoft-com:office:smarttags" w:element="country-region">
        <w:smartTag w:uri="urn:schemas-microsoft-com:office:smarttags" w:element="place">
          <w:r w:rsidRPr="003D6A50">
            <w:rPr>
              <w:caps w:val="0"/>
              <w:sz w:val="28"/>
            </w:rPr>
            <w:t>U.S.</w:t>
          </w:r>
        </w:smartTag>
      </w:smartTag>
      <w:r w:rsidRPr="003D6A50">
        <w:rPr>
          <w:caps w:val="0"/>
          <w:sz w:val="28"/>
        </w:rPr>
        <w:t xml:space="preserve"> Department of Education</w:t>
      </w:r>
    </w:p>
    <w:p w14:paraId="2FEB8D4B" w14:textId="77777777" w:rsidR="008E544B" w:rsidRPr="003D6A50" w:rsidRDefault="008E544B" w:rsidP="008E544B">
      <w:pPr>
        <w:pStyle w:val="C1-CtrBoldHd"/>
        <w:spacing w:after="0"/>
        <w:rPr>
          <w:sz w:val="28"/>
        </w:rPr>
      </w:pPr>
      <w:r>
        <w:rPr>
          <w:caps w:val="0"/>
          <w:sz w:val="28"/>
        </w:rPr>
        <w:t>Institute of Education Sciences</w:t>
      </w:r>
    </w:p>
    <w:p w14:paraId="7A985268" w14:textId="77777777" w:rsidR="008E544B" w:rsidRDefault="008E544B" w:rsidP="008E544B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Washington, DC</w:t>
      </w:r>
    </w:p>
    <w:p w14:paraId="409E49A8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137C7ED6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2A1A9230" w14:textId="77777777" w:rsidR="008E544B" w:rsidRDefault="008E544B" w:rsidP="008E544B">
      <w:pPr>
        <w:pStyle w:val="C1-CtrBoldHd"/>
        <w:spacing w:after="0"/>
        <w:rPr>
          <w:sz w:val="28"/>
        </w:rPr>
      </w:pPr>
    </w:p>
    <w:p w14:paraId="586708FD" w14:textId="77777777" w:rsidR="008E544B" w:rsidRPr="003D6A50" w:rsidRDefault="008E544B" w:rsidP="008E544B">
      <w:pPr>
        <w:pStyle w:val="C1-CtrBoldHd"/>
        <w:spacing w:after="0"/>
        <w:rPr>
          <w:sz w:val="28"/>
        </w:rPr>
      </w:pPr>
    </w:p>
    <w:p w14:paraId="03D0ABAE" w14:textId="77777777"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14:paraId="7756D68C" w14:textId="77777777"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14:paraId="5971BCBB" w14:textId="77777777"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14:paraId="0429EF15" w14:textId="65062E0B" w:rsidR="005D3A3F" w:rsidRDefault="000324FD" w:rsidP="008E544B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 xml:space="preserve">October </w:t>
      </w:r>
      <w:r w:rsidR="005D3A3F">
        <w:rPr>
          <w:caps w:val="0"/>
          <w:sz w:val="28"/>
        </w:rPr>
        <w:t>2019</w:t>
      </w:r>
    </w:p>
    <w:p w14:paraId="57C5B2FF" w14:textId="77777777" w:rsidR="008E544B" w:rsidRDefault="008E544B" w:rsidP="008E544B">
      <w:pPr>
        <w:jc w:val="center"/>
        <w:rPr>
          <w:rFonts w:ascii="Times New Roman" w:hAnsi="Times New Roman" w:cs="Times New Roman"/>
          <w:b/>
        </w:rPr>
      </w:pPr>
    </w:p>
    <w:p w14:paraId="5670CD95" w14:textId="77777777" w:rsidR="008E544B" w:rsidRDefault="008E544B" w:rsidP="008E54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bookmarkEnd w:id="0"/>
    <w:p w14:paraId="408BAB04" w14:textId="77777777" w:rsidR="00BD25FE" w:rsidRPr="0018266C" w:rsidRDefault="00BD25FE" w:rsidP="00464AC0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lastRenderedPageBreak/>
        <w:t xml:space="preserve">Outline of the </w:t>
      </w:r>
      <w:r w:rsidR="00352303">
        <w:rPr>
          <w:rFonts w:ascii="Times New Roman" w:hAnsi="Times New Roman" w:cs="Times New Roman"/>
          <w:b/>
          <w:sz w:val="24"/>
        </w:rPr>
        <w:t>PIRLS 20</w:t>
      </w:r>
      <w:r w:rsidR="004D4670">
        <w:rPr>
          <w:rFonts w:ascii="Times New Roman" w:hAnsi="Times New Roman" w:cs="Times New Roman"/>
          <w:b/>
          <w:sz w:val="24"/>
        </w:rPr>
        <w:t>21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="00BC648A" w:rsidRPr="0018266C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14:paraId="492C82C8" w14:textId="77777777" w:rsidR="00BD25FE" w:rsidRPr="00981119" w:rsidRDefault="00BD25FE" w:rsidP="00464AC0">
      <w:pPr>
        <w:ind w:left="180"/>
        <w:jc w:val="center"/>
        <w:rPr>
          <w:rFonts w:ascii="Times New Roman" w:hAnsi="Times New Roman" w:cs="Times New Roman"/>
          <w:b/>
        </w:rPr>
      </w:pPr>
    </w:p>
    <w:p w14:paraId="4BA213B0" w14:textId="77777777" w:rsidR="00AF05FB" w:rsidRDefault="002968ED" w:rsidP="00384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</w:t>
      </w:r>
      <w:r w:rsidR="00263E54" w:rsidRPr="00981119">
        <w:rPr>
          <w:rFonts w:ascii="Times New Roman" w:hAnsi="Times New Roman" w:cs="Times New Roman"/>
        </w:rPr>
        <w:t xml:space="preserve">conduct a </w:t>
      </w:r>
      <w:r w:rsidR="005C781B" w:rsidRPr="00981119">
        <w:rPr>
          <w:rFonts w:ascii="Times New Roman" w:hAnsi="Times New Roman" w:cs="Times New Roman"/>
        </w:rPr>
        <w:t>non</w:t>
      </w:r>
      <w:r w:rsidR="00BC648A" w:rsidRPr="00981119">
        <w:rPr>
          <w:rFonts w:ascii="Times New Roman" w:hAnsi="Times New Roman" w:cs="Times New Roman"/>
        </w:rPr>
        <w:t>-r</w:t>
      </w:r>
      <w:r w:rsidR="00263E54" w:rsidRPr="00981119">
        <w:rPr>
          <w:rFonts w:ascii="Times New Roman" w:hAnsi="Times New Roman" w:cs="Times New Roman"/>
        </w:rPr>
        <w:t xml:space="preserve">esponse </w:t>
      </w:r>
      <w:r w:rsidR="005C781B" w:rsidRPr="00981119">
        <w:rPr>
          <w:rFonts w:ascii="Times New Roman" w:hAnsi="Times New Roman" w:cs="Times New Roman"/>
        </w:rPr>
        <w:t xml:space="preserve">bias analyses </w:t>
      </w:r>
      <w:r w:rsidR="00263E54" w:rsidRPr="00981119">
        <w:rPr>
          <w:rFonts w:ascii="Times New Roman" w:hAnsi="Times New Roman" w:cs="Times New Roman"/>
        </w:rPr>
        <w:t xml:space="preserve">(NRBA) </w:t>
      </w:r>
      <w:r w:rsidR="005C781B" w:rsidRPr="00981119">
        <w:rPr>
          <w:rFonts w:ascii="Times New Roman" w:hAnsi="Times New Roman" w:cs="Times New Roman"/>
        </w:rPr>
        <w:t>for schools</w:t>
      </w:r>
      <w:r w:rsidR="00263E54" w:rsidRPr="00981119">
        <w:rPr>
          <w:rFonts w:ascii="Times New Roman" w:hAnsi="Times New Roman" w:cs="Times New Roman"/>
        </w:rPr>
        <w:t xml:space="preserve"> if the response rate for original schools is below 85 percent</w:t>
      </w:r>
      <w:r w:rsidR="005C781B" w:rsidRPr="00981119">
        <w:rPr>
          <w:rFonts w:ascii="Times New Roman" w:hAnsi="Times New Roman" w:cs="Times New Roman"/>
        </w:rPr>
        <w:t>.</w:t>
      </w:r>
      <w:r w:rsidR="000C730A">
        <w:rPr>
          <w:rFonts w:ascii="Times New Roman" w:hAnsi="Times New Roman" w:cs="Times New Roman"/>
        </w:rPr>
        <w:t xml:space="preserve">  </w:t>
      </w:r>
      <w:r w:rsidR="005C781B" w:rsidRPr="00981119">
        <w:rPr>
          <w:rFonts w:ascii="Times New Roman" w:hAnsi="Times New Roman" w:cs="Times New Roman"/>
        </w:rPr>
        <w:t xml:space="preserve">Currently, it </w:t>
      </w:r>
      <w:r w:rsidR="002901D4" w:rsidRPr="00981119">
        <w:rPr>
          <w:rFonts w:ascii="Times New Roman" w:hAnsi="Times New Roman" w:cs="Times New Roman"/>
        </w:rPr>
        <w:t xml:space="preserve">is assumed </w:t>
      </w:r>
      <w:r w:rsidR="005C781B" w:rsidRPr="00981119">
        <w:rPr>
          <w:rFonts w:ascii="Times New Roman" w:hAnsi="Times New Roman" w:cs="Times New Roman"/>
        </w:rPr>
        <w:t>that the stu</w:t>
      </w:r>
      <w:r w:rsidR="00BD25FE" w:rsidRPr="00981119">
        <w:rPr>
          <w:rFonts w:ascii="Times New Roman" w:hAnsi="Times New Roman" w:cs="Times New Roman"/>
        </w:rPr>
        <w:t xml:space="preserve">dent response rate for </w:t>
      </w:r>
      <w:r w:rsidR="00352303">
        <w:rPr>
          <w:rFonts w:ascii="Times New Roman" w:hAnsi="Times New Roman" w:cs="Times New Roman"/>
        </w:rPr>
        <w:t>PIRLS</w:t>
      </w:r>
      <w:r w:rsidR="00BD25FE" w:rsidRPr="00981119">
        <w:rPr>
          <w:rFonts w:ascii="Times New Roman" w:hAnsi="Times New Roman" w:cs="Times New Roman"/>
        </w:rPr>
        <w:t xml:space="preserve"> </w:t>
      </w:r>
      <w:r w:rsidR="00352303">
        <w:rPr>
          <w:rFonts w:ascii="Times New Roman" w:hAnsi="Times New Roman" w:cs="Times New Roman"/>
        </w:rPr>
        <w:t>20</w:t>
      </w:r>
      <w:r w:rsidR="004D4670">
        <w:rPr>
          <w:rFonts w:ascii="Times New Roman" w:hAnsi="Times New Roman" w:cs="Times New Roman"/>
        </w:rPr>
        <w:t>21</w:t>
      </w:r>
      <w:r w:rsidR="00BD25FE" w:rsidRPr="00981119">
        <w:rPr>
          <w:rFonts w:ascii="Times New Roman" w:hAnsi="Times New Roman" w:cs="Times New Roman"/>
        </w:rPr>
        <w:t xml:space="preserve"> will be</w:t>
      </w:r>
      <w:r w:rsidR="005C781B" w:rsidRPr="00981119">
        <w:rPr>
          <w:rFonts w:ascii="Times New Roman" w:hAnsi="Times New Roman" w:cs="Times New Roman"/>
        </w:rPr>
        <w:t xml:space="preserve"> above 85 percent and thus, no NRBA at the student level will be required.</w:t>
      </w:r>
      <w:r w:rsidR="000C730A">
        <w:rPr>
          <w:rFonts w:ascii="Times New Roman" w:hAnsi="Times New Roman" w:cs="Times New Roman"/>
        </w:rPr>
        <w:t xml:space="preserve">  If a NRBA is needed, we will submit a complete NRBA plan in May 2021.</w:t>
      </w:r>
    </w:p>
    <w:p w14:paraId="23DA2965" w14:textId="77777777" w:rsidR="005C781B" w:rsidRPr="00981119" w:rsidRDefault="005C781B" w:rsidP="00402957">
      <w:pPr>
        <w:ind w:left="180"/>
        <w:rPr>
          <w:rFonts w:ascii="Times New Roman" w:hAnsi="Times New Roman" w:cs="Times New Roman"/>
          <w:b/>
        </w:rPr>
      </w:pPr>
    </w:p>
    <w:p w14:paraId="0372D519" w14:textId="77777777" w:rsidR="00402957" w:rsidRPr="0018266C" w:rsidRDefault="00352303" w:rsidP="00263E5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PIRLS </w:t>
      </w:r>
      <w:r w:rsidR="004D4670">
        <w:rPr>
          <w:rFonts w:ascii="Times New Roman" w:hAnsi="Times New Roman" w:cs="Times New Roman"/>
          <w:b/>
          <w:sz w:val="24"/>
        </w:rPr>
        <w:t>2021</w:t>
      </w:r>
      <w:r w:rsidR="00402957" w:rsidRPr="0018266C">
        <w:rPr>
          <w:rFonts w:ascii="Times New Roman" w:hAnsi="Times New Roman" w:cs="Times New Roman"/>
          <w:b/>
          <w:sz w:val="24"/>
        </w:rPr>
        <w:t xml:space="preserve"> School Non</w:t>
      </w:r>
      <w:r w:rsidR="0055076C" w:rsidRPr="0018266C">
        <w:rPr>
          <w:rFonts w:ascii="Times New Roman" w:hAnsi="Times New Roman" w:cs="Times New Roman"/>
          <w:b/>
          <w:sz w:val="24"/>
        </w:rPr>
        <w:t>-R</w:t>
      </w:r>
      <w:r w:rsidR="00402957" w:rsidRPr="0018266C">
        <w:rPr>
          <w:rFonts w:ascii="Times New Roman" w:hAnsi="Times New Roman" w:cs="Times New Roman"/>
          <w:b/>
          <w:sz w:val="24"/>
        </w:rPr>
        <w:t>esponse Bias Analysis Outline</w:t>
      </w:r>
    </w:p>
    <w:p w14:paraId="6765C58B" w14:textId="77777777" w:rsidR="00B9640F" w:rsidRPr="00981119" w:rsidRDefault="00B9640F" w:rsidP="00402957">
      <w:pPr>
        <w:ind w:left="180"/>
        <w:rPr>
          <w:rFonts w:ascii="Times New Roman" w:hAnsi="Times New Roman" w:cs="Times New Roman"/>
          <w:b/>
        </w:rPr>
      </w:pPr>
    </w:p>
    <w:p w14:paraId="46585ECE" w14:textId="77777777" w:rsidR="00B9640F" w:rsidRDefault="0055076C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="00263E54" w:rsidRPr="00981119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="00B9640F" w:rsidRPr="00981119">
        <w:rPr>
          <w:rFonts w:ascii="Times New Roman" w:hAnsi="Times New Roman" w:cs="Times New Roman"/>
        </w:rPr>
        <w:t xml:space="preserve"> be</w:t>
      </w:r>
      <w:r w:rsidR="002901D4" w:rsidRPr="00981119">
        <w:rPr>
          <w:rFonts w:ascii="Times New Roman" w:hAnsi="Times New Roman" w:cs="Times New Roman"/>
        </w:rPr>
        <w:t xml:space="preserve"> conducted in the summer of 20</w:t>
      </w:r>
      <w:r w:rsidR="002968ED">
        <w:rPr>
          <w:rFonts w:ascii="Times New Roman" w:hAnsi="Times New Roman" w:cs="Times New Roman"/>
        </w:rPr>
        <w:t>22</w:t>
      </w:r>
      <w:r w:rsidR="003A3F82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 xml:space="preserve">before the release of the </w:t>
      </w:r>
      <w:r w:rsidR="00352303">
        <w:rPr>
          <w:rFonts w:ascii="Times New Roman" w:hAnsi="Times New Roman" w:cs="Times New Roman"/>
        </w:rPr>
        <w:t>PIRL</w:t>
      </w:r>
      <w:r w:rsidRPr="00981119">
        <w:rPr>
          <w:rFonts w:ascii="Times New Roman" w:hAnsi="Times New Roman" w:cs="Times New Roman"/>
        </w:rPr>
        <w:t>S</w:t>
      </w:r>
      <w:r w:rsidR="00352303">
        <w:rPr>
          <w:rFonts w:ascii="Times New Roman" w:hAnsi="Times New Roman" w:cs="Times New Roman"/>
        </w:rPr>
        <w:t xml:space="preserve"> </w:t>
      </w:r>
      <w:r w:rsidR="004D4670">
        <w:rPr>
          <w:rFonts w:ascii="Times New Roman" w:hAnsi="Times New Roman" w:cs="Times New Roman"/>
        </w:rPr>
        <w:t>2021</w:t>
      </w:r>
      <w:r w:rsidR="001A63C5" w:rsidRPr="00981119">
        <w:rPr>
          <w:rFonts w:ascii="Times New Roman" w:hAnsi="Times New Roman" w:cs="Times New Roman"/>
        </w:rPr>
        <w:t xml:space="preserve"> nat</w:t>
      </w:r>
      <w:r w:rsidR="00352303">
        <w:rPr>
          <w:rFonts w:ascii="Times New Roman" w:hAnsi="Times New Roman" w:cs="Times New Roman"/>
        </w:rPr>
        <w:t xml:space="preserve">ional report in December of </w:t>
      </w:r>
      <w:r w:rsidR="004D4670">
        <w:rPr>
          <w:rFonts w:ascii="Times New Roman" w:hAnsi="Times New Roman" w:cs="Times New Roman"/>
        </w:rPr>
        <w:t>202</w:t>
      </w:r>
      <w:r w:rsidR="002968ED">
        <w:rPr>
          <w:rFonts w:ascii="Times New Roman" w:hAnsi="Times New Roman" w:cs="Times New Roman"/>
        </w:rPr>
        <w:t>2</w:t>
      </w:r>
      <w:r w:rsidR="001A63C5" w:rsidRPr="00981119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="00B9640F" w:rsidRPr="00981119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="00B9640F" w:rsidRPr="00981119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="00B9640F" w:rsidRPr="00981119">
        <w:rPr>
          <w:rFonts w:ascii="Times New Roman" w:hAnsi="Times New Roman" w:cs="Times New Roman"/>
        </w:rPr>
        <w:t xml:space="preserve"> be included in the U.S. technical report.</w:t>
      </w:r>
    </w:p>
    <w:p w14:paraId="4739E199" w14:textId="77777777" w:rsidR="00714A50" w:rsidRPr="00981119" w:rsidRDefault="00714A50" w:rsidP="00263E54">
      <w:pPr>
        <w:rPr>
          <w:rFonts w:ascii="Times New Roman" w:hAnsi="Times New Roman" w:cs="Times New Roman"/>
        </w:rPr>
      </w:pPr>
    </w:p>
    <w:p w14:paraId="12907F7B" w14:textId="77777777" w:rsidR="00AF05FB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1.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INTRODUCTION</w:t>
      </w:r>
    </w:p>
    <w:p w14:paraId="4C773D71" w14:textId="77777777" w:rsidR="00402957" w:rsidRDefault="00402957" w:rsidP="00402957">
      <w:pPr>
        <w:ind w:left="180"/>
        <w:rPr>
          <w:rFonts w:ascii="Times New Roman" w:hAnsi="Times New Roman" w:cs="Times New Roman"/>
          <w:b/>
        </w:rPr>
      </w:pPr>
    </w:p>
    <w:p w14:paraId="157CF4E4" w14:textId="77777777" w:rsidR="00741722" w:rsidRDefault="00714A50" w:rsidP="00714A50">
      <w:pPr>
        <w:pStyle w:val="NoSpacing"/>
        <w:rPr>
          <w:rFonts w:ascii="Times New Roman" w:hAnsi="Times New Roman" w:cs="Times New Roman"/>
        </w:rPr>
      </w:pPr>
      <w:r w:rsidRPr="00714A50">
        <w:rPr>
          <w:rFonts w:ascii="Times New Roman" w:hAnsi="Times New Roman" w:cs="Times New Roman"/>
        </w:rPr>
        <w:t xml:space="preserve">NCES standards for assessment surveys stipulate that a nonresponse bias analysis is required at any stage of data collection reporting a weighted unit response rate less than 85 percent. </w:t>
      </w:r>
      <w:r>
        <w:rPr>
          <w:rFonts w:ascii="Times New Roman" w:hAnsi="Times New Roman" w:cs="Times New Roman"/>
        </w:rPr>
        <w:t>If</w:t>
      </w:r>
      <w:r w:rsidRPr="00714A50">
        <w:rPr>
          <w:rFonts w:ascii="Times New Roman" w:hAnsi="Times New Roman" w:cs="Times New Roman"/>
        </w:rPr>
        <w:t xml:space="preserve"> the U.S. </w:t>
      </w:r>
      <w:r>
        <w:rPr>
          <w:rFonts w:ascii="Times New Roman" w:hAnsi="Times New Roman" w:cs="Times New Roman"/>
        </w:rPr>
        <w:t>PIRLS</w:t>
      </w:r>
      <w:r w:rsidRPr="00714A50">
        <w:rPr>
          <w:rFonts w:ascii="Times New Roman" w:hAnsi="Times New Roman" w:cs="Times New Roman"/>
        </w:rPr>
        <w:t xml:space="preserve"> weighted school response rate is below 85 percent, NCES </w:t>
      </w:r>
      <w:r>
        <w:rPr>
          <w:rFonts w:ascii="Times New Roman" w:hAnsi="Times New Roman" w:cs="Times New Roman"/>
        </w:rPr>
        <w:t xml:space="preserve">will </w:t>
      </w:r>
      <w:r w:rsidRPr="00714A50">
        <w:rPr>
          <w:rFonts w:ascii="Times New Roman" w:hAnsi="Times New Roman" w:cs="Times New Roman"/>
        </w:rPr>
        <w:t xml:space="preserve">require an investigation into the potential magnitude of nonresponse bias at the school level in the U.S. sample. </w:t>
      </w:r>
    </w:p>
    <w:p w14:paraId="75CB8453" w14:textId="77777777" w:rsidR="00741722" w:rsidRPr="0018266C" w:rsidRDefault="00741722" w:rsidP="00402957">
      <w:pPr>
        <w:ind w:left="180"/>
        <w:rPr>
          <w:rFonts w:ascii="Times New Roman" w:hAnsi="Times New Roman" w:cs="Times New Roman"/>
          <w:b/>
        </w:rPr>
      </w:pPr>
    </w:p>
    <w:p w14:paraId="1BA05885" w14:textId="77777777" w:rsidR="00AF05FB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METHODOLOGY</w:t>
      </w:r>
    </w:p>
    <w:p w14:paraId="71709D3C" w14:textId="77777777"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14:paraId="084D0C79" w14:textId="77777777" w:rsidR="00101222" w:rsidRPr="00981119" w:rsidRDefault="00101222" w:rsidP="0055076C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analysis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14:paraId="0EE4333C" w14:textId="77777777"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14:paraId="638E3DE4" w14:textId="77777777"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original school sample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weighted by their school base weights, excluding any non</w:t>
      </w:r>
      <w:r w:rsidR="00BC648A" w:rsidRPr="00981119">
        <w:rPr>
          <w:szCs w:val="22"/>
        </w:rPr>
        <w:t>-</w:t>
      </w:r>
      <w:r w:rsidR="00101222" w:rsidRPr="00981119">
        <w:rPr>
          <w:szCs w:val="22"/>
        </w:rPr>
        <w:t>response adjustment factor.</w:t>
      </w:r>
    </w:p>
    <w:p w14:paraId="62E93D66" w14:textId="77777777"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="00101222" w:rsidRPr="00981119">
        <w:rPr>
          <w:szCs w:val="22"/>
        </w:rPr>
        <w:t xml:space="preserve">sample, which includes the participating replacements for schools from the original sample that did not participate,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to the total eligible final sample. The final sample is the sample after substitution. Again, school base weights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>used for both the eligible sample and the participating schools.</w:t>
      </w:r>
    </w:p>
    <w:p w14:paraId="28E56FA3" w14:textId="77777777"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same sets of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compared as in the second analysis but, this time, when analyzing the participating schools alone, school nonresponse adjustments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applied to the weights.</w:t>
      </w:r>
    </w:p>
    <w:p w14:paraId="04F8842E" w14:textId="77777777"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14:paraId="4CF38285" w14:textId="77777777"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14:paraId="34E30FCB" w14:textId="77777777"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School</w:t>
      </w:r>
      <w:r w:rsidR="00096EA8">
        <w:rPr>
          <w:szCs w:val="22"/>
        </w:rPr>
        <w:t xml:space="preserve"> control</w:t>
      </w:r>
      <w:r w:rsidRPr="00981119">
        <w:rPr>
          <w:szCs w:val="22"/>
        </w:rPr>
        <w:t>—public or private;</w:t>
      </w:r>
    </w:p>
    <w:p w14:paraId="05E1B2AB" w14:textId="77777777" w:rsidR="00101222" w:rsidRPr="00981119" w:rsidRDefault="00525CF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Locality—urban-centric locale code, i.e., city, suburb, town, rural</w:t>
      </w:r>
      <w:r w:rsidR="00101222" w:rsidRPr="00981119">
        <w:rPr>
          <w:szCs w:val="22"/>
        </w:rPr>
        <w:t>;</w:t>
      </w:r>
    </w:p>
    <w:p w14:paraId="3E900E62" w14:textId="77777777"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14:paraId="37848B49" w14:textId="77777777" w:rsidR="00101222" w:rsidRDefault="00101222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14:paraId="72E04682" w14:textId="77777777" w:rsidR="003505E5" w:rsidRPr="00981119" w:rsidRDefault="003505E5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>
        <w:t>School size</w:t>
      </w:r>
      <w:r w:rsidRPr="00266EBB">
        <w:t>—</w:t>
      </w:r>
      <w:r>
        <w:t>grade 4</w:t>
      </w:r>
      <w:r w:rsidRPr="00FF398F">
        <w:t xml:space="preserve"> enrollment </w:t>
      </w:r>
      <w:r>
        <w:t xml:space="preserve">of school </w:t>
      </w:r>
      <w:r w:rsidRPr="00FF398F">
        <w:t>(as shown on school frame) divided into three equally sized categories</w:t>
      </w:r>
      <w:r>
        <w:t xml:space="preserve"> (small, medium, and large).</w:t>
      </w:r>
    </w:p>
    <w:p w14:paraId="20FDE503" w14:textId="77777777"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14:paraId="47475A43" w14:textId="77777777"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14:paraId="175EA2B2" w14:textId="77777777"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lastRenderedPageBreak/>
        <w:t xml:space="preserve">Number of </w:t>
      </w:r>
      <w:r w:rsidR="00981119" w:rsidRPr="00981119">
        <w:rPr>
          <w:szCs w:val="22"/>
        </w:rPr>
        <w:t>grade</w:t>
      </w:r>
      <w:r w:rsidR="00FE0F29" w:rsidRPr="00981119">
        <w:rPr>
          <w:szCs w:val="22"/>
        </w:rPr>
        <w:t>-</w:t>
      </w:r>
      <w:r w:rsidRPr="00981119">
        <w:rPr>
          <w:szCs w:val="22"/>
        </w:rPr>
        <w:t>eligible</w:t>
      </w:r>
      <w:r w:rsidR="00352303">
        <w:rPr>
          <w:szCs w:val="22"/>
        </w:rPr>
        <w:t xml:space="preserve"> (grade 4</w:t>
      </w:r>
      <w:r w:rsidR="00981119" w:rsidRPr="00981119">
        <w:rPr>
          <w:szCs w:val="22"/>
        </w:rPr>
        <w:t>)</w:t>
      </w:r>
      <w:r w:rsidRPr="00981119">
        <w:rPr>
          <w:szCs w:val="22"/>
        </w:rPr>
        <w:t xml:space="preserve"> students enrolled;</w:t>
      </w:r>
    </w:p>
    <w:p w14:paraId="24943ECA" w14:textId="77777777"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14:paraId="663980BB" w14:textId="20F63EA4" w:rsidR="00101222" w:rsidRPr="00981119" w:rsidRDefault="0033427F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 xml:space="preserve">Mean </w:t>
      </w:r>
      <w:r w:rsidR="00BD791A" w:rsidRPr="00981119">
        <w:rPr>
          <w:szCs w:val="22"/>
        </w:rPr>
        <w:t>p</w:t>
      </w:r>
      <w:r w:rsidR="00101222" w:rsidRPr="00981119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="00101222" w:rsidRPr="00981119">
        <w:rPr>
          <w:szCs w:val="22"/>
        </w:rPr>
        <w:t>White non-Hispanic</w:t>
      </w:r>
      <w:r w:rsidRPr="00981119">
        <w:rPr>
          <w:szCs w:val="22"/>
        </w:rPr>
        <w:t>,</w:t>
      </w:r>
      <w:r w:rsidR="00101222" w:rsidRPr="00981119">
        <w:rPr>
          <w:szCs w:val="22"/>
        </w:rPr>
        <w:t xml:space="preserve"> </w:t>
      </w:r>
      <w:r w:rsidRPr="00981119">
        <w:rPr>
          <w:szCs w:val="22"/>
        </w:rPr>
        <w:t>Black non-Hispanic, Hispanic, Asian</w:t>
      </w:r>
      <w:r w:rsidR="00CD0391">
        <w:rPr>
          <w:szCs w:val="22"/>
        </w:rPr>
        <w:t xml:space="preserve"> </w:t>
      </w:r>
      <w:r w:rsidR="00CD0391" w:rsidRPr="00981119">
        <w:rPr>
          <w:szCs w:val="22"/>
        </w:rPr>
        <w:t>non-Hispanic</w:t>
      </w:r>
      <w:r w:rsidRPr="00981119">
        <w:rPr>
          <w:szCs w:val="22"/>
        </w:rPr>
        <w:t>, American Indian or Alaska Native</w:t>
      </w:r>
      <w:r w:rsidR="00CD0391">
        <w:rPr>
          <w:szCs w:val="22"/>
        </w:rPr>
        <w:t xml:space="preserve"> </w:t>
      </w:r>
      <w:r w:rsidR="00CD0391" w:rsidRPr="00981119">
        <w:rPr>
          <w:szCs w:val="22"/>
        </w:rPr>
        <w:t>non-Hispanic</w:t>
      </w:r>
      <w:r w:rsidRPr="00981119">
        <w:rPr>
          <w:szCs w:val="22"/>
        </w:rPr>
        <w:t xml:space="preserve">, </w:t>
      </w:r>
      <w:r w:rsidR="00CD0391" w:rsidRPr="00CD0391">
        <w:t xml:space="preserve">Native Hawaiian or </w:t>
      </w:r>
      <w:r w:rsidR="00CD0391">
        <w:t>o</w:t>
      </w:r>
      <w:r w:rsidR="00CD0391" w:rsidRPr="00CD0391">
        <w:t xml:space="preserve">ther Pacific Islander </w:t>
      </w:r>
      <w:r w:rsidR="00CD0391" w:rsidRPr="00981119">
        <w:rPr>
          <w:szCs w:val="22"/>
        </w:rPr>
        <w:t>non-Hispanic</w:t>
      </w:r>
      <w:r w:rsidR="003505E5">
        <w:t>,</w:t>
      </w:r>
      <w:r w:rsidR="003505E5" w:rsidRPr="00981119">
        <w:rPr>
          <w:szCs w:val="22"/>
        </w:rPr>
        <w:t xml:space="preserve"> </w:t>
      </w:r>
      <w:r w:rsidRPr="00981119">
        <w:rPr>
          <w:szCs w:val="22"/>
        </w:rPr>
        <w:t>and two or more races</w:t>
      </w:r>
      <w:r w:rsidR="00BD791A" w:rsidRPr="00981119">
        <w:rPr>
          <w:szCs w:val="22"/>
        </w:rPr>
        <w:t>)</w:t>
      </w:r>
      <w:r w:rsidRPr="00981119">
        <w:rPr>
          <w:szCs w:val="22"/>
        </w:rPr>
        <w:t>.</w:t>
      </w:r>
    </w:p>
    <w:p w14:paraId="470C6C5C" w14:textId="77777777" w:rsidR="00981119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="00BC648A" w:rsidRPr="00981119">
        <w:rPr>
          <w:szCs w:val="22"/>
        </w:rPr>
        <w:t xml:space="preserve">to participate in the NSLP, will be </w:t>
      </w:r>
      <w:r w:rsidRPr="00981119">
        <w:rPr>
          <w:szCs w:val="22"/>
        </w:rPr>
        <w:t>available only for public schools.</w:t>
      </w:r>
    </w:p>
    <w:p w14:paraId="42A5EAE0" w14:textId="77777777" w:rsidR="00981119" w:rsidRPr="00981119" w:rsidRDefault="00981119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14:paraId="72306AF7" w14:textId="77777777" w:rsidR="00101222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14:paraId="46846C88" w14:textId="77777777"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14:paraId="61447F56" w14:textId="77777777" w:rsidR="00101222" w:rsidRPr="00981119" w:rsidRDefault="00101222" w:rsidP="00AF05FB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14:paraId="1BD5EF98" w14:textId="77777777" w:rsidR="00101222" w:rsidRPr="00981119" w:rsidRDefault="00101222" w:rsidP="00AF05FB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="000920C8" w:rsidRPr="00981119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14:paraId="79555C87" w14:textId="77777777" w:rsidR="00AF05FB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For categorical variables, the distribution of frame characteristics for participants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="00BD791A" w:rsidRPr="00981119">
        <w:rPr>
          <w:szCs w:val="22"/>
        </w:rPr>
        <w:t xml:space="preserve">(including all characteristics) </w:t>
      </w:r>
      <w:r w:rsidR="00061131" w:rsidRPr="00981119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examined.</w:t>
      </w:r>
    </w:p>
    <w:p w14:paraId="5ACB9DBA" w14:textId="77777777" w:rsidR="0027478E" w:rsidRDefault="0027478E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14:paraId="506EDDFB" w14:textId="77777777" w:rsidR="00402957" w:rsidRPr="0018266C" w:rsidRDefault="00402957" w:rsidP="00981119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RESULTS</w:t>
      </w:r>
    </w:p>
    <w:p w14:paraId="4846D839" w14:textId="77777777"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14:paraId="60E1EE14" w14:textId="77777777" w:rsidR="00AF05FB" w:rsidRDefault="002D652A" w:rsidP="00981119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="00061131" w:rsidRPr="00981119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981119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="00BD791A" w:rsidRPr="00981119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="00BD791A" w:rsidRPr="00981119">
        <w:rPr>
          <w:rFonts w:ascii="Times New Roman" w:hAnsi="Times New Roman" w:cs="Times New Roman"/>
        </w:rPr>
        <w:t xml:space="preserve"> and p-value. The results will be given for each analysis.</w:t>
      </w:r>
    </w:p>
    <w:p w14:paraId="56775A45" w14:textId="77777777" w:rsidR="00AF05FB" w:rsidRDefault="00AF05FB" w:rsidP="00402957">
      <w:pPr>
        <w:ind w:left="180"/>
        <w:rPr>
          <w:rFonts w:ascii="Times New Roman" w:hAnsi="Times New Roman" w:cs="Times New Roman"/>
        </w:rPr>
      </w:pPr>
    </w:p>
    <w:p w14:paraId="3BCEDD36" w14:textId="77777777"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3.1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>Original Respondent Sample</w:t>
      </w:r>
    </w:p>
    <w:p w14:paraId="0A0939C9" w14:textId="77777777" w:rsidR="00AF05FB" w:rsidRDefault="002D0E53" w:rsidP="00CF38AC">
      <w:pPr>
        <w:ind w:left="900" w:firstLine="540"/>
        <w:rPr>
          <w:rFonts w:ascii="Times New Roman" w:hAnsi="Times New Roman" w:cs="Times New Roman"/>
        </w:rPr>
      </w:pPr>
      <w:hyperlink w:anchor="_Toc100646047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="00402957" w:rsidRPr="00981119">
        <w:rPr>
          <w:rFonts w:ascii="Times New Roman" w:hAnsi="Times New Roman" w:cs="Times New Roman"/>
        </w:rPr>
        <w:t xml:space="preserve"> Variables</w:t>
      </w:r>
    </w:p>
    <w:p w14:paraId="1EFA8D58" w14:textId="77777777" w:rsidR="00402957" w:rsidRPr="00981119" w:rsidRDefault="002D0E53" w:rsidP="00CF38AC">
      <w:pPr>
        <w:ind w:left="900" w:firstLine="540"/>
        <w:rPr>
          <w:rFonts w:ascii="Times New Roman" w:hAnsi="Times New Roman" w:cs="Times New Roman"/>
        </w:rPr>
      </w:pPr>
      <w:hyperlink w:anchor="_Toc100646048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14:paraId="0D0D1AB9" w14:textId="77777777" w:rsidR="00402957" w:rsidRPr="00981119" w:rsidRDefault="002D0E53" w:rsidP="00CF38AC">
      <w:pPr>
        <w:ind w:left="900" w:firstLine="540"/>
        <w:rPr>
          <w:rFonts w:ascii="Times New Roman" w:hAnsi="Times New Roman" w:cs="Times New Roman"/>
        </w:rPr>
      </w:pPr>
      <w:hyperlink w:anchor="_Toc100646049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14:paraId="4AC6F60F" w14:textId="77777777"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14:paraId="4DDA88E5" w14:textId="77777777"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Replacements (Final Sample)</w:t>
      </w:r>
    </w:p>
    <w:p w14:paraId="53C2A52A" w14:textId="77777777"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14:paraId="6D470C47" w14:textId="77777777"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14:paraId="59AEFFB2" w14:textId="77777777"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Logistic Regression Model</w:t>
      </w:r>
    </w:p>
    <w:p w14:paraId="29942BE7" w14:textId="77777777"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14:paraId="34650766" w14:textId="77777777"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Nonresponse Adjustments Applied</w:t>
      </w:r>
    </w:p>
    <w:p w14:paraId="22D99CAA" w14:textId="77777777"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14:paraId="115BD99D" w14:textId="77777777"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14:paraId="0BB803D3" w14:textId="77777777"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14:paraId="2D777A70" w14:textId="77777777" w:rsidR="00402957" w:rsidRPr="0018266C" w:rsidRDefault="002D0E53" w:rsidP="0018266C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anchor="_Toc100646065" w:history="1">
        <w:r w:rsidR="00CF38AC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</w:t>
        </w:r>
        <w:r w:rsidR="00AF05FB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 xml:space="preserve"> 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CONCLUSIONS</w:t>
        </w:r>
      </w:hyperlink>
    </w:p>
    <w:p w14:paraId="5BA0EAC9" w14:textId="77777777" w:rsidR="000920C8" w:rsidRPr="00981119" w:rsidRDefault="000920C8" w:rsidP="0040295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475C0187" w14:textId="77777777" w:rsidR="00101222" w:rsidRPr="00981119" w:rsidRDefault="000920C8" w:rsidP="0018266C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="00981119" w:rsidRP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sectPr w:rsidR="00101222" w:rsidRPr="00981119" w:rsidSect="008E544B">
      <w:footerReference w:type="default" r:id="rId12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413C6" w14:textId="77777777" w:rsidR="00591956" w:rsidRDefault="00591956" w:rsidP="00101222">
      <w:r>
        <w:separator/>
      </w:r>
    </w:p>
  </w:endnote>
  <w:endnote w:type="continuationSeparator" w:id="0">
    <w:p w14:paraId="59563823" w14:textId="77777777" w:rsidR="00591956" w:rsidRDefault="00591956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B00B6" w14:textId="77777777" w:rsidR="00C803DF" w:rsidRDefault="006D0AA8" w:rsidP="008E544B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2D0E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FC38F" w14:textId="77777777" w:rsidR="00591956" w:rsidRDefault="00591956" w:rsidP="00101222">
      <w:r>
        <w:separator/>
      </w:r>
    </w:p>
  </w:footnote>
  <w:footnote w:type="continuationSeparator" w:id="0">
    <w:p w14:paraId="7FA3086F" w14:textId="77777777" w:rsidR="00591956" w:rsidRDefault="00591956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MbM0NzIwMzY2tjRU0lEKTi0uzszPAykwrgUA8IZ9xiwAAAA="/>
  </w:docVars>
  <w:rsids>
    <w:rsidRoot w:val="00402957"/>
    <w:rsid w:val="000324FD"/>
    <w:rsid w:val="00051CC9"/>
    <w:rsid w:val="00061131"/>
    <w:rsid w:val="000920C8"/>
    <w:rsid w:val="00096D26"/>
    <w:rsid w:val="00096EA8"/>
    <w:rsid w:val="000C730A"/>
    <w:rsid w:val="000E129D"/>
    <w:rsid w:val="00101222"/>
    <w:rsid w:val="00107010"/>
    <w:rsid w:val="00127CC2"/>
    <w:rsid w:val="00143338"/>
    <w:rsid w:val="0018266C"/>
    <w:rsid w:val="001A1228"/>
    <w:rsid w:val="001A63C5"/>
    <w:rsid w:val="00245D5C"/>
    <w:rsid w:val="00263E54"/>
    <w:rsid w:val="0027478E"/>
    <w:rsid w:val="002901D4"/>
    <w:rsid w:val="002968ED"/>
    <w:rsid w:val="002D0E53"/>
    <w:rsid w:val="002D652A"/>
    <w:rsid w:val="0033427F"/>
    <w:rsid w:val="003505E5"/>
    <w:rsid w:val="00352303"/>
    <w:rsid w:val="00384611"/>
    <w:rsid w:val="003A3F82"/>
    <w:rsid w:val="003A77F1"/>
    <w:rsid w:val="00402957"/>
    <w:rsid w:val="0043218F"/>
    <w:rsid w:val="00433271"/>
    <w:rsid w:val="00464AC0"/>
    <w:rsid w:val="004736EB"/>
    <w:rsid w:val="004B4DFA"/>
    <w:rsid w:val="004D4670"/>
    <w:rsid w:val="004D67DE"/>
    <w:rsid w:val="00525CF2"/>
    <w:rsid w:val="00536D92"/>
    <w:rsid w:val="0055076C"/>
    <w:rsid w:val="005643E3"/>
    <w:rsid w:val="00570975"/>
    <w:rsid w:val="00571A95"/>
    <w:rsid w:val="00591956"/>
    <w:rsid w:val="0059760C"/>
    <w:rsid w:val="005C781B"/>
    <w:rsid w:val="005D3A3F"/>
    <w:rsid w:val="00607F08"/>
    <w:rsid w:val="00634D29"/>
    <w:rsid w:val="006A0B8F"/>
    <w:rsid w:val="006D0AA8"/>
    <w:rsid w:val="00714A50"/>
    <w:rsid w:val="0072244B"/>
    <w:rsid w:val="00741722"/>
    <w:rsid w:val="007673FB"/>
    <w:rsid w:val="00826BEA"/>
    <w:rsid w:val="00835F63"/>
    <w:rsid w:val="00860065"/>
    <w:rsid w:val="00866E14"/>
    <w:rsid w:val="008E544B"/>
    <w:rsid w:val="00966070"/>
    <w:rsid w:val="00981119"/>
    <w:rsid w:val="009C2587"/>
    <w:rsid w:val="009F615B"/>
    <w:rsid w:val="00AD03CA"/>
    <w:rsid w:val="00AF05FB"/>
    <w:rsid w:val="00B03865"/>
    <w:rsid w:val="00B9640F"/>
    <w:rsid w:val="00BC648A"/>
    <w:rsid w:val="00BD25FE"/>
    <w:rsid w:val="00BD791A"/>
    <w:rsid w:val="00C1587E"/>
    <w:rsid w:val="00C36916"/>
    <w:rsid w:val="00C55F48"/>
    <w:rsid w:val="00C803DF"/>
    <w:rsid w:val="00C829F5"/>
    <w:rsid w:val="00CB016A"/>
    <w:rsid w:val="00CD0391"/>
    <w:rsid w:val="00CE3D43"/>
    <w:rsid w:val="00CF38AC"/>
    <w:rsid w:val="00D07815"/>
    <w:rsid w:val="00D8767C"/>
    <w:rsid w:val="00EC072D"/>
    <w:rsid w:val="00F44F6D"/>
    <w:rsid w:val="00F916EF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497B2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8E544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8E544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8145B-82C2-4D3D-B883-D8CF282A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SYSTEM</cp:lastModifiedBy>
  <cp:revision>2</cp:revision>
  <dcterms:created xsi:type="dcterms:W3CDTF">2019-10-16T11:51:00Z</dcterms:created>
  <dcterms:modified xsi:type="dcterms:W3CDTF">2019-10-16T11:51:00Z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  <property fmtid="{D5CDD505-2E9C-101B-9397-08002B2CF9AE}" pid="3" name="_NewReviewCycle">
    <vt:lpwstr/>
  </property>
</Properties>
</file>