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Pr="004D7524" w:rsidR="00041909" w:rsidP="00FE2197" w:rsidRDefault="00711414">
          <w:r w:rsidRPr="004D7524">
            <w:rPr>
              <w:noProof/>
            </w:rPr>
            <mc:AlternateContent>
              <mc:Choice Requires="wps">
                <w:drawing>
                  <wp:anchor distT="0" distB="0" distL="114300" distR="114300" simplePos="0" relativeHeight="251676672" behindDoc="1" locked="0" layoutInCell="1" allowOverlap="1" wp14:editId="2D9A4586" wp14:anchorId="3905C66E">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597182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Pr="004D7524" w:rsidR="001F3A8F">
            <w:rPr>
              <w:noProof/>
            </w:rPr>
            <w:softHyphen/>
          </w:r>
          <w:r w:rsidRPr="004D7524" w:rsidR="001F3A8F">
            <w:rPr>
              <w:noProof/>
            </w:rPr>
            <w:softHyphen/>
          </w:r>
        </w:p>
      </w:sdtContent>
    </w:sdt>
    <w:p w:rsidRPr="004D7524" w:rsidR="00D928FD" w:rsidP="00D928FD" w:rsidRDefault="00D928FD"/>
    <w:sdt>
      <w:sdtPr>
        <w:rPr>
          <w:rFonts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4D7524" w:rsidR="00711414" w:rsidP="00711414" w:rsidRDefault="00013756">
          <w:pPr>
            <w:spacing w:line="240" w:lineRule="auto"/>
            <w:ind w:left="90"/>
            <w:rPr>
              <w:rFonts w:cs="Times New Roman"/>
              <w:color w:val="139CD8"/>
              <w:sz w:val="56"/>
              <w:szCs w:val="52"/>
            </w:rPr>
          </w:pPr>
          <w:r w:rsidRPr="00013756">
            <w:rPr>
              <w:rFonts w:cs="Times New Roman"/>
              <w:color w:val="139CD8"/>
              <w:sz w:val="56"/>
              <w:szCs w:val="52"/>
            </w:rPr>
            <w:t>Supporting Statement for Environment, Safety and Health</w:t>
          </w:r>
        </w:p>
      </w:sdtContent>
    </w:sdt>
    <w:p w:rsidRPr="004D7524" w:rsidR="0059212D" w:rsidP="00EE2CAF" w:rsidRDefault="00EE2CAF">
      <w:pPr>
        <w:pStyle w:val="Heading1"/>
        <w:rPr>
          <w:rFonts w:asciiTheme="minorHAnsi" w:hAnsiTheme="minorHAnsi"/>
        </w:rPr>
      </w:pPr>
      <w:bookmarkStart w:name="_Toc18939188" w:id="0"/>
      <w:r w:rsidRPr="004D7524">
        <w:rPr>
          <w:rFonts w:asciiTheme="minorHAnsi" w:hAnsiTheme="minorHAnsi"/>
        </w:rPr>
        <w:t>Part A: Justification</w:t>
      </w:r>
      <w:bookmarkEnd w:id="0"/>
    </w:p>
    <w:p w:rsidRPr="004D7524" w:rsidR="00711414" w:rsidP="00D928FD" w:rsidRDefault="0059212D">
      <w:pPr>
        <w:rPr>
          <w:b/>
          <w:sz w:val="36"/>
          <w:szCs w:val="36"/>
        </w:rPr>
      </w:pPr>
      <w:r w:rsidRPr="004D7524">
        <w:rPr>
          <w:noProof/>
        </w:rPr>
        <mc:AlternateContent>
          <mc:Choice Requires="wps">
            <w:drawing>
              <wp:anchor distT="0" distB="0" distL="114300" distR="114300" simplePos="0" relativeHeight="251693056" behindDoc="0" locked="0" layoutInCell="1" allowOverlap="1" wp14:editId="0748A552" wp14:anchorId="1269FE2C">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F7359" w:rsidR="003241F4" w:rsidP="00FB6BF3" w:rsidRDefault="003241F4">
                            <w:pPr>
                              <w:rPr>
                                <w:b/>
                                <w:i/>
                                <w:sz w:val="28"/>
                                <w:szCs w:val="28"/>
                              </w:rPr>
                            </w:pPr>
                            <w:r w:rsidRPr="006F7359">
                              <w:rPr>
                                <w:b/>
                                <w:i/>
                                <w:sz w:val="28"/>
                                <w:szCs w:val="28"/>
                              </w:rPr>
                              <w:t>Collection Instruments</w:t>
                            </w:r>
                          </w:p>
                          <w:p w:rsidRPr="006F7359" w:rsidR="003241F4" w:rsidP="006F7359" w:rsidRDefault="003241F4">
                            <w:pPr>
                              <w:rPr>
                                <w:i/>
                                <w:sz w:val="24"/>
                                <w:szCs w:val="24"/>
                              </w:rPr>
                            </w:pPr>
                            <w:r w:rsidRPr="006F7359">
                              <w:rPr>
                                <w:i/>
                                <w:sz w:val="24"/>
                                <w:szCs w:val="24"/>
                              </w:rPr>
                              <w:t>Annual Fire Protection Summary Application</w:t>
                            </w:r>
                          </w:p>
                          <w:p w:rsidRPr="006F7359" w:rsidR="003241F4" w:rsidP="006F7359" w:rsidRDefault="003241F4">
                            <w:pPr>
                              <w:rPr>
                                <w:i/>
                                <w:sz w:val="24"/>
                                <w:szCs w:val="24"/>
                              </w:rPr>
                            </w:pPr>
                            <w:r w:rsidRPr="006F7359">
                              <w:rPr>
                                <w:i/>
                                <w:sz w:val="24"/>
                                <w:szCs w:val="24"/>
                              </w:rPr>
                              <w:t>CAIRS Computerized Accident Incident Reporting System</w:t>
                            </w:r>
                          </w:p>
                          <w:p w:rsidRPr="006F7359" w:rsidR="003241F4" w:rsidP="006F7359" w:rsidRDefault="003241F4">
                            <w:pPr>
                              <w:rPr>
                                <w:i/>
                                <w:sz w:val="24"/>
                                <w:szCs w:val="24"/>
                              </w:rPr>
                            </w:pPr>
                            <w:r w:rsidRPr="006F7359">
                              <w:rPr>
                                <w:i/>
                                <w:sz w:val="24"/>
                                <w:szCs w:val="24"/>
                              </w:rPr>
                              <w:t>LL Lessons Learned System</w:t>
                            </w:r>
                          </w:p>
                          <w:p w:rsidRPr="006F7359" w:rsidR="003241F4" w:rsidP="006F7359" w:rsidRDefault="003241F4">
                            <w:pPr>
                              <w:rPr>
                                <w:i/>
                                <w:sz w:val="24"/>
                                <w:szCs w:val="24"/>
                              </w:rPr>
                            </w:pPr>
                            <w:r w:rsidRPr="006F7359">
                              <w:rPr>
                                <w:i/>
                                <w:sz w:val="24"/>
                                <w:szCs w:val="24"/>
                              </w:rPr>
                              <w:t>NTS Noncompliance Tracking System</w:t>
                            </w:r>
                          </w:p>
                          <w:p w:rsidRPr="006F7359" w:rsidR="003241F4" w:rsidP="006F7359" w:rsidRDefault="003241F4">
                            <w:pPr>
                              <w:rPr>
                                <w:i/>
                                <w:sz w:val="24"/>
                                <w:szCs w:val="24"/>
                              </w:rPr>
                            </w:pPr>
                            <w:r w:rsidRPr="006F7359">
                              <w:rPr>
                                <w:i/>
                                <w:sz w:val="24"/>
                                <w:szCs w:val="24"/>
                              </w:rPr>
                              <w:t>ORPS Occurrence Reporting and Processing System</w:t>
                            </w:r>
                          </w:p>
                          <w:p w:rsidRPr="006F7359" w:rsidR="003241F4" w:rsidP="006F7359" w:rsidRDefault="003241F4">
                            <w:pPr>
                              <w:rPr>
                                <w:i/>
                                <w:sz w:val="24"/>
                                <w:szCs w:val="24"/>
                              </w:rPr>
                            </w:pPr>
                            <w:r w:rsidRPr="006F7359">
                              <w:rPr>
                                <w:i/>
                                <w:sz w:val="24"/>
                                <w:szCs w:val="24"/>
                              </w:rPr>
                              <w:t>REMS Radiation Exposure Monitoring System</w:t>
                            </w:r>
                          </w:p>
                          <w:p w:rsidRPr="006F7359" w:rsidR="003241F4" w:rsidP="006F7359" w:rsidRDefault="003241F4">
                            <w:pPr>
                              <w:rPr>
                                <w:i/>
                                <w:sz w:val="24"/>
                                <w:szCs w:val="24"/>
                              </w:rPr>
                            </w:pPr>
                            <w:r w:rsidRPr="006F7359">
                              <w:rPr>
                                <w:i/>
                                <w:sz w:val="24"/>
                                <w:szCs w:val="24"/>
                              </w:rPr>
                              <w:t>SBIS Safety Basis Information System</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269FE2C">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v:textbox inset="0">
                  <w:txbxContent>
                    <w:p w:rsidRPr="006F7359" w:rsidR="003241F4" w:rsidP="00FB6BF3" w:rsidRDefault="003241F4">
                      <w:pPr>
                        <w:rPr>
                          <w:b/>
                          <w:i/>
                          <w:sz w:val="28"/>
                          <w:szCs w:val="28"/>
                        </w:rPr>
                      </w:pPr>
                      <w:r w:rsidRPr="006F7359">
                        <w:rPr>
                          <w:b/>
                          <w:i/>
                          <w:sz w:val="28"/>
                          <w:szCs w:val="28"/>
                        </w:rPr>
                        <w:t>Collection Instruments</w:t>
                      </w:r>
                    </w:p>
                    <w:p w:rsidRPr="006F7359" w:rsidR="003241F4" w:rsidP="006F7359" w:rsidRDefault="003241F4">
                      <w:pPr>
                        <w:rPr>
                          <w:i/>
                          <w:sz w:val="24"/>
                          <w:szCs w:val="24"/>
                        </w:rPr>
                      </w:pPr>
                      <w:r w:rsidRPr="006F7359">
                        <w:rPr>
                          <w:i/>
                          <w:sz w:val="24"/>
                          <w:szCs w:val="24"/>
                        </w:rPr>
                        <w:t>Annual Fire Protection Summary Application</w:t>
                      </w:r>
                    </w:p>
                    <w:p w:rsidRPr="006F7359" w:rsidR="003241F4" w:rsidP="006F7359" w:rsidRDefault="003241F4">
                      <w:pPr>
                        <w:rPr>
                          <w:i/>
                          <w:sz w:val="24"/>
                          <w:szCs w:val="24"/>
                        </w:rPr>
                      </w:pPr>
                      <w:r w:rsidRPr="006F7359">
                        <w:rPr>
                          <w:i/>
                          <w:sz w:val="24"/>
                          <w:szCs w:val="24"/>
                        </w:rPr>
                        <w:t>CAIRS Computerized Accident Incident Reporting System</w:t>
                      </w:r>
                    </w:p>
                    <w:p w:rsidRPr="006F7359" w:rsidR="003241F4" w:rsidP="006F7359" w:rsidRDefault="003241F4">
                      <w:pPr>
                        <w:rPr>
                          <w:i/>
                          <w:sz w:val="24"/>
                          <w:szCs w:val="24"/>
                        </w:rPr>
                      </w:pPr>
                      <w:r w:rsidRPr="006F7359">
                        <w:rPr>
                          <w:i/>
                          <w:sz w:val="24"/>
                          <w:szCs w:val="24"/>
                        </w:rPr>
                        <w:t>LL Lessons Learned System</w:t>
                      </w:r>
                    </w:p>
                    <w:p w:rsidRPr="006F7359" w:rsidR="003241F4" w:rsidP="006F7359" w:rsidRDefault="003241F4">
                      <w:pPr>
                        <w:rPr>
                          <w:i/>
                          <w:sz w:val="24"/>
                          <w:szCs w:val="24"/>
                        </w:rPr>
                      </w:pPr>
                      <w:r w:rsidRPr="006F7359">
                        <w:rPr>
                          <w:i/>
                          <w:sz w:val="24"/>
                          <w:szCs w:val="24"/>
                        </w:rPr>
                        <w:t>NTS Noncompliance Tracking System</w:t>
                      </w:r>
                    </w:p>
                    <w:p w:rsidRPr="006F7359" w:rsidR="003241F4" w:rsidP="006F7359" w:rsidRDefault="003241F4">
                      <w:pPr>
                        <w:rPr>
                          <w:i/>
                          <w:sz w:val="24"/>
                          <w:szCs w:val="24"/>
                        </w:rPr>
                      </w:pPr>
                      <w:r w:rsidRPr="006F7359">
                        <w:rPr>
                          <w:i/>
                          <w:sz w:val="24"/>
                          <w:szCs w:val="24"/>
                        </w:rPr>
                        <w:t>ORPS Occurrence Reporting and Processing System</w:t>
                      </w:r>
                    </w:p>
                    <w:p w:rsidRPr="006F7359" w:rsidR="003241F4" w:rsidP="006F7359" w:rsidRDefault="003241F4">
                      <w:pPr>
                        <w:rPr>
                          <w:i/>
                          <w:sz w:val="24"/>
                          <w:szCs w:val="24"/>
                        </w:rPr>
                      </w:pPr>
                      <w:r w:rsidRPr="006F7359">
                        <w:rPr>
                          <w:i/>
                          <w:sz w:val="24"/>
                          <w:szCs w:val="24"/>
                        </w:rPr>
                        <w:t>REMS Radiation Exposure Monitoring System</w:t>
                      </w:r>
                    </w:p>
                    <w:p w:rsidRPr="006F7359" w:rsidR="003241F4" w:rsidP="006F7359" w:rsidRDefault="003241F4">
                      <w:pPr>
                        <w:rPr>
                          <w:i/>
                          <w:sz w:val="24"/>
                          <w:szCs w:val="24"/>
                        </w:rPr>
                      </w:pPr>
                      <w:r w:rsidRPr="006F7359">
                        <w:rPr>
                          <w:i/>
                          <w:sz w:val="24"/>
                          <w:szCs w:val="24"/>
                        </w:rPr>
                        <w:t>SBIS Safety Basis Information System</w:t>
                      </w:r>
                    </w:p>
                  </w:txbxContent>
                </v:textbox>
                <w10:wrap type="square" anchorx="margin" anchory="margin"/>
              </v:shape>
            </w:pict>
          </mc:Fallback>
        </mc:AlternateContent>
      </w:r>
      <w:r w:rsidRPr="004D7524" w:rsidR="00711414">
        <w:rPr>
          <w:rFonts w:cs="Times New Roman"/>
          <w:b/>
          <w:sz w:val="36"/>
          <w:szCs w:val="36"/>
        </w:rPr>
        <w:t>OMB No. 19</w:t>
      </w:r>
      <w:r w:rsidRPr="004D7524" w:rsidR="00FE2197">
        <w:rPr>
          <w:rFonts w:cs="Times New Roman"/>
          <w:b/>
          <w:sz w:val="36"/>
          <w:szCs w:val="36"/>
        </w:rPr>
        <w:t>10</w:t>
      </w:r>
      <w:r w:rsidRPr="004D7524" w:rsidR="00711414">
        <w:rPr>
          <w:rFonts w:cs="Times New Roman"/>
          <w:b/>
          <w:sz w:val="36"/>
          <w:szCs w:val="36"/>
        </w:rPr>
        <w:t>-</w:t>
      </w:r>
      <w:r w:rsidR="00013756">
        <w:rPr>
          <w:rFonts w:cs="Times New Roman"/>
          <w:b/>
          <w:sz w:val="36"/>
          <w:szCs w:val="36"/>
        </w:rPr>
        <w:t>0300</w:t>
      </w:r>
    </w:p>
    <w:p w:rsidRPr="004D7524" w:rsidR="001F3A8F" w:rsidP="00711414" w:rsidRDefault="00EE2CAF">
      <w:pPr>
        <w:rPr>
          <w:i/>
          <w:sz w:val="28"/>
          <w:szCs w:val="28"/>
        </w:rPr>
      </w:pPr>
      <w:r w:rsidRPr="004D7524">
        <w:rPr>
          <w:noProof/>
        </w:rPr>
        <mc:AlternateContent>
          <mc:Choice Requires="wps">
            <w:drawing>
              <wp:anchor distT="0" distB="0" distL="114300" distR="114300" simplePos="0" relativeHeight="251681792" behindDoc="0" locked="0" layoutInCell="1" allowOverlap="1" wp14:editId="1D207D8D" wp14:anchorId="08FAEB45">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3241F4" w:rsidRDefault="003241F4">
                            <w:pPr>
                              <w:rPr>
                                <w:color w:val="A6A6A6" w:themeColor="background1" w:themeShade="A6"/>
                                <w:sz w:val="36"/>
                              </w:rPr>
                            </w:pPr>
                            <w:r>
                              <w:rPr>
                                <w:color w:val="A6A6A6" w:themeColor="background1" w:themeShade="A6"/>
                                <w:sz w:val="36"/>
                              </w:rPr>
                              <w:t>September 2019</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w14:anchorId="08FAEB45">
                <v:textbox style="mso-fit-shape-to-text:t" inset="0">
                  <w:txbxContent>
                    <w:p w:rsidRPr="009818F9" w:rsidR="003241F4" w:rsidRDefault="003241F4">
                      <w:pPr>
                        <w:rPr>
                          <w:color w:val="A6A6A6" w:themeColor="background1" w:themeShade="A6"/>
                          <w:sz w:val="36"/>
                        </w:rPr>
                      </w:pPr>
                      <w:r>
                        <w:rPr>
                          <w:color w:val="A6A6A6" w:themeColor="background1" w:themeShade="A6"/>
                          <w:sz w:val="36"/>
                        </w:rPr>
                        <w:t>September 2019</w:t>
                      </w:r>
                    </w:p>
                  </w:txbxContent>
                </v:textbox>
                <w10:wrap type="square" anchorx="margin" anchory="margin"/>
              </v:shape>
            </w:pict>
          </mc:Fallback>
        </mc:AlternateContent>
      </w:r>
      <w:r w:rsidRPr="004D7524">
        <w:rPr>
          <w:noProof/>
        </w:rPr>
        <mc:AlternateContent>
          <mc:Choice Requires="wps">
            <w:drawing>
              <wp:anchor distT="0" distB="0" distL="114300" distR="114300" simplePos="0" relativeHeight="251689984" behindDoc="1" locked="0" layoutInCell="1" allowOverlap="1" wp14:editId="1B587AD2" wp14:anchorId="027D48A4">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20E6A5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Pr="004D7524" w:rsidR="00FB6BF3">
        <w:rPr>
          <w:noProof/>
        </w:rPr>
        <w:t xml:space="preserve"> </w:t>
      </w:r>
      <w:r w:rsidRPr="004D7524" w:rsidR="00711414">
        <w:rPr>
          <w:noProof/>
        </w:rPr>
        <mc:AlternateContent>
          <mc:Choice Requires="wps">
            <w:drawing>
              <wp:anchor distT="0" distB="0" distL="114300" distR="114300" simplePos="0" relativeHeight="251680768" behindDoc="0" locked="0" layoutInCell="1" allowOverlap="1" wp14:editId="5AE21CB4" wp14:anchorId="2C6C8975">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3241F4" w:rsidP="00D001E4" w:rsidRDefault="003241F4">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2C6C8975">
                <v:textbox inset="0">
                  <w:txbxContent>
                    <w:p w:rsidRPr="00AA3D91" w:rsidR="003241F4" w:rsidP="00D001E4" w:rsidRDefault="003241F4">
                      <w:pPr>
                        <w:spacing w:line="240" w:lineRule="auto"/>
                        <w:ind w:left="90"/>
                        <w:rPr>
                          <w:sz w:val="52"/>
                          <w:szCs w:val="52"/>
                        </w:rPr>
                      </w:pPr>
                    </w:p>
                  </w:txbxContent>
                </v:textbox>
                <w10:wrap anchorx="margin"/>
              </v:shape>
            </w:pict>
          </mc:Fallback>
        </mc:AlternateContent>
      </w:r>
      <w:r w:rsidRPr="004D7524" w:rsidR="00711414">
        <w:rPr>
          <w:noProof/>
          <w:color w:val="A6A6A6" w:themeColor="background1" w:themeShade="A6"/>
        </w:rPr>
        <mc:AlternateContent>
          <mc:Choice Requires="wps">
            <w:drawing>
              <wp:anchor distT="0" distB="0" distL="114300" distR="114300" simplePos="0" relativeHeight="251691008" behindDoc="0" locked="0" layoutInCell="1" allowOverlap="1" wp14:editId="100AAC7F" wp14:anchorId="2F73FF02">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41F4" w:rsidP="00FE2197" w:rsidRDefault="003241F4">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2F73FF02">
                <v:textbox inset="0,,0">
                  <w:txbxContent>
                    <w:p w:rsidR="003241F4" w:rsidP="00FE2197" w:rsidRDefault="003241F4">
                      <w:pPr>
                        <w:spacing w:before="40" w:after="0"/>
                      </w:pPr>
                    </w:p>
                  </w:txbxContent>
                </v:textbox>
                <w10:wrap type="square" anchorx="margin" anchory="margin"/>
              </v:shape>
            </w:pict>
          </mc:Fallback>
        </mc:AlternateContent>
      </w:r>
      <w:r w:rsidRPr="004D7524" w:rsidR="00711414">
        <w:rPr>
          <w:noProof/>
          <w:color w:val="A6A6A6" w:themeColor="background1" w:themeShade="A6"/>
        </w:rPr>
        <mc:AlternateContent>
          <mc:Choice Requires="wps">
            <w:drawing>
              <wp:anchor distT="0" distB="0" distL="114300" distR="114300" simplePos="0" relativeHeight="251692032" behindDoc="0" locked="0" layoutInCell="1" allowOverlap="1" wp14:editId="7A935F24" wp14:anchorId="04884388">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3241F4" w:rsidP="002556F3" w:rsidRDefault="003241F4">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3241F4" w:rsidP="002556F3" w:rsidRDefault="003241F4">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04884388">
                <v:textbox inset="0">
                  <w:txbxContent>
                    <w:p w:rsidRPr="008F4CBD" w:rsidR="003241F4" w:rsidP="002556F3" w:rsidRDefault="003241F4">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3241F4" w:rsidP="002556F3" w:rsidRDefault="003241F4">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Pr="004D7524" w:rsidR="001F3A8F">
        <w:br w:type="page"/>
      </w:r>
    </w:p>
    <w:p w:rsidRPr="004D7524" w:rsidR="00755C3D" w:rsidP="00D928FD" w:rsidRDefault="00755C3D">
      <w:pPr>
        <w:sectPr w:rsidRPr="004D7524"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Pr="004D7524" w:rsidR="0059212D" w:rsidP="00EE2CAF" w:rsidRDefault="0059212D">
          <w:pPr>
            <w:pStyle w:val="TOCHeading"/>
            <w:rPr>
              <w:rFonts w:asciiTheme="minorHAnsi" w:hAnsiTheme="minorHAnsi"/>
            </w:rPr>
          </w:pPr>
          <w:r w:rsidRPr="004D7524">
            <w:rPr>
              <w:rFonts w:asciiTheme="minorHAnsi" w:hAnsiTheme="minorHAnsi"/>
            </w:rPr>
            <w:t>Table of Contents</w:t>
          </w:r>
        </w:p>
        <w:p w:rsidR="00735D63" w:rsidRDefault="0059212D">
          <w:pPr>
            <w:pStyle w:val="TOC1"/>
            <w:rPr>
              <w:rFonts w:eastAsiaTheme="minorEastAsia"/>
              <w:noProof/>
              <w:color w:val="auto"/>
            </w:rPr>
          </w:pPr>
          <w:r w:rsidRPr="004D7524">
            <w:fldChar w:fldCharType="begin"/>
          </w:r>
          <w:r w:rsidRPr="004D7524">
            <w:instrText xml:space="preserve"> TOC \o "1-3" \h \z \u </w:instrText>
          </w:r>
          <w:r w:rsidRPr="004D7524">
            <w:fldChar w:fldCharType="separate"/>
          </w:r>
          <w:hyperlink w:history="1" w:anchor="_Toc18939188">
            <w:r w:rsidRPr="003515E8" w:rsidR="00735D63">
              <w:rPr>
                <w:rStyle w:val="Hyperlink"/>
                <w:noProof/>
              </w:rPr>
              <w:t>Part A: Justification</w:t>
            </w:r>
            <w:r w:rsidR="00735D63">
              <w:rPr>
                <w:noProof/>
                <w:webHidden/>
              </w:rPr>
              <w:tab/>
            </w:r>
            <w:r w:rsidR="00735D63">
              <w:rPr>
                <w:noProof/>
                <w:webHidden/>
              </w:rPr>
              <w:fldChar w:fldCharType="begin"/>
            </w:r>
            <w:r w:rsidR="00735D63">
              <w:rPr>
                <w:noProof/>
                <w:webHidden/>
              </w:rPr>
              <w:instrText xml:space="preserve"> PAGEREF _Toc18939188 \h </w:instrText>
            </w:r>
            <w:r w:rsidR="00735D63">
              <w:rPr>
                <w:noProof/>
                <w:webHidden/>
              </w:rPr>
            </w:r>
            <w:r w:rsidR="00735D63">
              <w:rPr>
                <w:noProof/>
                <w:webHidden/>
              </w:rPr>
              <w:fldChar w:fldCharType="separate"/>
            </w:r>
            <w:r w:rsidR="001B482D">
              <w:rPr>
                <w:noProof/>
                <w:webHidden/>
              </w:rPr>
              <w:t>i</w:t>
            </w:r>
            <w:r w:rsidR="00735D63">
              <w:rPr>
                <w:noProof/>
                <w:webHidden/>
              </w:rPr>
              <w:fldChar w:fldCharType="end"/>
            </w:r>
          </w:hyperlink>
        </w:p>
        <w:p w:rsidR="00735D63" w:rsidRDefault="00AD606E">
          <w:pPr>
            <w:pStyle w:val="TOC2"/>
            <w:rPr>
              <w:rFonts w:eastAsiaTheme="minorEastAsia"/>
              <w:noProof/>
              <w:color w:val="auto"/>
            </w:rPr>
          </w:pPr>
          <w:hyperlink w:history="1" w:anchor="_Toc18939189">
            <w:r w:rsidRPr="003515E8" w:rsidR="00735D63">
              <w:rPr>
                <w:rStyle w:val="Hyperlink"/>
                <w:noProof/>
              </w:rPr>
              <w:t>Introduction</w:t>
            </w:r>
            <w:r w:rsidR="00735D63">
              <w:rPr>
                <w:noProof/>
                <w:webHidden/>
              </w:rPr>
              <w:tab/>
            </w:r>
            <w:r w:rsidR="00735D63">
              <w:rPr>
                <w:noProof/>
                <w:webHidden/>
              </w:rPr>
              <w:fldChar w:fldCharType="begin"/>
            </w:r>
            <w:r w:rsidR="00735D63">
              <w:rPr>
                <w:noProof/>
                <w:webHidden/>
              </w:rPr>
              <w:instrText xml:space="preserve"> PAGEREF _Toc18939189 \h </w:instrText>
            </w:r>
            <w:r w:rsidR="00735D63">
              <w:rPr>
                <w:noProof/>
                <w:webHidden/>
              </w:rPr>
            </w:r>
            <w:r w:rsidR="00735D63">
              <w:rPr>
                <w:noProof/>
                <w:webHidden/>
              </w:rPr>
              <w:fldChar w:fldCharType="separate"/>
            </w:r>
            <w:r w:rsidR="001B482D">
              <w:rPr>
                <w:noProof/>
                <w:webHidden/>
              </w:rPr>
              <w:t>1</w:t>
            </w:r>
            <w:r w:rsidR="00735D63">
              <w:rPr>
                <w:noProof/>
                <w:webHidden/>
              </w:rPr>
              <w:fldChar w:fldCharType="end"/>
            </w:r>
          </w:hyperlink>
        </w:p>
        <w:p w:rsidR="00735D63" w:rsidRDefault="00AD606E">
          <w:pPr>
            <w:pStyle w:val="TOC2"/>
            <w:rPr>
              <w:rFonts w:eastAsiaTheme="minorEastAsia"/>
              <w:noProof/>
              <w:color w:val="auto"/>
            </w:rPr>
          </w:pPr>
          <w:hyperlink w:history="1" w:anchor="_Toc18939190">
            <w:r w:rsidRPr="003515E8" w:rsidR="00735D63">
              <w:rPr>
                <w:rStyle w:val="Hyperlink"/>
                <w:noProof/>
              </w:rPr>
              <w:t>A.1. Legal Justification</w:t>
            </w:r>
            <w:r w:rsidR="00735D63">
              <w:rPr>
                <w:noProof/>
                <w:webHidden/>
              </w:rPr>
              <w:tab/>
            </w:r>
            <w:r w:rsidR="00735D63">
              <w:rPr>
                <w:noProof/>
                <w:webHidden/>
              </w:rPr>
              <w:fldChar w:fldCharType="begin"/>
            </w:r>
            <w:r w:rsidR="00735D63">
              <w:rPr>
                <w:noProof/>
                <w:webHidden/>
              </w:rPr>
              <w:instrText xml:space="preserve"> PAGEREF _Toc18939190 \h </w:instrText>
            </w:r>
            <w:r w:rsidR="00735D63">
              <w:rPr>
                <w:noProof/>
                <w:webHidden/>
              </w:rPr>
            </w:r>
            <w:r w:rsidR="00735D63">
              <w:rPr>
                <w:noProof/>
                <w:webHidden/>
              </w:rPr>
              <w:fldChar w:fldCharType="separate"/>
            </w:r>
            <w:r w:rsidR="001B482D">
              <w:rPr>
                <w:noProof/>
                <w:webHidden/>
              </w:rPr>
              <w:t>1</w:t>
            </w:r>
            <w:r w:rsidR="00735D63">
              <w:rPr>
                <w:noProof/>
                <w:webHidden/>
              </w:rPr>
              <w:fldChar w:fldCharType="end"/>
            </w:r>
          </w:hyperlink>
        </w:p>
        <w:p w:rsidR="00735D63" w:rsidRDefault="00AD606E">
          <w:pPr>
            <w:pStyle w:val="TOC2"/>
            <w:rPr>
              <w:rFonts w:eastAsiaTheme="minorEastAsia"/>
              <w:noProof/>
              <w:color w:val="auto"/>
            </w:rPr>
          </w:pPr>
          <w:hyperlink w:history="1" w:anchor="_Toc18939191">
            <w:r w:rsidRPr="003515E8" w:rsidR="00735D63">
              <w:rPr>
                <w:rStyle w:val="Hyperlink"/>
                <w:noProof/>
              </w:rPr>
              <w:t>A.2. Needs and Uses of Data</w:t>
            </w:r>
            <w:r w:rsidR="00735D63">
              <w:rPr>
                <w:noProof/>
                <w:webHidden/>
              </w:rPr>
              <w:tab/>
            </w:r>
            <w:r w:rsidR="00735D63">
              <w:rPr>
                <w:noProof/>
                <w:webHidden/>
              </w:rPr>
              <w:fldChar w:fldCharType="begin"/>
            </w:r>
            <w:r w:rsidR="00735D63">
              <w:rPr>
                <w:noProof/>
                <w:webHidden/>
              </w:rPr>
              <w:instrText xml:space="preserve"> PAGEREF _Toc18939191 \h </w:instrText>
            </w:r>
            <w:r w:rsidR="00735D63">
              <w:rPr>
                <w:noProof/>
                <w:webHidden/>
              </w:rPr>
            </w:r>
            <w:r w:rsidR="00735D63">
              <w:rPr>
                <w:noProof/>
                <w:webHidden/>
              </w:rPr>
              <w:fldChar w:fldCharType="separate"/>
            </w:r>
            <w:r w:rsidR="001B482D">
              <w:rPr>
                <w:noProof/>
                <w:webHidden/>
              </w:rPr>
              <w:t>2</w:t>
            </w:r>
            <w:r w:rsidR="00735D63">
              <w:rPr>
                <w:noProof/>
                <w:webHidden/>
              </w:rPr>
              <w:fldChar w:fldCharType="end"/>
            </w:r>
          </w:hyperlink>
        </w:p>
        <w:p w:rsidR="00735D63" w:rsidRDefault="00AD606E">
          <w:pPr>
            <w:pStyle w:val="TOC2"/>
            <w:rPr>
              <w:rFonts w:eastAsiaTheme="minorEastAsia"/>
              <w:noProof/>
              <w:color w:val="auto"/>
            </w:rPr>
          </w:pPr>
          <w:hyperlink w:history="1" w:anchor="_Toc18939192">
            <w:r w:rsidRPr="003515E8" w:rsidR="00735D63">
              <w:rPr>
                <w:rStyle w:val="Hyperlink"/>
                <w:noProof/>
              </w:rPr>
              <w:t>A.3. Use of Technology</w:t>
            </w:r>
            <w:r w:rsidR="00735D63">
              <w:rPr>
                <w:noProof/>
                <w:webHidden/>
              </w:rPr>
              <w:tab/>
            </w:r>
            <w:r w:rsidR="00735D63">
              <w:rPr>
                <w:noProof/>
                <w:webHidden/>
              </w:rPr>
              <w:fldChar w:fldCharType="begin"/>
            </w:r>
            <w:r w:rsidR="00735D63">
              <w:rPr>
                <w:noProof/>
                <w:webHidden/>
              </w:rPr>
              <w:instrText xml:space="preserve"> PAGEREF _Toc18939192 \h </w:instrText>
            </w:r>
            <w:r w:rsidR="00735D63">
              <w:rPr>
                <w:noProof/>
                <w:webHidden/>
              </w:rPr>
            </w:r>
            <w:r w:rsidR="00735D63">
              <w:rPr>
                <w:noProof/>
                <w:webHidden/>
              </w:rPr>
              <w:fldChar w:fldCharType="separate"/>
            </w:r>
            <w:r w:rsidR="001B482D">
              <w:rPr>
                <w:noProof/>
                <w:webHidden/>
              </w:rPr>
              <w:t>3</w:t>
            </w:r>
            <w:r w:rsidR="00735D63">
              <w:rPr>
                <w:noProof/>
                <w:webHidden/>
              </w:rPr>
              <w:fldChar w:fldCharType="end"/>
            </w:r>
          </w:hyperlink>
        </w:p>
        <w:p w:rsidR="00735D63" w:rsidRDefault="00AD606E">
          <w:pPr>
            <w:pStyle w:val="TOC2"/>
            <w:rPr>
              <w:rFonts w:eastAsiaTheme="minorEastAsia"/>
              <w:noProof/>
              <w:color w:val="auto"/>
            </w:rPr>
          </w:pPr>
          <w:hyperlink w:history="1" w:anchor="_Toc18939193">
            <w:r w:rsidRPr="003515E8" w:rsidR="00735D63">
              <w:rPr>
                <w:rStyle w:val="Hyperlink"/>
                <w:noProof/>
              </w:rPr>
              <w:t>A.4. Efforts to Identify Duplication</w:t>
            </w:r>
            <w:r w:rsidR="00735D63">
              <w:rPr>
                <w:noProof/>
                <w:webHidden/>
              </w:rPr>
              <w:tab/>
            </w:r>
            <w:r w:rsidR="00735D63">
              <w:rPr>
                <w:noProof/>
                <w:webHidden/>
              </w:rPr>
              <w:fldChar w:fldCharType="begin"/>
            </w:r>
            <w:r w:rsidR="00735D63">
              <w:rPr>
                <w:noProof/>
                <w:webHidden/>
              </w:rPr>
              <w:instrText xml:space="preserve"> PAGEREF _Toc18939193 \h </w:instrText>
            </w:r>
            <w:r w:rsidR="00735D63">
              <w:rPr>
                <w:noProof/>
                <w:webHidden/>
              </w:rPr>
            </w:r>
            <w:r w:rsidR="00735D63">
              <w:rPr>
                <w:noProof/>
                <w:webHidden/>
              </w:rPr>
              <w:fldChar w:fldCharType="separate"/>
            </w:r>
            <w:r w:rsidR="001B482D">
              <w:rPr>
                <w:noProof/>
                <w:webHidden/>
              </w:rPr>
              <w:t>4</w:t>
            </w:r>
            <w:r w:rsidR="00735D63">
              <w:rPr>
                <w:noProof/>
                <w:webHidden/>
              </w:rPr>
              <w:fldChar w:fldCharType="end"/>
            </w:r>
          </w:hyperlink>
        </w:p>
        <w:p w:rsidR="00735D63" w:rsidRDefault="00AD606E">
          <w:pPr>
            <w:pStyle w:val="TOC2"/>
            <w:rPr>
              <w:rFonts w:eastAsiaTheme="minorEastAsia"/>
              <w:noProof/>
              <w:color w:val="auto"/>
            </w:rPr>
          </w:pPr>
          <w:hyperlink w:history="1" w:anchor="_Toc18939194">
            <w:r w:rsidRPr="003515E8" w:rsidR="00735D63">
              <w:rPr>
                <w:rStyle w:val="Hyperlink"/>
                <w:noProof/>
              </w:rPr>
              <w:t>A.5. Provisions for Reducing Burden on Small Businesses</w:t>
            </w:r>
            <w:r w:rsidR="00735D63">
              <w:rPr>
                <w:noProof/>
                <w:webHidden/>
              </w:rPr>
              <w:tab/>
            </w:r>
            <w:r w:rsidR="00735D63">
              <w:rPr>
                <w:noProof/>
                <w:webHidden/>
              </w:rPr>
              <w:fldChar w:fldCharType="begin"/>
            </w:r>
            <w:r w:rsidR="00735D63">
              <w:rPr>
                <w:noProof/>
                <w:webHidden/>
              </w:rPr>
              <w:instrText xml:space="preserve"> PAGEREF _Toc18939194 \h </w:instrText>
            </w:r>
            <w:r w:rsidR="00735D63">
              <w:rPr>
                <w:noProof/>
                <w:webHidden/>
              </w:rPr>
            </w:r>
            <w:r w:rsidR="00735D63">
              <w:rPr>
                <w:noProof/>
                <w:webHidden/>
              </w:rPr>
              <w:fldChar w:fldCharType="separate"/>
            </w:r>
            <w:r w:rsidR="001B482D">
              <w:rPr>
                <w:noProof/>
                <w:webHidden/>
              </w:rPr>
              <w:t>4</w:t>
            </w:r>
            <w:r w:rsidR="00735D63">
              <w:rPr>
                <w:noProof/>
                <w:webHidden/>
              </w:rPr>
              <w:fldChar w:fldCharType="end"/>
            </w:r>
          </w:hyperlink>
        </w:p>
        <w:p w:rsidR="00735D63" w:rsidRDefault="00AD606E">
          <w:pPr>
            <w:pStyle w:val="TOC2"/>
            <w:rPr>
              <w:rFonts w:eastAsiaTheme="minorEastAsia"/>
              <w:noProof/>
              <w:color w:val="auto"/>
            </w:rPr>
          </w:pPr>
          <w:hyperlink w:history="1" w:anchor="_Toc18939195">
            <w:r w:rsidRPr="003515E8" w:rsidR="00735D63">
              <w:rPr>
                <w:rStyle w:val="Hyperlink"/>
                <w:noProof/>
              </w:rPr>
              <w:t>A.6. Consequences of Less-Frequent Reporting</w:t>
            </w:r>
            <w:r w:rsidR="00735D63">
              <w:rPr>
                <w:noProof/>
                <w:webHidden/>
              </w:rPr>
              <w:tab/>
            </w:r>
            <w:r w:rsidR="00735D63">
              <w:rPr>
                <w:noProof/>
                <w:webHidden/>
              </w:rPr>
              <w:fldChar w:fldCharType="begin"/>
            </w:r>
            <w:r w:rsidR="00735D63">
              <w:rPr>
                <w:noProof/>
                <w:webHidden/>
              </w:rPr>
              <w:instrText xml:space="preserve"> PAGEREF _Toc18939195 \h </w:instrText>
            </w:r>
            <w:r w:rsidR="00735D63">
              <w:rPr>
                <w:noProof/>
                <w:webHidden/>
              </w:rPr>
            </w:r>
            <w:r w:rsidR="00735D63">
              <w:rPr>
                <w:noProof/>
                <w:webHidden/>
              </w:rPr>
              <w:fldChar w:fldCharType="separate"/>
            </w:r>
            <w:r w:rsidR="001B482D">
              <w:rPr>
                <w:noProof/>
                <w:webHidden/>
              </w:rPr>
              <w:t>4</w:t>
            </w:r>
            <w:r w:rsidR="00735D63">
              <w:rPr>
                <w:noProof/>
                <w:webHidden/>
              </w:rPr>
              <w:fldChar w:fldCharType="end"/>
            </w:r>
          </w:hyperlink>
        </w:p>
        <w:p w:rsidR="00735D63" w:rsidRDefault="00AD606E">
          <w:pPr>
            <w:pStyle w:val="TOC2"/>
            <w:rPr>
              <w:rFonts w:eastAsiaTheme="minorEastAsia"/>
              <w:noProof/>
              <w:color w:val="auto"/>
            </w:rPr>
          </w:pPr>
          <w:hyperlink w:history="1" w:anchor="_Toc18939196">
            <w:r w:rsidRPr="003515E8" w:rsidR="00735D63">
              <w:rPr>
                <w:rStyle w:val="Hyperlink"/>
                <w:noProof/>
              </w:rPr>
              <w:t>A.7. Compliance with 5 CFR 1320.5</w:t>
            </w:r>
            <w:r w:rsidR="00735D63">
              <w:rPr>
                <w:noProof/>
                <w:webHidden/>
              </w:rPr>
              <w:tab/>
            </w:r>
            <w:r w:rsidR="00735D63">
              <w:rPr>
                <w:noProof/>
                <w:webHidden/>
              </w:rPr>
              <w:fldChar w:fldCharType="begin"/>
            </w:r>
            <w:r w:rsidR="00735D63">
              <w:rPr>
                <w:noProof/>
                <w:webHidden/>
              </w:rPr>
              <w:instrText xml:space="preserve"> PAGEREF _Toc18939196 \h </w:instrText>
            </w:r>
            <w:r w:rsidR="00735D63">
              <w:rPr>
                <w:noProof/>
                <w:webHidden/>
              </w:rPr>
            </w:r>
            <w:r w:rsidR="00735D63">
              <w:rPr>
                <w:noProof/>
                <w:webHidden/>
              </w:rPr>
              <w:fldChar w:fldCharType="separate"/>
            </w:r>
            <w:r w:rsidR="001B482D">
              <w:rPr>
                <w:noProof/>
                <w:webHidden/>
              </w:rPr>
              <w:t>4</w:t>
            </w:r>
            <w:r w:rsidR="00735D63">
              <w:rPr>
                <w:noProof/>
                <w:webHidden/>
              </w:rPr>
              <w:fldChar w:fldCharType="end"/>
            </w:r>
          </w:hyperlink>
        </w:p>
        <w:p w:rsidR="00735D63" w:rsidRDefault="00AD606E">
          <w:pPr>
            <w:pStyle w:val="TOC2"/>
            <w:rPr>
              <w:rFonts w:eastAsiaTheme="minorEastAsia"/>
              <w:noProof/>
              <w:color w:val="auto"/>
            </w:rPr>
          </w:pPr>
          <w:hyperlink w:history="1" w:anchor="_Toc18939197">
            <w:r w:rsidRPr="003515E8" w:rsidR="00735D63">
              <w:rPr>
                <w:rStyle w:val="Hyperlink"/>
                <w:noProof/>
              </w:rPr>
              <w:t>A.8. Summary of Consultations Outside of the Agency</w:t>
            </w:r>
            <w:r w:rsidR="00735D63">
              <w:rPr>
                <w:noProof/>
                <w:webHidden/>
              </w:rPr>
              <w:tab/>
            </w:r>
            <w:r w:rsidR="00735D63">
              <w:rPr>
                <w:noProof/>
                <w:webHidden/>
              </w:rPr>
              <w:fldChar w:fldCharType="begin"/>
            </w:r>
            <w:r w:rsidR="00735D63">
              <w:rPr>
                <w:noProof/>
                <w:webHidden/>
              </w:rPr>
              <w:instrText xml:space="preserve"> PAGEREF _Toc18939197 \h </w:instrText>
            </w:r>
            <w:r w:rsidR="00735D63">
              <w:rPr>
                <w:noProof/>
                <w:webHidden/>
              </w:rPr>
            </w:r>
            <w:r w:rsidR="00735D63">
              <w:rPr>
                <w:noProof/>
                <w:webHidden/>
              </w:rPr>
              <w:fldChar w:fldCharType="separate"/>
            </w:r>
            <w:r w:rsidR="001B482D">
              <w:rPr>
                <w:noProof/>
                <w:webHidden/>
              </w:rPr>
              <w:t>5</w:t>
            </w:r>
            <w:r w:rsidR="00735D63">
              <w:rPr>
                <w:noProof/>
                <w:webHidden/>
              </w:rPr>
              <w:fldChar w:fldCharType="end"/>
            </w:r>
          </w:hyperlink>
        </w:p>
        <w:p w:rsidR="00735D63" w:rsidRDefault="00AD606E">
          <w:pPr>
            <w:pStyle w:val="TOC2"/>
            <w:rPr>
              <w:rFonts w:eastAsiaTheme="minorEastAsia"/>
              <w:noProof/>
              <w:color w:val="auto"/>
            </w:rPr>
          </w:pPr>
          <w:hyperlink w:history="1" w:anchor="_Toc18939198">
            <w:r w:rsidRPr="003515E8" w:rsidR="00735D63">
              <w:rPr>
                <w:rStyle w:val="Hyperlink"/>
                <w:noProof/>
              </w:rPr>
              <w:t>A.9. Payments or Gifts to Respondents</w:t>
            </w:r>
            <w:r w:rsidR="00735D63">
              <w:rPr>
                <w:noProof/>
                <w:webHidden/>
              </w:rPr>
              <w:tab/>
            </w:r>
            <w:r w:rsidR="00735D63">
              <w:rPr>
                <w:noProof/>
                <w:webHidden/>
              </w:rPr>
              <w:fldChar w:fldCharType="begin"/>
            </w:r>
            <w:r w:rsidR="00735D63">
              <w:rPr>
                <w:noProof/>
                <w:webHidden/>
              </w:rPr>
              <w:instrText xml:space="preserve"> PAGEREF _Toc18939198 \h </w:instrText>
            </w:r>
            <w:r w:rsidR="00735D63">
              <w:rPr>
                <w:noProof/>
                <w:webHidden/>
              </w:rPr>
            </w:r>
            <w:r w:rsidR="00735D63">
              <w:rPr>
                <w:noProof/>
                <w:webHidden/>
              </w:rPr>
              <w:fldChar w:fldCharType="separate"/>
            </w:r>
            <w:r w:rsidR="001B482D">
              <w:rPr>
                <w:noProof/>
                <w:webHidden/>
              </w:rPr>
              <w:t>5</w:t>
            </w:r>
            <w:r w:rsidR="00735D63">
              <w:rPr>
                <w:noProof/>
                <w:webHidden/>
              </w:rPr>
              <w:fldChar w:fldCharType="end"/>
            </w:r>
          </w:hyperlink>
        </w:p>
        <w:p w:rsidR="00735D63" w:rsidRDefault="00AD606E">
          <w:pPr>
            <w:pStyle w:val="TOC2"/>
            <w:rPr>
              <w:rFonts w:eastAsiaTheme="minorEastAsia"/>
              <w:noProof/>
              <w:color w:val="auto"/>
            </w:rPr>
          </w:pPr>
          <w:hyperlink w:history="1" w:anchor="_Toc18939199">
            <w:r w:rsidRPr="003515E8" w:rsidR="00735D63">
              <w:rPr>
                <w:rStyle w:val="Hyperlink"/>
                <w:noProof/>
              </w:rPr>
              <w:t>A.10. Provisions for Protection of Information</w:t>
            </w:r>
            <w:r w:rsidR="00735D63">
              <w:rPr>
                <w:noProof/>
                <w:webHidden/>
              </w:rPr>
              <w:tab/>
            </w:r>
            <w:r w:rsidR="00735D63">
              <w:rPr>
                <w:noProof/>
                <w:webHidden/>
              </w:rPr>
              <w:fldChar w:fldCharType="begin"/>
            </w:r>
            <w:r w:rsidR="00735D63">
              <w:rPr>
                <w:noProof/>
                <w:webHidden/>
              </w:rPr>
              <w:instrText xml:space="preserve"> PAGEREF _Toc18939199 \h </w:instrText>
            </w:r>
            <w:r w:rsidR="00735D63">
              <w:rPr>
                <w:noProof/>
                <w:webHidden/>
              </w:rPr>
            </w:r>
            <w:r w:rsidR="00735D63">
              <w:rPr>
                <w:noProof/>
                <w:webHidden/>
              </w:rPr>
              <w:fldChar w:fldCharType="separate"/>
            </w:r>
            <w:r w:rsidR="001B482D">
              <w:rPr>
                <w:noProof/>
                <w:webHidden/>
              </w:rPr>
              <w:t>6</w:t>
            </w:r>
            <w:r w:rsidR="00735D63">
              <w:rPr>
                <w:noProof/>
                <w:webHidden/>
              </w:rPr>
              <w:fldChar w:fldCharType="end"/>
            </w:r>
          </w:hyperlink>
        </w:p>
        <w:p w:rsidR="00735D63" w:rsidRDefault="00AD606E">
          <w:pPr>
            <w:pStyle w:val="TOC2"/>
            <w:rPr>
              <w:rFonts w:eastAsiaTheme="minorEastAsia"/>
              <w:noProof/>
              <w:color w:val="auto"/>
            </w:rPr>
          </w:pPr>
          <w:hyperlink w:history="1" w:anchor="_Toc18939200">
            <w:r w:rsidRPr="003515E8" w:rsidR="00735D63">
              <w:rPr>
                <w:rStyle w:val="Hyperlink"/>
                <w:noProof/>
              </w:rPr>
              <w:t>A.11. Justification for Sensitive Questions</w:t>
            </w:r>
            <w:r w:rsidR="00735D63">
              <w:rPr>
                <w:noProof/>
                <w:webHidden/>
              </w:rPr>
              <w:tab/>
            </w:r>
            <w:r w:rsidR="00735D63">
              <w:rPr>
                <w:noProof/>
                <w:webHidden/>
              </w:rPr>
              <w:fldChar w:fldCharType="begin"/>
            </w:r>
            <w:r w:rsidR="00735D63">
              <w:rPr>
                <w:noProof/>
                <w:webHidden/>
              </w:rPr>
              <w:instrText xml:space="preserve"> PAGEREF _Toc18939200 \h </w:instrText>
            </w:r>
            <w:r w:rsidR="00735D63">
              <w:rPr>
                <w:noProof/>
                <w:webHidden/>
              </w:rPr>
            </w:r>
            <w:r w:rsidR="00735D63">
              <w:rPr>
                <w:noProof/>
                <w:webHidden/>
              </w:rPr>
              <w:fldChar w:fldCharType="separate"/>
            </w:r>
            <w:r w:rsidR="001B482D">
              <w:rPr>
                <w:noProof/>
                <w:webHidden/>
              </w:rPr>
              <w:t>6</w:t>
            </w:r>
            <w:r w:rsidR="00735D63">
              <w:rPr>
                <w:noProof/>
                <w:webHidden/>
              </w:rPr>
              <w:fldChar w:fldCharType="end"/>
            </w:r>
          </w:hyperlink>
        </w:p>
        <w:p w:rsidR="00735D63" w:rsidRDefault="00AD606E">
          <w:pPr>
            <w:pStyle w:val="TOC2"/>
            <w:rPr>
              <w:rFonts w:eastAsiaTheme="minorEastAsia"/>
              <w:noProof/>
              <w:color w:val="auto"/>
            </w:rPr>
          </w:pPr>
          <w:hyperlink w:history="1" w:anchor="_Toc18939201">
            <w:r w:rsidRPr="003515E8" w:rsidR="00735D63">
              <w:rPr>
                <w:rStyle w:val="Hyperlink"/>
                <w:noProof/>
              </w:rPr>
              <w:t>A.12A. Estimate of Respondent Burden Hours</w:t>
            </w:r>
            <w:r w:rsidR="00735D63">
              <w:rPr>
                <w:noProof/>
                <w:webHidden/>
              </w:rPr>
              <w:tab/>
            </w:r>
            <w:r w:rsidR="00735D63">
              <w:rPr>
                <w:noProof/>
                <w:webHidden/>
              </w:rPr>
              <w:fldChar w:fldCharType="begin"/>
            </w:r>
            <w:r w:rsidR="00735D63">
              <w:rPr>
                <w:noProof/>
                <w:webHidden/>
              </w:rPr>
              <w:instrText xml:space="preserve"> PAGEREF _Toc18939201 \h </w:instrText>
            </w:r>
            <w:r w:rsidR="00735D63">
              <w:rPr>
                <w:noProof/>
                <w:webHidden/>
              </w:rPr>
            </w:r>
            <w:r w:rsidR="00735D63">
              <w:rPr>
                <w:noProof/>
                <w:webHidden/>
              </w:rPr>
              <w:fldChar w:fldCharType="separate"/>
            </w:r>
            <w:r w:rsidR="001B482D">
              <w:rPr>
                <w:noProof/>
                <w:webHidden/>
              </w:rPr>
              <w:t>7</w:t>
            </w:r>
            <w:r w:rsidR="00735D63">
              <w:rPr>
                <w:noProof/>
                <w:webHidden/>
              </w:rPr>
              <w:fldChar w:fldCharType="end"/>
            </w:r>
          </w:hyperlink>
        </w:p>
        <w:p w:rsidR="00735D63" w:rsidRDefault="00AD606E">
          <w:pPr>
            <w:pStyle w:val="TOC2"/>
            <w:rPr>
              <w:rFonts w:eastAsiaTheme="minorEastAsia"/>
              <w:noProof/>
              <w:color w:val="auto"/>
            </w:rPr>
          </w:pPr>
          <w:hyperlink w:history="1" w:anchor="_Toc18939202">
            <w:r w:rsidRPr="003515E8" w:rsidR="00735D63">
              <w:rPr>
                <w:rStyle w:val="Hyperlink"/>
                <w:noProof/>
              </w:rPr>
              <w:t>A.13. Other Estimated Annual Cost to Respondents</w:t>
            </w:r>
            <w:r w:rsidR="00735D63">
              <w:rPr>
                <w:noProof/>
                <w:webHidden/>
              </w:rPr>
              <w:tab/>
            </w:r>
            <w:r w:rsidR="00735D63">
              <w:rPr>
                <w:noProof/>
                <w:webHidden/>
              </w:rPr>
              <w:fldChar w:fldCharType="begin"/>
            </w:r>
            <w:r w:rsidR="00735D63">
              <w:rPr>
                <w:noProof/>
                <w:webHidden/>
              </w:rPr>
              <w:instrText xml:space="preserve"> PAGEREF _Toc18939202 \h </w:instrText>
            </w:r>
            <w:r w:rsidR="00735D63">
              <w:rPr>
                <w:noProof/>
                <w:webHidden/>
              </w:rPr>
            </w:r>
            <w:r w:rsidR="00735D63">
              <w:rPr>
                <w:noProof/>
                <w:webHidden/>
              </w:rPr>
              <w:fldChar w:fldCharType="separate"/>
            </w:r>
            <w:r w:rsidR="001B482D">
              <w:rPr>
                <w:noProof/>
                <w:webHidden/>
              </w:rPr>
              <w:t>8</w:t>
            </w:r>
            <w:r w:rsidR="00735D63">
              <w:rPr>
                <w:noProof/>
                <w:webHidden/>
              </w:rPr>
              <w:fldChar w:fldCharType="end"/>
            </w:r>
          </w:hyperlink>
        </w:p>
        <w:p w:rsidR="00735D63" w:rsidRDefault="00AD606E">
          <w:pPr>
            <w:pStyle w:val="TOC2"/>
            <w:rPr>
              <w:rFonts w:eastAsiaTheme="minorEastAsia"/>
              <w:noProof/>
              <w:color w:val="auto"/>
            </w:rPr>
          </w:pPr>
          <w:hyperlink w:history="1" w:anchor="_Toc18939203">
            <w:r w:rsidRPr="003515E8" w:rsidR="00735D63">
              <w:rPr>
                <w:rStyle w:val="Hyperlink"/>
                <w:noProof/>
              </w:rPr>
              <w:t>A.14. Annual Cost to the Federal Government</w:t>
            </w:r>
            <w:r w:rsidR="00735D63">
              <w:rPr>
                <w:noProof/>
                <w:webHidden/>
              </w:rPr>
              <w:tab/>
            </w:r>
            <w:r w:rsidR="00735D63">
              <w:rPr>
                <w:noProof/>
                <w:webHidden/>
              </w:rPr>
              <w:fldChar w:fldCharType="begin"/>
            </w:r>
            <w:r w:rsidR="00735D63">
              <w:rPr>
                <w:noProof/>
                <w:webHidden/>
              </w:rPr>
              <w:instrText xml:space="preserve"> PAGEREF _Toc18939203 \h </w:instrText>
            </w:r>
            <w:r w:rsidR="00735D63">
              <w:rPr>
                <w:noProof/>
                <w:webHidden/>
              </w:rPr>
            </w:r>
            <w:r w:rsidR="00735D63">
              <w:rPr>
                <w:noProof/>
                <w:webHidden/>
              </w:rPr>
              <w:fldChar w:fldCharType="separate"/>
            </w:r>
            <w:r w:rsidR="001B482D">
              <w:rPr>
                <w:noProof/>
                <w:webHidden/>
              </w:rPr>
              <w:t>10</w:t>
            </w:r>
            <w:r w:rsidR="00735D63">
              <w:rPr>
                <w:noProof/>
                <w:webHidden/>
              </w:rPr>
              <w:fldChar w:fldCharType="end"/>
            </w:r>
          </w:hyperlink>
        </w:p>
        <w:p w:rsidR="00735D63" w:rsidRDefault="00AD606E">
          <w:pPr>
            <w:pStyle w:val="TOC2"/>
            <w:rPr>
              <w:rFonts w:eastAsiaTheme="minorEastAsia"/>
              <w:noProof/>
              <w:color w:val="auto"/>
            </w:rPr>
          </w:pPr>
          <w:hyperlink w:history="1" w:anchor="_Toc18939204">
            <w:r w:rsidRPr="003515E8" w:rsidR="00735D63">
              <w:rPr>
                <w:rStyle w:val="Hyperlink"/>
                <w:noProof/>
              </w:rPr>
              <w:t>A.15. Reasons for Changes in Burden</w:t>
            </w:r>
            <w:r w:rsidR="00735D63">
              <w:rPr>
                <w:noProof/>
                <w:webHidden/>
              </w:rPr>
              <w:tab/>
            </w:r>
            <w:r w:rsidR="00735D63">
              <w:rPr>
                <w:noProof/>
                <w:webHidden/>
              </w:rPr>
              <w:fldChar w:fldCharType="begin"/>
            </w:r>
            <w:r w:rsidR="00735D63">
              <w:rPr>
                <w:noProof/>
                <w:webHidden/>
              </w:rPr>
              <w:instrText xml:space="preserve"> PAGEREF _Toc18939204 \h </w:instrText>
            </w:r>
            <w:r w:rsidR="00735D63">
              <w:rPr>
                <w:noProof/>
                <w:webHidden/>
              </w:rPr>
            </w:r>
            <w:r w:rsidR="00735D63">
              <w:rPr>
                <w:noProof/>
                <w:webHidden/>
              </w:rPr>
              <w:fldChar w:fldCharType="separate"/>
            </w:r>
            <w:r w:rsidR="001B482D">
              <w:rPr>
                <w:noProof/>
                <w:webHidden/>
              </w:rPr>
              <w:t>11</w:t>
            </w:r>
            <w:r w:rsidR="00735D63">
              <w:rPr>
                <w:noProof/>
                <w:webHidden/>
              </w:rPr>
              <w:fldChar w:fldCharType="end"/>
            </w:r>
          </w:hyperlink>
        </w:p>
        <w:p w:rsidR="00735D63" w:rsidRDefault="00AD606E">
          <w:pPr>
            <w:pStyle w:val="TOC2"/>
            <w:rPr>
              <w:rFonts w:eastAsiaTheme="minorEastAsia"/>
              <w:noProof/>
              <w:color w:val="auto"/>
            </w:rPr>
          </w:pPr>
          <w:hyperlink w:history="1" w:anchor="_Toc18939205">
            <w:r w:rsidRPr="003515E8" w:rsidR="00735D63">
              <w:rPr>
                <w:rStyle w:val="Hyperlink"/>
                <w:noProof/>
              </w:rPr>
              <w:t>A.16. Collection, Tabulation, and Publication Plans</w:t>
            </w:r>
            <w:r w:rsidR="00735D63">
              <w:rPr>
                <w:noProof/>
                <w:webHidden/>
              </w:rPr>
              <w:tab/>
            </w:r>
            <w:r w:rsidR="00735D63">
              <w:rPr>
                <w:noProof/>
                <w:webHidden/>
              </w:rPr>
              <w:fldChar w:fldCharType="begin"/>
            </w:r>
            <w:r w:rsidR="00735D63">
              <w:rPr>
                <w:noProof/>
                <w:webHidden/>
              </w:rPr>
              <w:instrText xml:space="preserve"> PAGEREF _Toc18939205 \h </w:instrText>
            </w:r>
            <w:r w:rsidR="00735D63">
              <w:rPr>
                <w:noProof/>
                <w:webHidden/>
              </w:rPr>
            </w:r>
            <w:r w:rsidR="00735D63">
              <w:rPr>
                <w:noProof/>
                <w:webHidden/>
              </w:rPr>
              <w:fldChar w:fldCharType="separate"/>
            </w:r>
            <w:r w:rsidR="001B482D">
              <w:rPr>
                <w:noProof/>
                <w:webHidden/>
              </w:rPr>
              <w:t>12</w:t>
            </w:r>
            <w:r w:rsidR="00735D63">
              <w:rPr>
                <w:noProof/>
                <w:webHidden/>
              </w:rPr>
              <w:fldChar w:fldCharType="end"/>
            </w:r>
          </w:hyperlink>
        </w:p>
        <w:p w:rsidR="00735D63" w:rsidRDefault="00AD606E">
          <w:pPr>
            <w:pStyle w:val="TOC2"/>
            <w:rPr>
              <w:rFonts w:eastAsiaTheme="minorEastAsia"/>
              <w:noProof/>
              <w:color w:val="auto"/>
            </w:rPr>
          </w:pPr>
          <w:hyperlink w:history="1" w:anchor="_Toc18939206">
            <w:r w:rsidRPr="003515E8" w:rsidR="00735D63">
              <w:rPr>
                <w:rStyle w:val="Hyperlink"/>
                <w:noProof/>
              </w:rPr>
              <w:t>A.17. OMB Number and Expiration Date</w:t>
            </w:r>
            <w:r w:rsidR="00735D63">
              <w:rPr>
                <w:noProof/>
                <w:webHidden/>
              </w:rPr>
              <w:tab/>
            </w:r>
            <w:r w:rsidR="00735D63">
              <w:rPr>
                <w:noProof/>
                <w:webHidden/>
              </w:rPr>
              <w:fldChar w:fldCharType="begin"/>
            </w:r>
            <w:r w:rsidR="00735D63">
              <w:rPr>
                <w:noProof/>
                <w:webHidden/>
              </w:rPr>
              <w:instrText xml:space="preserve"> PAGEREF _Toc18939206 \h </w:instrText>
            </w:r>
            <w:r w:rsidR="00735D63">
              <w:rPr>
                <w:noProof/>
                <w:webHidden/>
              </w:rPr>
            </w:r>
            <w:r w:rsidR="00735D63">
              <w:rPr>
                <w:noProof/>
                <w:webHidden/>
              </w:rPr>
              <w:fldChar w:fldCharType="separate"/>
            </w:r>
            <w:r w:rsidR="001B482D">
              <w:rPr>
                <w:noProof/>
                <w:webHidden/>
              </w:rPr>
              <w:t>12</w:t>
            </w:r>
            <w:r w:rsidR="00735D63">
              <w:rPr>
                <w:noProof/>
                <w:webHidden/>
              </w:rPr>
              <w:fldChar w:fldCharType="end"/>
            </w:r>
          </w:hyperlink>
        </w:p>
        <w:p w:rsidR="00735D63" w:rsidRDefault="00AD606E">
          <w:pPr>
            <w:pStyle w:val="TOC2"/>
            <w:rPr>
              <w:rFonts w:eastAsiaTheme="minorEastAsia"/>
              <w:noProof/>
              <w:color w:val="auto"/>
            </w:rPr>
          </w:pPr>
          <w:hyperlink w:history="1" w:anchor="_Toc18939207">
            <w:r w:rsidRPr="003515E8" w:rsidR="00735D63">
              <w:rPr>
                <w:rStyle w:val="Hyperlink"/>
                <w:noProof/>
              </w:rPr>
              <w:t>A.18. Certification Statement</w:t>
            </w:r>
            <w:r w:rsidR="00735D63">
              <w:rPr>
                <w:noProof/>
                <w:webHidden/>
              </w:rPr>
              <w:tab/>
            </w:r>
            <w:r w:rsidR="00735D63">
              <w:rPr>
                <w:noProof/>
                <w:webHidden/>
              </w:rPr>
              <w:fldChar w:fldCharType="begin"/>
            </w:r>
            <w:r w:rsidR="00735D63">
              <w:rPr>
                <w:noProof/>
                <w:webHidden/>
              </w:rPr>
              <w:instrText xml:space="preserve"> PAGEREF _Toc18939207 \h </w:instrText>
            </w:r>
            <w:r w:rsidR="00735D63">
              <w:rPr>
                <w:noProof/>
                <w:webHidden/>
              </w:rPr>
            </w:r>
            <w:r w:rsidR="00735D63">
              <w:rPr>
                <w:noProof/>
                <w:webHidden/>
              </w:rPr>
              <w:fldChar w:fldCharType="separate"/>
            </w:r>
            <w:r w:rsidR="001B482D">
              <w:rPr>
                <w:noProof/>
                <w:webHidden/>
              </w:rPr>
              <w:t>12</w:t>
            </w:r>
            <w:r w:rsidR="00735D63">
              <w:rPr>
                <w:noProof/>
                <w:webHidden/>
              </w:rPr>
              <w:fldChar w:fldCharType="end"/>
            </w:r>
          </w:hyperlink>
        </w:p>
        <w:p w:rsidRPr="004D7524" w:rsidR="0059212D" w:rsidRDefault="0059212D">
          <w:r w:rsidRPr="004D7524">
            <w:rPr>
              <w:b/>
              <w:bCs/>
              <w:noProof/>
            </w:rPr>
            <w:fldChar w:fldCharType="end"/>
          </w:r>
        </w:p>
      </w:sdtContent>
    </w:sdt>
    <w:p w:rsidRPr="004D7524" w:rsidR="001F3A8F" w:rsidP="00D928FD" w:rsidRDefault="001F3A8F"/>
    <w:p w:rsidRPr="004D7524" w:rsidR="00D928FD" w:rsidP="00D928FD" w:rsidRDefault="00D928FD">
      <w:pPr>
        <w:sectPr w:rsidRPr="004D7524"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Pr="004D7524" w:rsidR="00933D5D" w:rsidP="00836D62" w:rsidRDefault="00933D5D">
      <w:pPr>
        <w:spacing w:line="240" w:lineRule="auto"/>
      </w:pPr>
    </w:p>
    <w:p w:rsidRPr="004D7524" w:rsidR="00933D5D" w:rsidP="00933D5D" w:rsidRDefault="00933D5D">
      <w:pPr>
        <w:tabs>
          <w:tab w:val="left" w:pos="7365"/>
        </w:tabs>
      </w:pPr>
      <w:r w:rsidRPr="004D7524">
        <w:tab/>
      </w:r>
    </w:p>
    <w:p w:rsidRPr="004D7524" w:rsidR="00041909" w:rsidP="00933D5D" w:rsidRDefault="00933D5D">
      <w:pPr>
        <w:tabs>
          <w:tab w:val="left" w:pos="7365"/>
        </w:tabs>
        <w:sectPr w:rsidRPr="004D7524"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rsidRPr="004D7524">
        <w:tab/>
      </w:r>
    </w:p>
    <w:p w:rsidRPr="004D7524" w:rsidR="008C734C" w:rsidP="00844524" w:rsidRDefault="008C734C">
      <w:pPr>
        <w:pStyle w:val="Heading2"/>
      </w:pPr>
      <w:bookmarkStart w:name="_Toc18939189" w:id="1"/>
      <w:r w:rsidRPr="004D7524">
        <w:lastRenderedPageBreak/>
        <w:t>Introdu</w:t>
      </w:r>
      <w:r w:rsidRPr="004D7524" w:rsidR="00844524">
        <w:t>ction</w:t>
      </w:r>
      <w:bookmarkEnd w:id="1"/>
    </w:p>
    <w:p w:rsidR="006D42EC" w:rsidP="00844524" w:rsidRDefault="006D42EC">
      <w:pPr>
        <w:rPr>
          <w:b/>
        </w:rPr>
      </w:pPr>
      <w:r w:rsidRPr="004D7524">
        <w:rPr>
          <w:b/>
        </w:rPr>
        <w:t>Provide a brief introduction of the Information Collection Request.  Include the purpose of this collection, note the publication of the 60-Day Federal Register Notice, and provide the list of forms within this collection.</w:t>
      </w:r>
    </w:p>
    <w:p w:rsidR="007953B2" w:rsidP="007953B2" w:rsidRDefault="005F7243">
      <w:pPr>
        <w:ind w:left="360"/>
      </w:pPr>
      <w:r w:rsidRPr="00CE5178">
        <w:t xml:space="preserve">The purpose of the Information Collection Request is to </w:t>
      </w:r>
      <w:r w:rsidRPr="00CE5178" w:rsidR="007953B2">
        <w:t xml:space="preserve">collect information from </w:t>
      </w:r>
      <w:r w:rsidRPr="004D7524" w:rsidR="007953B2">
        <w:t xml:space="preserve">DOE contractors </w:t>
      </w:r>
      <w:r w:rsidR="00CE5178">
        <w:t xml:space="preserve">at DOE sites </w:t>
      </w:r>
      <w:r w:rsidRPr="004D7524" w:rsidR="007953B2">
        <w:t xml:space="preserve">pertaining to environment, </w:t>
      </w:r>
      <w:r w:rsidR="00160BA9">
        <w:t xml:space="preserve">health and </w:t>
      </w:r>
      <w:r w:rsidRPr="004D7524" w:rsidR="007953B2">
        <w:t xml:space="preserve">safety </w:t>
      </w:r>
      <w:r w:rsidR="007953B2">
        <w:t xml:space="preserve">to include </w:t>
      </w:r>
      <w:r w:rsidR="00160BA9">
        <w:t xml:space="preserve">information on </w:t>
      </w:r>
      <w:r w:rsidR="007953B2">
        <w:t xml:space="preserve">injuries, illnesses, accidents, radiation exposure and </w:t>
      </w:r>
      <w:r w:rsidRPr="007953B2" w:rsidR="007953B2">
        <w:t xml:space="preserve">events that could adversely affect the health and safety of the public </w:t>
      </w:r>
      <w:r w:rsidR="00CE5178">
        <w:t>and/o</w:t>
      </w:r>
      <w:r w:rsidRPr="007953B2" w:rsidR="007953B2">
        <w:t>r workers, the environment, DOE missions, or the credibility of the Department.</w:t>
      </w:r>
    </w:p>
    <w:p w:rsidRPr="00F54459" w:rsidR="00CE5178" w:rsidP="00CE5178" w:rsidRDefault="00CE5178">
      <w:pPr>
        <w:ind w:left="360"/>
        <w:rPr>
          <w:color w:val="000000"/>
        </w:rPr>
      </w:pPr>
      <w:r w:rsidRPr="00F54459">
        <w:rPr>
          <w:color w:val="000000"/>
        </w:rPr>
        <w:t xml:space="preserve">The Department published a 60-day Federal Register Notice and Request for Comments concerning this collection in the Federal Register on </w:t>
      </w:r>
      <w:r>
        <w:rPr>
          <w:color w:val="000000"/>
        </w:rPr>
        <w:t>June 17, 2019,</w:t>
      </w:r>
      <w:r w:rsidRPr="00F54459">
        <w:rPr>
          <w:color w:val="000000"/>
        </w:rPr>
        <w:t xml:space="preserve"> volume </w:t>
      </w:r>
      <w:r>
        <w:rPr>
          <w:color w:val="000000"/>
        </w:rPr>
        <w:t>84</w:t>
      </w:r>
      <w:r w:rsidRPr="00F54459">
        <w:rPr>
          <w:color w:val="000000"/>
        </w:rPr>
        <w:t xml:space="preserve">, number </w:t>
      </w:r>
      <w:r>
        <w:rPr>
          <w:color w:val="000000"/>
        </w:rPr>
        <w:t>116</w:t>
      </w:r>
      <w:r w:rsidRPr="00F54459">
        <w:rPr>
          <w:color w:val="000000"/>
        </w:rPr>
        <w:t xml:space="preserve">, page </w:t>
      </w:r>
      <w:r>
        <w:rPr>
          <w:color w:val="000000"/>
        </w:rPr>
        <w:t>28029</w:t>
      </w:r>
      <w:r w:rsidRPr="00F54459">
        <w:rPr>
          <w:color w:val="000000"/>
        </w:rPr>
        <w:t>.  The notice described the collection and invited interested parties to submit comments or recommendations regarding the collection.  No comments were received.</w:t>
      </w:r>
    </w:p>
    <w:p w:rsidR="007953B2" w:rsidP="007953B2" w:rsidRDefault="00CE5178">
      <w:pPr>
        <w:ind w:left="360"/>
      </w:pPr>
      <w:r>
        <w:t xml:space="preserve">Information in the collection is collected through a series of systems and databases (listed below): </w:t>
      </w:r>
    </w:p>
    <w:p w:rsidR="00CE5178" w:rsidP="00CE5178" w:rsidRDefault="007953B2">
      <w:pPr>
        <w:spacing w:after="0"/>
        <w:ind w:left="360"/>
      </w:pPr>
      <w:r w:rsidRPr="004D7524">
        <w:rPr>
          <w:b/>
        </w:rPr>
        <w:lastRenderedPageBreak/>
        <w:t>Computerized Accident/Incident Reporting System (CAIRS)</w:t>
      </w:r>
      <w:r w:rsidRPr="004D7524">
        <w:t xml:space="preserve"> </w:t>
      </w:r>
    </w:p>
    <w:p w:rsidRPr="004D7524" w:rsidR="007953B2" w:rsidP="00CE5178" w:rsidRDefault="007953B2">
      <w:pPr>
        <w:spacing w:after="0"/>
        <w:ind w:left="360"/>
        <w:rPr>
          <w:i/>
        </w:rPr>
      </w:pPr>
      <w:r w:rsidRPr="004D7524">
        <w:rPr>
          <w:b/>
        </w:rPr>
        <w:t>Occurrence Reporting and Processing System (ORPS)</w:t>
      </w:r>
      <w:r w:rsidRPr="004D7524">
        <w:t xml:space="preserve"> </w:t>
      </w:r>
    </w:p>
    <w:p w:rsidRPr="004D7524" w:rsidR="007953B2" w:rsidP="00CE5178" w:rsidRDefault="007953B2">
      <w:pPr>
        <w:autoSpaceDE w:val="0"/>
        <w:autoSpaceDN w:val="0"/>
        <w:adjustRightInd w:val="0"/>
        <w:spacing w:after="0" w:line="240" w:lineRule="atLeast"/>
        <w:ind w:left="360"/>
        <w:rPr>
          <w:color w:val="000000"/>
        </w:rPr>
      </w:pPr>
      <w:r w:rsidRPr="004D7524">
        <w:rPr>
          <w:b/>
        </w:rPr>
        <w:t>Noncompliance Tracking Syste</w:t>
      </w:r>
      <w:r w:rsidR="00CE5178">
        <w:rPr>
          <w:b/>
        </w:rPr>
        <w:t>m (NTS)</w:t>
      </w:r>
      <w:r w:rsidRPr="004D7524">
        <w:rPr>
          <w:color w:val="000000"/>
        </w:rPr>
        <w:t xml:space="preserve"> </w:t>
      </w:r>
    </w:p>
    <w:p w:rsidRPr="004D7524" w:rsidR="007953B2" w:rsidP="00CE5178" w:rsidRDefault="007953B2">
      <w:pPr>
        <w:spacing w:after="0"/>
        <w:ind w:left="360"/>
      </w:pPr>
      <w:r w:rsidRPr="004D7524">
        <w:rPr>
          <w:b/>
        </w:rPr>
        <w:t>Radiation Exposure Monitoring System (REMS)</w:t>
      </w:r>
      <w:r w:rsidRPr="004D7524">
        <w:t xml:space="preserve"> </w:t>
      </w:r>
    </w:p>
    <w:p w:rsidRPr="004D7524" w:rsidR="007953B2" w:rsidP="00CE5178" w:rsidRDefault="007953B2">
      <w:pPr>
        <w:spacing w:after="0"/>
        <w:ind w:left="360"/>
      </w:pPr>
      <w:r w:rsidRPr="004D7524">
        <w:rPr>
          <w:b/>
        </w:rPr>
        <w:t xml:space="preserve">Annual Fire Protection Summary </w:t>
      </w:r>
    </w:p>
    <w:p w:rsidRPr="004D7524" w:rsidR="007953B2" w:rsidP="00CE5178" w:rsidRDefault="007953B2">
      <w:pPr>
        <w:spacing w:after="0"/>
        <w:ind w:left="360"/>
      </w:pPr>
      <w:r w:rsidRPr="004D7524">
        <w:rPr>
          <w:b/>
        </w:rPr>
        <w:t>Safety Basis Information System</w:t>
      </w:r>
      <w:r w:rsidRPr="004D7524">
        <w:t xml:space="preserve"> </w:t>
      </w:r>
    </w:p>
    <w:p w:rsidR="007953B2" w:rsidP="00CE5178" w:rsidRDefault="007953B2">
      <w:pPr>
        <w:spacing w:after="0"/>
        <w:ind w:left="360"/>
      </w:pPr>
      <w:r w:rsidRPr="004D7524">
        <w:t xml:space="preserve"> </w:t>
      </w:r>
      <w:r w:rsidRPr="004D7524">
        <w:rPr>
          <w:b/>
        </w:rPr>
        <w:t>Lessons Learned System</w:t>
      </w:r>
      <w:r w:rsidRPr="004D7524">
        <w:rPr>
          <w:color w:val="000000"/>
        </w:rPr>
        <w:t xml:space="preserve">  </w:t>
      </w:r>
    </w:p>
    <w:p w:rsidRPr="004D7524" w:rsidR="008C734C" w:rsidP="008C734C" w:rsidRDefault="008C734C">
      <w:pPr>
        <w:pStyle w:val="Heading2"/>
      </w:pPr>
      <w:bookmarkStart w:name="_Toc18939190" w:id="2"/>
      <w:r w:rsidRPr="004D7524">
        <w:t>A.1. Legal Justification</w:t>
      </w:r>
      <w:bookmarkEnd w:id="2"/>
    </w:p>
    <w:p w:rsidRPr="004D7524" w:rsidR="00A41763" w:rsidP="00A41763" w:rsidRDefault="00A41763">
      <w:r w:rsidRPr="004D7524">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4D7524" w:rsidR="009428A5" w:rsidP="009428A5" w:rsidRDefault="009428A5">
      <w:pPr>
        <w:ind w:left="360"/>
      </w:pPr>
      <w:r w:rsidRPr="004D7524">
        <w:t xml:space="preserve">This package contains information collections that are used by Departmental management to exercise management oversight and control over Management and Operating (M&amp;O) contractors of DOE’s Government-Owned Contractor-Operated (GOCO) facilities, and offsite contractors.  The contractor management oversight and control function concerns the </w:t>
      </w:r>
      <w:r w:rsidRPr="004D7524">
        <w:lastRenderedPageBreak/>
        <w:t>ways in which DOE contractors provide goods and services for DOE organizations and activities in accordance with the terms of their contract; the applicable statutory, regulatory and mission support requirements of the Department; and regulations in the functional area covered by this package.</w:t>
      </w:r>
    </w:p>
    <w:p w:rsidR="009428A5" w:rsidP="009428A5" w:rsidRDefault="009428A5">
      <w:pPr>
        <w:ind w:left="360"/>
      </w:pPr>
      <w:r w:rsidRPr="004D7524">
        <w:t>The basic authority for these collections is the statute establishing the Department of Energy (“Department of Energy Organization Act,” Public Law 95-91, of August 4, 1977) which vests the Secretary of Energy with the executive direction and management functions, authority and responsibilities for the Department, including contract management.  Under the provisions of 42 USC 7254 and 42 USC 7256 (a) the Secretary of Energy is authorized to prescribe such procedural and administrative rules</w:t>
      </w:r>
      <w:r w:rsidRPr="004D7524" w:rsidR="00A97079">
        <w:t>,</w:t>
      </w:r>
      <w:r w:rsidRPr="004D7524">
        <w:t xml:space="preserve"> including information collections pertaining to management of DOE programs or contracts</w:t>
      </w:r>
      <w:r w:rsidRPr="004D7524" w:rsidR="00A97079">
        <w:t>, as</w:t>
      </w:r>
      <w:r w:rsidRPr="004D7524">
        <w:t xml:space="preserve"> deemed necessary or appropriate. </w:t>
      </w:r>
    </w:p>
    <w:p w:rsidRPr="004D7524" w:rsidR="008C734C" w:rsidP="008C734C" w:rsidRDefault="008C734C">
      <w:pPr>
        <w:pStyle w:val="Heading2"/>
      </w:pPr>
      <w:bookmarkStart w:name="_Toc18939191" w:id="3"/>
      <w:r w:rsidRPr="004D7524">
        <w:t>A.2. Needs and Uses of Data</w:t>
      </w:r>
      <w:bookmarkEnd w:id="3"/>
    </w:p>
    <w:p w:rsidRPr="004D7524" w:rsidR="00A41763" w:rsidP="00A41763" w:rsidRDefault="00A41763">
      <w:r w:rsidRPr="004D7524">
        <w:rPr>
          <w:b/>
          <w:bCs/>
        </w:rPr>
        <w:t xml:space="preserve">Indicate how, by whom, and for what purpose the information is to be used. Except for a new collection, indicate the actual use the agency has made of the information received from the current collection </w:t>
      </w:r>
    </w:p>
    <w:p w:rsidRPr="004D7524" w:rsidR="009428A5" w:rsidP="009428A5" w:rsidRDefault="009428A5">
      <w:pPr>
        <w:ind w:left="360"/>
      </w:pPr>
      <w:r w:rsidRPr="004D7524">
        <w:lastRenderedPageBreak/>
        <w:t>The information obtained from DOE contractors by this information collection is used by Department management at the appropriate levels to manage the work pertaining to environment, safety and health throughout DOE and will include automated reporting of information into the following systems:</w:t>
      </w:r>
    </w:p>
    <w:p w:rsidRPr="004D7524" w:rsidR="009428A5" w:rsidP="009428A5" w:rsidRDefault="009428A5">
      <w:pPr>
        <w:ind w:left="360"/>
      </w:pPr>
      <w:r w:rsidRPr="004D7524">
        <w:rPr>
          <w:b/>
        </w:rPr>
        <w:t>Computerized Accident/Incident Reporting System (CAIRS)</w:t>
      </w:r>
      <w:r w:rsidRPr="004D7524">
        <w:t xml:space="preserve"> – The CAIRS is a database used to collect and analyze DOE and DOE contractor reports of injuries, illnesses, and other accidents that occur during DOE operations as described in DOE O 231.1B, </w:t>
      </w:r>
      <w:r w:rsidRPr="004D7524">
        <w:rPr>
          <w:i/>
        </w:rPr>
        <w:t>Environment, Safety and Health Reporting</w:t>
      </w:r>
      <w:r w:rsidRPr="004D7524">
        <w:t>, and associated instructions.  This system contains information from reporting contractors and subcontractors.</w:t>
      </w:r>
    </w:p>
    <w:p w:rsidRPr="004D7524" w:rsidR="009428A5" w:rsidP="009428A5" w:rsidRDefault="009428A5">
      <w:pPr>
        <w:pStyle w:val="Default"/>
        <w:ind w:left="360"/>
        <w:rPr>
          <w:rFonts w:asciiTheme="minorHAnsi" w:hAnsiTheme="minorHAnsi"/>
          <w:i/>
          <w:sz w:val="22"/>
          <w:szCs w:val="22"/>
        </w:rPr>
      </w:pPr>
      <w:r w:rsidRPr="004D7524">
        <w:rPr>
          <w:rFonts w:asciiTheme="minorHAnsi" w:hAnsiTheme="minorHAnsi"/>
          <w:b/>
          <w:sz w:val="22"/>
          <w:szCs w:val="22"/>
        </w:rPr>
        <w:t>Occurrence Reporting and Processing System (ORPS)</w:t>
      </w:r>
      <w:r w:rsidRPr="004D7524">
        <w:rPr>
          <w:rFonts w:asciiTheme="minorHAnsi" w:hAnsiTheme="minorHAnsi"/>
          <w:sz w:val="22"/>
          <w:szCs w:val="22"/>
        </w:rPr>
        <w:t xml:space="preserve"> – The DOE’s Occurrence Reporting System is used to notify Department of Energy (DOE) personnel, including National Nuclear Security Administration (NNSA) personnel, about events that could adversely affect the health and safety of the public or the workers, the environment, DOE missions, or the credibility of the Department. </w:t>
      </w:r>
      <w:r w:rsidRPr="004D7524" w:rsidR="00DB2C18">
        <w:rPr>
          <w:rFonts w:asciiTheme="minorHAnsi" w:hAnsiTheme="minorHAnsi"/>
          <w:sz w:val="22"/>
          <w:szCs w:val="22"/>
        </w:rPr>
        <w:t xml:space="preserve"> </w:t>
      </w:r>
      <w:r w:rsidRPr="004D7524">
        <w:rPr>
          <w:rFonts w:asciiTheme="minorHAnsi" w:hAnsiTheme="minorHAnsi"/>
          <w:sz w:val="22"/>
          <w:szCs w:val="22"/>
        </w:rPr>
        <w:t>It also promotes organizational learning consistent with DOE’s Integrated Safety Management System</w:t>
      </w:r>
      <w:r w:rsidRPr="004D7524" w:rsidR="00DB2C18">
        <w:rPr>
          <w:rFonts w:asciiTheme="minorHAnsi" w:hAnsiTheme="minorHAnsi"/>
          <w:sz w:val="22"/>
          <w:szCs w:val="22"/>
        </w:rPr>
        <w:t>’s</w:t>
      </w:r>
      <w:r w:rsidRPr="004D7524">
        <w:rPr>
          <w:rFonts w:asciiTheme="minorHAnsi" w:hAnsiTheme="minorHAnsi"/>
          <w:sz w:val="22"/>
          <w:szCs w:val="22"/>
        </w:rPr>
        <w:t xml:space="preserve"> goal of enhancing mission safety and sharing effective practices to support continuous improvement and adaptation to change.  The Occurrence Reporting Program, including the ORPS requirements, are described in DOE </w:t>
      </w:r>
      <w:r w:rsidRPr="004D7524">
        <w:rPr>
          <w:rFonts w:asciiTheme="minorHAnsi" w:hAnsiTheme="minorHAnsi"/>
          <w:sz w:val="22"/>
          <w:szCs w:val="22"/>
        </w:rPr>
        <w:lastRenderedPageBreak/>
        <w:t xml:space="preserve">O 232.2A, </w:t>
      </w:r>
      <w:r w:rsidRPr="004D7524">
        <w:rPr>
          <w:rFonts w:asciiTheme="minorHAnsi" w:hAnsiTheme="minorHAnsi"/>
          <w:i/>
          <w:sz w:val="22"/>
          <w:szCs w:val="22"/>
        </w:rPr>
        <w:t xml:space="preserve">Occurrence Reporting and Processing of Operations Information. </w:t>
      </w:r>
    </w:p>
    <w:p w:rsidRPr="004D7524" w:rsidR="009428A5" w:rsidP="009428A5" w:rsidRDefault="009428A5">
      <w:pPr>
        <w:pStyle w:val="Default"/>
        <w:ind w:left="360"/>
        <w:rPr>
          <w:rFonts w:asciiTheme="minorHAnsi" w:hAnsiTheme="minorHAnsi"/>
        </w:rPr>
      </w:pPr>
    </w:p>
    <w:p w:rsidRPr="004D7524" w:rsidR="009428A5" w:rsidP="009428A5" w:rsidRDefault="009428A5">
      <w:pPr>
        <w:autoSpaceDE w:val="0"/>
        <w:autoSpaceDN w:val="0"/>
        <w:adjustRightInd w:val="0"/>
        <w:spacing w:line="240" w:lineRule="atLeast"/>
        <w:ind w:left="360"/>
        <w:rPr>
          <w:color w:val="000000"/>
        </w:rPr>
      </w:pPr>
      <w:r w:rsidRPr="004D7524">
        <w:rPr>
          <w:b/>
        </w:rPr>
        <w:t>Noncompliance Tracking System</w:t>
      </w:r>
      <w:r w:rsidRPr="004D7524">
        <w:t xml:space="preserve"> – </w:t>
      </w:r>
      <w:r w:rsidRPr="004D7524">
        <w:rPr>
          <w:color w:val="000000"/>
        </w:rPr>
        <w:t xml:space="preserve">The Noncompliance Tracking System (NTS) is used by DOE contractors to report nuclear </w:t>
      </w:r>
      <w:r w:rsidRPr="004D7524" w:rsidR="00340AEA">
        <w:rPr>
          <w:color w:val="000000"/>
        </w:rPr>
        <w:t xml:space="preserve">safety, </w:t>
      </w:r>
      <w:r w:rsidRPr="004D7524">
        <w:rPr>
          <w:color w:val="000000"/>
        </w:rPr>
        <w:t xml:space="preserve">worker safety and health regulatory </w:t>
      </w:r>
      <w:proofErr w:type="spellStart"/>
      <w:r w:rsidRPr="004D7524">
        <w:rPr>
          <w:color w:val="000000"/>
        </w:rPr>
        <w:t>noncompliances</w:t>
      </w:r>
      <w:proofErr w:type="spellEnd"/>
      <w:r w:rsidRPr="004D7524">
        <w:rPr>
          <w:color w:val="000000"/>
        </w:rPr>
        <w:t xml:space="preserve"> to DOE as described in 10 C.F.R. Part 820 and 10 C.F.R. Part 851.  The most serious </w:t>
      </w:r>
      <w:proofErr w:type="spellStart"/>
      <w:r w:rsidRPr="004D7524">
        <w:rPr>
          <w:color w:val="000000"/>
        </w:rPr>
        <w:t>noncompliances</w:t>
      </w:r>
      <w:proofErr w:type="spellEnd"/>
      <w:r w:rsidRPr="004D7524">
        <w:rPr>
          <w:color w:val="000000"/>
        </w:rPr>
        <w:t xml:space="preserve"> reported in the system may lead to an enforcement action against the contractor.</w:t>
      </w:r>
      <w:r w:rsidRPr="004D7524" w:rsidR="00EA76B9">
        <w:rPr>
          <w:color w:val="000000"/>
        </w:rPr>
        <w:t xml:space="preserve"> </w:t>
      </w:r>
      <w:r w:rsidRPr="004D7524">
        <w:rPr>
          <w:color w:val="000000"/>
        </w:rPr>
        <w:t xml:space="preserve"> Reporting into the system is voluntary, but contractors that self-report </w:t>
      </w:r>
      <w:proofErr w:type="spellStart"/>
      <w:r w:rsidRPr="004D7524">
        <w:rPr>
          <w:color w:val="000000"/>
        </w:rPr>
        <w:t>noncompliances</w:t>
      </w:r>
      <w:proofErr w:type="spellEnd"/>
      <w:r w:rsidRPr="004D7524">
        <w:rPr>
          <w:color w:val="000000"/>
        </w:rPr>
        <w:t xml:space="preserve"> in accordance with the Department’s expectations may be granted discretion or mitigation of proposed civil penalties for </w:t>
      </w:r>
      <w:proofErr w:type="spellStart"/>
      <w:r w:rsidRPr="004D7524">
        <w:rPr>
          <w:color w:val="000000"/>
        </w:rPr>
        <w:t>noncompliances</w:t>
      </w:r>
      <w:proofErr w:type="spellEnd"/>
      <w:r w:rsidRPr="004D7524">
        <w:rPr>
          <w:color w:val="000000"/>
        </w:rPr>
        <w:t xml:space="preserve"> that are subject to an enforcement investigation. </w:t>
      </w:r>
      <w:r w:rsidRPr="004D7524" w:rsidR="00EA76B9">
        <w:rPr>
          <w:color w:val="000000"/>
        </w:rPr>
        <w:t xml:space="preserve"> </w:t>
      </w:r>
      <w:r w:rsidRPr="004D7524">
        <w:rPr>
          <w:color w:val="000000"/>
        </w:rPr>
        <w:t xml:space="preserve">DOE contractors identify and track to closure corrective actions for the </w:t>
      </w:r>
      <w:proofErr w:type="spellStart"/>
      <w:r w:rsidRPr="004D7524">
        <w:rPr>
          <w:color w:val="000000"/>
        </w:rPr>
        <w:t>noncompliances</w:t>
      </w:r>
      <w:proofErr w:type="spellEnd"/>
      <w:r w:rsidRPr="004D7524">
        <w:rPr>
          <w:color w:val="000000"/>
        </w:rPr>
        <w:t xml:space="preserve"> in each report.  The corrective actions are reviewed by DOE Field Elements and investigators in the Office of Worker Safety and Health Enforcement and the Office of Nuclear Safety Enforcement to ensure that adverse safety conditions are corrected. </w:t>
      </w:r>
    </w:p>
    <w:p w:rsidRPr="004D7524" w:rsidR="009428A5" w:rsidP="00AC3DCE" w:rsidRDefault="009428A5">
      <w:pPr>
        <w:spacing w:after="0"/>
        <w:ind w:left="360"/>
      </w:pPr>
      <w:r w:rsidRPr="004D7524">
        <w:rPr>
          <w:b/>
        </w:rPr>
        <w:t>Radiation Exposure Monitoring System (REMS)</w:t>
      </w:r>
      <w:r w:rsidRPr="004D7524">
        <w:t xml:space="preserve"> – This is a database of occupational radiation exposure for all </w:t>
      </w:r>
      <w:r w:rsidRPr="004D7524">
        <w:rPr>
          <w:u w:val="single"/>
        </w:rPr>
        <w:t>monitored</w:t>
      </w:r>
      <w:r w:rsidRPr="004D7524">
        <w:t xml:space="preserve"> DOE employees, contractors, subcontractors and members of the public.  The Rule 10 CFR 835 702 (a) and (b) requires Annual Individual Radiation Exposure Records to be </w:t>
      </w:r>
      <w:r w:rsidRPr="004D7524">
        <w:lastRenderedPageBreak/>
        <w:t xml:space="preserve">recorded. </w:t>
      </w:r>
      <w:r w:rsidRPr="004D7524" w:rsidR="005946D0">
        <w:t xml:space="preserve"> </w:t>
      </w:r>
      <w:r w:rsidRPr="004D7524">
        <w:t>The DOE Order 231.1B,</w:t>
      </w:r>
      <w:r w:rsidRPr="004D7524">
        <w:rPr>
          <w:i/>
        </w:rPr>
        <w:t xml:space="preserve"> Environment, Safety and Health Reporting</w:t>
      </w:r>
      <w:r w:rsidRPr="004D7524">
        <w:t xml:space="preserve">, requires the data to be reported into the Radiation Exposure Monitoring System Repository. </w:t>
      </w:r>
      <w:r w:rsidRPr="004D7524" w:rsidR="006747FA">
        <w:br/>
      </w:r>
    </w:p>
    <w:p w:rsidRPr="004D7524" w:rsidR="009428A5" w:rsidP="00AC3DCE" w:rsidRDefault="009428A5">
      <w:pPr>
        <w:spacing w:after="0"/>
        <w:ind w:left="360"/>
      </w:pPr>
      <w:r w:rsidRPr="004D7524">
        <w:rPr>
          <w:b/>
        </w:rPr>
        <w:t>Annual Fire Protection Summary Application</w:t>
      </w:r>
      <w:r w:rsidRPr="004D7524">
        <w:t xml:space="preserve"> – This system contains information from reporting contractors and subcontractors for an Annual Fire Protection Program Summary (AFPPS).  The AFPPS report is required by section 5a(8) of DOE Order 231.1B, </w:t>
      </w:r>
      <w:r w:rsidRPr="004D7524">
        <w:rPr>
          <w:i/>
        </w:rPr>
        <w:t>Environment, Safety and Health Reporting</w:t>
      </w:r>
      <w:r w:rsidRPr="004D7524">
        <w:t>.  The DOE’s Fire Protection Program is multi-faceted</w:t>
      </w:r>
      <w:r w:rsidRPr="004D7524" w:rsidR="00AD4E56">
        <w:t>, and includes</w:t>
      </w:r>
      <w:r w:rsidRPr="004D7524">
        <w:t xml:space="preserve"> published fire safety directives (Orders, standards, and guidance documents), a range of oversight activities, an annual fire protection program summary, and a directory of fire safety professionals.  DOE also sponsors fire safety conferences, training initiatives, and technical assistance activities.</w:t>
      </w:r>
      <w:r w:rsidRPr="004D7524" w:rsidR="00AD4E56">
        <w:br/>
      </w:r>
    </w:p>
    <w:p w:rsidRPr="004D7524" w:rsidR="009428A5" w:rsidP="009428A5" w:rsidRDefault="009428A5">
      <w:pPr>
        <w:ind w:left="360"/>
      </w:pPr>
      <w:r w:rsidRPr="004D7524">
        <w:rPr>
          <w:b/>
        </w:rPr>
        <w:t>Safety Basis Information System</w:t>
      </w:r>
      <w:r w:rsidRPr="004D7524">
        <w:t xml:space="preserve"> – Subpart B of 10 CFR Part 830, </w:t>
      </w:r>
      <w:r w:rsidRPr="004D7524">
        <w:rPr>
          <w:i/>
        </w:rPr>
        <w:t>Nuclear Safety Management</w:t>
      </w:r>
      <w:r w:rsidRPr="004D7524" w:rsidR="00AD4E56">
        <w:rPr>
          <w:i/>
        </w:rPr>
        <w:t>,</w:t>
      </w:r>
      <w:r w:rsidRPr="004D7524">
        <w:t xml:space="preserve"> requires contractors and operators of DOE hazard category 1, 2, and 3 nuclear facilities to develop and maintain a Safety Basis for each facility and to perform work in accordance with that Safety Basis.  In Appendix A to Subpart B of 10 CFR Part 830, DOE committed to </w:t>
      </w:r>
      <w:r w:rsidRPr="004D7524">
        <w:lastRenderedPageBreak/>
        <w:t xml:space="preserve">provide members of the public with up-to-date information on its nuclear facility Safety Basis.  The Safety Basis Information System was created to meet this requirement and also to provide DOE line managers with a tool for obtaining regularly updated profiles of the entire inventory of Safety Basis for DOE hazard category 1, 2, and 3 nuclear facilities.  </w:t>
      </w:r>
    </w:p>
    <w:p w:rsidR="009428A5" w:rsidP="009428A5" w:rsidRDefault="009428A5">
      <w:pPr>
        <w:ind w:left="360"/>
      </w:pPr>
      <w:r w:rsidRPr="004D7524">
        <w:t xml:space="preserve"> </w:t>
      </w:r>
      <w:r w:rsidRPr="004D7524">
        <w:rPr>
          <w:b/>
        </w:rPr>
        <w:t>Lessons Learned System</w:t>
      </w:r>
      <w:r w:rsidRPr="004D7524">
        <w:rPr>
          <w:color w:val="000000"/>
        </w:rPr>
        <w:t xml:space="preserve"> – This system supports and promotes the integration and sharing of information both internally and externally to DOE in order to prevent adverse operating incidents and improve operational safety awareness.  Lessons learned are developed from significant and recurring events, operational emergencies and good work practices to meet the requirements of DOE O. 210.2A, </w:t>
      </w:r>
      <w:r w:rsidRPr="004D7524">
        <w:rPr>
          <w:i/>
          <w:color w:val="000000"/>
        </w:rPr>
        <w:t>DOE Corporate Operating Experience Program</w:t>
      </w:r>
      <w:r w:rsidRPr="004D7524">
        <w:rPr>
          <w:color w:val="000000"/>
        </w:rPr>
        <w:t xml:space="preserve">.  </w:t>
      </w:r>
      <w:bookmarkStart w:name="" w:id="4"/>
      <w:bookmarkEnd w:id="4"/>
      <w:r w:rsidRPr="004D7524">
        <w:rPr>
          <w:color w:val="000000"/>
        </w:rPr>
        <w:t xml:space="preserve">Information is </w:t>
      </w:r>
      <w:r w:rsidRPr="004D7524">
        <w:t>facilitated through the DOE Corporate Lessons Learned database which is designed to collect and share lessons learned from operating experiences throughout the DOE complex. </w:t>
      </w:r>
    </w:p>
    <w:p w:rsidRPr="004D7524" w:rsidR="008C734C" w:rsidP="008C734C" w:rsidRDefault="008C734C">
      <w:pPr>
        <w:pStyle w:val="Heading2"/>
      </w:pPr>
      <w:bookmarkStart w:name="_Toc18939192" w:id="5"/>
      <w:r w:rsidRPr="004D7524">
        <w:t>A.</w:t>
      </w:r>
      <w:r w:rsidRPr="004D7524" w:rsidR="00A41763">
        <w:t xml:space="preserve">3. </w:t>
      </w:r>
      <w:r w:rsidRPr="004D7524">
        <w:t>Use of Technology</w:t>
      </w:r>
      <w:bookmarkEnd w:id="5"/>
    </w:p>
    <w:p w:rsidRPr="004D7524" w:rsidR="00A41763" w:rsidP="00A41763" w:rsidRDefault="00A41763">
      <w:r w:rsidRPr="004D7524">
        <w:rPr>
          <w:b/>
          <w:bCs/>
        </w:rPr>
        <w:t xml:space="preserve">Describe whether, and to what extent, the collection of information involves the use of automated, electronic, mechanical, or other technological </w:t>
      </w:r>
      <w:r w:rsidRPr="004D7524">
        <w:rPr>
          <w:b/>
          <w:bCs/>
        </w:rPr>
        <w:lastRenderedPageBreak/>
        <w:t xml:space="preserve">collection techniques or other forms of information technology, e.g., permitting electronic submission of responses. </w:t>
      </w:r>
    </w:p>
    <w:p w:rsidR="009428A5" w:rsidP="009428A5" w:rsidRDefault="009428A5">
      <w:pPr>
        <w:ind w:left="360"/>
      </w:pPr>
      <w:r w:rsidRPr="004D7524">
        <w:t>All systems and databases in this collection incorporate electronic entry for respondents.  Within existing budget and resource constraints, Department program managers and contractors continually work to apply the latest appropriate-level information technology (hardware and software) to reduce the contractor’s information collection burden and improve the timeliness and usefulness of the management information being collected.  This includes automation of previously manual processes, where appropriate.  As resources allow, the Department is in the process of updating some of these databases to incorporate more user-friendly capabilities and analysis techniques to enhance the knowledge that can be gained from the data collected.</w:t>
      </w:r>
    </w:p>
    <w:p w:rsidRPr="004D7524" w:rsidR="008C734C" w:rsidP="008C734C" w:rsidRDefault="008C734C">
      <w:pPr>
        <w:pStyle w:val="Heading2"/>
      </w:pPr>
      <w:bookmarkStart w:name="_Toc18939193" w:id="6"/>
      <w:r w:rsidRPr="004D7524">
        <w:t>A.</w:t>
      </w:r>
      <w:r w:rsidRPr="004D7524" w:rsidR="00A41763">
        <w:t xml:space="preserve">4. </w:t>
      </w:r>
      <w:r w:rsidRPr="004D7524">
        <w:t>Efforts to Identify Duplication</w:t>
      </w:r>
      <w:bookmarkEnd w:id="6"/>
    </w:p>
    <w:p w:rsidRPr="004D7524" w:rsidR="00A41763" w:rsidP="00A41763" w:rsidRDefault="00A41763">
      <w:r w:rsidRPr="004D7524">
        <w:rPr>
          <w:b/>
          <w:bCs/>
        </w:rPr>
        <w:t xml:space="preserve">Describe efforts to identify duplication. </w:t>
      </w:r>
    </w:p>
    <w:p w:rsidR="009428A5" w:rsidP="009428A5" w:rsidRDefault="009428A5">
      <w:pPr>
        <w:ind w:left="360"/>
      </w:pPr>
      <w:r w:rsidRPr="004D7524">
        <w:t xml:space="preserve">The collections in this package are applicable to contract management in DOE, collected by DOE to monitor and manage the safety performance of its contractors and to fulfill federal reporting requirements.  Therefore, </w:t>
      </w:r>
      <w:r w:rsidRPr="004D7524">
        <w:lastRenderedPageBreak/>
        <w:t>meaningful duplication of these collections at DOE or in other agencies is unlikely.</w:t>
      </w:r>
    </w:p>
    <w:p w:rsidRPr="004D7524" w:rsidR="008C734C" w:rsidP="008C734C" w:rsidRDefault="008C734C">
      <w:pPr>
        <w:pStyle w:val="Heading2"/>
      </w:pPr>
      <w:bookmarkStart w:name="_Toc18939194" w:id="7"/>
      <w:r w:rsidRPr="004D7524">
        <w:t>A.</w:t>
      </w:r>
      <w:r w:rsidRPr="004D7524" w:rsidR="00A41763">
        <w:t xml:space="preserve">5. </w:t>
      </w:r>
      <w:r w:rsidRPr="004D7524">
        <w:t>Provisions for Reducing Burden on Small Businesses</w:t>
      </w:r>
      <w:bookmarkEnd w:id="7"/>
      <w:r w:rsidRPr="004D7524">
        <w:t xml:space="preserve"> </w:t>
      </w:r>
    </w:p>
    <w:p w:rsidRPr="004D7524" w:rsidR="00A41763" w:rsidP="00A41763" w:rsidRDefault="00A41763">
      <w:r w:rsidRPr="004D7524">
        <w:rPr>
          <w:b/>
          <w:bCs/>
        </w:rPr>
        <w:t xml:space="preserve">If the collection of information impacts small businesses or other small entities, describe any methods used to minimize burden. </w:t>
      </w:r>
    </w:p>
    <w:p w:rsidR="009428A5" w:rsidP="009428A5" w:rsidRDefault="009428A5">
      <w:pPr>
        <w:ind w:left="360"/>
      </w:pPr>
      <w:r w:rsidRPr="004D7524">
        <w:t>This information collection will not have a significant economic impact on small businesses or small entities. The impact of the collection of information from small business is considered in the development of the contract requirements and documents and is minimized to the extent permitted by applicable statutory requirements and other legal and management constraints.</w:t>
      </w:r>
    </w:p>
    <w:p w:rsidRPr="004D7524" w:rsidR="008C734C" w:rsidP="008C734C" w:rsidRDefault="008C734C">
      <w:pPr>
        <w:pStyle w:val="Heading2"/>
      </w:pPr>
      <w:bookmarkStart w:name="_Toc18939195" w:id="8"/>
      <w:r w:rsidRPr="004D7524">
        <w:t>A.</w:t>
      </w:r>
      <w:r w:rsidRPr="004D7524" w:rsidR="00A41763">
        <w:t xml:space="preserve">6. </w:t>
      </w:r>
      <w:r w:rsidRPr="004D7524">
        <w:t>Consequences of Less-Frequent Reporting</w:t>
      </w:r>
      <w:bookmarkEnd w:id="8"/>
    </w:p>
    <w:p w:rsidRPr="004D7524" w:rsidR="00A41763" w:rsidP="00A41763" w:rsidRDefault="00A41763">
      <w:r w:rsidRPr="004D7524">
        <w:rPr>
          <w:b/>
          <w:bCs/>
        </w:rPr>
        <w:t xml:space="preserve">Describe the consequence to Federal program or policy activities if the collection is not conducted or is conducted less frequently, as well as any technical or legal obstacles to reducing burden. </w:t>
      </w:r>
    </w:p>
    <w:p w:rsidRPr="004D7524" w:rsidR="009428A5" w:rsidP="009428A5" w:rsidRDefault="009428A5">
      <w:pPr>
        <w:ind w:left="360" w:right="-180"/>
      </w:pPr>
      <w:r w:rsidRPr="004D7524">
        <w:lastRenderedPageBreak/>
        <w:t>If the information about safety and health performance affecting DOE employees and contractors, the public, environment, and DOE facilities is not collected, then injury or accident rates may increase due to a failure to address safety issues. Poor or declining safety performance would be detrimental to personnel and public safety and could significantly increase the cost of Departmental operations. Lack of reporting provides insufficient information for performance monitoring, trending and root cause analyses; therefore, safety issues are more likely to go uncorrected or recur.  As a result, Federal safety and health programs and policies may not be effective if the information collection (reporting) is not conducted.</w:t>
      </w:r>
    </w:p>
    <w:p w:rsidR="009428A5" w:rsidP="009428A5" w:rsidRDefault="009428A5">
      <w:pPr>
        <w:ind w:left="360" w:right="-180"/>
      </w:pPr>
      <w:r w:rsidRPr="004D7524">
        <w:t>The frequency of collection is dictated by sound management practice, external laws and regulations, requirements of interagency reports, and Departmental orders and requirements.  When any of these conditions change to permit reduction of the frequency of information collections, the reduction is made and the contract documents are changed accordingly.</w:t>
      </w:r>
    </w:p>
    <w:p w:rsidRPr="004D7524" w:rsidR="008C734C" w:rsidP="008C734C" w:rsidRDefault="008C734C">
      <w:pPr>
        <w:pStyle w:val="Heading2"/>
      </w:pPr>
      <w:bookmarkStart w:name="_Toc18939196" w:id="9"/>
      <w:r w:rsidRPr="004D7524">
        <w:t>A.</w:t>
      </w:r>
      <w:r w:rsidRPr="004D7524" w:rsidR="00A41763">
        <w:t xml:space="preserve">7. </w:t>
      </w:r>
      <w:r w:rsidRPr="004D7524">
        <w:t>Compliance with 5 CFR 1320.5</w:t>
      </w:r>
      <w:bookmarkEnd w:id="9"/>
    </w:p>
    <w:p w:rsidRPr="004D7524" w:rsidR="00A41763" w:rsidP="00A41763" w:rsidRDefault="00A41763">
      <w:r w:rsidRPr="004D7524">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9428A5" w:rsidP="009428A5" w:rsidRDefault="009428A5">
      <w:pPr>
        <w:ind w:left="360" w:right="-180"/>
      </w:pPr>
      <w:r w:rsidRPr="004D7524">
        <w:lastRenderedPageBreak/>
        <w:t>The collections contained in the package are consistent with Title 5 of the Code of Federal Regulations and OMB guidelines.</w:t>
      </w:r>
    </w:p>
    <w:p w:rsidRPr="004D7524" w:rsidR="008C734C" w:rsidP="008C734C" w:rsidRDefault="008C734C">
      <w:pPr>
        <w:pStyle w:val="Heading2"/>
      </w:pPr>
      <w:bookmarkStart w:name="_Toc18939197" w:id="10"/>
      <w:r w:rsidRPr="004D7524">
        <w:t>A.</w:t>
      </w:r>
      <w:r w:rsidRPr="004D7524" w:rsidR="00A41763">
        <w:t xml:space="preserve">8. </w:t>
      </w:r>
      <w:r w:rsidRPr="004D7524">
        <w:t>Summary of Consultations Outside of the Agency</w:t>
      </w:r>
      <w:bookmarkEnd w:id="10"/>
    </w:p>
    <w:p w:rsidRPr="004D7524" w:rsidR="00A41763" w:rsidP="00A41763" w:rsidRDefault="00A41763">
      <w:r w:rsidRPr="004D7524">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9428A5" w:rsidP="009428A5" w:rsidRDefault="009428A5">
      <w:pPr>
        <w:ind w:left="360"/>
        <w:rPr>
          <w:color w:val="000000"/>
        </w:rPr>
      </w:pPr>
      <w:r w:rsidRPr="004D7524">
        <w:rPr>
          <w:color w:val="000000"/>
        </w:rPr>
        <w:t>The Department published a 60-day Federal Register Notice and Request for Comments concerning this collection in the Federal Register on June 17, 2019, volume 84, number 116, page 28029.  The notice described the collection and invited interested parties to submit comments or recommendations regarding the collection.  No comments were received.</w:t>
      </w:r>
    </w:p>
    <w:p w:rsidRPr="004D7524" w:rsidR="008C734C" w:rsidP="008C734C" w:rsidRDefault="008C734C">
      <w:pPr>
        <w:pStyle w:val="Heading2"/>
      </w:pPr>
      <w:bookmarkStart w:name="_Toc18939198" w:id="11"/>
      <w:r w:rsidRPr="004D7524">
        <w:lastRenderedPageBreak/>
        <w:t>A.</w:t>
      </w:r>
      <w:r w:rsidRPr="004D7524" w:rsidR="00A41763">
        <w:t xml:space="preserve">9. </w:t>
      </w:r>
      <w:r w:rsidRPr="004D7524">
        <w:t>Payments or Gifts to Respondents</w:t>
      </w:r>
      <w:bookmarkEnd w:id="11"/>
      <w:r w:rsidRPr="004D7524">
        <w:t xml:space="preserve"> </w:t>
      </w:r>
    </w:p>
    <w:p w:rsidRPr="004D7524" w:rsidR="00A41763" w:rsidP="00A41763" w:rsidRDefault="00A41763">
      <w:r w:rsidRPr="004D7524">
        <w:rPr>
          <w:b/>
          <w:bCs/>
        </w:rPr>
        <w:t xml:space="preserve">Explain any decision to provide any payment or gift to respondents, other than </w:t>
      </w:r>
      <w:r w:rsidRPr="004D7524" w:rsidR="001A6E9A">
        <w:rPr>
          <w:b/>
          <w:bCs/>
        </w:rPr>
        <w:t>remuneration</w:t>
      </w:r>
      <w:r w:rsidRPr="004D7524">
        <w:rPr>
          <w:b/>
          <w:bCs/>
        </w:rPr>
        <w:t xml:space="preserve"> of contractors or grantees. </w:t>
      </w:r>
    </w:p>
    <w:p w:rsidR="009428A5" w:rsidP="009428A5" w:rsidRDefault="009428A5">
      <w:pPr>
        <w:ind w:left="360"/>
      </w:pPr>
      <w:r w:rsidRPr="004D7524">
        <w:t>There is no remuneration given for submission of any of the information other than the fact that the expense of responding is treated as an allowable cost for contractors.</w:t>
      </w:r>
    </w:p>
    <w:p w:rsidRPr="004D7524" w:rsidR="008C734C" w:rsidP="008C734C" w:rsidRDefault="008C734C">
      <w:pPr>
        <w:pStyle w:val="Heading2"/>
      </w:pPr>
      <w:bookmarkStart w:name="_Toc18939199" w:id="12"/>
      <w:r w:rsidRPr="004D7524">
        <w:t>A.</w:t>
      </w:r>
      <w:r w:rsidRPr="004D7524" w:rsidR="00A41763">
        <w:t xml:space="preserve">10. </w:t>
      </w:r>
      <w:r w:rsidRPr="004D7524">
        <w:t>Provisions for Protection of Information</w:t>
      </w:r>
      <w:bookmarkEnd w:id="12"/>
      <w:r w:rsidRPr="004D7524">
        <w:t xml:space="preserve"> </w:t>
      </w:r>
    </w:p>
    <w:p w:rsidRPr="004D7524" w:rsidR="00A41763" w:rsidP="00A41763" w:rsidRDefault="00A41763">
      <w:r w:rsidRPr="004D7524">
        <w:rPr>
          <w:b/>
          <w:bCs/>
        </w:rPr>
        <w:t xml:space="preserve">Describe any assurance of confidentiality provided to respondents and the basis for the assurance in statute, regulation, or agency policy. </w:t>
      </w:r>
    </w:p>
    <w:p w:rsidRPr="004D7524" w:rsidR="009428A5" w:rsidP="009428A5" w:rsidRDefault="009428A5">
      <w:pPr>
        <w:ind w:left="360"/>
      </w:pPr>
      <w:r w:rsidRPr="004D7524">
        <w:t>The sensitivity of information provided by respondents is assured by the Department’s practices in accordance with the following statute, regulation, and policies.</w:t>
      </w:r>
    </w:p>
    <w:p w:rsidRPr="004D7524" w:rsidR="009428A5" w:rsidP="00367022" w:rsidRDefault="009428A5">
      <w:pPr>
        <w:numPr>
          <w:ilvl w:val="1"/>
          <w:numId w:val="9"/>
        </w:numPr>
        <w:tabs>
          <w:tab w:val="clear" w:pos="864"/>
          <w:tab w:val="num" w:pos="720"/>
        </w:tabs>
        <w:spacing w:after="0" w:line="240" w:lineRule="auto"/>
        <w:ind w:left="360"/>
      </w:pPr>
      <w:r w:rsidRPr="004D7524">
        <w:t>Privacy Act of 1974, as amended</w:t>
      </w:r>
    </w:p>
    <w:p w:rsidRPr="004D7524" w:rsidR="009428A5" w:rsidP="00367022" w:rsidRDefault="009428A5">
      <w:pPr>
        <w:numPr>
          <w:ilvl w:val="1"/>
          <w:numId w:val="9"/>
        </w:numPr>
        <w:tabs>
          <w:tab w:val="clear" w:pos="864"/>
          <w:tab w:val="num" w:pos="720"/>
        </w:tabs>
        <w:spacing w:after="0" w:line="240" w:lineRule="auto"/>
        <w:ind w:left="360"/>
      </w:pPr>
      <w:r w:rsidRPr="004D7524">
        <w:t xml:space="preserve">DOE Order 206.1, </w:t>
      </w:r>
      <w:r w:rsidRPr="004D7524">
        <w:rPr>
          <w:i/>
        </w:rPr>
        <w:t>Department of Energy Privacy Program,</w:t>
      </w:r>
      <w:r w:rsidRPr="004D7524">
        <w:t xml:space="preserve"> 11/1/18</w:t>
      </w:r>
    </w:p>
    <w:p w:rsidRPr="004D7524" w:rsidR="009428A5" w:rsidP="00367022" w:rsidRDefault="009428A5">
      <w:pPr>
        <w:numPr>
          <w:ilvl w:val="1"/>
          <w:numId w:val="9"/>
        </w:numPr>
        <w:tabs>
          <w:tab w:val="clear" w:pos="864"/>
          <w:tab w:val="num" w:pos="720"/>
        </w:tabs>
        <w:spacing w:after="0" w:line="240" w:lineRule="auto"/>
        <w:ind w:left="360"/>
      </w:pPr>
      <w:r w:rsidRPr="004D7524">
        <w:t xml:space="preserve">DOE Order 205.1C, </w:t>
      </w:r>
      <w:r w:rsidRPr="004D7524">
        <w:rPr>
          <w:i/>
        </w:rPr>
        <w:t>Department of Energy Cyber Security Program</w:t>
      </w:r>
      <w:r w:rsidRPr="004D7524">
        <w:t>, 5/15/19</w:t>
      </w:r>
    </w:p>
    <w:p w:rsidRPr="004D7524" w:rsidR="009428A5" w:rsidP="00367022" w:rsidRDefault="009428A5">
      <w:pPr>
        <w:numPr>
          <w:ilvl w:val="1"/>
          <w:numId w:val="9"/>
        </w:numPr>
        <w:tabs>
          <w:tab w:val="clear" w:pos="864"/>
          <w:tab w:val="num" w:pos="720"/>
        </w:tabs>
        <w:spacing w:after="0" w:line="240" w:lineRule="auto"/>
        <w:ind w:left="360"/>
      </w:pPr>
      <w:r w:rsidRPr="004D7524">
        <w:lastRenderedPageBreak/>
        <w:t xml:space="preserve">DOE Order 200.2, </w:t>
      </w:r>
      <w:r w:rsidRPr="004D7524">
        <w:rPr>
          <w:i/>
        </w:rPr>
        <w:t>Information Collection Management Program</w:t>
      </w:r>
      <w:r w:rsidRPr="004D7524">
        <w:t>, 10/11/06</w:t>
      </w:r>
    </w:p>
    <w:p w:rsidRPr="004D7524" w:rsidR="009428A5" w:rsidP="00367022" w:rsidRDefault="009428A5">
      <w:pPr>
        <w:numPr>
          <w:ilvl w:val="1"/>
          <w:numId w:val="9"/>
        </w:numPr>
        <w:tabs>
          <w:tab w:val="clear" w:pos="864"/>
          <w:tab w:val="num" w:pos="720"/>
        </w:tabs>
        <w:spacing w:after="0" w:line="240" w:lineRule="auto"/>
        <w:ind w:left="360"/>
      </w:pPr>
      <w:r w:rsidRPr="004D7524">
        <w:t xml:space="preserve">DOE Order 231.1B, </w:t>
      </w:r>
      <w:r w:rsidRPr="004D7524">
        <w:rPr>
          <w:i/>
        </w:rPr>
        <w:t>Environment, Safety, and Health Reporting</w:t>
      </w:r>
      <w:r w:rsidRPr="004D7524">
        <w:t>, 11/28/12</w:t>
      </w:r>
    </w:p>
    <w:p w:rsidRPr="004D7524" w:rsidR="009428A5" w:rsidP="00367022" w:rsidRDefault="009428A5">
      <w:pPr>
        <w:numPr>
          <w:ilvl w:val="1"/>
          <w:numId w:val="9"/>
        </w:numPr>
        <w:tabs>
          <w:tab w:val="clear" w:pos="864"/>
          <w:tab w:val="num" w:pos="720"/>
        </w:tabs>
        <w:spacing w:after="0" w:line="240" w:lineRule="auto"/>
        <w:ind w:left="360"/>
      </w:pPr>
      <w:r w:rsidRPr="004D7524">
        <w:t xml:space="preserve">DOE Order 414.1D, </w:t>
      </w:r>
      <w:r w:rsidRPr="004D7524">
        <w:rPr>
          <w:i/>
        </w:rPr>
        <w:t>Quality Assurance</w:t>
      </w:r>
      <w:r w:rsidRPr="004D7524">
        <w:t>, 5/8/13</w:t>
      </w:r>
    </w:p>
    <w:p w:rsidRPr="004D7524" w:rsidR="009428A5" w:rsidP="00367022" w:rsidRDefault="009428A5">
      <w:pPr>
        <w:numPr>
          <w:ilvl w:val="1"/>
          <w:numId w:val="9"/>
        </w:numPr>
        <w:tabs>
          <w:tab w:val="clear" w:pos="864"/>
          <w:tab w:val="num" w:pos="720"/>
        </w:tabs>
        <w:spacing w:after="0" w:line="240" w:lineRule="auto"/>
        <w:ind w:left="360"/>
      </w:pPr>
      <w:r w:rsidRPr="004D7524">
        <w:rPr>
          <w:color w:val="000000"/>
        </w:rPr>
        <w:t xml:space="preserve">DOE Order 210.2A, </w:t>
      </w:r>
      <w:r w:rsidRPr="004D7524">
        <w:rPr>
          <w:i/>
          <w:color w:val="000000"/>
        </w:rPr>
        <w:t>DOE Corporate Operating Experience Program</w:t>
      </w:r>
      <w:r w:rsidRPr="004D7524">
        <w:rPr>
          <w:color w:val="000000"/>
        </w:rPr>
        <w:t>, 4/8/11</w:t>
      </w:r>
    </w:p>
    <w:p w:rsidR="009428A5" w:rsidP="00367022" w:rsidRDefault="009428A5">
      <w:pPr>
        <w:numPr>
          <w:ilvl w:val="1"/>
          <w:numId w:val="9"/>
        </w:numPr>
        <w:tabs>
          <w:tab w:val="clear" w:pos="864"/>
          <w:tab w:val="num" w:pos="720"/>
        </w:tabs>
        <w:spacing w:after="0" w:line="240" w:lineRule="auto"/>
        <w:ind w:left="360"/>
      </w:pPr>
      <w:r w:rsidRPr="004D7524">
        <w:t xml:space="preserve">DOE Order 232.2A, </w:t>
      </w:r>
      <w:r w:rsidRPr="004D7524">
        <w:rPr>
          <w:i/>
        </w:rPr>
        <w:t>Occurrence Reporting and Processing of Operations Information</w:t>
      </w:r>
      <w:r w:rsidRPr="004D7524">
        <w:t>, 1/17/17</w:t>
      </w:r>
    </w:p>
    <w:p w:rsidRPr="004D7524" w:rsidR="00F056C3" w:rsidP="00F056C3" w:rsidRDefault="00F056C3">
      <w:pPr>
        <w:pStyle w:val="Heading2"/>
      </w:pPr>
      <w:bookmarkStart w:name="_Toc18939200" w:id="13"/>
      <w:r w:rsidRPr="004D7524">
        <w:t>A.</w:t>
      </w:r>
      <w:r w:rsidRPr="004D7524" w:rsidR="00A41763">
        <w:t xml:space="preserve">11. </w:t>
      </w:r>
      <w:r w:rsidRPr="004D7524">
        <w:t>Justification for Sensitive Questions</w:t>
      </w:r>
      <w:bookmarkEnd w:id="13"/>
      <w:r w:rsidRPr="004D7524">
        <w:t xml:space="preserve"> </w:t>
      </w:r>
    </w:p>
    <w:p w:rsidRPr="004D7524" w:rsidR="00A41763" w:rsidP="00A41763" w:rsidRDefault="00A41763">
      <w:r w:rsidRPr="004D7524">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4D7524" w:rsidR="00F056C3">
        <w:rPr>
          <w:b/>
          <w:bCs/>
        </w:rPr>
        <w:t>s to be made of the information</w:t>
      </w:r>
      <w:r w:rsidRPr="004D7524">
        <w:rPr>
          <w:b/>
          <w:bCs/>
        </w:rPr>
        <w:t xml:space="preserve">, the explanation to be given to persons from whom the information is requested, and any steps to be taken to obtain their consent. </w:t>
      </w:r>
    </w:p>
    <w:p w:rsidRPr="004D7524" w:rsidR="009428A5" w:rsidP="009428A5" w:rsidRDefault="009428A5">
      <w:pPr>
        <w:ind w:left="360" w:right="-180"/>
      </w:pPr>
      <w:r w:rsidRPr="004D7524">
        <w:t xml:space="preserve">This information collection </w:t>
      </w:r>
      <w:r w:rsidRPr="004D7524">
        <w:rPr>
          <w:b/>
        </w:rPr>
        <w:t>does not</w:t>
      </w:r>
      <w:r w:rsidRPr="004D7524">
        <w:t xml:space="preserve"> collect information pertaining to sexual behavior, attitudes, or religious beliefs.</w:t>
      </w:r>
    </w:p>
    <w:p w:rsidRPr="004D7524" w:rsidR="009428A5" w:rsidP="009428A5" w:rsidRDefault="009428A5">
      <w:pPr>
        <w:pStyle w:val="BodyTextIndent"/>
      </w:pPr>
      <w:r w:rsidRPr="004D7524">
        <w:lastRenderedPageBreak/>
        <w:t>Collections that involve questions of a sensitive, personal, or private nature, including Personally Identifiable Information (PII) are protected from disclosure under Departmental directives.</w:t>
      </w:r>
    </w:p>
    <w:p w:rsidRPr="004D7524" w:rsidR="009428A5" w:rsidP="009428A5" w:rsidRDefault="009428A5">
      <w:pPr>
        <w:pStyle w:val="BodyTextIndent"/>
      </w:pPr>
      <w:r w:rsidRPr="004D7524">
        <w:t>PII Directives/Guidance:</w:t>
      </w:r>
    </w:p>
    <w:p w:rsidRPr="004D7524" w:rsidR="009428A5" w:rsidP="00367022" w:rsidRDefault="009428A5">
      <w:pPr>
        <w:pStyle w:val="BodyTextIndent"/>
        <w:numPr>
          <w:ilvl w:val="0"/>
          <w:numId w:val="10"/>
        </w:numPr>
        <w:spacing w:after="0" w:line="240" w:lineRule="auto"/>
      </w:pPr>
      <w:r w:rsidRPr="004D7524">
        <w:t>In accordance with the Privacy Act, DOE has established requirements for the protection of PII in DOE Order 206.1, DOE Privacy Program, and DOE Order 205.1B, Department of Energy Cyber Security Program</w:t>
      </w:r>
    </w:p>
    <w:p w:rsidRPr="004D7524" w:rsidR="009428A5" w:rsidP="00367022" w:rsidRDefault="009428A5">
      <w:pPr>
        <w:pStyle w:val="ListParagraph"/>
        <w:numPr>
          <w:ilvl w:val="0"/>
          <w:numId w:val="10"/>
        </w:numPr>
        <w:spacing w:after="0" w:line="240" w:lineRule="auto"/>
        <w:contextualSpacing w:val="0"/>
        <w:rPr>
          <w:sz w:val="24"/>
          <w:szCs w:val="24"/>
        </w:rPr>
      </w:pPr>
      <w:r w:rsidRPr="004D7524">
        <w:rPr>
          <w:sz w:val="24"/>
          <w:szCs w:val="24"/>
        </w:rPr>
        <w:t>Privacy Act of 1974, as amended at Title 5 USC 552a, Section 208 of the E-Government Act of 2002</w:t>
      </w:r>
    </w:p>
    <w:p w:rsidRPr="004D7524" w:rsidR="009428A5" w:rsidP="00367022" w:rsidRDefault="009428A5">
      <w:pPr>
        <w:pStyle w:val="ListParagraph"/>
        <w:numPr>
          <w:ilvl w:val="0"/>
          <w:numId w:val="10"/>
        </w:numPr>
        <w:spacing w:after="0" w:line="240" w:lineRule="auto"/>
        <w:contextualSpacing w:val="0"/>
        <w:rPr>
          <w:sz w:val="24"/>
          <w:szCs w:val="24"/>
        </w:rPr>
      </w:pPr>
      <w:r w:rsidRPr="004D7524">
        <w:rPr>
          <w:sz w:val="24"/>
          <w:szCs w:val="24"/>
        </w:rPr>
        <w:t>DOE employees are made aware of their responsibilities to protect PII through the mandatory DOE Privacy Awareness Training: The Privacy Act and Safeguarding Personally Identifiable Information (PII).</w:t>
      </w:r>
    </w:p>
    <w:p w:rsidRPr="004D7524" w:rsidR="009428A5" w:rsidP="004D7524" w:rsidRDefault="009428A5">
      <w:pPr>
        <w:pStyle w:val="ListParagraph"/>
        <w:numPr>
          <w:ilvl w:val="0"/>
          <w:numId w:val="10"/>
        </w:numPr>
        <w:spacing w:after="0" w:line="240" w:lineRule="auto"/>
        <w:contextualSpacing w:val="0"/>
        <w:rPr>
          <w:sz w:val="24"/>
          <w:szCs w:val="24"/>
        </w:rPr>
      </w:pPr>
      <w:r w:rsidRPr="004D7524">
        <w:rPr>
          <w:sz w:val="24"/>
          <w:szCs w:val="24"/>
        </w:rPr>
        <w:t>Federal Register Notice, January 9, 2009, Privacy Act of 1974, Publication of Privacy Act Systems of Records; Notice/Vol. 74, No. 6</w:t>
      </w:r>
      <w:r w:rsidRPr="004D7524" w:rsidR="004D7524">
        <w:rPr>
          <w:sz w:val="24"/>
          <w:szCs w:val="24"/>
        </w:rPr>
        <w:br/>
      </w:r>
    </w:p>
    <w:p w:rsidRPr="004D7524" w:rsidR="009428A5" w:rsidP="009428A5" w:rsidRDefault="009428A5">
      <w:r w:rsidRPr="004D7524">
        <w:t xml:space="preserve">The following data sets may or may not have PII and a recent Privacy Impact Assessment (PIA), however, with the exception of the one as noted, there is no System of Records Notice (SORN) for these data sets as the information cannot be retrieved or sorted by personal identifier.   </w:t>
      </w:r>
    </w:p>
    <w:p w:rsidRPr="004D7524" w:rsidR="009428A5" w:rsidP="00367022" w:rsidRDefault="009428A5">
      <w:pPr>
        <w:numPr>
          <w:ilvl w:val="0"/>
          <w:numId w:val="11"/>
        </w:numPr>
        <w:spacing w:after="120" w:line="240" w:lineRule="auto"/>
      </w:pPr>
      <w:r w:rsidRPr="004D7524">
        <w:lastRenderedPageBreak/>
        <w:t>CAIRS is a database used to collect and analyze DOE and DOE contractor reports of injuries, illnesses, and other accidents that occur during DOE operations and contains information from reporting contractors and subcontractors.  PII, PIA, No SORN.</w:t>
      </w:r>
    </w:p>
    <w:p w:rsidRPr="004D7524" w:rsidR="009428A5" w:rsidP="00367022" w:rsidRDefault="009428A5">
      <w:pPr>
        <w:numPr>
          <w:ilvl w:val="0"/>
          <w:numId w:val="11"/>
        </w:numPr>
        <w:spacing w:after="120" w:line="240" w:lineRule="auto"/>
      </w:pPr>
      <w:r w:rsidRPr="004D7524">
        <w:t>ORPS permits notification to the DOE complex of events that could adversely affect public or DOE worker health and safety, the environment, or operations of DOE facilities. PII, PIA, No SORN</w:t>
      </w:r>
    </w:p>
    <w:p w:rsidRPr="004D7524" w:rsidR="009428A5" w:rsidP="00367022" w:rsidRDefault="009428A5">
      <w:pPr>
        <w:numPr>
          <w:ilvl w:val="0"/>
          <w:numId w:val="11"/>
        </w:numPr>
        <w:autoSpaceDE w:val="0"/>
        <w:autoSpaceDN w:val="0"/>
        <w:adjustRightInd w:val="0"/>
        <w:spacing w:after="120" w:line="240" w:lineRule="auto"/>
        <w:rPr>
          <w:color w:val="000000"/>
        </w:rPr>
      </w:pPr>
      <w:r w:rsidRPr="004D7524">
        <w:rPr>
          <w:color w:val="000000"/>
        </w:rPr>
        <w:t xml:space="preserve">NTS is a web-based system used by DOE contractors to voluntarily report nuclear safety and worker safety and health regulatory </w:t>
      </w:r>
      <w:proofErr w:type="spellStart"/>
      <w:r w:rsidRPr="004D7524">
        <w:rPr>
          <w:color w:val="000000"/>
        </w:rPr>
        <w:t>noncompliances</w:t>
      </w:r>
      <w:proofErr w:type="spellEnd"/>
      <w:r w:rsidRPr="004D7524">
        <w:rPr>
          <w:color w:val="000000"/>
        </w:rPr>
        <w:t xml:space="preserve"> to DOE.  No PII, No SORN</w:t>
      </w:r>
    </w:p>
    <w:p w:rsidRPr="004D7524" w:rsidR="009428A5" w:rsidP="00367022" w:rsidRDefault="009428A5">
      <w:pPr>
        <w:numPr>
          <w:ilvl w:val="0"/>
          <w:numId w:val="11"/>
        </w:numPr>
        <w:spacing w:after="120" w:line="240" w:lineRule="auto"/>
      </w:pPr>
      <w:r w:rsidRPr="004D7524">
        <w:t xml:space="preserve">REMS is a database of occupational radiation exposures for all monitored DOE employees, contractors, subcontractors and members of the public.  The Rule 10 CFR 835.702 (a) and (b), </w:t>
      </w:r>
      <w:r w:rsidRPr="004D7524">
        <w:rPr>
          <w:i/>
        </w:rPr>
        <w:t>Occupational Radiation Program</w:t>
      </w:r>
      <w:r w:rsidRPr="004D7524">
        <w:t>, requires Annual Individual Radiation Exposure Records to be recorded, and reported to the Radiation Exposure Monitoring System Repository.  PII, DOE SORN #35.</w:t>
      </w:r>
    </w:p>
    <w:p w:rsidRPr="004D7524" w:rsidR="009428A5" w:rsidP="00367022" w:rsidRDefault="009428A5">
      <w:pPr>
        <w:numPr>
          <w:ilvl w:val="0"/>
          <w:numId w:val="11"/>
        </w:numPr>
        <w:spacing w:after="120" w:line="240" w:lineRule="auto"/>
      </w:pPr>
      <w:r w:rsidRPr="004D7524">
        <w:t xml:space="preserve">The Fire Protection database contains information from reporting contractors and subcontractors for the </w:t>
      </w:r>
      <w:r w:rsidRPr="004D7524">
        <w:rPr>
          <w:i/>
        </w:rPr>
        <w:t>Annual Fire Protection Program Summary.</w:t>
      </w:r>
      <w:r w:rsidRPr="004D7524">
        <w:t xml:space="preserve">  No PII, PIA, No SORN</w:t>
      </w:r>
    </w:p>
    <w:p w:rsidRPr="004D7524" w:rsidR="009428A5" w:rsidP="00367022" w:rsidRDefault="009428A5">
      <w:pPr>
        <w:numPr>
          <w:ilvl w:val="0"/>
          <w:numId w:val="11"/>
        </w:numPr>
        <w:spacing w:after="120" w:line="240" w:lineRule="auto"/>
      </w:pPr>
      <w:r w:rsidRPr="004D7524">
        <w:lastRenderedPageBreak/>
        <w:t xml:space="preserve">Safety Basis Information System was created to meet the requirement in 10 CFR 830, </w:t>
      </w:r>
      <w:r w:rsidRPr="004D7524">
        <w:rPr>
          <w:i/>
        </w:rPr>
        <w:t>Nuclear Safety Management</w:t>
      </w:r>
      <w:r w:rsidRPr="004D7524">
        <w:t>, which requires contractors and operators of DOE hazard category 1, 2, and 3 nuclear facilities to develop and maintain a Safety Basis for each facility and to perform work in accordance with that Safety Basis.  It also provides DOE line managers with a tool for obtaining regularly updated profiles of the entire inventory of Safety Bases for DOE hazard category 1, 2, and 3 nuclear facilities.  No PII, PIA, No SORN</w:t>
      </w:r>
    </w:p>
    <w:p w:rsidRPr="00013756" w:rsidR="009428A5" w:rsidP="002468BB" w:rsidRDefault="009428A5">
      <w:pPr>
        <w:pStyle w:val="NormalWeb"/>
        <w:numPr>
          <w:ilvl w:val="0"/>
          <w:numId w:val="11"/>
        </w:numPr>
        <w:spacing w:before="100" w:beforeAutospacing="1" w:after="120" w:line="240" w:lineRule="auto"/>
        <w:rPr>
          <w:rFonts w:asciiTheme="minorHAnsi" w:hAnsiTheme="minorHAnsi"/>
        </w:rPr>
      </w:pPr>
      <w:r w:rsidRPr="004D7524">
        <w:rPr>
          <w:rFonts w:asciiTheme="minorHAnsi" w:hAnsiTheme="minorHAnsi"/>
          <w:color w:val="000000"/>
        </w:rPr>
        <w:t xml:space="preserve">Lessons Learned System supports and promotes the integration and sharing of information both internally and externally, to DOE, in order to prevent adverse operating incidents, improve operational safety awareness and mission quality, and support a learning organization culture.  No PII, PIA, No SORN  </w:t>
      </w:r>
    </w:p>
    <w:p w:rsidRPr="004D7524" w:rsidR="00F056C3" w:rsidP="00F056C3" w:rsidRDefault="00F056C3">
      <w:pPr>
        <w:pStyle w:val="Heading2"/>
      </w:pPr>
      <w:bookmarkStart w:name="_Toc18939201" w:id="14"/>
      <w:r w:rsidRPr="004D7524">
        <w:t>A.</w:t>
      </w:r>
      <w:r w:rsidRPr="004D7524" w:rsidR="00A41763">
        <w:t>12</w:t>
      </w:r>
      <w:r w:rsidRPr="004D7524" w:rsidR="006F3C12">
        <w:t>A</w:t>
      </w:r>
      <w:r w:rsidRPr="004D7524" w:rsidR="00A41763">
        <w:t xml:space="preserve">. </w:t>
      </w:r>
      <w:r w:rsidRPr="004D7524">
        <w:t>Estimate of Respondent Burden Hours</w:t>
      </w:r>
      <w:bookmarkEnd w:id="14"/>
      <w:r w:rsidRPr="004D7524">
        <w:t xml:space="preserve"> </w:t>
      </w:r>
    </w:p>
    <w:p w:rsidRPr="004D7524" w:rsidR="00A41763" w:rsidP="00A41763" w:rsidRDefault="00A41763">
      <w:pPr>
        <w:rPr>
          <w:b/>
          <w:bCs/>
        </w:rPr>
      </w:pPr>
      <w:r w:rsidRPr="004D7524">
        <w:rPr>
          <w:b/>
          <w:bCs/>
        </w:rPr>
        <w:t xml:space="preserve">Provide estimates of the hour burden of the collection of information. The statement should indicate the number of respondents, frequency of response, annual hour burden, and </w:t>
      </w:r>
      <w:r w:rsidRPr="004D7524">
        <w:rPr>
          <w:b/>
          <w:bCs/>
          <w:u w:val="single"/>
        </w:rPr>
        <w:t>an explanation of how the burden was estimated</w:t>
      </w:r>
      <w:r w:rsidRPr="004D7524">
        <w:rPr>
          <w:b/>
          <w:bCs/>
        </w:rPr>
        <w:t xml:space="preserve">. Unless directed to do so, DOE should not conduct special surveys to obtain information on which to base hour burden estimates. Consultation with a sample fewer than 10 potential respondents is desirable. </w:t>
      </w:r>
    </w:p>
    <w:p w:rsidRPr="004D7524" w:rsidR="00367022" w:rsidP="00367022" w:rsidRDefault="00367022">
      <w:pPr>
        <w:pStyle w:val="BodyTextIndent"/>
        <w:rPr>
          <w:b/>
        </w:rPr>
      </w:pPr>
      <w:r w:rsidRPr="004D7524">
        <w:lastRenderedPageBreak/>
        <w:t>The estimated burden hours are the sum of the burden reported by Departmental elements and field organizations as compiled from their respective contractors or estimated by expert personnel familiar with these collections.  The chart below provides information for each collection.  The consolidated annual burden hours of this package is 37,280 hours and the total annual responses are 82,155</w:t>
      </w:r>
      <w:r w:rsidRPr="004D7524">
        <w:rPr>
          <w:b/>
        </w:rPr>
        <w:t>.</w:t>
      </w:r>
    </w:p>
    <w:p w:rsidRPr="004D7524" w:rsidR="00367022" w:rsidP="00367022" w:rsidRDefault="00367022">
      <w:pPr>
        <w:pStyle w:val="BodyTextIndent"/>
        <w:rPr>
          <w:b/>
        </w:rPr>
      </w:pPr>
    </w:p>
    <w:tbl>
      <w:tblPr>
        <w:tblW w:w="853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84"/>
        <w:gridCol w:w="1379"/>
        <w:gridCol w:w="1242"/>
        <w:gridCol w:w="1084"/>
        <w:gridCol w:w="1114"/>
        <w:gridCol w:w="1109"/>
        <w:gridCol w:w="1323"/>
      </w:tblGrid>
      <w:tr w:rsidRPr="004D7524" w:rsidR="00367022" w:rsidTr="00C34C40">
        <w:tc>
          <w:tcPr>
            <w:tcW w:w="1284" w:type="dxa"/>
            <w:shd w:val="clear" w:color="auto" w:fill="auto"/>
          </w:tcPr>
          <w:p w:rsidRPr="004D7524" w:rsidR="00367022" w:rsidP="006F7359" w:rsidRDefault="00367022">
            <w:pPr>
              <w:rPr>
                <w:rFonts w:eastAsia="Calibri"/>
              </w:rPr>
            </w:pPr>
            <w:r w:rsidRPr="004D7524">
              <w:rPr>
                <w:rFonts w:eastAsia="Calibri"/>
              </w:rPr>
              <w:t>Collection Instrument</w:t>
            </w:r>
          </w:p>
        </w:tc>
        <w:tc>
          <w:tcPr>
            <w:tcW w:w="1379" w:type="dxa"/>
            <w:shd w:val="clear" w:color="auto" w:fill="auto"/>
          </w:tcPr>
          <w:p w:rsidRPr="004D7524" w:rsidR="00367022" w:rsidP="006F7359" w:rsidRDefault="00367022">
            <w:pPr>
              <w:rPr>
                <w:rFonts w:eastAsia="Calibri"/>
              </w:rPr>
            </w:pPr>
            <w:r w:rsidRPr="004D7524">
              <w:rPr>
                <w:rFonts w:eastAsia="Calibri"/>
              </w:rPr>
              <w:t>Estimated Annual Respondents</w:t>
            </w:r>
          </w:p>
        </w:tc>
        <w:tc>
          <w:tcPr>
            <w:tcW w:w="1242" w:type="dxa"/>
            <w:shd w:val="clear" w:color="auto" w:fill="auto"/>
          </w:tcPr>
          <w:p w:rsidRPr="004D7524" w:rsidR="00367022" w:rsidP="006F7359" w:rsidRDefault="00367022">
            <w:pPr>
              <w:rPr>
                <w:rFonts w:eastAsia="Calibri"/>
              </w:rPr>
            </w:pPr>
            <w:r w:rsidRPr="004D7524">
              <w:rPr>
                <w:rFonts w:eastAsia="Calibri"/>
              </w:rPr>
              <w:t>Estimated Annual Responses</w:t>
            </w:r>
          </w:p>
        </w:tc>
        <w:tc>
          <w:tcPr>
            <w:tcW w:w="1084" w:type="dxa"/>
            <w:shd w:val="clear" w:color="auto" w:fill="auto"/>
          </w:tcPr>
          <w:p w:rsidRPr="004D7524" w:rsidR="00367022" w:rsidP="006F7359" w:rsidRDefault="00367022">
            <w:pPr>
              <w:rPr>
                <w:rFonts w:eastAsia="Calibri"/>
              </w:rPr>
            </w:pPr>
            <w:proofErr w:type="spellStart"/>
            <w:r w:rsidRPr="004D7524">
              <w:rPr>
                <w:rFonts w:eastAsia="Calibri"/>
              </w:rPr>
              <w:t>Approx</w:t>
            </w:r>
            <w:proofErr w:type="spellEnd"/>
            <w:r w:rsidRPr="004D7524">
              <w:rPr>
                <w:rFonts w:eastAsia="Calibri"/>
              </w:rPr>
              <w:t xml:space="preserve"> Time to Complete each response (mins)</w:t>
            </w:r>
          </w:p>
        </w:tc>
        <w:tc>
          <w:tcPr>
            <w:tcW w:w="1114" w:type="dxa"/>
            <w:shd w:val="clear" w:color="auto" w:fill="auto"/>
          </w:tcPr>
          <w:p w:rsidRPr="004D7524" w:rsidR="00367022" w:rsidP="006F7359" w:rsidRDefault="00367022">
            <w:pPr>
              <w:rPr>
                <w:rFonts w:eastAsia="Calibri"/>
              </w:rPr>
            </w:pPr>
            <w:r w:rsidRPr="004D7524">
              <w:rPr>
                <w:rFonts w:eastAsia="Calibri"/>
              </w:rPr>
              <w:t>Estimated Annual Burden Hours</w:t>
            </w:r>
          </w:p>
        </w:tc>
        <w:tc>
          <w:tcPr>
            <w:tcW w:w="1109" w:type="dxa"/>
            <w:shd w:val="clear" w:color="auto" w:fill="auto"/>
          </w:tcPr>
          <w:p w:rsidRPr="004D7524" w:rsidR="00367022" w:rsidP="006F7359" w:rsidRDefault="00367022">
            <w:pPr>
              <w:rPr>
                <w:rFonts w:eastAsia="Calibri"/>
              </w:rPr>
            </w:pPr>
            <w:r w:rsidRPr="004D7524">
              <w:rPr>
                <w:rFonts w:eastAsia="Calibri"/>
              </w:rPr>
              <w:t xml:space="preserve">Average Burden Hours Per </w:t>
            </w:r>
          </w:p>
          <w:p w:rsidRPr="004D7524" w:rsidR="00367022" w:rsidP="006F7359" w:rsidRDefault="00367022">
            <w:pPr>
              <w:rPr>
                <w:rFonts w:eastAsia="Calibri"/>
              </w:rPr>
            </w:pPr>
            <w:r w:rsidRPr="004D7524">
              <w:rPr>
                <w:rFonts w:eastAsia="Calibri"/>
              </w:rPr>
              <w:t>Response</w:t>
            </w:r>
          </w:p>
        </w:tc>
        <w:tc>
          <w:tcPr>
            <w:tcW w:w="1323" w:type="dxa"/>
            <w:shd w:val="clear" w:color="auto" w:fill="auto"/>
          </w:tcPr>
          <w:p w:rsidRPr="004D7524" w:rsidR="00367022" w:rsidP="006F7359" w:rsidRDefault="00367022">
            <w:pPr>
              <w:rPr>
                <w:rFonts w:eastAsia="Calibri"/>
              </w:rPr>
            </w:pPr>
            <w:r w:rsidRPr="004D7524">
              <w:rPr>
                <w:rFonts w:eastAsia="Calibri"/>
              </w:rPr>
              <w:t>Average Burden Hours Per Respondent</w:t>
            </w:r>
          </w:p>
        </w:tc>
      </w:tr>
      <w:tr w:rsidRPr="004D7524" w:rsidR="00367022" w:rsidTr="00C34C40">
        <w:tc>
          <w:tcPr>
            <w:tcW w:w="1284" w:type="dxa"/>
            <w:shd w:val="clear" w:color="auto" w:fill="auto"/>
          </w:tcPr>
          <w:p w:rsidRPr="004D7524" w:rsidR="00367022" w:rsidP="006F7359" w:rsidRDefault="00367022">
            <w:pPr>
              <w:rPr>
                <w:rFonts w:eastAsia="Calibri"/>
              </w:rPr>
            </w:pPr>
            <w:r w:rsidRPr="004D7524">
              <w:rPr>
                <w:rFonts w:eastAsia="Calibri"/>
              </w:rPr>
              <w:t>CAIRS</w:t>
            </w:r>
          </w:p>
        </w:tc>
        <w:tc>
          <w:tcPr>
            <w:tcW w:w="1379" w:type="dxa"/>
            <w:shd w:val="clear" w:color="auto" w:fill="auto"/>
          </w:tcPr>
          <w:p w:rsidRPr="004D7524" w:rsidR="00367022" w:rsidP="006F7359" w:rsidRDefault="00367022">
            <w:pPr>
              <w:rPr>
                <w:rFonts w:eastAsia="Calibri"/>
              </w:rPr>
            </w:pPr>
            <w:r w:rsidRPr="004D7524">
              <w:rPr>
                <w:rFonts w:eastAsia="Calibri"/>
              </w:rPr>
              <w:t>420</w:t>
            </w:r>
          </w:p>
        </w:tc>
        <w:tc>
          <w:tcPr>
            <w:tcW w:w="1242" w:type="dxa"/>
            <w:shd w:val="clear" w:color="auto" w:fill="auto"/>
          </w:tcPr>
          <w:p w:rsidRPr="004D7524" w:rsidR="00367022" w:rsidP="006F7359" w:rsidRDefault="00367022">
            <w:pPr>
              <w:rPr>
                <w:rFonts w:eastAsia="Calibri"/>
              </w:rPr>
            </w:pPr>
            <w:r w:rsidRPr="004D7524">
              <w:rPr>
                <w:rFonts w:eastAsia="Calibri"/>
              </w:rPr>
              <w:t>1,825</w:t>
            </w:r>
          </w:p>
        </w:tc>
        <w:tc>
          <w:tcPr>
            <w:tcW w:w="1084" w:type="dxa"/>
            <w:shd w:val="clear" w:color="auto" w:fill="auto"/>
          </w:tcPr>
          <w:p w:rsidRPr="004D7524" w:rsidR="00367022" w:rsidP="006F7359" w:rsidRDefault="00367022">
            <w:pPr>
              <w:rPr>
                <w:rFonts w:eastAsia="Calibri"/>
              </w:rPr>
            </w:pPr>
            <w:r w:rsidRPr="004D7524">
              <w:rPr>
                <w:rFonts w:eastAsia="Calibri"/>
              </w:rPr>
              <w:t>55</w:t>
            </w:r>
          </w:p>
        </w:tc>
        <w:tc>
          <w:tcPr>
            <w:tcW w:w="1114" w:type="dxa"/>
            <w:shd w:val="clear" w:color="auto" w:fill="auto"/>
          </w:tcPr>
          <w:p w:rsidRPr="004D7524" w:rsidR="00367022" w:rsidP="006F7359" w:rsidRDefault="00367022">
            <w:pPr>
              <w:rPr>
                <w:rFonts w:eastAsia="Calibri"/>
              </w:rPr>
            </w:pPr>
            <w:r w:rsidRPr="004D7524">
              <w:rPr>
                <w:rFonts w:eastAsia="Calibri"/>
              </w:rPr>
              <w:t>1673</w:t>
            </w:r>
          </w:p>
        </w:tc>
        <w:tc>
          <w:tcPr>
            <w:tcW w:w="1109" w:type="dxa"/>
            <w:shd w:val="clear" w:color="auto" w:fill="auto"/>
          </w:tcPr>
          <w:p w:rsidRPr="004D7524" w:rsidR="00367022" w:rsidP="006F7359" w:rsidRDefault="00367022">
            <w:pPr>
              <w:rPr>
                <w:rFonts w:eastAsia="Calibri"/>
              </w:rPr>
            </w:pPr>
            <w:r w:rsidRPr="004D7524">
              <w:rPr>
                <w:rFonts w:eastAsia="Calibri"/>
              </w:rPr>
              <w:t>0.9167</w:t>
            </w:r>
          </w:p>
        </w:tc>
        <w:tc>
          <w:tcPr>
            <w:tcW w:w="1323" w:type="dxa"/>
            <w:shd w:val="clear" w:color="auto" w:fill="auto"/>
          </w:tcPr>
          <w:p w:rsidRPr="004D7524" w:rsidR="00367022" w:rsidP="006F7359" w:rsidRDefault="00367022">
            <w:pPr>
              <w:rPr>
                <w:rFonts w:eastAsia="Calibri"/>
              </w:rPr>
            </w:pPr>
            <w:r w:rsidRPr="004D7524">
              <w:rPr>
                <w:rFonts w:eastAsia="Calibri"/>
              </w:rPr>
              <w:t>4</w:t>
            </w:r>
          </w:p>
        </w:tc>
      </w:tr>
      <w:tr w:rsidRPr="004D7524" w:rsidR="00367022" w:rsidTr="00C34C40">
        <w:tc>
          <w:tcPr>
            <w:tcW w:w="1284" w:type="dxa"/>
            <w:shd w:val="clear" w:color="auto" w:fill="auto"/>
          </w:tcPr>
          <w:p w:rsidRPr="004D7524" w:rsidR="00367022" w:rsidP="006F7359" w:rsidRDefault="00367022">
            <w:pPr>
              <w:rPr>
                <w:rFonts w:eastAsia="Calibri"/>
              </w:rPr>
            </w:pPr>
            <w:r w:rsidRPr="004D7524">
              <w:rPr>
                <w:rFonts w:eastAsia="Calibri"/>
              </w:rPr>
              <w:t>ORPS</w:t>
            </w:r>
          </w:p>
        </w:tc>
        <w:tc>
          <w:tcPr>
            <w:tcW w:w="1379" w:type="dxa"/>
            <w:shd w:val="clear" w:color="auto" w:fill="auto"/>
          </w:tcPr>
          <w:p w:rsidRPr="004D7524" w:rsidR="00367022" w:rsidP="006F7359" w:rsidRDefault="00367022">
            <w:pPr>
              <w:rPr>
                <w:rFonts w:eastAsia="Calibri"/>
              </w:rPr>
            </w:pPr>
            <w:r w:rsidRPr="004D7524">
              <w:rPr>
                <w:rFonts w:eastAsia="Calibri"/>
              </w:rPr>
              <w:t>120</w:t>
            </w:r>
          </w:p>
        </w:tc>
        <w:tc>
          <w:tcPr>
            <w:tcW w:w="1242" w:type="dxa"/>
            <w:shd w:val="clear" w:color="auto" w:fill="auto"/>
          </w:tcPr>
          <w:p w:rsidRPr="004D7524" w:rsidR="00367022" w:rsidP="006F7359" w:rsidRDefault="00367022">
            <w:pPr>
              <w:rPr>
                <w:rFonts w:eastAsia="Calibri"/>
              </w:rPr>
            </w:pPr>
            <w:r w:rsidRPr="004D7524">
              <w:rPr>
                <w:rFonts w:eastAsia="Calibri"/>
              </w:rPr>
              <w:t>750</w:t>
            </w:r>
          </w:p>
        </w:tc>
        <w:tc>
          <w:tcPr>
            <w:tcW w:w="1084" w:type="dxa"/>
            <w:shd w:val="clear" w:color="auto" w:fill="auto"/>
          </w:tcPr>
          <w:p w:rsidRPr="004D7524" w:rsidR="00367022" w:rsidP="006F7359" w:rsidRDefault="00367022">
            <w:pPr>
              <w:rPr>
                <w:rFonts w:eastAsia="Calibri"/>
              </w:rPr>
            </w:pPr>
            <w:r w:rsidRPr="004D7524">
              <w:rPr>
                <w:rFonts w:eastAsia="Calibri"/>
              </w:rPr>
              <w:t>300</w:t>
            </w:r>
          </w:p>
        </w:tc>
        <w:tc>
          <w:tcPr>
            <w:tcW w:w="1114" w:type="dxa"/>
            <w:shd w:val="clear" w:color="auto" w:fill="auto"/>
          </w:tcPr>
          <w:p w:rsidRPr="004D7524" w:rsidR="00367022" w:rsidP="006F7359" w:rsidRDefault="00367022">
            <w:pPr>
              <w:rPr>
                <w:rFonts w:eastAsia="Calibri"/>
              </w:rPr>
            </w:pPr>
            <w:r w:rsidRPr="004D7524">
              <w:rPr>
                <w:rFonts w:eastAsia="Calibri"/>
              </w:rPr>
              <w:t>3750</w:t>
            </w:r>
          </w:p>
        </w:tc>
        <w:tc>
          <w:tcPr>
            <w:tcW w:w="1109" w:type="dxa"/>
            <w:shd w:val="clear" w:color="auto" w:fill="auto"/>
          </w:tcPr>
          <w:p w:rsidRPr="004D7524" w:rsidR="00367022" w:rsidP="006F7359" w:rsidRDefault="00367022">
            <w:pPr>
              <w:rPr>
                <w:rFonts w:eastAsia="Calibri"/>
              </w:rPr>
            </w:pPr>
            <w:r w:rsidRPr="004D7524">
              <w:rPr>
                <w:rFonts w:eastAsia="Calibri"/>
              </w:rPr>
              <w:t>5</w:t>
            </w:r>
          </w:p>
        </w:tc>
        <w:tc>
          <w:tcPr>
            <w:tcW w:w="1323" w:type="dxa"/>
            <w:shd w:val="clear" w:color="auto" w:fill="auto"/>
          </w:tcPr>
          <w:p w:rsidRPr="004D7524" w:rsidR="00367022" w:rsidP="006F7359" w:rsidRDefault="00367022">
            <w:pPr>
              <w:rPr>
                <w:rFonts w:eastAsia="Calibri"/>
              </w:rPr>
            </w:pPr>
            <w:r w:rsidRPr="004D7524">
              <w:rPr>
                <w:rFonts w:eastAsia="Calibri"/>
              </w:rPr>
              <w:t>31</w:t>
            </w:r>
          </w:p>
        </w:tc>
      </w:tr>
      <w:tr w:rsidRPr="004D7524" w:rsidR="00367022" w:rsidTr="00C34C40">
        <w:tc>
          <w:tcPr>
            <w:tcW w:w="1284" w:type="dxa"/>
            <w:shd w:val="clear" w:color="auto" w:fill="auto"/>
          </w:tcPr>
          <w:p w:rsidRPr="004D7524" w:rsidR="00367022" w:rsidP="006F7359" w:rsidRDefault="00367022">
            <w:pPr>
              <w:rPr>
                <w:rFonts w:eastAsia="Calibri"/>
              </w:rPr>
            </w:pPr>
            <w:r w:rsidRPr="004D7524">
              <w:rPr>
                <w:rFonts w:eastAsia="Calibri"/>
              </w:rPr>
              <w:t>NTS</w:t>
            </w:r>
          </w:p>
        </w:tc>
        <w:tc>
          <w:tcPr>
            <w:tcW w:w="1379" w:type="dxa"/>
            <w:shd w:val="clear" w:color="auto" w:fill="auto"/>
          </w:tcPr>
          <w:p w:rsidRPr="004D7524" w:rsidR="00367022" w:rsidP="006F7359" w:rsidRDefault="00367022">
            <w:pPr>
              <w:rPr>
                <w:rFonts w:eastAsia="Calibri"/>
              </w:rPr>
            </w:pPr>
            <w:r w:rsidRPr="004D7524">
              <w:rPr>
                <w:rFonts w:eastAsia="Calibri"/>
              </w:rPr>
              <w:t>30</w:t>
            </w:r>
          </w:p>
        </w:tc>
        <w:tc>
          <w:tcPr>
            <w:tcW w:w="1242" w:type="dxa"/>
            <w:shd w:val="clear" w:color="auto" w:fill="auto"/>
          </w:tcPr>
          <w:p w:rsidRPr="004D7524" w:rsidR="00367022" w:rsidP="006F7359" w:rsidRDefault="00367022">
            <w:pPr>
              <w:rPr>
                <w:rFonts w:eastAsia="Calibri"/>
              </w:rPr>
            </w:pPr>
            <w:r w:rsidRPr="004D7524">
              <w:rPr>
                <w:rFonts w:eastAsia="Calibri"/>
              </w:rPr>
              <w:t>75</w:t>
            </w:r>
          </w:p>
        </w:tc>
        <w:tc>
          <w:tcPr>
            <w:tcW w:w="1084" w:type="dxa"/>
            <w:shd w:val="clear" w:color="auto" w:fill="auto"/>
          </w:tcPr>
          <w:p w:rsidRPr="004D7524" w:rsidR="00367022" w:rsidP="006F7359" w:rsidRDefault="00367022">
            <w:pPr>
              <w:rPr>
                <w:rFonts w:eastAsia="Calibri"/>
              </w:rPr>
            </w:pPr>
            <w:r w:rsidRPr="004D7524">
              <w:rPr>
                <w:rFonts w:eastAsia="Calibri"/>
              </w:rPr>
              <w:t>270</w:t>
            </w:r>
          </w:p>
        </w:tc>
        <w:tc>
          <w:tcPr>
            <w:tcW w:w="1114" w:type="dxa"/>
            <w:shd w:val="clear" w:color="auto" w:fill="auto"/>
          </w:tcPr>
          <w:p w:rsidRPr="004D7524" w:rsidR="00367022" w:rsidP="006F7359" w:rsidRDefault="00367022">
            <w:pPr>
              <w:rPr>
                <w:rFonts w:eastAsia="Calibri"/>
              </w:rPr>
            </w:pPr>
            <w:r w:rsidRPr="004D7524">
              <w:rPr>
                <w:rFonts w:eastAsia="Calibri"/>
              </w:rPr>
              <w:t>788</w:t>
            </w:r>
          </w:p>
        </w:tc>
        <w:tc>
          <w:tcPr>
            <w:tcW w:w="1109" w:type="dxa"/>
            <w:shd w:val="clear" w:color="auto" w:fill="auto"/>
          </w:tcPr>
          <w:p w:rsidRPr="004D7524" w:rsidR="00367022" w:rsidP="006F7359" w:rsidRDefault="00367022">
            <w:pPr>
              <w:rPr>
                <w:rFonts w:eastAsia="Calibri"/>
              </w:rPr>
            </w:pPr>
            <w:r w:rsidRPr="004D7524">
              <w:rPr>
                <w:rFonts w:eastAsia="Calibri"/>
              </w:rPr>
              <w:t>4.502</w:t>
            </w:r>
          </w:p>
        </w:tc>
        <w:tc>
          <w:tcPr>
            <w:tcW w:w="1323" w:type="dxa"/>
            <w:shd w:val="clear" w:color="auto" w:fill="auto"/>
          </w:tcPr>
          <w:p w:rsidRPr="004D7524" w:rsidR="00367022" w:rsidP="006F7359" w:rsidRDefault="00367022">
            <w:pPr>
              <w:rPr>
                <w:rFonts w:eastAsia="Calibri"/>
              </w:rPr>
            </w:pPr>
            <w:r w:rsidRPr="004D7524">
              <w:rPr>
                <w:rFonts w:eastAsia="Calibri"/>
              </w:rPr>
              <w:t>26</w:t>
            </w:r>
          </w:p>
        </w:tc>
      </w:tr>
      <w:tr w:rsidRPr="004D7524" w:rsidR="00367022" w:rsidTr="00C34C40">
        <w:tc>
          <w:tcPr>
            <w:tcW w:w="1284" w:type="dxa"/>
            <w:shd w:val="clear" w:color="auto" w:fill="auto"/>
          </w:tcPr>
          <w:p w:rsidRPr="004D7524" w:rsidR="00367022" w:rsidP="006F7359" w:rsidRDefault="00367022">
            <w:pPr>
              <w:rPr>
                <w:rFonts w:eastAsia="Calibri"/>
              </w:rPr>
            </w:pPr>
            <w:r w:rsidRPr="004D7524">
              <w:rPr>
                <w:rFonts w:eastAsia="Calibri"/>
              </w:rPr>
              <w:t>REMS</w:t>
            </w:r>
          </w:p>
        </w:tc>
        <w:tc>
          <w:tcPr>
            <w:tcW w:w="1379" w:type="dxa"/>
            <w:shd w:val="clear" w:color="auto" w:fill="auto"/>
          </w:tcPr>
          <w:p w:rsidRPr="004D7524" w:rsidR="00367022" w:rsidP="006F7359" w:rsidRDefault="00367022">
            <w:pPr>
              <w:rPr>
                <w:rFonts w:eastAsia="Calibri"/>
              </w:rPr>
            </w:pPr>
            <w:r w:rsidRPr="004D7524">
              <w:rPr>
                <w:rFonts w:eastAsia="Calibri"/>
              </w:rPr>
              <w:t>110</w:t>
            </w:r>
          </w:p>
        </w:tc>
        <w:tc>
          <w:tcPr>
            <w:tcW w:w="1242" w:type="dxa"/>
            <w:shd w:val="clear" w:color="auto" w:fill="auto"/>
          </w:tcPr>
          <w:p w:rsidRPr="004D7524" w:rsidR="00367022" w:rsidP="006F7359" w:rsidRDefault="00367022">
            <w:pPr>
              <w:rPr>
                <w:rFonts w:eastAsia="Calibri"/>
              </w:rPr>
            </w:pPr>
            <w:r w:rsidRPr="004D7524">
              <w:rPr>
                <w:rFonts w:eastAsia="Calibri"/>
              </w:rPr>
              <w:t>79,000</w:t>
            </w:r>
          </w:p>
        </w:tc>
        <w:tc>
          <w:tcPr>
            <w:tcW w:w="1084" w:type="dxa"/>
            <w:shd w:val="clear" w:color="auto" w:fill="auto"/>
          </w:tcPr>
          <w:p w:rsidRPr="004D7524" w:rsidR="00367022" w:rsidP="006F7359" w:rsidRDefault="00367022">
            <w:pPr>
              <w:rPr>
                <w:rFonts w:eastAsia="Calibri"/>
              </w:rPr>
            </w:pPr>
            <w:r w:rsidRPr="004D7524">
              <w:rPr>
                <w:rFonts w:eastAsia="Calibri"/>
              </w:rPr>
              <w:t>23</w:t>
            </w:r>
          </w:p>
        </w:tc>
        <w:tc>
          <w:tcPr>
            <w:tcW w:w="1114" w:type="dxa"/>
            <w:shd w:val="clear" w:color="auto" w:fill="auto"/>
          </w:tcPr>
          <w:p w:rsidRPr="004D7524" w:rsidR="00367022" w:rsidP="006F7359" w:rsidRDefault="00367022">
            <w:pPr>
              <w:rPr>
                <w:rFonts w:eastAsia="Calibri"/>
              </w:rPr>
            </w:pPr>
            <w:r w:rsidRPr="004D7524">
              <w:rPr>
                <w:rFonts w:eastAsia="Calibri"/>
              </w:rPr>
              <w:t>30,283</w:t>
            </w:r>
          </w:p>
        </w:tc>
        <w:tc>
          <w:tcPr>
            <w:tcW w:w="1109" w:type="dxa"/>
            <w:shd w:val="clear" w:color="auto" w:fill="auto"/>
          </w:tcPr>
          <w:p w:rsidRPr="004D7524" w:rsidR="00367022" w:rsidP="006F7359" w:rsidRDefault="00367022">
            <w:pPr>
              <w:rPr>
                <w:rFonts w:eastAsia="Calibri"/>
              </w:rPr>
            </w:pPr>
            <w:r w:rsidRPr="004D7524">
              <w:rPr>
                <w:rFonts w:eastAsia="Calibri"/>
              </w:rPr>
              <w:t>0.3833</w:t>
            </w:r>
          </w:p>
        </w:tc>
        <w:tc>
          <w:tcPr>
            <w:tcW w:w="1323" w:type="dxa"/>
            <w:shd w:val="clear" w:color="auto" w:fill="auto"/>
          </w:tcPr>
          <w:p w:rsidRPr="004D7524" w:rsidR="00367022" w:rsidP="006F7359" w:rsidRDefault="00367022">
            <w:pPr>
              <w:rPr>
                <w:rFonts w:eastAsia="Calibri"/>
              </w:rPr>
            </w:pPr>
            <w:r w:rsidRPr="004D7524">
              <w:rPr>
                <w:rFonts w:eastAsia="Calibri"/>
              </w:rPr>
              <w:t>275</w:t>
            </w:r>
          </w:p>
        </w:tc>
      </w:tr>
      <w:tr w:rsidRPr="004D7524" w:rsidR="00367022" w:rsidTr="00C34C40">
        <w:tc>
          <w:tcPr>
            <w:tcW w:w="1284" w:type="dxa"/>
            <w:shd w:val="clear" w:color="auto" w:fill="auto"/>
          </w:tcPr>
          <w:p w:rsidRPr="004D7524" w:rsidR="00367022" w:rsidP="006F7359" w:rsidRDefault="00367022">
            <w:pPr>
              <w:rPr>
                <w:rFonts w:eastAsia="Calibri"/>
              </w:rPr>
            </w:pPr>
            <w:r w:rsidRPr="004D7524">
              <w:rPr>
                <w:rFonts w:eastAsia="Calibri"/>
              </w:rPr>
              <w:lastRenderedPageBreak/>
              <w:t>Fire Protection</w:t>
            </w:r>
          </w:p>
        </w:tc>
        <w:tc>
          <w:tcPr>
            <w:tcW w:w="1379" w:type="dxa"/>
            <w:shd w:val="clear" w:color="auto" w:fill="auto"/>
          </w:tcPr>
          <w:p w:rsidRPr="004D7524" w:rsidR="00367022" w:rsidP="006F7359" w:rsidRDefault="00367022">
            <w:pPr>
              <w:rPr>
                <w:rFonts w:eastAsia="Calibri"/>
              </w:rPr>
            </w:pPr>
            <w:r w:rsidRPr="004D7524">
              <w:rPr>
                <w:rFonts w:eastAsia="Calibri"/>
              </w:rPr>
              <w:t>30</w:t>
            </w:r>
          </w:p>
        </w:tc>
        <w:tc>
          <w:tcPr>
            <w:tcW w:w="1242" w:type="dxa"/>
            <w:shd w:val="clear" w:color="auto" w:fill="auto"/>
          </w:tcPr>
          <w:p w:rsidRPr="004D7524" w:rsidR="00367022" w:rsidP="006F7359" w:rsidRDefault="00367022">
            <w:pPr>
              <w:rPr>
                <w:rFonts w:eastAsia="Calibri"/>
              </w:rPr>
            </w:pPr>
            <w:r w:rsidRPr="004D7524">
              <w:rPr>
                <w:rFonts w:eastAsia="Calibri"/>
              </w:rPr>
              <w:t>30</w:t>
            </w:r>
          </w:p>
        </w:tc>
        <w:tc>
          <w:tcPr>
            <w:tcW w:w="1084" w:type="dxa"/>
            <w:shd w:val="clear" w:color="auto" w:fill="auto"/>
          </w:tcPr>
          <w:p w:rsidRPr="004D7524" w:rsidR="00367022" w:rsidP="006F7359" w:rsidRDefault="00367022">
            <w:pPr>
              <w:rPr>
                <w:rFonts w:eastAsia="Calibri"/>
              </w:rPr>
            </w:pPr>
            <w:r w:rsidRPr="004D7524">
              <w:rPr>
                <w:rFonts w:eastAsia="Calibri"/>
              </w:rPr>
              <w:t>480</w:t>
            </w:r>
          </w:p>
        </w:tc>
        <w:tc>
          <w:tcPr>
            <w:tcW w:w="1114" w:type="dxa"/>
            <w:shd w:val="clear" w:color="auto" w:fill="auto"/>
          </w:tcPr>
          <w:p w:rsidRPr="004D7524" w:rsidR="00367022" w:rsidP="006F7359" w:rsidRDefault="00367022">
            <w:pPr>
              <w:rPr>
                <w:rFonts w:eastAsia="Calibri"/>
              </w:rPr>
            </w:pPr>
            <w:r w:rsidRPr="004D7524">
              <w:rPr>
                <w:rFonts w:eastAsia="Calibri"/>
              </w:rPr>
              <w:t>240</w:t>
            </w:r>
          </w:p>
        </w:tc>
        <w:tc>
          <w:tcPr>
            <w:tcW w:w="1109" w:type="dxa"/>
            <w:shd w:val="clear" w:color="auto" w:fill="auto"/>
          </w:tcPr>
          <w:p w:rsidRPr="004D7524" w:rsidR="00367022" w:rsidP="006F7359" w:rsidRDefault="00367022">
            <w:pPr>
              <w:rPr>
                <w:rFonts w:eastAsia="Calibri"/>
              </w:rPr>
            </w:pPr>
            <w:r w:rsidRPr="004D7524">
              <w:rPr>
                <w:rFonts w:eastAsia="Calibri"/>
              </w:rPr>
              <w:t>8</w:t>
            </w:r>
          </w:p>
        </w:tc>
        <w:tc>
          <w:tcPr>
            <w:tcW w:w="1323" w:type="dxa"/>
            <w:shd w:val="clear" w:color="auto" w:fill="auto"/>
          </w:tcPr>
          <w:p w:rsidRPr="004D7524" w:rsidR="00367022" w:rsidP="006F7359" w:rsidRDefault="00367022">
            <w:pPr>
              <w:rPr>
                <w:rFonts w:eastAsia="Calibri"/>
              </w:rPr>
            </w:pPr>
            <w:r w:rsidRPr="004D7524">
              <w:rPr>
                <w:rFonts w:eastAsia="Calibri"/>
              </w:rPr>
              <w:t>8</w:t>
            </w:r>
          </w:p>
        </w:tc>
      </w:tr>
      <w:tr w:rsidRPr="004D7524" w:rsidR="00367022" w:rsidTr="00C34C40">
        <w:tc>
          <w:tcPr>
            <w:tcW w:w="1284" w:type="dxa"/>
            <w:shd w:val="clear" w:color="auto" w:fill="auto"/>
          </w:tcPr>
          <w:p w:rsidRPr="004D7524" w:rsidR="00367022" w:rsidP="006F7359" w:rsidRDefault="00367022">
            <w:pPr>
              <w:rPr>
                <w:rFonts w:eastAsia="Calibri"/>
              </w:rPr>
            </w:pPr>
            <w:r w:rsidRPr="004D7524">
              <w:rPr>
                <w:rFonts w:eastAsia="Calibri"/>
              </w:rPr>
              <w:t>Safety Basis Information System</w:t>
            </w:r>
          </w:p>
        </w:tc>
        <w:tc>
          <w:tcPr>
            <w:tcW w:w="1379" w:type="dxa"/>
            <w:shd w:val="clear" w:color="auto" w:fill="auto"/>
          </w:tcPr>
          <w:p w:rsidRPr="004D7524" w:rsidR="00367022" w:rsidP="006F7359" w:rsidRDefault="00367022">
            <w:pPr>
              <w:rPr>
                <w:rFonts w:eastAsia="Calibri"/>
              </w:rPr>
            </w:pPr>
            <w:r w:rsidRPr="004D7524">
              <w:rPr>
                <w:rFonts w:eastAsia="Calibri"/>
              </w:rPr>
              <w:t>95</w:t>
            </w:r>
          </w:p>
        </w:tc>
        <w:tc>
          <w:tcPr>
            <w:tcW w:w="1242" w:type="dxa"/>
            <w:shd w:val="clear" w:color="auto" w:fill="auto"/>
          </w:tcPr>
          <w:p w:rsidRPr="004D7524" w:rsidR="00367022" w:rsidP="006F7359" w:rsidRDefault="00367022">
            <w:pPr>
              <w:rPr>
                <w:rFonts w:eastAsia="Calibri"/>
              </w:rPr>
            </w:pPr>
            <w:r w:rsidRPr="004D7524">
              <w:rPr>
                <w:rFonts w:eastAsia="Calibri"/>
              </w:rPr>
              <w:t>195</w:t>
            </w:r>
          </w:p>
        </w:tc>
        <w:tc>
          <w:tcPr>
            <w:tcW w:w="1084" w:type="dxa"/>
            <w:shd w:val="clear" w:color="auto" w:fill="auto"/>
          </w:tcPr>
          <w:p w:rsidRPr="004D7524" w:rsidR="00367022" w:rsidP="006F7359" w:rsidRDefault="00367022">
            <w:pPr>
              <w:rPr>
                <w:rFonts w:eastAsia="Calibri"/>
              </w:rPr>
            </w:pPr>
            <w:r w:rsidRPr="004D7524">
              <w:rPr>
                <w:rFonts w:eastAsia="Calibri"/>
              </w:rPr>
              <w:t>45</w:t>
            </w:r>
          </w:p>
        </w:tc>
        <w:tc>
          <w:tcPr>
            <w:tcW w:w="1114" w:type="dxa"/>
            <w:shd w:val="clear" w:color="auto" w:fill="auto"/>
          </w:tcPr>
          <w:p w:rsidRPr="004D7524" w:rsidR="00367022" w:rsidP="006F7359" w:rsidRDefault="00367022">
            <w:pPr>
              <w:rPr>
                <w:rFonts w:eastAsia="Calibri"/>
              </w:rPr>
            </w:pPr>
            <w:r w:rsidRPr="004D7524">
              <w:rPr>
                <w:rFonts w:eastAsia="Calibri"/>
              </w:rPr>
              <w:t>146</w:t>
            </w:r>
          </w:p>
        </w:tc>
        <w:tc>
          <w:tcPr>
            <w:tcW w:w="1109" w:type="dxa"/>
            <w:shd w:val="clear" w:color="auto" w:fill="auto"/>
          </w:tcPr>
          <w:p w:rsidRPr="004D7524" w:rsidR="00367022" w:rsidP="006F7359" w:rsidRDefault="00367022">
            <w:pPr>
              <w:rPr>
                <w:rFonts w:eastAsia="Calibri"/>
              </w:rPr>
            </w:pPr>
            <w:r w:rsidRPr="004D7524">
              <w:rPr>
                <w:rFonts w:eastAsia="Calibri"/>
              </w:rPr>
              <w:t>0.7487</w:t>
            </w:r>
          </w:p>
        </w:tc>
        <w:tc>
          <w:tcPr>
            <w:tcW w:w="1323" w:type="dxa"/>
            <w:shd w:val="clear" w:color="auto" w:fill="auto"/>
          </w:tcPr>
          <w:p w:rsidRPr="004D7524" w:rsidR="00367022" w:rsidP="006F7359" w:rsidRDefault="00367022">
            <w:pPr>
              <w:rPr>
                <w:rFonts w:eastAsia="Calibri"/>
              </w:rPr>
            </w:pPr>
            <w:r w:rsidRPr="004D7524">
              <w:rPr>
                <w:rFonts w:eastAsia="Calibri"/>
              </w:rPr>
              <w:t>2</w:t>
            </w:r>
          </w:p>
        </w:tc>
      </w:tr>
      <w:tr w:rsidRPr="004D7524" w:rsidR="00367022" w:rsidTr="00C34C40">
        <w:tc>
          <w:tcPr>
            <w:tcW w:w="1284" w:type="dxa"/>
            <w:shd w:val="clear" w:color="auto" w:fill="auto"/>
          </w:tcPr>
          <w:p w:rsidRPr="004D7524" w:rsidR="00367022" w:rsidP="006F7359" w:rsidRDefault="00367022">
            <w:pPr>
              <w:rPr>
                <w:rFonts w:eastAsia="Calibri"/>
              </w:rPr>
            </w:pPr>
            <w:r w:rsidRPr="004D7524">
              <w:rPr>
                <w:rFonts w:eastAsia="Calibri"/>
              </w:rPr>
              <w:t>Lessons Learned System</w:t>
            </w:r>
          </w:p>
        </w:tc>
        <w:tc>
          <w:tcPr>
            <w:tcW w:w="1379" w:type="dxa"/>
            <w:shd w:val="clear" w:color="auto" w:fill="auto"/>
          </w:tcPr>
          <w:p w:rsidRPr="004D7524" w:rsidR="00367022" w:rsidP="006F7359" w:rsidRDefault="00367022">
            <w:pPr>
              <w:rPr>
                <w:rFonts w:eastAsia="Calibri"/>
              </w:rPr>
            </w:pPr>
            <w:r w:rsidRPr="004D7524">
              <w:rPr>
                <w:rFonts w:eastAsia="Calibri"/>
              </w:rPr>
              <w:t>40</w:t>
            </w:r>
          </w:p>
        </w:tc>
        <w:tc>
          <w:tcPr>
            <w:tcW w:w="1242" w:type="dxa"/>
            <w:shd w:val="clear" w:color="auto" w:fill="auto"/>
          </w:tcPr>
          <w:p w:rsidRPr="004D7524" w:rsidR="00367022" w:rsidP="006F7359" w:rsidRDefault="00367022">
            <w:pPr>
              <w:rPr>
                <w:rFonts w:eastAsia="Calibri"/>
              </w:rPr>
            </w:pPr>
            <w:r w:rsidRPr="004D7524">
              <w:rPr>
                <w:rFonts w:eastAsia="Calibri"/>
              </w:rPr>
              <w:t>180</w:t>
            </w:r>
          </w:p>
        </w:tc>
        <w:tc>
          <w:tcPr>
            <w:tcW w:w="1084" w:type="dxa"/>
            <w:shd w:val="clear" w:color="auto" w:fill="auto"/>
          </w:tcPr>
          <w:p w:rsidRPr="004D7524" w:rsidR="00367022" w:rsidP="006F7359" w:rsidRDefault="00367022">
            <w:pPr>
              <w:rPr>
                <w:rFonts w:eastAsia="Calibri"/>
              </w:rPr>
            </w:pPr>
            <w:r w:rsidRPr="004D7524">
              <w:rPr>
                <w:rFonts w:eastAsia="Calibri"/>
              </w:rPr>
              <w:t>113.3</w:t>
            </w:r>
          </w:p>
        </w:tc>
        <w:tc>
          <w:tcPr>
            <w:tcW w:w="1114" w:type="dxa"/>
            <w:shd w:val="clear" w:color="auto" w:fill="auto"/>
          </w:tcPr>
          <w:p w:rsidRPr="004D7524" w:rsidR="00367022" w:rsidP="006F7359" w:rsidRDefault="00367022">
            <w:pPr>
              <w:rPr>
                <w:rFonts w:eastAsia="Calibri"/>
              </w:rPr>
            </w:pPr>
            <w:r w:rsidRPr="004D7524">
              <w:rPr>
                <w:rFonts w:eastAsia="Calibri"/>
              </w:rPr>
              <w:t>400</w:t>
            </w:r>
          </w:p>
        </w:tc>
        <w:tc>
          <w:tcPr>
            <w:tcW w:w="1109" w:type="dxa"/>
            <w:shd w:val="clear" w:color="auto" w:fill="auto"/>
          </w:tcPr>
          <w:p w:rsidRPr="004D7524" w:rsidR="00367022" w:rsidP="006F7359" w:rsidRDefault="00367022">
            <w:pPr>
              <w:rPr>
                <w:rFonts w:eastAsia="Calibri"/>
              </w:rPr>
            </w:pPr>
            <w:r w:rsidRPr="004D7524">
              <w:rPr>
                <w:rFonts w:eastAsia="Calibri"/>
              </w:rPr>
              <w:t>2.2222</w:t>
            </w:r>
          </w:p>
        </w:tc>
        <w:tc>
          <w:tcPr>
            <w:tcW w:w="1323" w:type="dxa"/>
            <w:shd w:val="clear" w:color="auto" w:fill="auto"/>
          </w:tcPr>
          <w:p w:rsidRPr="004D7524" w:rsidR="00367022" w:rsidP="006F7359" w:rsidRDefault="00367022">
            <w:pPr>
              <w:rPr>
                <w:rFonts w:eastAsia="Calibri"/>
              </w:rPr>
            </w:pPr>
            <w:r w:rsidRPr="004D7524">
              <w:rPr>
                <w:rFonts w:eastAsia="Calibri"/>
              </w:rPr>
              <w:t>10</w:t>
            </w:r>
          </w:p>
        </w:tc>
      </w:tr>
      <w:tr w:rsidRPr="004D7524" w:rsidR="00367022" w:rsidTr="00C34C40">
        <w:tc>
          <w:tcPr>
            <w:tcW w:w="1284" w:type="dxa"/>
            <w:shd w:val="clear" w:color="auto" w:fill="auto"/>
          </w:tcPr>
          <w:p w:rsidRPr="004D7524" w:rsidR="00367022" w:rsidP="006F7359" w:rsidRDefault="00367022">
            <w:pPr>
              <w:jc w:val="right"/>
              <w:rPr>
                <w:rFonts w:eastAsia="Calibri"/>
              </w:rPr>
            </w:pPr>
          </w:p>
        </w:tc>
        <w:tc>
          <w:tcPr>
            <w:tcW w:w="1379" w:type="dxa"/>
            <w:shd w:val="clear" w:color="auto" w:fill="auto"/>
          </w:tcPr>
          <w:p w:rsidRPr="004D7524" w:rsidR="00367022" w:rsidP="006F7359" w:rsidRDefault="00367022">
            <w:pPr>
              <w:rPr>
                <w:rFonts w:eastAsia="Calibri"/>
              </w:rPr>
            </w:pPr>
            <w:r w:rsidRPr="004D7524">
              <w:rPr>
                <w:rFonts w:eastAsia="Calibri"/>
              </w:rPr>
              <w:t>845</w:t>
            </w:r>
          </w:p>
        </w:tc>
        <w:tc>
          <w:tcPr>
            <w:tcW w:w="1242" w:type="dxa"/>
            <w:shd w:val="clear" w:color="auto" w:fill="auto"/>
          </w:tcPr>
          <w:p w:rsidRPr="004D7524" w:rsidR="00367022" w:rsidP="006F7359" w:rsidRDefault="00367022">
            <w:pPr>
              <w:rPr>
                <w:rFonts w:eastAsia="Calibri"/>
              </w:rPr>
            </w:pPr>
            <w:r w:rsidRPr="004D7524">
              <w:rPr>
                <w:rFonts w:eastAsia="Calibri"/>
              </w:rPr>
              <w:t>82,155</w:t>
            </w:r>
          </w:p>
        </w:tc>
        <w:tc>
          <w:tcPr>
            <w:tcW w:w="1084" w:type="dxa"/>
            <w:shd w:val="clear" w:color="auto" w:fill="auto"/>
          </w:tcPr>
          <w:p w:rsidRPr="004D7524" w:rsidR="00367022" w:rsidP="006F7359" w:rsidRDefault="00367022">
            <w:pPr>
              <w:rPr>
                <w:rFonts w:eastAsia="Calibri"/>
              </w:rPr>
            </w:pPr>
          </w:p>
        </w:tc>
        <w:tc>
          <w:tcPr>
            <w:tcW w:w="1114" w:type="dxa"/>
            <w:shd w:val="clear" w:color="auto" w:fill="auto"/>
          </w:tcPr>
          <w:p w:rsidRPr="004D7524" w:rsidR="00367022" w:rsidP="006F7359" w:rsidRDefault="00367022">
            <w:pPr>
              <w:rPr>
                <w:rFonts w:eastAsia="Calibri"/>
              </w:rPr>
            </w:pPr>
            <w:r w:rsidRPr="004D7524">
              <w:rPr>
                <w:rFonts w:eastAsia="Calibri"/>
              </w:rPr>
              <w:t>37,280</w:t>
            </w:r>
          </w:p>
        </w:tc>
        <w:tc>
          <w:tcPr>
            <w:tcW w:w="1109" w:type="dxa"/>
            <w:shd w:val="clear" w:color="auto" w:fill="auto"/>
          </w:tcPr>
          <w:p w:rsidRPr="004D7524" w:rsidR="00367022" w:rsidP="006F7359" w:rsidRDefault="00367022">
            <w:pPr>
              <w:rPr>
                <w:rFonts w:eastAsia="Calibri"/>
              </w:rPr>
            </w:pPr>
            <w:r w:rsidRPr="004D7524">
              <w:rPr>
                <w:rFonts w:eastAsia="Calibri"/>
              </w:rPr>
              <w:t>0.4538</w:t>
            </w:r>
          </w:p>
        </w:tc>
        <w:tc>
          <w:tcPr>
            <w:tcW w:w="1323" w:type="dxa"/>
            <w:shd w:val="clear" w:color="auto" w:fill="auto"/>
          </w:tcPr>
          <w:p w:rsidRPr="004D7524" w:rsidR="00367022" w:rsidP="006F7359" w:rsidRDefault="00367022">
            <w:pPr>
              <w:rPr>
                <w:rFonts w:eastAsia="Calibri"/>
              </w:rPr>
            </w:pPr>
            <w:r w:rsidRPr="004D7524">
              <w:rPr>
                <w:rFonts w:eastAsia="Calibri"/>
              </w:rPr>
              <w:t>44</w:t>
            </w:r>
          </w:p>
        </w:tc>
      </w:tr>
    </w:tbl>
    <w:p w:rsidRPr="004D7524" w:rsidR="00F056C3" w:rsidP="00F056C3" w:rsidRDefault="00F056C3">
      <w:pPr>
        <w:pStyle w:val="Heading2"/>
      </w:pPr>
      <w:bookmarkStart w:name="_Toc18939202" w:id="15"/>
      <w:bookmarkStart w:name="_GoBack" w:id="16"/>
      <w:bookmarkEnd w:id="16"/>
      <w:r w:rsidRPr="004D7524">
        <w:t>A.</w:t>
      </w:r>
      <w:r w:rsidRPr="004D7524" w:rsidR="00A41763">
        <w:t xml:space="preserve">13. </w:t>
      </w:r>
      <w:r w:rsidRPr="004D7524" w:rsidR="006F3C12">
        <w:t xml:space="preserve">Other Estimated </w:t>
      </w:r>
      <w:r w:rsidRPr="004D7524">
        <w:t xml:space="preserve">Annual Cost to </w:t>
      </w:r>
      <w:r w:rsidRPr="004D7524" w:rsidR="00FE2197">
        <w:t>Respondents</w:t>
      </w:r>
      <w:bookmarkEnd w:id="15"/>
    </w:p>
    <w:p w:rsidRPr="004D7524" w:rsidR="00A41763" w:rsidP="00A41763" w:rsidRDefault="00A41763">
      <w:r w:rsidRPr="004D7524">
        <w:rPr>
          <w:b/>
          <w:bCs/>
        </w:rPr>
        <w:t xml:space="preserve">Provide an estimate for the total annual cost burden to respondents or </w:t>
      </w:r>
      <w:proofErr w:type="spellStart"/>
      <w:r w:rsidRPr="004D7524">
        <w:rPr>
          <w:b/>
          <w:bCs/>
        </w:rPr>
        <w:t>recordkeepers</w:t>
      </w:r>
      <w:proofErr w:type="spellEnd"/>
      <w:r w:rsidRPr="004D7524">
        <w:rPr>
          <w:b/>
          <w:bCs/>
        </w:rPr>
        <w:t xml:space="preserve"> resulting from the collection of information. </w:t>
      </w:r>
    </w:p>
    <w:p w:rsidR="00367022" w:rsidP="00367022" w:rsidRDefault="00367022">
      <w:pPr>
        <w:ind w:left="360"/>
      </w:pPr>
      <w:r w:rsidRPr="004D7524">
        <w:t xml:space="preserve">The estimated annualized cost to the contractor/public respondents for the data in this package is based on an assumed standard cost of $120 per hour.  </w:t>
      </w:r>
    </w:p>
    <w:p w:rsidRPr="004D7524" w:rsidR="00013756" w:rsidP="00367022" w:rsidRDefault="00013756">
      <w:pPr>
        <w:ind w:left="360"/>
      </w:pPr>
    </w:p>
    <w:tbl>
      <w:tblPr>
        <w:tblW w:w="613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68"/>
        <w:gridCol w:w="1620"/>
        <w:gridCol w:w="3150"/>
      </w:tblGrid>
      <w:tr w:rsidRPr="004D7524" w:rsidR="00743D5F" w:rsidTr="00743D5F">
        <w:tc>
          <w:tcPr>
            <w:tcW w:w="1368" w:type="dxa"/>
            <w:shd w:val="clear" w:color="auto" w:fill="FFFFFF"/>
          </w:tcPr>
          <w:p w:rsidRPr="004D7524" w:rsidR="00743D5F" w:rsidP="006F7359" w:rsidRDefault="00743D5F">
            <w:r w:rsidRPr="004D7524">
              <w:rPr>
                <w:rFonts w:eastAsia="Calibri"/>
              </w:rPr>
              <w:lastRenderedPageBreak/>
              <w:t>Collection Instrument</w:t>
            </w:r>
          </w:p>
        </w:tc>
        <w:tc>
          <w:tcPr>
            <w:tcW w:w="1620" w:type="dxa"/>
            <w:shd w:val="clear" w:color="auto" w:fill="FFFFFF"/>
          </w:tcPr>
          <w:p w:rsidRPr="004D7524" w:rsidR="00743D5F" w:rsidP="006F7359" w:rsidRDefault="00743D5F">
            <w:r w:rsidRPr="004D7524">
              <w:rPr>
                <w:rFonts w:eastAsia="Calibri"/>
              </w:rPr>
              <w:t>Estimated Annual Burden Hours</w:t>
            </w:r>
          </w:p>
        </w:tc>
        <w:tc>
          <w:tcPr>
            <w:tcW w:w="3150" w:type="dxa"/>
            <w:tcBorders>
              <w:top w:val="single" w:color="auto" w:sz="4" w:space="0"/>
              <w:left w:val="single" w:color="auto" w:sz="4" w:space="0"/>
              <w:bottom w:val="single" w:color="auto" w:sz="4" w:space="0"/>
              <w:right w:val="single" w:color="auto" w:sz="4" w:space="0"/>
            </w:tcBorders>
            <w:shd w:val="clear" w:color="auto" w:fill="FFFFFF"/>
          </w:tcPr>
          <w:p w:rsidRPr="004D7524" w:rsidR="00743D5F" w:rsidP="006F7359" w:rsidRDefault="00743D5F">
            <w:pPr>
              <w:jc w:val="right"/>
            </w:pPr>
            <w:r w:rsidRPr="004D7524">
              <w:rPr>
                <w:b/>
                <w:bCs/>
              </w:rPr>
              <w:t>Estimated Costs to Respondents (Formula: $120 x burden hour)</w:t>
            </w:r>
          </w:p>
        </w:tc>
      </w:tr>
      <w:tr w:rsidRPr="004D7524" w:rsidR="00743D5F" w:rsidTr="00743D5F">
        <w:tc>
          <w:tcPr>
            <w:tcW w:w="1368" w:type="dxa"/>
            <w:shd w:val="clear" w:color="auto" w:fill="auto"/>
          </w:tcPr>
          <w:p w:rsidRPr="004D7524" w:rsidR="00743D5F" w:rsidP="006F7359" w:rsidRDefault="00743D5F">
            <w:pPr>
              <w:rPr>
                <w:rFonts w:eastAsia="Calibri"/>
              </w:rPr>
            </w:pPr>
            <w:r w:rsidRPr="004D7524">
              <w:rPr>
                <w:rFonts w:eastAsia="Calibri"/>
              </w:rPr>
              <w:t>CAIRS</w:t>
            </w:r>
          </w:p>
        </w:tc>
        <w:tc>
          <w:tcPr>
            <w:tcW w:w="1620" w:type="dxa"/>
            <w:shd w:val="clear" w:color="auto" w:fill="auto"/>
            <w:vAlign w:val="bottom"/>
          </w:tcPr>
          <w:p w:rsidRPr="004D7524" w:rsidR="00743D5F" w:rsidP="006F7359" w:rsidRDefault="00743D5F">
            <w:pPr>
              <w:jc w:val="right"/>
              <w:rPr>
                <w:rFonts w:eastAsia="Calibri"/>
              </w:rPr>
            </w:pPr>
            <w:r w:rsidRPr="004D7524">
              <w:rPr>
                <w:rFonts w:eastAsia="Calibri"/>
              </w:rPr>
              <w:t>1,673</w:t>
            </w:r>
          </w:p>
        </w:tc>
        <w:tc>
          <w:tcPr>
            <w:tcW w:w="3150" w:type="dxa"/>
            <w:tcBorders>
              <w:top w:val="nil"/>
              <w:left w:val="single" w:color="auto" w:sz="4" w:space="0"/>
              <w:bottom w:val="single" w:color="auto" w:sz="4" w:space="0"/>
              <w:right w:val="single" w:color="auto" w:sz="4" w:space="0"/>
            </w:tcBorders>
            <w:shd w:val="clear" w:color="auto" w:fill="FFFFFF"/>
            <w:vAlign w:val="bottom"/>
          </w:tcPr>
          <w:p w:rsidRPr="004D7524" w:rsidR="00743D5F" w:rsidP="006F7359" w:rsidRDefault="00743D5F">
            <w:pPr>
              <w:jc w:val="right"/>
            </w:pPr>
            <w:r w:rsidRPr="004D7524">
              <w:t>$200,760</w:t>
            </w:r>
          </w:p>
        </w:tc>
      </w:tr>
      <w:tr w:rsidRPr="004D7524" w:rsidR="00743D5F" w:rsidTr="00743D5F">
        <w:tc>
          <w:tcPr>
            <w:tcW w:w="1368" w:type="dxa"/>
            <w:shd w:val="clear" w:color="auto" w:fill="auto"/>
          </w:tcPr>
          <w:p w:rsidRPr="004D7524" w:rsidR="00743D5F" w:rsidP="006F7359" w:rsidRDefault="00743D5F">
            <w:pPr>
              <w:rPr>
                <w:rFonts w:eastAsia="Calibri"/>
              </w:rPr>
            </w:pPr>
            <w:r w:rsidRPr="004D7524">
              <w:rPr>
                <w:rFonts w:eastAsia="Calibri"/>
              </w:rPr>
              <w:t>ORPS</w:t>
            </w:r>
          </w:p>
        </w:tc>
        <w:tc>
          <w:tcPr>
            <w:tcW w:w="1620" w:type="dxa"/>
            <w:shd w:val="clear" w:color="auto" w:fill="auto"/>
            <w:vAlign w:val="bottom"/>
          </w:tcPr>
          <w:p w:rsidRPr="004D7524" w:rsidR="00743D5F" w:rsidP="006F7359" w:rsidRDefault="00743D5F">
            <w:pPr>
              <w:jc w:val="right"/>
              <w:rPr>
                <w:rFonts w:eastAsia="Calibri"/>
              </w:rPr>
            </w:pPr>
            <w:r w:rsidRPr="004D7524">
              <w:rPr>
                <w:rFonts w:eastAsia="Calibri"/>
              </w:rPr>
              <w:t>3,750</w:t>
            </w:r>
          </w:p>
        </w:tc>
        <w:tc>
          <w:tcPr>
            <w:tcW w:w="3150" w:type="dxa"/>
            <w:tcBorders>
              <w:top w:val="nil"/>
              <w:left w:val="single" w:color="auto" w:sz="4" w:space="0"/>
              <w:bottom w:val="single" w:color="auto" w:sz="4" w:space="0"/>
              <w:right w:val="single" w:color="auto" w:sz="4" w:space="0"/>
            </w:tcBorders>
            <w:shd w:val="clear" w:color="auto" w:fill="FFFFFF"/>
            <w:vAlign w:val="bottom"/>
          </w:tcPr>
          <w:p w:rsidRPr="004D7524" w:rsidR="00743D5F" w:rsidP="006F7359" w:rsidRDefault="00743D5F">
            <w:pPr>
              <w:jc w:val="right"/>
            </w:pPr>
            <w:r w:rsidRPr="004D7524">
              <w:t>$450,000</w:t>
            </w:r>
          </w:p>
        </w:tc>
      </w:tr>
      <w:tr w:rsidRPr="004D7524" w:rsidR="00743D5F" w:rsidTr="00743D5F">
        <w:tc>
          <w:tcPr>
            <w:tcW w:w="1368" w:type="dxa"/>
            <w:shd w:val="clear" w:color="auto" w:fill="auto"/>
          </w:tcPr>
          <w:p w:rsidRPr="004D7524" w:rsidR="00743D5F" w:rsidP="006F7359" w:rsidRDefault="00743D5F">
            <w:pPr>
              <w:rPr>
                <w:rFonts w:eastAsia="Calibri"/>
              </w:rPr>
            </w:pPr>
            <w:r w:rsidRPr="004D7524">
              <w:rPr>
                <w:rFonts w:eastAsia="Calibri"/>
              </w:rPr>
              <w:t>NTS</w:t>
            </w:r>
          </w:p>
        </w:tc>
        <w:tc>
          <w:tcPr>
            <w:tcW w:w="1620" w:type="dxa"/>
            <w:shd w:val="clear" w:color="auto" w:fill="auto"/>
            <w:vAlign w:val="bottom"/>
          </w:tcPr>
          <w:p w:rsidRPr="004D7524" w:rsidR="00743D5F" w:rsidP="006F7359" w:rsidRDefault="00743D5F">
            <w:pPr>
              <w:jc w:val="right"/>
              <w:rPr>
                <w:rFonts w:eastAsia="Calibri"/>
              </w:rPr>
            </w:pPr>
            <w:r w:rsidRPr="004D7524">
              <w:rPr>
                <w:rFonts w:eastAsia="Calibri"/>
              </w:rPr>
              <w:t>788</w:t>
            </w:r>
          </w:p>
        </w:tc>
        <w:tc>
          <w:tcPr>
            <w:tcW w:w="3150" w:type="dxa"/>
            <w:tcBorders>
              <w:top w:val="nil"/>
              <w:left w:val="single" w:color="auto" w:sz="4" w:space="0"/>
              <w:bottom w:val="single" w:color="auto" w:sz="4" w:space="0"/>
              <w:right w:val="single" w:color="auto" w:sz="4" w:space="0"/>
            </w:tcBorders>
            <w:shd w:val="clear" w:color="auto" w:fill="FFFFFF"/>
            <w:vAlign w:val="bottom"/>
          </w:tcPr>
          <w:p w:rsidRPr="004D7524" w:rsidR="00743D5F" w:rsidP="006F7359" w:rsidRDefault="00743D5F">
            <w:pPr>
              <w:jc w:val="right"/>
            </w:pPr>
            <w:r w:rsidRPr="004D7524">
              <w:t>$94,560</w:t>
            </w:r>
          </w:p>
        </w:tc>
      </w:tr>
      <w:tr w:rsidRPr="004D7524" w:rsidR="00743D5F" w:rsidTr="00743D5F">
        <w:tc>
          <w:tcPr>
            <w:tcW w:w="1368" w:type="dxa"/>
            <w:shd w:val="clear" w:color="auto" w:fill="auto"/>
          </w:tcPr>
          <w:p w:rsidRPr="004D7524" w:rsidR="00743D5F" w:rsidP="006F7359" w:rsidRDefault="00743D5F">
            <w:pPr>
              <w:rPr>
                <w:rFonts w:eastAsia="Calibri"/>
              </w:rPr>
            </w:pPr>
            <w:r w:rsidRPr="004D7524">
              <w:rPr>
                <w:rFonts w:eastAsia="Calibri"/>
              </w:rPr>
              <w:t>REMS</w:t>
            </w:r>
          </w:p>
        </w:tc>
        <w:tc>
          <w:tcPr>
            <w:tcW w:w="1620" w:type="dxa"/>
            <w:shd w:val="clear" w:color="auto" w:fill="auto"/>
            <w:vAlign w:val="bottom"/>
          </w:tcPr>
          <w:p w:rsidRPr="004D7524" w:rsidR="00743D5F" w:rsidP="006F7359" w:rsidRDefault="00743D5F">
            <w:pPr>
              <w:jc w:val="right"/>
              <w:rPr>
                <w:rFonts w:eastAsia="Calibri"/>
              </w:rPr>
            </w:pPr>
            <w:r w:rsidRPr="004D7524">
              <w:rPr>
                <w:rFonts w:eastAsia="Calibri"/>
              </w:rPr>
              <w:t>30,283</w:t>
            </w:r>
          </w:p>
        </w:tc>
        <w:tc>
          <w:tcPr>
            <w:tcW w:w="3150" w:type="dxa"/>
            <w:tcBorders>
              <w:top w:val="nil"/>
              <w:left w:val="single" w:color="auto" w:sz="4" w:space="0"/>
              <w:bottom w:val="single" w:color="auto" w:sz="4" w:space="0"/>
              <w:right w:val="single" w:color="auto" w:sz="4" w:space="0"/>
            </w:tcBorders>
            <w:shd w:val="clear" w:color="auto" w:fill="FFFFFF"/>
            <w:vAlign w:val="bottom"/>
          </w:tcPr>
          <w:p w:rsidRPr="004D7524" w:rsidR="00743D5F" w:rsidP="006F7359" w:rsidRDefault="00743D5F">
            <w:pPr>
              <w:jc w:val="right"/>
            </w:pPr>
            <w:r w:rsidRPr="004D7524">
              <w:t>$3,633,960</w:t>
            </w:r>
          </w:p>
        </w:tc>
      </w:tr>
      <w:tr w:rsidRPr="004D7524" w:rsidR="00743D5F" w:rsidTr="00743D5F">
        <w:trPr>
          <w:trHeight w:val="620"/>
        </w:trPr>
        <w:tc>
          <w:tcPr>
            <w:tcW w:w="1368" w:type="dxa"/>
            <w:shd w:val="clear" w:color="auto" w:fill="auto"/>
          </w:tcPr>
          <w:p w:rsidRPr="004D7524" w:rsidR="00743D5F" w:rsidP="006F7359" w:rsidRDefault="00743D5F">
            <w:pPr>
              <w:rPr>
                <w:rFonts w:eastAsia="Calibri"/>
              </w:rPr>
            </w:pPr>
            <w:r w:rsidRPr="004D7524">
              <w:rPr>
                <w:rFonts w:eastAsia="Calibri"/>
              </w:rPr>
              <w:t>Fire Protection</w:t>
            </w:r>
          </w:p>
        </w:tc>
        <w:tc>
          <w:tcPr>
            <w:tcW w:w="1620" w:type="dxa"/>
            <w:shd w:val="clear" w:color="auto" w:fill="auto"/>
            <w:vAlign w:val="bottom"/>
          </w:tcPr>
          <w:p w:rsidRPr="004D7524" w:rsidR="00743D5F" w:rsidP="006F7359" w:rsidRDefault="00743D5F">
            <w:pPr>
              <w:jc w:val="right"/>
              <w:rPr>
                <w:rFonts w:eastAsia="Calibri"/>
              </w:rPr>
            </w:pPr>
            <w:r w:rsidRPr="004D7524">
              <w:rPr>
                <w:rFonts w:eastAsia="Calibri"/>
              </w:rPr>
              <w:t>240</w:t>
            </w:r>
          </w:p>
        </w:tc>
        <w:tc>
          <w:tcPr>
            <w:tcW w:w="3150" w:type="dxa"/>
            <w:tcBorders>
              <w:top w:val="nil"/>
              <w:left w:val="single" w:color="auto" w:sz="4" w:space="0"/>
              <w:right w:val="single" w:color="auto" w:sz="4" w:space="0"/>
            </w:tcBorders>
            <w:shd w:val="clear" w:color="auto" w:fill="FFFFFF"/>
            <w:vAlign w:val="bottom"/>
          </w:tcPr>
          <w:p w:rsidRPr="004D7524" w:rsidR="00743D5F" w:rsidP="006F7359" w:rsidRDefault="00743D5F">
            <w:pPr>
              <w:jc w:val="right"/>
            </w:pPr>
            <w:r w:rsidRPr="004D7524">
              <w:t>$28,800</w:t>
            </w:r>
          </w:p>
        </w:tc>
      </w:tr>
      <w:tr w:rsidRPr="004D7524" w:rsidR="00743D5F" w:rsidTr="00743D5F">
        <w:tc>
          <w:tcPr>
            <w:tcW w:w="1368" w:type="dxa"/>
            <w:shd w:val="clear" w:color="auto" w:fill="auto"/>
          </w:tcPr>
          <w:p w:rsidRPr="004D7524" w:rsidR="00743D5F" w:rsidP="006F7359" w:rsidRDefault="00743D5F">
            <w:pPr>
              <w:rPr>
                <w:rFonts w:eastAsia="Calibri"/>
              </w:rPr>
            </w:pPr>
            <w:r w:rsidRPr="004D7524">
              <w:rPr>
                <w:rFonts w:eastAsia="Calibri"/>
              </w:rPr>
              <w:t>Safety Basis Information System</w:t>
            </w:r>
          </w:p>
        </w:tc>
        <w:tc>
          <w:tcPr>
            <w:tcW w:w="1620" w:type="dxa"/>
            <w:shd w:val="clear" w:color="auto" w:fill="auto"/>
            <w:vAlign w:val="bottom"/>
          </w:tcPr>
          <w:p w:rsidRPr="004D7524" w:rsidR="00743D5F" w:rsidP="006F7359" w:rsidRDefault="00743D5F">
            <w:pPr>
              <w:jc w:val="right"/>
              <w:rPr>
                <w:rFonts w:eastAsia="Calibri"/>
              </w:rPr>
            </w:pPr>
            <w:r w:rsidRPr="004D7524">
              <w:rPr>
                <w:rFonts w:eastAsia="Calibri"/>
              </w:rPr>
              <w:t>146</w:t>
            </w:r>
          </w:p>
        </w:tc>
        <w:tc>
          <w:tcPr>
            <w:tcW w:w="3150" w:type="dxa"/>
            <w:tcBorders>
              <w:left w:val="single" w:color="auto" w:sz="4" w:space="0"/>
              <w:right w:val="single" w:color="auto" w:sz="4" w:space="0"/>
            </w:tcBorders>
            <w:shd w:val="clear" w:color="auto" w:fill="FFFFFF"/>
            <w:vAlign w:val="bottom"/>
          </w:tcPr>
          <w:p w:rsidRPr="004D7524" w:rsidR="00743D5F" w:rsidP="006F7359" w:rsidRDefault="00743D5F">
            <w:pPr>
              <w:jc w:val="right"/>
            </w:pPr>
            <w:r w:rsidRPr="004D7524">
              <w:t>$17,520</w:t>
            </w:r>
          </w:p>
        </w:tc>
      </w:tr>
      <w:tr w:rsidRPr="004D7524" w:rsidR="00743D5F" w:rsidTr="00743D5F">
        <w:tc>
          <w:tcPr>
            <w:tcW w:w="1368" w:type="dxa"/>
            <w:shd w:val="clear" w:color="auto" w:fill="auto"/>
          </w:tcPr>
          <w:p w:rsidRPr="004D7524" w:rsidR="00743D5F" w:rsidP="006F7359" w:rsidRDefault="00743D5F">
            <w:pPr>
              <w:rPr>
                <w:rFonts w:eastAsia="Calibri"/>
              </w:rPr>
            </w:pPr>
            <w:r w:rsidRPr="004D7524">
              <w:rPr>
                <w:rFonts w:eastAsia="Calibri"/>
              </w:rPr>
              <w:t>Lessons Learned System</w:t>
            </w:r>
          </w:p>
        </w:tc>
        <w:tc>
          <w:tcPr>
            <w:tcW w:w="1620" w:type="dxa"/>
            <w:shd w:val="clear" w:color="auto" w:fill="auto"/>
            <w:vAlign w:val="bottom"/>
          </w:tcPr>
          <w:p w:rsidRPr="004D7524" w:rsidR="00743D5F" w:rsidP="006F7359" w:rsidRDefault="00743D5F">
            <w:pPr>
              <w:jc w:val="right"/>
              <w:rPr>
                <w:rFonts w:eastAsia="Calibri"/>
              </w:rPr>
            </w:pPr>
            <w:r w:rsidRPr="004D7524">
              <w:rPr>
                <w:rFonts w:eastAsia="Calibri"/>
              </w:rPr>
              <w:t>400</w:t>
            </w:r>
          </w:p>
        </w:tc>
        <w:tc>
          <w:tcPr>
            <w:tcW w:w="3150" w:type="dxa"/>
            <w:tcBorders>
              <w:left w:val="single" w:color="auto" w:sz="4" w:space="0"/>
              <w:right w:val="single" w:color="auto" w:sz="4" w:space="0"/>
            </w:tcBorders>
            <w:shd w:val="clear" w:color="auto" w:fill="FFFFFF"/>
            <w:vAlign w:val="bottom"/>
          </w:tcPr>
          <w:p w:rsidRPr="004D7524" w:rsidR="00743D5F" w:rsidP="006F7359" w:rsidRDefault="00743D5F">
            <w:pPr>
              <w:jc w:val="right"/>
            </w:pPr>
            <w:r w:rsidRPr="004D7524">
              <w:t>$48,000</w:t>
            </w:r>
          </w:p>
        </w:tc>
      </w:tr>
      <w:tr w:rsidRPr="004D7524" w:rsidR="00743D5F" w:rsidTr="00743D5F">
        <w:tc>
          <w:tcPr>
            <w:tcW w:w="1368" w:type="dxa"/>
            <w:shd w:val="clear" w:color="auto" w:fill="FFFFFF"/>
          </w:tcPr>
          <w:p w:rsidRPr="004D7524" w:rsidR="00743D5F" w:rsidP="006F7359" w:rsidRDefault="00743D5F">
            <w:pPr>
              <w:rPr>
                <w:rFonts w:eastAsia="Calibri"/>
              </w:rPr>
            </w:pPr>
            <w:r w:rsidRPr="004D7524">
              <w:rPr>
                <w:rFonts w:eastAsia="Calibri"/>
              </w:rPr>
              <w:lastRenderedPageBreak/>
              <w:t>Totals</w:t>
            </w:r>
          </w:p>
        </w:tc>
        <w:tc>
          <w:tcPr>
            <w:tcW w:w="1620" w:type="dxa"/>
            <w:shd w:val="clear" w:color="auto" w:fill="auto"/>
            <w:vAlign w:val="bottom"/>
          </w:tcPr>
          <w:p w:rsidRPr="004D7524" w:rsidR="00743D5F" w:rsidP="006F7359" w:rsidRDefault="00743D5F">
            <w:pPr>
              <w:jc w:val="right"/>
              <w:rPr>
                <w:rFonts w:eastAsia="Calibri"/>
              </w:rPr>
            </w:pPr>
            <w:r w:rsidRPr="004D7524">
              <w:rPr>
                <w:rFonts w:eastAsia="Calibri"/>
              </w:rPr>
              <w:t>37,280</w:t>
            </w:r>
          </w:p>
        </w:tc>
        <w:tc>
          <w:tcPr>
            <w:tcW w:w="3150" w:type="dxa"/>
            <w:tcBorders>
              <w:left w:val="single" w:color="auto" w:sz="4" w:space="0"/>
              <w:bottom w:val="single" w:color="auto" w:sz="4" w:space="0"/>
              <w:right w:val="single" w:color="auto" w:sz="4" w:space="0"/>
            </w:tcBorders>
            <w:shd w:val="clear" w:color="auto" w:fill="FFFFFF"/>
            <w:vAlign w:val="bottom"/>
          </w:tcPr>
          <w:p w:rsidRPr="004D7524" w:rsidR="00743D5F" w:rsidP="006F7359" w:rsidRDefault="00743D5F">
            <w:pPr>
              <w:jc w:val="right"/>
            </w:pPr>
            <w:r w:rsidRPr="004D7524">
              <w:t>$4,473,600</w:t>
            </w:r>
          </w:p>
        </w:tc>
      </w:tr>
    </w:tbl>
    <w:p w:rsidRPr="004D7524" w:rsidR="00367022" w:rsidP="00367022" w:rsidRDefault="00367022">
      <w:pPr>
        <w:sectPr w:rsidRPr="004D7524" w:rsidR="00367022" w:rsidSect="00C34C40">
          <w:headerReference w:type="even" r:id="rId13"/>
          <w:headerReference w:type="default" r:id="rId14"/>
          <w:footerReference w:type="even" r:id="rId15"/>
          <w:headerReference w:type="first" r:id="rId16"/>
          <w:footerReference w:type="first" r:id="rId17"/>
          <w:pgSz w:w="12240" w:h="15840"/>
          <w:pgMar w:top="1440" w:right="1440" w:bottom="1440" w:left="1440" w:header="720" w:footer="720" w:gutter="0"/>
          <w:pgNumType w:start="1"/>
          <w:cols w:space="720"/>
          <w:docGrid w:linePitch="360"/>
        </w:sectPr>
      </w:pPr>
    </w:p>
    <w:p w:rsidRPr="004D7524" w:rsidR="00F056C3" w:rsidP="00F056C3" w:rsidRDefault="00F056C3">
      <w:pPr>
        <w:pStyle w:val="Heading2"/>
      </w:pPr>
      <w:bookmarkStart w:name="_Toc18939203" w:id="17"/>
      <w:r w:rsidRPr="004D7524">
        <w:lastRenderedPageBreak/>
        <w:t>A.</w:t>
      </w:r>
      <w:r w:rsidRPr="004D7524" w:rsidR="00A41763">
        <w:t xml:space="preserve">14. </w:t>
      </w:r>
      <w:r w:rsidRPr="004D7524" w:rsidR="00FE2197">
        <w:t>Annual Cost to the Federal Government</w:t>
      </w:r>
      <w:bookmarkEnd w:id="17"/>
      <w:r w:rsidRPr="004D7524">
        <w:t xml:space="preserve"> </w:t>
      </w:r>
    </w:p>
    <w:p w:rsidRPr="004D7524" w:rsidR="00A41763" w:rsidP="00A41763" w:rsidRDefault="00A41763">
      <w:r w:rsidRPr="004D7524">
        <w:rPr>
          <w:b/>
          <w:bCs/>
        </w:rPr>
        <w:t xml:space="preserve">Provide estimates of annualized cost to the Federal government. </w:t>
      </w:r>
    </w:p>
    <w:p w:rsidRPr="004D7524" w:rsidR="00367022" w:rsidP="00367022" w:rsidRDefault="00367022">
      <w:pPr>
        <w:ind w:left="360"/>
      </w:pPr>
      <w:r w:rsidRPr="004D7524">
        <w:t>The estimated annualized cost to the Federal government is based on an estimate of $127.30 per hour (2018 GS-13, Step 10 Hourly Basic Rate), including an additional 29% for employee fringe benefits and overhead cost.  This federal employee salary is rounded to $127 per hour.  It is assumed that the record keeping burden is 0.25 hour (15 minutes) per response.</w:t>
      </w:r>
    </w:p>
    <w:p w:rsidRPr="004D7524" w:rsidR="00367022" w:rsidP="00367022" w:rsidRDefault="00367022">
      <w:pPr>
        <w:numPr>
          <w:ilvl w:val="0"/>
          <w:numId w:val="12"/>
        </w:numPr>
        <w:spacing w:after="0" w:line="240" w:lineRule="auto"/>
        <w:ind w:left="360"/>
      </w:pPr>
      <w:r w:rsidRPr="004D7524">
        <w:t>Government cost, at $127/burden hour:  $1,183,641 </w:t>
      </w:r>
    </w:p>
    <w:p w:rsidRPr="004D7524" w:rsidR="00367022" w:rsidP="00367022" w:rsidRDefault="00367022">
      <w:pPr>
        <w:numPr>
          <w:ilvl w:val="0"/>
          <w:numId w:val="12"/>
        </w:numPr>
        <w:spacing w:after="0" w:line="240" w:lineRule="auto"/>
        <w:ind w:left="360"/>
      </w:pPr>
      <w:r w:rsidRPr="004D7524">
        <w:t>Estimated annualized Federal IT system cost (collection instruments are combined under one IT contract (including equipment, software, hardware, programming, and estimated annual updates):  $333,362</w:t>
      </w:r>
    </w:p>
    <w:p w:rsidR="00367022" w:rsidP="00367022" w:rsidRDefault="00367022">
      <w:pPr>
        <w:numPr>
          <w:ilvl w:val="0"/>
          <w:numId w:val="12"/>
        </w:numPr>
        <w:spacing w:after="0" w:line="240" w:lineRule="auto"/>
        <w:ind w:left="360"/>
      </w:pPr>
      <w:r w:rsidRPr="004D7524">
        <w:t>Total estimated annualized cost for this package:  $1,517,003</w:t>
      </w:r>
    </w:p>
    <w:p w:rsidR="00743D5F" w:rsidP="00743D5F" w:rsidRDefault="00743D5F">
      <w:pPr>
        <w:spacing w:after="0" w:line="240" w:lineRule="auto"/>
      </w:pPr>
    </w:p>
    <w:tbl>
      <w:tblPr>
        <w:tblW w:w="6066"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68"/>
        <w:gridCol w:w="1620"/>
        <w:gridCol w:w="3078"/>
      </w:tblGrid>
      <w:tr w:rsidRPr="004D7524" w:rsidR="00743D5F" w:rsidTr="00743D5F">
        <w:tc>
          <w:tcPr>
            <w:tcW w:w="1368" w:type="dxa"/>
            <w:shd w:val="clear" w:color="auto" w:fill="FFFFFF"/>
          </w:tcPr>
          <w:p w:rsidRPr="004D7524" w:rsidR="00743D5F" w:rsidP="00743D5F" w:rsidRDefault="00743D5F">
            <w:r w:rsidRPr="004D7524">
              <w:rPr>
                <w:rFonts w:eastAsia="Calibri"/>
              </w:rPr>
              <w:t>Collection Instrument</w:t>
            </w:r>
          </w:p>
        </w:tc>
        <w:tc>
          <w:tcPr>
            <w:tcW w:w="1620" w:type="dxa"/>
            <w:shd w:val="clear" w:color="auto" w:fill="FFFFFF"/>
          </w:tcPr>
          <w:p w:rsidRPr="004D7524" w:rsidR="00743D5F" w:rsidP="00743D5F" w:rsidRDefault="00743D5F">
            <w:r w:rsidRPr="004D7524">
              <w:rPr>
                <w:rFonts w:eastAsia="Calibri"/>
              </w:rPr>
              <w:t>Estimated Annual Burden Hours</w:t>
            </w:r>
          </w:p>
        </w:tc>
        <w:tc>
          <w:tcPr>
            <w:tcW w:w="3078" w:type="dxa"/>
            <w:tcBorders>
              <w:top w:val="single" w:color="auto" w:sz="4" w:space="0"/>
              <w:left w:val="single" w:color="auto" w:sz="4" w:space="0"/>
              <w:bottom w:val="single" w:color="auto" w:sz="4" w:space="0"/>
              <w:right w:val="single" w:color="auto" w:sz="4" w:space="0"/>
            </w:tcBorders>
            <w:shd w:val="clear" w:color="auto" w:fill="FFFFFF"/>
          </w:tcPr>
          <w:p w:rsidRPr="004D7524" w:rsidR="00743D5F" w:rsidP="00743D5F" w:rsidRDefault="00743D5F">
            <w:pPr>
              <w:jc w:val="right"/>
              <w:rPr>
                <w:b/>
                <w:bCs/>
              </w:rPr>
            </w:pPr>
            <w:r w:rsidRPr="004D7524">
              <w:rPr>
                <w:b/>
                <w:bCs/>
              </w:rPr>
              <w:t xml:space="preserve">Estimated Costs to </w:t>
            </w:r>
            <w:proofErr w:type="spellStart"/>
            <w:r w:rsidRPr="004D7524">
              <w:rPr>
                <w:b/>
                <w:bCs/>
              </w:rPr>
              <w:t>Recordkeepers</w:t>
            </w:r>
            <w:proofErr w:type="spellEnd"/>
            <w:r>
              <w:rPr>
                <w:b/>
                <w:bCs/>
              </w:rPr>
              <w:t xml:space="preserve"> (federal employees)</w:t>
            </w:r>
          </w:p>
          <w:p w:rsidRPr="004D7524" w:rsidR="00743D5F" w:rsidP="00743D5F" w:rsidRDefault="00743D5F">
            <w:pPr>
              <w:jc w:val="right"/>
              <w:rPr>
                <w:b/>
                <w:bCs/>
              </w:rPr>
            </w:pPr>
            <w:r w:rsidRPr="004D7524">
              <w:rPr>
                <w:b/>
                <w:bCs/>
              </w:rPr>
              <w:t xml:space="preserve">(Formula: $127 x15 min/60 min x </w:t>
            </w:r>
            <w:proofErr w:type="spellStart"/>
            <w:r w:rsidRPr="004D7524">
              <w:rPr>
                <w:b/>
                <w:bCs/>
              </w:rPr>
              <w:t>reponse</w:t>
            </w:r>
            <w:proofErr w:type="spellEnd"/>
            <w:r w:rsidRPr="004D7524">
              <w:rPr>
                <w:b/>
                <w:bCs/>
              </w:rPr>
              <w:t>)</w:t>
            </w:r>
          </w:p>
        </w:tc>
      </w:tr>
      <w:tr w:rsidRPr="004D7524" w:rsidR="00743D5F" w:rsidTr="00743D5F">
        <w:tc>
          <w:tcPr>
            <w:tcW w:w="1368" w:type="dxa"/>
            <w:shd w:val="clear" w:color="auto" w:fill="auto"/>
          </w:tcPr>
          <w:p w:rsidRPr="004D7524" w:rsidR="00743D5F" w:rsidP="00743D5F" w:rsidRDefault="00743D5F">
            <w:pPr>
              <w:rPr>
                <w:rFonts w:eastAsia="Calibri"/>
              </w:rPr>
            </w:pPr>
            <w:r w:rsidRPr="004D7524">
              <w:rPr>
                <w:rFonts w:eastAsia="Calibri"/>
              </w:rPr>
              <w:lastRenderedPageBreak/>
              <w:t>CAIRS</w:t>
            </w:r>
          </w:p>
        </w:tc>
        <w:tc>
          <w:tcPr>
            <w:tcW w:w="1620" w:type="dxa"/>
            <w:shd w:val="clear" w:color="auto" w:fill="auto"/>
            <w:vAlign w:val="bottom"/>
          </w:tcPr>
          <w:p w:rsidRPr="004D7524" w:rsidR="00743D5F" w:rsidP="00743D5F" w:rsidRDefault="00743D5F">
            <w:pPr>
              <w:jc w:val="right"/>
              <w:rPr>
                <w:rFonts w:eastAsia="Calibri"/>
              </w:rPr>
            </w:pPr>
            <w:r w:rsidRPr="004D7524">
              <w:rPr>
                <w:rFonts w:eastAsia="Calibri"/>
              </w:rPr>
              <w:t>1,673</w:t>
            </w:r>
          </w:p>
        </w:tc>
        <w:tc>
          <w:tcPr>
            <w:tcW w:w="3078" w:type="dxa"/>
            <w:tcBorders>
              <w:top w:val="nil"/>
              <w:left w:val="single" w:color="auto" w:sz="4" w:space="0"/>
              <w:bottom w:val="single" w:color="auto" w:sz="4" w:space="0"/>
              <w:right w:val="single" w:color="auto" w:sz="4" w:space="0"/>
            </w:tcBorders>
            <w:shd w:val="clear" w:color="auto" w:fill="FFFFFF"/>
            <w:vAlign w:val="bottom"/>
          </w:tcPr>
          <w:p w:rsidRPr="004D7524" w:rsidR="00743D5F" w:rsidP="00743D5F" w:rsidRDefault="00743D5F">
            <w:pPr>
              <w:jc w:val="right"/>
            </w:pPr>
            <w:r w:rsidRPr="004D7524">
              <w:t>$53,118</w:t>
            </w:r>
          </w:p>
        </w:tc>
      </w:tr>
      <w:tr w:rsidRPr="004D7524" w:rsidR="00743D5F" w:rsidTr="00743D5F">
        <w:tc>
          <w:tcPr>
            <w:tcW w:w="1368" w:type="dxa"/>
            <w:shd w:val="clear" w:color="auto" w:fill="auto"/>
          </w:tcPr>
          <w:p w:rsidRPr="004D7524" w:rsidR="00743D5F" w:rsidP="00743D5F" w:rsidRDefault="00743D5F">
            <w:pPr>
              <w:rPr>
                <w:rFonts w:eastAsia="Calibri"/>
              </w:rPr>
            </w:pPr>
            <w:r w:rsidRPr="004D7524">
              <w:rPr>
                <w:rFonts w:eastAsia="Calibri"/>
              </w:rPr>
              <w:t>ORPS</w:t>
            </w:r>
          </w:p>
        </w:tc>
        <w:tc>
          <w:tcPr>
            <w:tcW w:w="1620" w:type="dxa"/>
            <w:shd w:val="clear" w:color="auto" w:fill="auto"/>
            <w:vAlign w:val="bottom"/>
          </w:tcPr>
          <w:p w:rsidRPr="004D7524" w:rsidR="00743D5F" w:rsidP="00743D5F" w:rsidRDefault="00743D5F">
            <w:pPr>
              <w:jc w:val="right"/>
              <w:rPr>
                <w:rFonts w:eastAsia="Calibri"/>
              </w:rPr>
            </w:pPr>
            <w:r w:rsidRPr="004D7524">
              <w:rPr>
                <w:rFonts w:eastAsia="Calibri"/>
              </w:rPr>
              <w:t>3,750</w:t>
            </w:r>
          </w:p>
        </w:tc>
        <w:tc>
          <w:tcPr>
            <w:tcW w:w="3078" w:type="dxa"/>
            <w:tcBorders>
              <w:top w:val="nil"/>
              <w:left w:val="single" w:color="auto" w:sz="4" w:space="0"/>
              <w:bottom w:val="single" w:color="auto" w:sz="4" w:space="0"/>
              <w:right w:val="single" w:color="auto" w:sz="4" w:space="0"/>
            </w:tcBorders>
            <w:shd w:val="clear" w:color="auto" w:fill="FFFFFF"/>
            <w:vAlign w:val="bottom"/>
          </w:tcPr>
          <w:p w:rsidRPr="004D7524" w:rsidR="00743D5F" w:rsidP="00743D5F" w:rsidRDefault="00743D5F">
            <w:pPr>
              <w:jc w:val="right"/>
            </w:pPr>
            <w:r w:rsidRPr="004D7524">
              <w:t>$119,063</w:t>
            </w:r>
          </w:p>
        </w:tc>
      </w:tr>
      <w:tr w:rsidRPr="004D7524" w:rsidR="00743D5F" w:rsidTr="00743D5F">
        <w:tc>
          <w:tcPr>
            <w:tcW w:w="1368" w:type="dxa"/>
            <w:shd w:val="clear" w:color="auto" w:fill="auto"/>
          </w:tcPr>
          <w:p w:rsidRPr="004D7524" w:rsidR="00743D5F" w:rsidP="00743D5F" w:rsidRDefault="00743D5F">
            <w:pPr>
              <w:rPr>
                <w:rFonts w:eastAsia="Calibri"/>
              </w:rPr>
            </w:pPr>
            <w:r w:rsidRPr="004D7524">
              <w:rPr>
                <w:rFonts w:eastAsia="Calibri"/>
              </w:rPr>
              <w:t>NTS</w:t>
            </w:r>
          </w:p>
        </w:tc>
        <w:tc>
          <w:tcPr>
            <w:tcW w:w="1620" w:type="dxa"/>
            <w:shd w:val="clear" w:color="auto" w:fill="auto"/>
            <w:vAlign w:val="bottom"/>
          </w:tcPr>
          <w:p w:rsidRPr="004D7524" w:rsidR="00743D5F" w:rsidP="00743D5F" w:rsidRDefault="00743D5F">
            <w:pPr>
              <w:jc w:val="right"/>
              <w:rPr>
                <w:rFonts w:eastAsia="Calibri"/>
              </w:rPr>
            </w:pPr>
            <w:r w:rsidRPr="004D7524">
              <w:rPr>
                <w:rFonts w:eastAsia="Calibri"/>
              </w:rPr>
              <w:t>788</w:t>
            </w:r>
          </w:p>
        </w:tc>
        <w:tc>
          <w:tcPr>
            <w:tcW w:w="3078" w:type="dxa"/>
            <w:tcBorders>
              <w:top w:val="nil"/>
              <w:left w:val="single" w:color="auto" w:sz="4" w:space="0"/>
              <w:bottom w:val="single" w:color="auto" w:sz="4" w:space="0"/>
              <w:right w:val="single" w:color="auto" w:sz="4" w:space="0"/>
            </w:tcBorders>
            <w:shd w:val="clear" w:color="auto" w:fill="FFFFFF"/>
            <w:vAlign w:val="bottom"/>
          </w:tcPr>
          <w:p w:rsidRPr="004D7524" w:rsidR="00743D5F" w:rsidP="00743D5F" w:rsidRDefault="00743D5F">
            <w:pPr>
              <w:jc w:val="right"/>
            </w:pPr>
            <w:r w:rsidRPr="004D7524">
              <w:t>$25,019</w:t>
            </w:r>
          </w:p>
        </w:tc>
      </w:tr>
      <w:tr w:rsidRPr="004D7524" w:rsidR="00743D5F" w:rsidTr="00743D5F">
        <w:tc>
          <w:tcPr>
            <w:tcW w:w="1368" w:type="dxa"/>
            <w:shd w:val="clear" w:color="auto" w:fill="auto"/>
          </w:tcPr>
          <w:p w:rsidRPr="004D7524" w:rsidR="00743D5F" w:rsidP="00743D5F" w:rsidRDefault="00743D5F">
            <w:pPr>
              <w:rPr>
                <w:rFonts w:eastAsia="Calibri"/>
              </w:rPr>
            </w:pPr>
            <w:r w:rsidRPr="004D7524">
              <w:rPr>
                <w:rFonts w:eastAsia="Calibri"/>
              </w:rPr>
              <w:t>REMS</w:t>
            </w:r>
          </w:p>
        </w:tc>
        <w:tc>
          <w:tcPr>
            <w:tcW w:w="1620" w:type="dxa"/>
            <w:shd w:val="clear" w:color="auto" w:fill="auto"/>
            <w:vAlign w:val="bottom"/>
          </w:tcPr>
          <w:p w:rsidRPr="004D7524" w:rsidR="00743D5F" w:rsidP="00743D5F" w:rsidRDefault="00743D5F">
            <w:pPr>
              <w:jc w:val="right"/>
              <w:rPr>
                <w:rFonts w:eastAsia="Calibri"/>
              </w:rPr>
            </w:pPr>
            <w:r w:rsidRPr="004D7524">
              <w:rPr>
                <w:rFonts w:eastAsia="Calibri"/>
              </w:rPr>
              <w:t>30,283</w:t>
            </w:r>
          </w:p>
        </w:tc>
        <w:tc>
          <w:tcPr>
            <w:tcW w:w="3078" w:type="dxa"/>
            <w:tcBorders>
              <w:top w:val="nil"/>
              <w:left w:val="single" w:color="auto" w:sz="4" w:space="0"/>
              <w:bottom w:val="single" w:color="auto" w:sz="4" w:space="0"/>
              <w:right w:val="single" w:color="auto" w:sz="4" w:space="0"/>
            </w:tcBorders>
            <w:shd w:val="clear" w:color="auto" w:fill="FFFFFF"/>
            <w:vAlign w:val="bottom"/>
          </w:tcPr>
          <w:p w:rsidRPr="004D7524" w:rsidR="00743D5F" w:rsidP="00743D5F" w:rsidRDefault="00743D5F">
            <w:pPr>
              <w:jc w:val="right"/>
            </w:pPr>
            <w:r w:rsidRPr="004D7524">
              <w:t>$961,485</w:t>
            </w:r>
          </w:p>
        </w:tc>
      </w:tr>
      <w:tr w:rsidRPr="004D7524" w:rsidR="00743D5F" w:rsidTr="00743D5F">
        <w:trPr>
          <w:trHeight w:val="620"/>
        </w:trPr>
        <w:tc>
          <w:tcPr>
            <w:tcW w:w="1368" w:type="dxa"/>
            <w:shd w:val="clear" w:color="auto" w:fill="auto"/>
          </w:tcPr>
          <w:p w:rsidRPr="004D7524" w:rsidR="00743D5F" w:rsidP="00743D5F" w:rsidRDefault="00743D5F">
            <w:pPr>
              <w:rPr>
                <w:rFonts w:eastAsia="Calibri"/>
              </w:rPr>
            </w:pPr>
            <w:r w:rsidRPr="004D7524">
              <w:rPr>
                <w:rFonts w:eastAsia="Calibri"/>
              </w:rPr>
              <w:t>Fire Protection</w:t>
            </w:r>
          </w:p>
        </w:tc>
        <w:tc>
          <w:tcPr>
            <w:tcW w:w="1620" w:type="dxa"/>
            <w:shd w:val="clear" w:color="auto" w:fill="auto"/>
            <w:vAlign w:val="bottom"/>
          </w:tcPr>
          <w:p w:rsidRPr="004D7524" w:rsidR="00743D5F" w:rsidP="00743D5F" w:rsidRDefault="00743D5F">
            <w:pPr>
              <w:jc w:val="right"/>
              <w:rPr>
                <w:rFonts w:eastAsia="Calibri"/>
              </w:rPr>
            </w:pPr>
            <w:r w:rsidRPr="004D7524">
              <w:rPr>
                <w:rFonts w:eastAsia="Calibri"/>
              </w:rPr>
              <w:t>240</w:t>
            </w:r>
          </w:p>
        </w:tc>
        <w:tc>
          <w:tcPr>
            <w:tcW w:w="3078" w:type="dxa"/>
            <w:tcBorders>
              <w:top w:val="nil"/>
              <w:left w:val="single" w:color="auto" w:sz="4" w:space="0"/>
              <w:right w:val="single" w:color="auto" w:sz="4" w:space="0"/>
            </w:tcBorders>
            <w:shd w:val="clear" w:color="auto" w:fill="FFFFFF"/>
            <w:vAlign w:val="bottom"/>
          </w:tcPr>
          <w:p w:rsidRPr="004D7524" w:rsidR="00743D5F" w:rsidP="00743D5F" w:rsidRDefault="00743D5F">
            <w:pPr>
              <w:jc w:val="right"/>
            </w:pPr>
            <w:r w:rsidRPr="004D7524">
              <w:t>$7,620</w:t>
            </w:r>
          </w:p>
          <w:p w:rsidRPr="004D7524" w:rsidR="00743D5F" w:rsidP="00743D5F" w:rsidRDefault="00743D5F">
            <w:pPr>
              <w:jc w:val="right"/>
            </w:pPr>
          </w:p>
        </w:tc>
      </w:tr>
      <w:tr w:rsidRPr="004D7524" w:rsidR="00743D5F" w:rsidTr="00743D5F">
        <w:tc>
          <w:tcPr>
            <w:tcW w:w="1368" w:type="dxa"/>
            <w:shd w:val="clear" w:color="auto" w:fill="auto"/>
          </w:tcPr>
          <w:p w:rsidRPr="004D7524" w:rsidR="00743D5F" w:rsidP="00743D5F" w:rsidRDefault="00743D5F">
            <w:pPr>
              <w:rPr>
                <w:rFonts w:eastAsia="Calibri"/>
              </w:rPr>
            </w:pPr>
            <w:r w:rsidRPr="004D7524">
              <w:rPr>
                <w:rFonts w:eastAsia="Calibri"/>
              </w:rPr>
              <w:t>Safety Basis Information System</w:t>
            </w:r>
          </w:p>
        </w:tc>
        <w:tc>
          <w:tcPr>
            <w:tcW w:w="1620" w:type="dxa"/>
            <w:shd w:val="clear" w:color="auto" w:fill="auto"/>
            <w:vAlign w:val="bottom"/>
          </w:tcPr>
          <w:p w:rsidRPr="004D7524" w:rsidR="00743D5F" w:rsidP="00743D5F" w:rsidRDefault="00743D5F">
            <w:pPr>
              <w:jc w:val="right"/>
              <w:rPr>
                <w:rFonts w:eastAsia="Calibri"/>
              </w:rPr>
            </w:pPr>
            <w:r w:rsidRPr="004D7524">
              <w:rPr>
                <w:rFonts w:eastAsia="Calibri"/>
              </w:rPr>
              <w:t>146</w:t>
            </w:r>
          </w:p>
        </w:tc>
        <w:tc>
          <w:tcPr>
            <w:tcW w:w="3078" w:type="dxa"/>
            <w:tcBorders>
              <w:left w:val="single" w:color="auto" w:sz="4" w:space="0"/>
              <w:right w:val="single" w:color="auto" w:sz="4" w:space="0"/>
            </w:tcBorders>
            <w:shd w:val="clear" w:color="auto" w:fill="FFFFFF"/>
            <w:vAlign w:val="bottom"/>
          </w:tcPr>
          <w:p w:rsidRPr="004D7524" w:rsidR="00743D5F" w:rsidP="00743D5F" w:rsidRDefault="00743D5F">
            <w:pPr>
              <w:jc w:val="right"/>
            </w:pPr>
            <w:r w:rsidRPr="004D7524">
              <w:t>$4,636</w:t>
            </w:r>
          </w:p>
        </w:tc>
      </w:tr>
      <w:tr w:rsidRPr="004D7524" w:rsidR="00743D5F" w:rsidTr="00743D5F">
        <w:tc>
          <w:tcPr>
            <w:tcW w:w="1368" w:type="dxa"/>
            <w:shd w:val="clear" w:color="auto" w:fill="auto"/>
          </w:tcPr>
          <w:p w:rsidRPr="004D7524" w:rsidR="00743D5F" w:rsidP="00743D5F" w:rsidRDefault="00743D5F">
            <w:pPr>
              <w:rPr>
                <w:rFonts w:eastAsia="Calibri"/>
              </w:rPr>
            </w:pPr>
            <w:r w:rsidRPr="004D7524">
              <w:rPr>
                <w:rFonts w:eastAsia="Calibri"/>
              </w:rPr>
              <w:t>Lessons Learned System</w:t>
            </w:r>
          </w:p>
        </w:tc>
        <w:tc>
          <w:tcPr>
            <w:tcW w:w="1620" w:type="dxa"/>
            <w:shd w:val="clear" w:color="auto" w:fill="auto"/>
            <w:vAlign w:val="bottom"/>
          </w:tcPr>
          <w:p w:rsidRPr="004D7524" w:rsidR="00743D5F" w:rsidP="00743D5F" w:rsidRDefault="00743D5F">
            <w:pPr>
              <w:jc w:val="right"/>
              <w:rPr>
                <w:rFonts w:eastAsia="Calibri"/>
              </w:rPr>
            </w:pPr>
            <w:r w:rsidRPr="004D7524">
              <w:rPr>
                <w:rFonts w:eastAsia="Calibri"/>
              </w:rPr>
              <w:t>400</w:t>
            </w:r>
          </w:p>
        </w:tc>
        <w:tc>
          <w:tcPr>
            <w:tcW w:w="3078" w:type="dxa"/>
            <w:tcBorders>
              <w:left w:val="single" w:color="auto" w:sz="4" w:space="0"/>
              <w:right w:val="single" w:color="auto" w:sz="4" w:space="0"/>
            </w:tcBorders>
            <w:shd w:val="clear" w:color="auto" w:fill="FFFFFF"/>
            <w:vAlign w:val="bottom"/>
          </w:tcPr>
          <w:p w:rsidRPr="004D7524" w:rsidR="00743D5F" w:rsidP="00743D5F" w:rsidRDefault="00743D5F">
            <w:pPr>
              <w:jc w:val="right"/>
            </w:pPr>
            <w:r w:rsidRPr="004D7524">
              <w:t>$12,700</w:t>
            </w:r>
          </w:p>
        </w:tc>
      </w:tr>
      <w:tr w:rsidRPr="004D7524" w:rsidR="00743D5F" w:rsidTr="00743D5F">
        <w:tc>
          <w:tcPr>
            <w:tcW w:w="1368" w:type="dxa"/>
            <w:shd w:val="clear" w:color="auto" w:fill="FFFFFF"/>
          </w:tcPr>
          <w:p w:rsidRPr="004D7524" w:rsidR="00743D5F" w:rsidP="00743D5F" w:rsidRDefault="00743D5F">
            <w:pPr>
              <w:rPr>
                <w:rFonts w:eastAsia="Calibri"/>
              </w:rPr>
            </w:pPr>
            <w:r w:rsidRPr="004D7524">
              <w:rPr>
                <w:rFonts w:eastAsia="Calibri"/>
              </w:rPr>
              <w:t>Totals</w:t>
            </w:r>
          </w:p>
        </w:tc>
        <w:tc>
          <w:tcPr>
            <w:tcW w:w="1620" w:type="dxa"/>
            <w:shd w:val="clear" w:color="auto" w:fill="auto"/>
            <w:vAlign w:val="bottom"/>
          </w:tcPr>
          <w:p w:rsidRPr="004D7524" w:rsidR="00743D5F" w:rsidP="00743D5F" w:rsidRDefault="00743D5F">
            <w:pPr>
              <w:jc w:val="right"/>
              <w:rPr>
                <w:rFonts w:eastAsia="Calibri"/>
              </w:rPr>
            </w:pPr>
            <w:r w:rsidRPr="004D7524">
              <w:rPr>
                <w:rFonts w:eastAsia="Calibri"/>
              </w:rPr>
              <w:t>37,280</w:t>
            </w:r>
          </w:p>
        </w:tc>
        <w:tc>
          <w:tcPr>
            <w:tcW w:w="3078" w:type="dxa"/>
            <w:tcBorders>
              <w:left w:val="single" w:color="auto" w:sz="4" w:space="0"/>
              <w:bottom w:val="single" w:color="auto" w:sz="4" w:space="0"/>
              <w:right w:val="single" w:color="auto" w:sz="4" w:space="0"/>
            </w:tcBorders>
            <w:shd w:val="clear" w:color="auto" w:fill="FFFFFF"/>
            <w:vAlign w:val="bottom"/>
          </w:tcPr>
          <w:p w:rsidRPr="004D7524" w:rsidR="00743D5F" w:rsidP="00743D5F" w:rsidRDefault="00743D5F">
            <w:pPr>
              <w:jc w:val="right"/>
            </w:pPr>
            <w:r w:rsidRPr="004D7524">
              <w:t>$1,183,641</w:t>
            </w:r>
          </w:p>
        </w:tc>
      </w:tr>
    </w:tbl>
    <w:p w:rsidR="00743D5F" w:rsidP="00743D5F" w:rsidRDefault="00743D5F">
      <w:pPr>
        <w:spacing w:after="0" w:line="240" w:lineRule="auto"/>
      </w:pPr>
    </w:p>
    <w:p w:rsidR="00DD159A" w:rsidP="00DD159A" w:rsidRDefault="00DD159A">
      <w:pPr>
        <w:spacing w:after="0" w:line="240" w:lineRule="auto"/>
      </w:pPr>
    </w:p>
    <w:p w:rsidRPr="004D7524" w:rsidR="003C1CB6" w:rsidP="003C1CB6" w:rsidRDefault="003C1CB6">
      <w:pPr>
        <w:pStyle w:val="Heading2"/>
      </w:pPr>
      <w:bookmarkStart w:name="_Toc18939204" w:id="18"/>
      <w:r w:rsidRPr="004D7524">
        <w:lastRenderedPageBreak/>
        <w:t>A.15. Reasons for Changes in Burden</w:t>
      </w:r>
      <w:bookmarkEnd w:id="18"/>
    </w:p>
    <w:p w:rsidRPr="004D7524" w:rsidR="003C1CB6" w:rsidP="003C1CB6" w:rsidRDefault="003C1CB6">
      <w:r w:rsidRPr="004D7524">
        <w:rPr>
          <w:b/>
          <w:bCs/>
        </w:rPr>
        <w:t xml:space="preserve">Explain the reasons for any program changes or adjustments reported in Items 13 (or 14) of OMB Form 83-I. </w:t>
      </w:r>
    </w:p>
    <w:p w:rsidRPr="001D5DE2" w:rsidR="003C1CB6" w:rsidP="003C1CB6" w:rsidRDefault="003C1CB6">
      <w:pPr>
        <w:pStyle w:val="BodyTextIndent"/>
        <w:ind w:left="400"/>
      </w:pPr>
      <w:r w:rsidRPr="00F54459">
        <w:t xml:space="preserve">The consolidated annual burden of this package is </w:t>
      </w:r>
      <w:r>
        <w:t xml:space="preserve">37,280 hours which represents a decrease of 4,453 hours.  </w:t>
      </w:r>
      <w:r w:rsidRPr="001D5DE2">
        <w:t xml:space="preserve">We have determined that </w:t>
      </w:r>
      <w:r>
        <w:t xml:space="preserve">adjustment to this </w:t>
      </w:r>
      <w:r w:rsidRPr="001D5DE2">
        <w:t>burden hour of 37,</w:t>
      </w:r>
      <w:r>
        <w:t>2</w:t>
      </w:r>
      <w:r w:rsidRPr="001D5DE2">
        <w:t>80 hours should be made as follows:</w:t>
      </w:r>
    </w:p>
    <w:p w:rsidRPr="00721339" w:rsidR="003C1CB6" w:rsidP="003C1CB6" w:rsidRDefault="003C1CB6">
      <w:pPr>
        <w:pStyle w:val="BodyTextIndent"/>
        <w:ind w:left="400"/>
        <w:rPr>
          <w:color w:val="FF0000"/>
          <w:highlight w:val="yellow"/>
        </w:rPr>
      </w:pPr>
      <w:r w:rsidRPr="00F54459">
        <w:tab/>
      </w:r>
      <w:r>
        <w:t xml:space="preserve">Current </w:t>
      </w:r>
      <w:r w:rsidRPr="00721339">
        <w:t>OMB Burden Hours Inventory</w:t>
      </w:r>
      <w:r w:rsidRPr="00721339">
        <w:tab/>
      </w:r>
      <w:r w:rsidRPr="00721339">
        <w:tab/>
      </w:r>
      <w:r>
        <w:t>41,733</w:t>
      </w:r>
      <w:r w:rsidRPr="00721339">
        <w:t xml:space="preserve"> </w:t>
      </w:r>
    </w:p>
    <w:p w:rsidRPr="00A64D9A" w:rsidR="003C1CB6" w:rsidP="003C1CB6" w:rsidRDefault="003C1CB6">
      <w:pPr>
        <w:pStyle w:val="BodyTextIndent"/>
        <w:ind w:left="720"/>
        <w:rPr>
          <w:color w:val="FF0000"/>
        </w:rPr>
      </w:pPr>
      <w:r w:rsidRPr="00721339">
        <w:rPr>
          <w:u w:val="single"/>
        </w:rPr>
        <w:t>OMB Burden Hour Reduction</w:t>
      </w:r>
      <w:r>
        <w:rPr>
          <w:u w:val="single"/>
        </w:rPr>
        <w:t xml:space="preserve"> </w:t>
      </w:r>
    </w:p>
    <w:p w:rsidR="003C1CB6" w:rsidP="003C1CB6" w:rsidRDefault="003C1CB6">
      <w:pPr>
        <w:pStyle w:val="BodyTextIndent"/>
        <w:numPr>
          <w:ilvl w:val="0"/>
          <w:numId w:val="13"/>
        </w:numPr>
        <w:spacing w:before="240" w:after="0" w:line="240" w:lineRule="auto"/>
        <w:ind w:left="1440"/>
      </w:pPr>
      <w:r w:rsidRPr="003F23C0">
        <w:t xml:space="preserve">CAIRS:  </w:t>
      </w:r>
      <w:r w:rsidRPr="00E05311">
        <w:t>The decrease in burden hours is due primarily to a decrease in the number of respons</w:t>
      </w:r>
      <w:r>
        <w:t>es</w:t>
      </w:r>
      <w:r w:rsidRPr="00E05311">
        <w:t xml:space="preserve"> as a result of fewer injuries and illness occurring during this period.  </w:t>
      </w:r>
      <w:r>
        <w:t xml:space="preserve"> (147 hours decrease)</w:t>
      </w:r>
      <w:r w:rsidRPr="003F23C0">
        <w:t xml:space="preserve"> </w:t>
      </w:r>
    </w:p>
    <w:p w:rsidRPr="00F54459" w:rsidR="003C1CB6" w:rsidP="003C1CB6" w:rsidRDefault="003C1CB6">
      <w:pPr>
        <w:pStyle w:val="BodyTextIndent"/>
        <w:numPr>
          <w:ilvl w:val="0"/>
          <w:numId w:val="13"/>
        </w:numPr>
        <w:spacing w:before="240" w:after="0" w:line="240" w:lineRule="auto"/>
        <w:ind w:left="1440"/>
      </w:pPr>
      <w:r w:rsidRPr="00F54459">
        <w:t xml:space="preserve">ORPS:  </w:t>
      </w:r>
      <w:r>
        <w:t>De</w:t>
      </w:r>
      <w:r w:rsidRPr="00151DBB">
        <w:t xml:space="preserve">crease </w:t>
      </w:r>
      <w:r>
        <w:t xml:space="preserve">in burden </w:t>
      </w:r>
      <w:r w:rsidRPr="00151DBB">
        <w:t>from FY 201</w:t>
      </w:r>
      <w:r>
        <w:t>6 data</w:t>
      </w:r>
      <w:r w:rsidRPr="00151DBB">
        <w:t xml:space="preserve"> </w:t>
      </w:r>
      <w:r>
        <w:t xml:space="preserve">occurred </w:t>
      </w:r>
      <w:r w:rsidRPr="00151DBB">
        <w:t xml:space="preserve">due to </w:t>
      </w:r>
      <w:r>
        <w:t>the Occurrence Reporting Directive (DOE O 232.2A) revision in 2017.  The revision resulted in streamlining of reporting criteria and reduction of time to create and submit occurrence reporting.  T</w:t>
      </w:r>
      <w:r w:rsidRPr="00151DBB">
        <w:t xml:space="preserve">otal average time to complete an </w:t>
      </w:r>
      <w:r>
        <w:t>occurrence repor</w:t>
      </w:r>
      <w:r w:rsidRPr="00151DBB">
        <w:t xml:space="preserve">t </w:t>
      </w:r>
      <w:r>
        <w:t xml:space="preserve">is estimated </w:t>
      </w:r>
      <w:r w:rsidRPr="00151DBB">
        <w:t>to be an a</w:t>
      </w:r>
      <w:r w:rsidRPr="00C34847">
        <w:t>verage of</w:t>
      </w:r>
      <w:r>
        <w:t xml:space="preserve"> 5 hours</w:t>
      </w:r>
      <w:r w:rsidRPr="00C34847">
        <w:t xml:space="preserve">. </w:t>
      </w:r>
      <w:r>
        <w:t xml:space="preserve">  (4730 hours decrease)</w:t>
      </w:r>
    </w:p>
    <w:p w:rsidR="003C1CB6" w:rsidP="003C1CB6" w:rsidRDefault="003C1CB6">
      <w:pPr>
        <w:pStyle w:val="BodyTextIndent"/>
        <w:numPr>
          <w:ilvl w:val="0"/>
          <w:numId w:val="13"/>
        </w:numPr>
        <w:spacing w:before="240" w:after="0" w:line="240" w:lineRule="auto"/>
        <w:ind w:left="1440"/>
      </w:pPr>
      <w:r w:rsidRPr="00F54459">
        <w:lastRenderedPageBreak/>
        <w:t xml:space="preserve">NTS:  </w:t>
      </w:r>
      <w:r>
        <w:t xml:space="preserve">The decrease in burden hours is primarily due to a decline in the number of noncompliance reports being submitted each year.  (172 hour decrease) </w:t>
      </w:r>
    </w:p>
    <w:p w:rsidRPr="00AB2562" w:rsidR="003C1CB6" w:rsidP="003C1CB6" w:rsidRDefault="003C1CB6">
      <w:pPr>
        <w:pStyle w:val="BodyTextIndent"/>
        <w:numPr>
          <w:ilvl w:val="0"/>
          <w:numId w:val="13"/>
        </w:numPr>
        <w:spacing w:before="240" w:after="0" w:line="240" w:lineRule="auto"/>
        <w:ind w:left="1440"/>
        <w:rPr>
          <w:rFonts w:ascii="Calibri" w:hAnsi="Calibri" w:cs="Arial"/>
        </w:rPr>
      </w:pPr>
      <w:r w:rsidRPr="00F54459">
        <w:t xml:space="preserve">REMS:  </w:t>
      </w:r>
      <w:r w:rsidRPr="00E05311">
        <w:t>Due to the</w:t>
      </w:r>
      <w:r>
        <w:t xml:space="preserve"> annual variation of activities, allocated budgets, and an effort to ensure safe working conditions, the number of monitored individuals can change from year to year.  There was an increase in approximately 3,000 monitored individuals from the 2016 response.</w:t>
      </w:r>
      <w:r w:rsidRPr="00E05311">
        <w:t xml:space="preserve"> </w:t>
      </w:r>
      <w:r w:rsidRPr="00950241">
        <w:t>(</w:t>
      </w:r>
      <w:r>
        <w:t>694 hours increase</w:t>
      </w:r>
      <w:r w:rsidRPr="00950241">
        <w:t>)</w:t>
      </w:r>
    </w:p>
    <w:p w:rsidRPr="00E73CF5" w:rsidR="003C1CB6" w:rsidP="003C1CB6" w:rsidRDefault="003C1CB6">
      <w:pPr>
        <w:pStyle w:val="BodyTextIndent"/>
        <w:numPr>
          <w:ilvl w:val="0"/>
          <w:numId w:val="13"/>
        </w:numPr>
        <w:spacing w:before="240" w:after="0" w:line="240" w:lineRule="auto"/>
        <w:ind w:left="1440"/>
        <w:rPr>
          <w:rFonts w:ascii="Calibri" w:hAnsi="Calibri" w:cs="Arial"/>
        </w:rPr>
      </w:pPr>
      <w:r w:rsidRPr="00F54459">
        <w:t xml:space="preserve">Fire Protection:  </w:t>
      </w:r>
      <w:r>
        <w:t xml:space="preserve"> No Changes</w:t>
      </w:r>
    </w:p>
    <w:p w:rsidRPr="00E73CF5" w:rsidR="003C1CB6" w:rsidP="003C1CB6" w:rsidRDefault="003C1CB6">
      <w:pPr>
        <w:pStyle w:val="BodyTextIndent"/>
        <w:numPr>
          <w:ilvl w:val="0"/>
          <w:numId w:val="13"/>
        </w:numPr>
        <w:spacing w:before="240" w:after="0" w:line="240" w:lineRule="auto"/>
        <w:ind w:left="1440"/>
      </w:pPr>
      <w:r w:rsidRPr="00F54459">
        <w:t xml:space="preserve">Safety Basis:  </w:t>
      </w:r>
      <w:r w:rsidRPr="00E73CF5">
        <w:t>Due to the nature of work at DOE sites, during the past 3 years number of users and facilities have increased</w:t>
      </w:r>
      <w:r>
        <w:t>. (102 hour increase)</w:t>
      </w:r>
      <w:r w:rsidRPr="00E73CF5">
        <w:t>.</w:t>
      </w:r>
    </w:p>
    <w:p w:rsidRPr="00F54459" w:rsidR="003C1CB6" w:rsidP="003C1CB6" w:rsidRDefault="003C1CB6">
      <w:pPr>
        <w:pStyle w:val="BodyTextIndent"/>
        <w:numPr>
          <w:ilvl w:val="0"/>
          <w:numId w:val="13"/>
        </w:numPr>
        <w:spacing w:before="240" w:after="0" w:line="240" w:lineRule="auto"/>
        <w:ind w:left="1440"/>
      </w:pPr>
      <w:r>
        <w:t xml:space="preserve">Lessons Learned System:  Over </w:t>
      </w:r>
      <w:r w:rsidRPr="00605653">
        <w:t xml:space="preserve">the past couple of years, there </w:t>
      </w:r>
      <w:r>
        <w:t>has been</w:t>
      </w:r>
      <w:r w:rsidRPr="00605653">
        <w:t xml:space="preserve"> a 10-15% decrease in lessons learned submittals</w:t>
      </w:r>
      <w:r>
        <w:t>.</w:t>
      </w:r>
      <w:r w:rsidRPr="00605653">
        <w:t xml:space="preserve"> This is a result of the Lessons Learned System being antiquated and not the preferred method to submit and search lessons learned. AU-23 is working with RL on the possibility of </w:t>
      </w:r>
      <w:r w:rsidRPr="00605653">
        <w:lastRenderedPageBreak/>
        <w:t xml:space="preserve">transitioning to RL’s </w:t>
      </w:r>
      <w:proofErr w:type="spellStart"/>
      <w:r w:rsidRPr="00605653">
        <w:t>OPEXShare</w:t>
      </w:r>
      <w:proofErr w:type="spellEnd"/>
      <w:r w:rsidRPr="00605653">
        <w:t xml:space="preserve"> system which is the preferred system by Lessons Learned Coordinators.</w:t>
      </w:r>
      <w:r>
        <w:t xml:space="preserve">  </w:t>
      </w:r>
      <w:r w:rsidRPr="00605653">
        <w:t>(2</w:t>
      </w:r>
      <w:r>
        <w:t>0</w:t>
      </w:r>
      <w:r w:rsidRPr="00605653">
        <w:t>0 hours decrease)</w:t>
      </w:r>
    </w:p>
    <w:p w:rsidR="003C1CB6" w:rsidP="003C1CB6" w:rsidRDefault="003C1CB6">
      <w:pPr>
        <w:pStyle w:val="BodyTextIndent"/>
        <w:ind w:left="400"/>
      </w:pPr>
    </w:p>
    <w:p w:rsidR="00743D5F" w:rsidP="003C1CB6" w:rsidRDefault="003C1CB6">
      <w:pPr>
        <w:spacing w:after="0" w:line="240" w:lineRule="auto"/>
        <w:ind w:left="1080" w:firstLine="720"/>
      </w:pPr>
      <w:r w:rsidRPr="00F54459">
        <w:rPr>
          <w:b/>
        </w:rPr>
        <w:t>TOTALS 1910-0300</w:t>
      </w:r>
      <w:r w:rsidRPr="00F54459">
        <w:rPr>
          <w:b/>
        </w:rPr>
        <w:tab/>
      </w:r>
      <w:r w:rsidRPr="00F54459">
        <w:rPr>
          <w:b/>
        </w:rPr>
        <w:tab/>
        <w:t xml:space="preserve">Burden </w:t>
      </w:r>
      <w:proofErr w:type="spellStart"/>
      <w:r w:rsidRPr="00F54459">
        <w:rPr>
          <w:b/>
        </w:rPr>
        <w:t>Hrs</w:t>
      </w:r>
      <w:proofErr w:type="spellEnd"/>
      <w:r w:rsidRPr="00F54459">
        <w:rPr>
          <w:b/>
        </w:rPr>
        <w:tab/>
      </w:r>
      <w:r w:rsidRPr="00F54459">
        <w:rPr>
          <w:b/>
        </w:rPr>
        <w:tab/>
      </w:r>
      <w:r>
        <w:rPr>
          <w:b/>
        </w:rPr>
        <w:tab/>
        <w:t>37,280</w:t>
      </w:r>
      <w:r w:rsidRPr="00F54459">
        <w:rPr>
          <w:b/>
        </w:rPr>
        <w:tab/>
      </w:r>
      <w:r w:rsidRPr="00F54459">
        <w:rPr>
          <w:b/>
        </w:rPr>
        <w:tab/>
      </w:r>
      <w:r w:rsidRPr="00F54459">
        <w:rPr>
          <w:b/>
        </w:rPr>
        <w:tab/>
      </w:r>
      <w:r w:rsidRPr="00F54459">
        <w:rPr>
          <w:b/>
        </w:rPr>
        <w:tab/>
      </w:r>
      <w:r w:rsidRPr="00F54459">
        <w:rPr>
          <w:b/>
        </w:rPr>
        <w:tab/>
      </w:r>
      <w:r>
        <w:rPr>
          <w:b/>
        </w:rPr>
        <w:tab/>
      </w:r>
      <w:r>
        <w:rPr>
          <w:b/>
        </w:rPr>
        <w:tab/>
      </w:r>
      <w:r>
        <w:rPr>
          <w:b/>
        </w:rPr>
        <w:tab/>
      </w:r>
      <w:r w:rsidRPr="00F54459">
        <w:rPr>
          <w:b/>
        </w:rPr>
        <w:t xml:space="preserve">Respondents/Responses       </w:t>
      </w:r>
      <w:r>
        <w:rPr>
          <w:b/>
        </w:rPr>
        <w:t>845/82,155</w:t>
      </w:r>
    </w:p>
    <w:p w:rsidR="00743D5F" w:rsidP="00DD159A" w:rsidRDefault="00743D5F">
      <w:pPr>
        <w:spacing w:after="0" w:line="240" w:lineRule="auto"/>
      </w:pPr>
    </w:p>
    <w:p w:rsidR="00743D5F" w:rsidP="00DD159A" w:rsidRDefault="00743D5F">
      <w:pPr>
        <w:spacing w:after="0" w:line="240" w:lineRule="auto"/>
      </w:pPr>
    </w:p>
    <w:p w:rsidR="003C1CB6" w:rsidP="00DD159A" w:rsidRDefault="003C1CB6">
      <w:pPr>
        <w:spacing w:after="0" w:line="240" w:lineRule="auto"/>
      </w:pPr>
    </w:p>
    <w:p w:rsidR="003C1CB6" w:rsidP="00DD159A" w:rsidRDefault="003C1CB6">
      <w:pPr>
        <w:spacing w:after="0" w:line="240" w:lineRule="auto"/>
      </w:pPr>
    </w:p>
    <w:p w:rsidR="003C1CB6" w:rsidP="00DD159A" w:rsidRDefault="003C1CB6">
      <w:pPr>
        <w:spacing w:after="0" w:line="240" w:lineRule="auto"/>
      </w:pPr>
    </w:p>
    <w:p w:rsidR="003C1CB6" w:rsidP="00DD159A" w:rsidRDefault="003C1CB6">
      <w:pPr>
        <w:spacing w:after="0" w:line="240" w:lineRule="auto"/>
        <w:sectPr w:rsidR="003C1CB6" w:rsidSect="003C1CB6">
          <w:footerReference w:type="default" r:id="rId18"/>
          <w:pgSz w:w="12240" w:h="15840" w:code="1"/>
          <w:pgMar w:top="1440" w:right="1440" w:bottom="1440" w:left="1440" w:header="720" w:footer="720" w:gutter="0"/>
          <w:cols w:space="720"/>
          <w:docGrid w:linePitch="360"/>
        </w:sectPr>
      </w:pPr>
    </w:p>
    <w:p w:rsidR="003C1CB6" w:rsidP="00DD159A" w:rsidRDefault="003C1CB6">
      <w:pPr>
        <w:spacing w:after="0" w:line="240" w:lineRule="auto"/>
      </w:pPr>
    </w:p>
    <w:p w:rsidR="00DD159A" w:rsidP="00DD159A" w:rsidRDefault="00DD159A">
      <w:pPr>
        <w:spacing w:after="0" w:line="240" w:lineRule="auto"/>
        <w:jc w:val="center"/>
      </w:pPr>
      <w:r>
        <w:t>Table A3.  Changes in Burden</w:t>
      </w:r>
    </w:p>
    <w:tbl>
      <w:tblPr>
        <w:tblW w:w="14125" w:type="dxa"/>
        <w:tblLook w:val="04A0" w:firstRow="1" w:lastRow="0" w:firstColumn="1" w:lastColumn="0" w:noHBand="0" w:noVBand="1"/>
      </w:tblPr>
      <w:tblGrid>
        <w:gridCol w:w="1345"/>
        <w:gridCol w:w="900"/>
        <w:gridCol w:w="900"/>
        <w:gridCol w:w="810"/>
        <w:gridCol w:w="990"/>
        <w:gridCol w:w="990"/>
        <w:gridCol w:w="900"/>
        <w:gridCol w:w="900"/>
        <w:gridCol w:w="900"/>
        <w:gridCol w:w="810"/>
        <w:gridCol w:w="810"/>
        <w:gridCol w:w="900"/>
        <w:gridCol w:w="720"/>
        <w:gridCol w:w="810"/>
        <w:gridCol w:w="720"/>
        <w:gridCol w:w="720"/>
      </w:tblGrid>
      <w:tr w:rsidRPr="00736809" w:rsidR="00736809" w:rsidTr="008A7434">
        <w:trPr>
          <w:trHeight w:val="300"/>
        </w:trPr>
        <w:tc>
          <w:tcPr>
            <w:tcW w:w="1345" w:type="dxa"/>
            <w:vMerge w:val="restart"/>
            <w:tcBorders>
              <w:top w:val="single" w:color="auto" w:sz="4" w:space="0"/>
              <w:left w:val="single" w:color="auto" w:sz="4" w:space="0"/>
              <w:bottom w:val="nil"/>
              <w:right w:val="single" w:color="auto" w:sz="4" w:space="0"/>
            </w:tcBorders>
            <w:shd w:val="clear" w:color="000000" w:fill="00B0F0"/>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EIA Form Number/Title</w:t>
            </w:r>
          </w:p>
        </w:tc>
        <w:tc>
          <w:tcPr>
            <w:tcW w:w="900" w:type="dxa"/>
            <w:vMerge w:val="restart"/>
            <w:tcBorders>
              <w:top w:val="single" w:color="auto" w:sz="4" w:space="0"/>
              <w:left w:val="single" w:color="auto" w:sz="4" w:space="0"/>
              <w:bottom w:val="nil"/>
              <w:right w:val="single" w:color="auto" w:sz="4" w:space="0"/>
            </w:tcBorders>
            <w:shd w:val="clear" w:color="000000" w:fill="00B0F0"/>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Annual Reporting Frequency</w:t>
            </w:r>
          </w:p>
        </w:tc>
        <w:tc>
          <w:tcPr>
            <w:tcW w:w="900" w:type="dxa"/>
            <w:vMerge w:val="restart"/>
            <w:tcBorders>
              <w:top w:val="single" w:color="auto" w:sz="4" w:space="0"/>
              <w:left w:val="single" w:color="auto" w:sz="4" w:space="0"/>
              <w:bottom w:val="nil"/>
              <w:right w:val="single" w:color="auto" w:sz="4" w:space="0"/>
            </w:tcBorders>
            <w:shd w:val="clear" w:color="000000" w:fill="00B0F0"/>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Number of Respondents (Previously Approved)</w:t>
            </w:r>
          </w:p>
        </w:tc>
        <w:tc>
          <w:tcPr>
            <w:tcW w:w="810" w:type="dxa"/>
            <w:vMerge w:val="restart"/>
            <w:tcBorders>
              <w:top w:val="single" w:color="auto" w:sz="4" w:space="0"/>
              <w:left w:val="single" w:color="auto" w:sz="4" w:space="0"/>
              <w:bottom w:val="nil"/>
              <w:right w:val="single" w:color="auto" w:sz="4" w:space="0"/>
            </w:tcBorders>
            <w:shd w:val="clear" w:color="000000" w:fill="00B0F0"/>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Number of Respondents (Requested)</w:t>
            </w:r>
          </w:p>
        </w:tc>
        <w:tc>
          <w:tcPr>
            <w:tcW w:w="990" w:type="dxa"/>
            <w:vMerge w:val="restart"/>
            <w:tcBorders>
              <w:top w:val="single" w:color="auto" w:sz="4" w:space="0"/>
              <w:left w:val="single" w:color="auto" w:sz="4" w:space="0"/>
              <w:bottom w:val="nil"/>
              <w:right w:val="single" w:color="auto" w:sz="4" w:space="0"/>
            </w:tcBorders>
            <w:shd w:val="clear" w:color="000000" w:fill="00B0F0"/>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Annual Number of Responses (Previously Approved)</w:t>
            </w:r>
          </w:p>
        </w:tc>
        <w:tc>
          <w:tcPr>
            <w:tcW w:w="990" w:type="dxa"/>
            <w:vMerge w:val="restart"/>
            <w:tcBorders>
              <w:top w:val="single" w:color="auto" w:sz="4" w:space="0"/>
              <w:left w:val="single" w:color="auto" w:sz="4" w:space="0"/>
              <w:bottom w:val="nil"/>
              <w:right w:val="single" w:color="auto" w:sz="4" w:space="0"/>
            </w:tcBorders>
            <w:shd w:val="clear" w:color="000000" w:fill="00B0F0"/>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Annual Number of Responses (Requested)</w:t>
            </w:r>
          </w:p>
        </w:tc>
        <w:tc>
          <w:tcPr>
            <w:tcW w:w="900" w:type="dxa"/>
            <w:vMerge w:val="restart"/>
            <w:tcBorders>
              <w:top w:val="single" w:color="auto" w:sz="4" w:space="0"/>
              <w:left w:val="single" w:color="auto" w:sz="4" w:space="0"/>
              <w:bottom w:val="nil"/>
              <w:right w:val="single" w:color="auto" w:sz="4" w:space="0"/>
            </w:tcBorders>
            <w:shd w:val="clear" w:color="000000" w:fill="00B0F0"/>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Burden Hours Per Response (Previously Approved) (In minutes)</w:t>
            </w:r>
          </w:p>
        </w:tc>
        <w:tc>
          <w:tcPr>
            <w:tcW w:w="900" w:type="dxa"/>
            <w:vMerge w:val="restart"/>
            <w:tcBorders>
              <w:top w:val="single" w:color="auto" w:sz="4" w:space="0"/>
              <w:left w:val="single" w:color="auto" w:sz="4" w:space="0"/>
              <w:bottom w:val="nil"/>
              <w:right w:val="single" w:color="auto" w:sz="4" w:space="0"/>
            </w:tcBorders>
            <w:shd w:val="clear" w:color="000000" w:fill="00B0F0"/>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Burden Hours Per Response (Requested)  (In minutes)</w:t>
            </w:r>
          </w:p>
        </w:tc>
        <w:tc>
          <w:tcPr>
            <w:tcW w:w="900" w:type="dxa"/>
            <w:vMerge w:val="restart"/>
            <w:tcBorders>
              <w:top w:val="single" w:color="auto" w:sz="4" w:space="0"/>
              <w:left w:val="single" w:color="auto" w:sz="4" w:space="0"/>
              <w:bottom w:val="nil"/>
              <w:right w:val="single" w:color="auto" w:sz="4" w:space="0"/>
            </w:tcBorders>
            <w:shd w:val="clear" w:color="000000" w:fill="00B0F0"/>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Annual Burden Hours (Previously Approved)</w:t>
            </w:r>
          </w:p>
        </w:tc>
        <w:tc>
          <w:tcPr>
            <w:tcW w:w="810" w:type="dxa"/>
            <w:vMerge w:val="restart"/>
            <w:tcBorders>
              <w:top w:val="single" w:color="auto" w:sz="4" w:space="0"/>
              <w:left w:val="single" w:color="auto" w:sz="4" w:space="0"/>
              <w:bottom w:val="nil"/>
              <w:right w:val="single" w:color="auto" w:sz="4" w:space="0"/>
            </w:tcBorders>
            <w:shd w:val="clear" w:color="000000" w:fill="00B0F0"/>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Annual Burden Hours (Requested)</w:t>
            </w:r>
          </w:p>
        </w:tc>
        <w:tc>
          <w:tcPr>
            <w:tcW w:w="2430" w:type="dxa"/>
            <w:gridSpan w:val="3"/>
            <w:tcBorders>
              <w:top w:val="single" w:color="auto" w:sz="4" w:space="0"/>
              <w:left w:val="nil"/>
              <w:bottom w:val="single" w:color="auto" w:sz="4" w:space="0"/>
              <w:right w:val="single" w:color="000000" w:sz="4" w:space="0"/>
            </w:tcBorders>
            <w:shd w:val="clear" w:color="000000" w:fill="00B0F0"/>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Annual Number of Responses</w:t>
            </w:r>
          </w:p>
        </w:tc>
        <w:tc>
          <w:tcPr>
            <w:tcW w:w="2250" w:type="dxa"/>
            <w:gridSpan w:val="3"/>
            <w:tcBorders>
              <w:top w:val="single" w:color="auto" w:sz="4" w:space="0"/>
              <w:left w:val="nil"/>
              <w:bottom w:val="single" w:color="auto" w:sz="4" w:space="0"/>
              <w:right w:val="single" w:color="000000" w:sz="4" w:space="0"/>
            </w:tcBorders>
            <w:shd w:val="clear" w:color="000000" w:fill="00B0F0"/>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Annual Burden Hours</w:t>
            </w:r>
          </w:p>
        </w:tc>
      </w:tr>
      <w:tr w:rsidRPr="00736809" w:rsidR="00736809" w:rsidTr="008A7434">
        <w:trPr>
          <w:trHeight w:val="735"/>
        </w:trPr>
        <w:tc>
          <w:tcPr>
            <w:tcW w:w="1345" w:type="dxa"/>
            <w:vMerge/>
            <w:tcBorders>
              <w:top w:val="single" w:color="auto" w:sz="4" w:space="0"/>
              <w:left w:val="single" w:color="auto" w:sz="4" w:space="0"/>
              <w:bottom w:val="nil"/>
              <w:right w:val="single" w:color="auto" w:sz="4" w:space="0"/>
            </w:tcBorders>
            <w:vAlign w:val="center"/>
            <w:hideMark/>
          </w:tcPr>
          <w:p w:rsidRPr="00736809" w:rsidR="00736809" w:rsidP="00736809" w:rsidRDefault="00736809">
            <w:pPr>
              <w:spacing w:after="0" w:line="240" w:lineRule="auto"/>
              <w:rPr>
                <w:rFonts w:ascii="Calibri" w:hAnsi="Calibri" w:eastAsia="Times New Roman" w:cs="Times New Roman"/>
                <w:b/>
                <w:bCs/>
                <w:color w:val="000000"/>
                <w:sz w:val="10"/>
                <w:szCs w:val="10"/>
              </w:rPr>
            </w:pPr>
          </w:p>
        </w:tc>
        <w:tc>
          <w:tcPr>
            <w:tcW w:w="900" w:type="dxa"/>
            <w:vMerge/>
            <w:tcBorders>
              <w:top w:val="single" w:color="auto" w:sz="4" w:space="0"/>
              <w:left w:val="single" w:color="auto" w:sz="4" w:space="0"/>
              <w:bottom w:val="nil"/>
              <w:right w:val="single" w:color="auto" w:sz="4" w:space="0"/>
            </w:tcBorders>
            <w:vAlign w:val="center"/>
            <w:hideMark/>
          </w:tcPr>
          <w:p w:rsidRPr="00736809" w:rsidR="00736809" w:rsidP="00736809" w:rsidRDefault="00736809">
            <w:pPr>
              <w:spacing w:after="0" w:line="240" w:lineRule="auto"/>
              <w:rPr>
                <w:rFonts w:ascii="Calibri" w:hAnsi="Calibri" w:eastAsia="Times New Roman" w:cs="Times New Roman"/>
                <w:b/>
                <w:bCs/>
                <w:color w:val="000000"/>
                <w:sz w:val="10"/>
                <w:szCs w:val="10"/>
              </w:rPr>
            </w:pPr>
          </w:p>
        </w:tc>
        <w:tc>
          <w:tcPr>
            <w:tcW w:w="900" w:type="dxa"/>
            <w:vMerge/>
            <w:tcBorders>
              <w:top w:val="single" w:color="auto" w:sz="4" w:space="0"/>
              <w:left w:val="single" w:color="auto" w:sz="4" w:space="0"/>
              <w:bottom w:val="nil"/>
              <w:right w:val="single" w:color="auto" w:sz="4" w:space="0"/>
            </w:tcBorders>
            <w:vAlign w:val="center"/>
            <w:hideMark/>
          </w:tcPr>
          <w:p w:rsidRPr="00736809" w:rsidR="00736809" w:rsidP="00736809" w:rsidRDefault="00736809">
            <w:pPr>
              <w:spacing w:after="0" w:line="240" w:lineRule="auto"/>
              <w:rPr>
                <w:rFonts w:ascii="Calibri" w:hAnsi="Calibri" w:eastAsia="Times New Roman" w:cs="Times New Roman"/>
                <w:b/>
                <w:bCs/>
                <w:color w:val="000000"/>
                <w:sz w:val="10"/>
                <w:szCs w:val="10"/>
              </w:rPr>
            </w:pPr>
          </w:p>
        </w:tc>
        <w:tc>
          <w:tcPr>
            <w:tcW w:w="810" w:type="dxa"/>
            <w:vMerge/>
            <w:tcBorders>
              <w:top w:val="single" w:color="auto" w:sz="4" w:space="0"/>
              <w:left w:val="single" w:color="auto" w:sz="4" w:space="0"/>
              <w:bottom w:val="nil"/>
              <w:right w:val="single" w:color="auto" w:sz="4" w:space="0"/>
            </w:tcBorders>
            <w:vAlign w:val="center"/>
            <w:hideMark/>
          </w:tcPr>
          <w:p w:rsidRPr="00736809" w:rsidR="00736809" w:rsidP="00736809" w:rsidRDefault="00736809">
            <w:pPr>
              <w:spacing w:after="0" w:line="240" w:lineRule="auto"/>
              <w:rPr>
                <w:rFonts w:ascii="Calibri" w:hAnsi="Calibri" w:eastAsia="Times New Roman" w:cs="Times New Roman"/>
                <w:b/>
                <w:bCs/>
                <w:color w:val="000000"/>
                <w:sz w:val="10"/>
                <w:szCs w:val="10"/>
              </w:rPr>
            </w:pPr>
          </w:p>
        </w:tc>
        <w:tc>
          <w:tcPr>
            <w:tcW w:w="990" w:type="dxa"/>
            <w:vMerge/>
            <w:tcBorders>
              <w:top w:val="single" w:color="auto" w:sz="4" w:space="0"/>
              <w:left w:val="single" w:color="auto" w:sz="4" w:space="0"/>
              <w:bottom w:val="nil"/>
              <w:right w:val="single" w:color="auto" w:sz="4" w:space="0"/>
            </w:tcBorders>
            <w:vAlign w:val="center"/>
            <w:hideMark/>
          </w:tcPr>
          <w:p w:rsidRPr="00736809" w:rsidR="00736809" w:rsidP="00736809" w:rsidRDefault="00736809">
            <w:pPr>
              <w:spacing w:after="0" w:line="240" w:lineRule="auto"/>
              <w:rPr>
                <w:rFonts w:ascii="Calibri" w:hAnsi="Calibri" w:eastAsia="Times New Roman" w:cs="Times New Roman"/>
                <w:b/>
                <w:bCs/>
                <w:color w:val="000000"/>
                <w:sz w:val="10"/>
                <w:szCs w:val="10"/>
              </w:rPr>
            </w:pPr>
          </w:p>
        </w:tc>
        <w:tc>
          <w:tcPr>
            <w:tcW w:w="990" w:type="dxa"/>
            <w:vMerge/>
            <w:tcBorders>
              <w:top w:val="single" w:color="auto" w:sz="4" w:space="0"/>
              <w:left w:val="single" w:color="auto" w:sz="4" w:space="0"/>
              <w:bottom w:val="nil"/>
              <w:right w:val="single" w:color="auto" w:sz="4" w:space="0"/>
            </w:tcBorders>
            <w:vAlign w:val="center"/>
            <w:hideMark/>
          </w:tcPr>
          <w:p w:rsidRPr="00736809" w:rsidR="00736809" w:rsidP="00736809" w:rsidRDefault="00736809">
            <w:pPr>
              <w:spacing w:after="0" w:line="240" w:lineRule="auto"/>
              <w:rPr>
                <w:rFonts w:ascii="Calibri" w:hAnsi="Calibri" w:eastAsia="Times New Roman" w:cs="Times New Roman"/>
                <w:b/>
                <w:bCs/>
                <w:color w:val="000000"/>
                <w:sz w:val="10"/>
                <w:szCs w:val="10"/>
              </w:rPr>
            </w:pPr>
          </w:p>
        </w:tc>
        <w:tc>
          <w:tcPr>
            <w:tcW w:w="900" w:type="dxa"/>
            <w:vMerge/>
            <w:tcBorders>
              <w:top w:val="single" w:color="auto" w:sz="4" w:space="0"/>
              <w:left w:val="single" w:color="auto" w:sz="4" w:space="0"/>
              <w:bottom w:val="nil"/>
              <w:right w:val="single" w:color="auto" w:sz="4" w:space="0"/>
            </w:tcBorders>
            <w:vAlign w:val="center"/>
            <w:hideMark/>
          </w:tcPr>
          <w:p w:rsidRPr="00736809" w:rsidR="00736809" w:rsidP="00736809" w:rsidRDefault="00736809">
            <w:pPr>
              <w:spacing w:after="0" w:line="240" w:lineRule="auto"/>
              <w:rPr>
                <w:rFonts w:ascii="Calibri" w:hAnsi="Calibri" w:eastAsia="Times New Roman" w:cs="Times New Roman"/>
                <w:b/>
                <w:bCs/>
                <w:color w:val="000000"/>
                <w:sz w:val="10"/>
                <w:szCs w:val="10"/>
              </w:rPr>
            </w:pPr>
          </w:p>
        </w:tc>
        <w:tc>
          <w:tcPr>
            <w:tcW w:w="900" w:type="dxa"/>
            <w:vMerge/>
            <w:tcBorders>
              <w:top w:val="single" w:color="auto" w:sz="4" w:space="0"/>
              <w:left w:val="single" w:color="auto" w:sz="4" w:space="0"/>
              <w:bottom w:val="nil"/>
              <w:right w:val="single" w:color="auto" w:sz="4" w:space="0"/>
            </w:tcBorders>
            <w:vAlign w:val="center"/>
            <w:hideMark/>
          </w:tcPr>
          <w:p w:rsidRPr="00736809" w:rsidR="00736809" w:rsidP="00736809" w:rsidRDefault="00736809">
            <w:pPr>
              <w:spacing w:after="0" w:line="240" w:lineRule="auto"/>
              <w:rPr>
                <w:rFonts w:ascii="Calibri" w:hAnsi="Calibri" w:eastAsia="Times New Roman" w:cs="Times New Roman"/>
                <w:b/>
                <w:bCs/>
                <w:color w:val="000000"/>
                <w:sz w:val="10"/>
                <w:szCs w:val="10"/>
              </w:rPr>
            </w:pPr>
          </w:p>
        </w:tc>
        <w:tc>
          <w:tcPr>
            <w:tcW w:w="900" w:type="dxa"/>
            <w:vMerge/>
            <w:tcBorders>
              <w:top w:val="single" w:color="auto" w:sz="4" w:space="0"/>
              <w:left w:val="single" w:color="auto" w:sz="4" w:space="0"/>
              <w:bottom w:val="nil"/>
              <w:right w:val="single" w:color="auto" w:sz="4" w:space="0"/>
            </w:tcBorders>
            <w:vAlign w:val="center"/>
            <w:hideMark/>
          </w:tcPr>
          <w:p w:rsidRPr="00736809" w:rsidR="00736809" w:rsidP="00736809" w:rsidRDefault="00736809">
            <w:pPr>
              <w:spacing w:after="0" w:line="240" w:lineRule="auto"/>
              <w:rPr>
                <w:rFonts w:ascii="Calibri" w:hAnsi="Calibri" w:eastAsia="Times New Roman" w:cs="Times New Roman"/>
                <w:b/>
                <w:bCs/>
                <w:color w:val="000000"/>
                <w:sz w:val="10"/>
                <w:szCs w:val="10"/>
              </w:rPr>
            </w:pPr>
          </w:p>
        </w:tc>
        <w:tc>
          <w:tcPr>
            <w:tcW w:w="810" w:type="dxa"/>
            <w:vMerge/>
            <w:tcBorders>
              <w:top w:val="single" w:color="auto" w:sz="4" w:space="0"/>
              <w:left w:val="single" w:color="auto" w:sz="4" w:space="0"/>
              <w:bottom w:val="nil"/>
              <w:right w:val="single" w:color="auto" w:sz="4" w:space="0"/>
            </w:tcBorders>
            <w:vAlign w:val="center"/>
            <w:hideMark/>
          </w:tcPr>
          <w:p w:rsidRPr="00736809" w:rsidR="00736809" w:rsidP="00736809" w:rsidRDefault="00736809">
            <w:pPr>
              <w:spacing w:after="0" w:line="240" w:lineRule="auto"/>
              <w:rPr>
                <w:rFonts w:ascii="Calibri" w:hAnsi="Calibri" w:eastAsia="Times New Roman" w:cs="Times New Roman"/>
                <w:b/>
                <w:bCs/>
                <w:color w:val="000000"/>
                <w:sz w:val="10"/>
                <w:szCs w:val="10"/>
              </w:rPr>
            </w:pPr>
          </w:p>
        </w:tc>
        <w:tc>
          <w:tcPr>
            <w:tcW w:w="810" w:type="dxa"/>
            <w:tcBorders>
              <w:top w:val="nil"/>
              <w:left w:val="nil"/>
              <w:bottom w:val="nil"/>
              <w:right w:val="single" w:color="auto" w:sz="4" w:space="0"/>
            </w:tcBorders>
            <w:shd w:val="clear" w:color="000000" w:fill="00B0F0"/>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Change Due to Agency Discretion</w:t>
            </w:r>
          </w:p>
        </w:tc>
        <w:tc>
          <w:tcPr>
            <w:tcW w:w="900" w:type="dxa"/>
            <w:tcBorders>
              <w:top w:val="nil"/>
              <w:left w:val="nil"/>
              <w:bottom w:val="nil"/>
              <w:right w:val="single" w:color="auto" w:sz="4" w:space="0"/>
            </w:tcBorders>
            <w:shd w:val="clear" w:color="000000" w:fill="00B0F0"/>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Change Due to Adjustment in Agency Estimate</w:t>
            </w:r>
          </w:p>
        </w:tc>
        <w:tc>
          <w:tcPr>
            <w:tcW w:w="720" w:type="dxa"/>
            <w:tcBorders>
              <w:top w:val="nil"/>
              <w:left w:val="nil"/>
              <w:bottom w:val="nil"/>
              <w:right w:val="single" w:color="auto" w:sz="4" w:space="0"/>
            </w:tcBorders>
            <w:shd w:val="clear" w:color="000000" w:fill="00B0F0"/>
            <w:noWrap/>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Adjustment</w:t>
            </w:r>
          </w:p>
        </w:tc>
        <w:tc>
          <w:tcPr>
            <w:tcW w:w="810" w:type="dxa"/>
            <w:tcBorders>
              <w:top w:val="nil"/>
              <w:left w:val="nil"/>
              <w:bottom w:val="nil"/>
              <w:right w:val="single" w:color="auto" w:sz="4" w:space="0"/>
            </w:tcBorders>
            <w:shd w:val="clear" w:color="000000" w:fill="00B0F0"/>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Change Due to Agency Discretion</w:t>
            </w:r>
          </w:p>
        </w:tc>
        <w:tc>
          <w:tcPr>
            <w:tcW w:w="720" w:type="dxa"/>
            <w:tcBorders>
              <w:top w:val="nil"/>
              <w:left w:val="nil"/>
              <w:bottom w:val="nil"/>
              <w:right w:val="single" w:color="auto" w:sz="4" w:space="0"/>
            </w:tcBorders>
            <w:shd w:val="clear" w:color="000000" w:fill="00B0F0"/>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Change Due to Adjustment in Agency Estimate</w:t>
            </w:r>
          </w:p>
        </w:tc>
        <w:tc>
          <w:tcPr>
            <w:tcW w:w="720" w:type="dxa"/>
            <w:tcBorders>
              <w:top w:val="nil"/>
              <w:left w:val="nil"/>
              <w:bottom w:val="nil"/>
              <w:right w:val="single" w:color="auto" w:sz="4" w:space="0"/>
            </w:tcBorders>
            <w:shd w:val="clear" w:color="000000" w:fill="00B0F0"/>
            <w:noWrap/>
            <w:vAlign w:val="center"/>
            <w:hideMark/>
          </w:tcPr>
          <w:p w:rsidRPr="00736809" w:rsidR="00736809" w:rsidP="00736809" w:rsidRDefault="00736809">
            <w:pPr>
              <w:spacing w:after="0" w:line="240" w:lineRule="auto"/>
              <w:jc w:val="center"/>
              <w:rPr>
                <w:rFonts w:ascii="Calibri" w:hAnsi="Calibri" w:eastAsia="Times New Roman" w:cs="Times New Roman"/>
                <w:b/>
                <w:bCs/>
                <w:color w:val="000000"/>
                <w:sz w:val="10"/>
                <w:szCs w:val="10"/>
              </w:rPr>
            </w:pPr>
            <w:r w:rsidRPr="00736809">
              <w:rPr>
                <w:rFonts w:ascii="Calibri" w:hAnsi="Calibri" w:eastAsia="Times New Roman" w:cs="Times New Roman"/>
                <w:b/>
                <w:bCs/>
                <w:color w:val="000000"/>
                <w:sz w:val="10"/>
                <w:szCs w:val="10"/>
              </w:rPr>
              <w:t>Adjustment</w:t>
            </w:r>
          </w:p>
        </w:tc>
      </w:tr>
      <w:tr w:rsidRPr="00736809" w:rsidR="00736809" w:rsidTr="008A7434">
        <w:trPr>
          <w:trHeight w:val="300"/>
        </w:trPr>
        <w:tc>
          <w:tcPr>
            <w:tcW w:w="13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CAIRS</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Varies</w:t>
            </w:r>
          </w:p>
        </w:tc>
        <w:tc>
          <w:tcPr>
            <w:tcW w:w="900" w:type="dxa"/>
            <w:tcBorders>
              <w:top w:val="single" w:color="auto" w:sz="4" w:space="0"/>
              <w:left w:val="nil"/>
              <w:bottom w:val="single" w:color="auto" w:sz="4" w:space="0"/>
              <w:right w:val="single" w:color="auto" w:sz="4" w:space="0"/>
            </w:tcBorders>
            <w:shd w:val="clear" w:color="000000" w:fill="FAFAFA"/>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418</w:t>
            </w:r>
          </w:p>
        </w:tc>
        <w:tc>
          <w:tcPr>
            <w:tcW w:w="810" w:type="dxa"/>
            <w:tcBorders>
              <w:top w:val="single" w:color="auto" w:sz="4" w:space="0"/>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420</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1977</w:t>
            </w:r>
          </w:p>
        </w:tc>
        <w:tc>
          <w:tcPr>
            <w:tcW w:w="990" w:type="dxa"/>
            <w:tcBorders>
              <w:top w:val="single" w:color="auto" w:sz="4" w:space="0"/>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1825</w:t>
            </w:r>
          </w:p>
        </w:tc>
        <w:tc>
          <w:tcPr>
            <w:tcW w:w="900" w:type="dxa"/>
            <w:tcBorders>
              <w:top w:val="single" w:color="auto" w:sz="4" w:space="0"/>
              <w:left w:val="nil"/>
              <w:bottom w:val="single" w:color="auto" w:sz="4" w:space="0"/>
              <w:right w:val="single" w:color="auto" w:sz="4" w:space="0"/>
            </w:tcBorders>
            <w:shd w:val="clear" w:color="auto" w:fill="auto"/>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55</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55</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1820</w:t>
            </w:r>
          </w:p>
        </w:tc>
        <w:tc>
          <w:tcPr>
            <w:tcW w:w="810" w:type="dxa"/>
            <w:tcBorders>
              <w:top w:val="single" w:color="auto" w:sz="4" w:space="0"/>
              <w:left w:val="nil"/>
              <w:bottom w:val="single" w:color="auto" w:sz="4" w:space="0"/>
              <w:right w:val="single" w:color="auto" w:sz="4" w:space="0"/>
            </w:tcBorders>
            <w:shd w:val="clear" w:color="auto" w:fill="auto"/>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1,673</w:t>
            </w:r>
          </w:p>
        </w:tc>
        <w:tc>
          <w:tcPr>
            <w:tcW w:w="810" w:type="dxa"/>
            <w:tcBorders>
              <w:top w:val="single" w:color="auto" w:sz="4" w:space="0"/>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(152)</w:t>
            </w:r>
          </w:p>
        </w:tc>
        <w:tc>
          <w:tcPr>
            <w:tcW w:w="900" w:type="dxa"/>
            <w:tcBorders>
              <w:top w:val="single" w:color="auto" w:sz="4" w:space="0"/>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0</w:t>
            </w:r>
          </w:p>
        </w:tc>
        <w:tc>
          <w:tcPr>
            <w:tcW w:w="720" w:type="dxa"/>
            <w:tcBorders>
              <w:top w:val="single" w:color="auto" w:sz="4" w:space="0"/>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(152)</w:t>
            </w:r>
          </w:p>
        </w:tc>
        <w:tc>
          <w:tcPr>
            <w:tcW w:w="810" w:type="dxa"/>
            <w:tcBorders>
              <w:top w:val="single" w:color="auto" w:sz="4" w:space="0"/>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(147)</w:t>
            </w:r>
          </w:p>
        </w:tc>
        <w:tc>
          <w:tcPr>
            <w:tcW w:w="720" w:type="dxa"/>
            <w:tcBorders>
              <w:top w:val="single" w:color="auto" w:sz="4" w:space="0"/>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0</w:t>
            </w:r>
          </w:p>
        </w:tc>
        <w:tc>
          <w:tcPr>
            <w:tcW w:w="720" w:type="dxa"/>
            <w:tcBorders>
              <w:top w:val="single" w:color="auto" w:sz="4" w:space="0"/>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(147)</w:t>
            </w:r>
          </w:p>
        </w:tc>
      </w:tr>
      <w:tr w:rsidRPr="00736809" w:rsidR="00736809" w:rsidTr="008A7434">
        <w:trPr>
          <w:trHeight w:val="300"/>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ORPS</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Varies</w:t>
            </w:r>
          </w:p>
        </w:tc>
        <w:tc>
          <w:tcPr>
            <w:tcW w:w="900" w:type="dxa"/>
            <w:tcBorders>
              <w:top w:val="nil"/>
              <w:left w:val="nil"/>
              <w:bottom w:val="single" w:color="auto" w:sz="4" w:space="0"/>
              <w:right w:val="single" w:color="auto" w:sz="4" w:space="0"/>
            </w:tcBorders>
            <w:shd w:val="clear" w:color="000000" w:fill="FAFAFA"/>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160</w:t>
            </w:r>
          </w:p>
        </w:tc>
        <w:tc>
          <w:tcPr>
            <w:tcW w:w="81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120</w:t>
            </w:r>
          </w:p>
        </w:tc>
        <w:tc>
          <w:tcPr>
            <w:tcW w:w="99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1060</w:t>
            </w:r>
          </w:p>
        </w:tc>
        <w:tc>
          <w:tcPr>
            <w:tcW w:w="99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750</w:t>
            </w:r>
          </w:p>
        </w:tc>
        <w:tc>
          <w:tcPr>
            <w:tcW w:w="900" w:type="dxa"/>
            <w:tcBorders>
              <w:top w:val="nil"/>
              <w:left w:val="nil"/>
              <w:bottom w:val="single" w:color="auto" w:sz="4" w:space="0"/>
              <w:right w:val="single" w:color="auto" w:sz="4" w:space="0"/>
            </w:tcBorders>
            <w:shd w:val="clear" w:color="auto" w:fill="auto"/>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480</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300</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8480</w:t>
            </w:r>
          </w:p>
        </w:tc>
        <w:tc>
          <w:tcPr>
            <w:tcW w:w="810" w:type="dxa"/>
            <w:tcBorders>
              <w:top w:val="nil"/>
              <w:left w:val="nil"/>
              <w:bottom w:val="single" w:color="auto" w:sz="4" w:space="0"/>
              <w:right w:val="single" w:color="auto" w:sz="4" w:space="0"/>
            </w:tcBorders>
            <w:shd w:val="clear" w:color="auto" w:fill="auto"/>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3,750</w:t>
            </w:r>
          </w:p>
        </w:tc>
        <w:tc>
          <w:tcPr>
            <w:tcW w:w="81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(310)</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0</w:t>
            </w:r>
          </w:p>
        </w:tc>
        <w:tc>
          <w:tcPr>
            <w:tcW w:w="72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(310)</w:t>
            </w:r>
          </w:p>
        </w:tc>
        <w:tc>
          <w:tcPr>
            <w:tcW w:w="81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(4730)</w:t>
            </w:r>
          </w:p>
        </w:tc>
        <w:tc>
          <w:tcPr>
            <w:tcW w:w="72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0</w:t>
            </w:r>
          </w:p>
        </w:tc>
        <w:tc>
          <w:tcPr>
            <w:tcW w:w="72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(4730)</w:t>
            </w:r>
          </w:p>
        </w:tc>
      </w:tr>
      <w:tr w:rsidRPr="00736809" w:rsidR="00736809" w:rsidTr="008A7434">
        <w:trPr>
          <w:trHeight w:val="300"/>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NTS</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Varies</w:t>
            </w:r>
          </w:p>
        </w:tc>
        <w:tc>
          <w:tcPr>
            <w:tcW w:w="900" w:type="dxa"/>
            <w:tcBorders>
              <w:top w:val="nil"/>
              <w:left w:val="nil"/>
              <w:bottom w:val="single" w:color="auto" w:sz="4" w:space="0"/>
              <w:right w:val="single" w:color="auto" w:sz="4" w:space="0"/>
            </w:tcBorders>
            <w:shd w:val="clear" w:color="000000" w:fill="FAFAFA"/>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40</w:t>
            </w:r>
          </w:p>
        </w:tc>
        <w:tc>
          <w:tcPr>
            <w:tcW w:w="81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30</w:t>
            </w:r>
          </w:p>
        </w:tc>
        <w:tc>
          <w:tcPr>
            <w:tcW w:w="99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210</w:t>
            </w:r>
          </w:p>
        </w:tc>
        <w:tc>
          <w:tcPr>
            <w:tcW w:w="99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175</w:t>
            </w:r>
          </w:p>
        </w:tc>
        <w:tc>
          <w:tcPr>
            <w:tcW w:w="900" w:type="dxa"/>
            <w:tcBorders>
              <w:top w:val="nil"/>
              <w:left w:val="nil"/>
              <w:bottom w:val="single" w:color="auto" w:sz="4" w:space="0"/>
              <w:right w:val="single" w:color="auto" w:sz="4" w:space="0"/>
            </w:tcBorders>
            <w:shd w:val="clear" w:color="auto" w:fill="auto"/>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274</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270</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960</w:t>
            </w:r>
          </w:p>
        </w:tc>
        <w:tc>
          <w:tcPr>
            <w:tcW w:w="810" w:type="dxa"/>
            <w:tcBorders>
              <w:top w:val="nil"/>
              <w:left w:val="nil"/>
              <w:bottom w:val="single" w:color="auto" w:sz="4" w:space="0"/>
              <w:right w:val="single" w:color="auto" w:sz="4" w:space="0"/>
            </w:tcBorders>
            <w:shd w:val="clear" w:color="auto" w:fill="auto"/>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788</w:t>
            </w:r>
          </w:p>
        </w:tc>
        <w:tc>
          <w:tcPr>
            <w:tcW w:w="81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(35)</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0</w:t>
            </w:r>
          </w:p>
        </w:tc>
        <w:tc>
          <w:tcPr>
            <w:tcW w:w="72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(35)</w:t>
            </w:r>
          </w:p>
        </w:tc>
        <w:tc>
          <w:tcPr>
            <w:tcW w:w="81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(172)</w:t>
            </w:r>
          </w:p>
        </w:tc>
        <w:tc>
          <w:tcPr>
            <w:tcW w:w="72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0</w:t>
            </w:r>
          </w:p>
        </w:tc>
        <w:tc>
          <w:tcPr>
            <w:tcW w:w="72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(172)</w:t>
            </w:r>
          </w:p>
        </w:tc>
      </w:tr>
      <w:tr w:rsidRPr="00736809" w:rsidR="00736809" w:rsidTr="008A7434">
        <w:trPr>
          <w:trHeight w:val="300"/>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REMS</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Varies</w:t>
            </w:r>
          </w:p>
        </w:tc>
        <w:tc>
          <w:tcPr>
            <w:tcW w:w="900" w:type="dxa"/>
            <w:tcBorders>
              <w:top w:val="nil"/>
              <w:left w:val="nil"/>
              <w:bottom w:val="single" w:color="auto" w:sz="4" w:space="0"/>
              <w:right w:val="single" w:color="auto" w:sz="4" w:space="0"/>
            </w:tcBorders>
            <w:shd w:val="clear" w:color="000000" w:fill="FAFAFA"/>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116</w:t>
            </w:r>
          </w:p>
        </w:tc>
        <w:tc>
          <w:tcPr>
            <w:tcW w:w="81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110</w:t>
            </w:r>
          </w:p>
        </w:tc>
        <w:tc>
          <w:tcPr>
            <w:tcW w:w="99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76000</w:t>
            </w:r>
          </w:p>
        </w:tc>
        <w:tc>
          <w:tcPr>
            <w:tcW w:w="99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79000</w:t>
            </w:r>
          </w:p>
        </w:tc>
        <w:tc>
          <w:tcPr>
            <w:tcW w:w="900" w:type="dxa"/>
            <w:tcBorders>
              <w:top w:val="nil"/>
              <w:left w:val="nil"/>
              <w:bottom w:val="single" w:color="auto" w:sz="4" w:space="0"/>
              <w:right w:val="single" w:color="auto" w:sz="4" w:space="0"/>
            </w:tcBorders>
            <w:shd w:val="clear" w:color="auto" w:fill="auto"/>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23</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23</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29589</w:t>
            </w:r>
          </w:p>
        </w:tc>
        <w:tc>
          <w:tcPr>
            <w:tcW w:w="810" w:type="dxa"/>
            <w:tcBorders>
              <w:top w:val="nil"/>
              <w:left w:val="nil"/>
              <w:bottom w:val="single" w:color="auto" w:sz="4" w:space="0"/>
              <w:right w:val="single" w:color="auto" w:sz="4" w:space="0"/>
            </w:tcBorders>
            <w:shd w:val="clear" w:color="auto" w:fill="auto"/>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30,283</w:t>
            </w:r>
          </w:p>
        </w:tc>
        <w:tc>
          <w:tcPr>
            <w:tcW w:w="81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 xml:space="preserve">3000 </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0</w:t>
            </w:r>
          </w:p>
        </w:tc>
        <w:tc>
          <w:tcPr>
            <w:tcW w:w="72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 xml:space="preserve">3000 </w:t>
            </w:r>
          </w:p>
        </w:tc>
        <w:tc>
          <w:tcPr>
            <w:tcW w:w="81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 xml:space="preserve">694 </w:t>
            </w:r>
          </w:p>
        </w:tc>
        <w:tc>
          <w:tcPr>
            <w:tcW w:w="72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0</w:t>
            </w:r>
          </w:p>
        </w:tc>
        <w:tc>
          <w:tcPr>
            <w:tcW w:w="72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 xml:space="preserve">694 </w:t>
            </w:r>
          </w:p>
        </w:tc>
      </w:tr>
      <w:tr w:rsidRPr="00736809" w:rsidR="00736809" w:rsidTr="008A7434">
        <w:trPr>
          <w:trHeight w:val="300"/>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Annual Fire Safety Summary Application</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Annually</w:t>
            </w:r>
          </w:p>
        </w:tc>
        <w:tc>
          <w:tcPr>
            <w:tcW w:w="900" w:type="dxa"/>
            <w:tcBorders>
              <w:top w:val="nil"/>
              <w:left w:val="nil"/>
              <w:bottom w:val="single" w:color="auto" w:sz="4" w:space="0"/>
              <w:right w:val="single" w:color="auto" w:sz="4" w:space="0"/>
            </w:tcBorders>
            <w:shd w:val="clear" w:color="000000" w:fill="FAFAFA"/>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30</w:t>
            </w:r>
          </w:p>
        </w:tc>
        <w:tc>
          <w:tcPr>
            <w:tcW w:w="81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30</w:t>
            </w:r>
          </w:p>
        </w:tc>
        <w:tc>
          <w:tcPr>
            <w:tcW w:w="99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30</w:t>
            </w:r>
          </w:p>
        </w:tc>
        <w:tc>
          <w:tcPr>
            <w:tcW w:w="99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30</w:t>
            </w:r>
          </w:p>
        </w:tc>
        <w:tc>
          <w:tcPr>
            <w:tcW w:w="900" w:type="dxa"/>
            <w:tcBorders>
              <w:top w:val="nil"/>
              <w:left w:val="nil"/>
              <w:bottom w:val="single" w:color="auto" w:sz="4" w:space="0"/>
              <w:right w:val="single" w:color="auto" w:sz="4" w:space="0"/>
            </w:tcBorders>
            <w:shd w:val="clear" w:color="auto" w:fill="auto"/>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480</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480</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240</w:t>
            </w:r>
          </w:p>
        </w:tc>
        <w:tc>
          <w:tcPr>
            <w:tcW w:w="810" w:type="dxa"/>
            <w:tcBorders>
              <w:top w:val="nil"/>
              <w:left w:val="nil"/>
              <w:bottom w:val="single" w:color="auto" w:sz="4" w:space="0"/>
              <w:right w:val="single" w:color="auto" w:sz="4" w:space="0"/>
            </w:tcBorders>
            <w:shd w:val="clear" w:color="auto" w:fill="auto"/>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240</w:t>
            </w:r>
          </w:p>
        </w:tc>
        <w:tc>
          <w:tcPr>
            <w:tcW w:w="81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 xml:space="preserve">0 </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0</w:t>
            </w:r>
          </w:p>
        </w:tc>
        <w:tc>
          <w:tcPr>
            <w:tcW w:w="72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 xml:space="preserve">0 </w:t>
            </w:r>
          </w:p>
        </w:tc>
        <w:tc>
          <w:tcPr>
            <w:tcW w:w="81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 xml:space="preserve">0 </w:t>
            </w:r>
          </w:p>
        </w:tc>
        <w:tc>
          <w:tcPr>
            <w:tcW w:w="72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0</w:t>
            </w:r>
          </w:p>
        </w:tc>
        <w:tc>
          <w:tcPr>
            <w:tcW w:w="72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 xml:space="preserve">0 </w:t>
            </w:r>
          </w:p>
        </w:tc>
      </w:tr>
      <w:tr w:rsidRPr="00736809" w:rsidR="00736809" w:rsidTr="008A7434">
        <w:trPr>
          <w:trHeight w:val="300"/>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Safety Basis Information System</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Varies</w:t>
            </w:r>
          </w:p>
        </w:tc>
        <w:tc>
          <w:tcPr>
            <w:tcW w:w="900" w:type="dxa"/>
            <w:tcBorders>
              <w:top w:val="nil"/>
              <w:left w:val="nil"/>
              <w:bottom w:val="single" w:color="auto" w:sz="4" w:space="0"/>
              <w:right w:val="single" w:color="auto" w:sz="4" w:space="0"/>
            </w:tcBorders>
            <w:shd w:val="clear" w:color="000000" w:fill="FAFAFA"/>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188</w:t>
            </w:r>
          </w:p>
        </w:tc>
        <w:tc>
          <w:tcPr>
            <w:tcW w:w="81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95</w:t>
            </w:r>
          </w:p>
        </w:tc>
        <w:tc>
          <w:tcPr>
            <w:tcW w:w="99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87</w:t>
            </w:r>
          </w:p>
        </w:tc>
        <w:tc>
          <w:tcPr>
            <w:tcW w:w="99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195</w:t>
            </w:r>
          </w:p>
        </w:tc>
        <w:tc>
          <w:tcPr>
            <w:tcW w:w="900" w:type="dxa"/>
            <w:tcBorders>
              <w:top w:val="nil"/>
              <w:left w:val="nil"/>
              <w:bottom w:val="single" w:color="auto" w:sz="4" w:space="0"/>
              <w:right w:val="single" w:color="auto" w:sz="4" w:space="0"/>
            </w:tcBorders>
            <w:shd w:val="clear" w:color="auto" w:fill="auto"/>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30</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45</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44</w:t>
            </w:r>
          </w:p>
        </w:tc>
        <w:tc>
          <w:tcPr>
            <w:tcW w:w="810" w:type="dxa"/>
            <w:tcBorders>
              <w:top w:val="nil"/>
              <w:left w:val="nil"/>
              <w:bottom w:val="single" w:color="auto" w:sz="4" w:space="0"/>
              <w:right w:val="single" w:color="auto" w:sz="4" w:space="0"/>
            </w:tcBorders>
            <w:shd w:val="clear" w:color="auto" w:fill="auto"/>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146</w:t>
            </w:r>
          </w:p>
        </w:tc>
        <w:tc>
          <w:tcPr>
            <w:tcW w:w="81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 xml:space="preserve">108 </w:t>
            </w:r>
          </w:p>
        </w:tc>
        <w:tc>
          <w:tcPr>
            <w:tcW w:w="90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0</w:t>
            </w:r>
          </w:p>
        </w:tc>
        <w:tc>
          <w:tcPr>
            <w:tcW w:w="72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 xml:space="preserve">108 </w:t>
            </w:r>
          </w:p>
        </w:tc>
        <w:tc>
          <w:tcPr>
            <w:tcW w:w="81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 xml:space="preserve">102 </w:t>
            </w:r>
          </w:p>
        </w:tc>
        <w:tc>
          <w:tcPr>
            <w:tcW w:w="72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0</w:t>
            </w:r>
          </w:p>
        </w:tc>
        <w:tc>
          <w:tcPr>
            <w:tcW w:w="720" w:type="dxa"/>
            <w:tcBorders>
              <w:top w:val="nil"/>
              <w:left w:val="nil"/>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 xml:space="preserve">102 </w:t>
            </w:r>
          </w:p>
        </w:tc>
      </w:tr>
      <w:tr w:rsidRPr="00736809" w:rsidR="00736809" w:rsidTr="008A7434">
        <w:trPr>
          <w:trHeight w:val="315"/>
        </w:trPr>
        <w:tc>
          <w:tcPr>
            <w:tcW w:w="1345" w:type="dxa"/>
            <w:tcBorders>
              <w:top w:val="nil"/>
              <w:left w:val="single" w:color="auto" w:sz="4" w:space="0"/>
              <w:bottom w:val="single" w:color="auto" w:sz="4"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Lesson Learned System</w:t>
            </w:r>
          </w:p>
        </w:tc>
        <w:tc>
          <w:tcPr>
            <w:tcW w:w="900" w:type="dxa"/>
            <w:tcBorders>
              <w:top w:val="nil"/>
              <w:left w:val="nil"/>
              <w:bottom w:val="nil"/>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Varied</w:t>
            </w:r>
          </w:p>
        </w:tc>
        <w:tc>
          <w:tcPr>
            <w:tcW w:w="900" w:type="dxa"/>
            <w:tcBorders>
              <w:top w:val="nil"/>
              <w:left w:val="nil"/>
              <w:bottom w:val="nil"/>
              <w:right w:val="single" w:color="auto" w:sz="4" w:space="0"/>
            </w:tcBorders>
            <w:shd w:val="clear" w:color="000000" w:fill="FAFAFA"/>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52</w:t>
            </w:r>
          </w:p>
        </w:tc>
        <w:tc>
          <w:tcPr>
            <w:tcW w:w="810" w:type="dxa"/>
            <w:tcBorders>
              <w:top w:val="nil"/>
              <w:left w:val="nil"/>
              <w:bottom w:val="nil"/>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40</w:t>
            </w:r>
          </w:p>
        </w:tc>
        <w:tc>
          <w:tcPr>
            <w:tcW w:w="990" w:type="dxa"/>
            <w:tcBorders>
              <w:top w:val="nil"/>
              <w:left w:val="nil"/>
              <w:bottom w:val="nil"/>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270</w:t>
            </w:r>
          </w:p>
        </w:tc>
        <w:tc>
          <w:tcPr>
            <w:tcW w:w="990" w:type="dxa"/>
            <w:tcBorders>
              <w:top w:val="nil"/>
              <w:left w:val="nil"/>
              <w:bottom w:val="nil"/>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180</w:t>
            </w:r>
          </w:p>
        </w:tc>
        <w:tc>
          <w:tcPr>
            <w:tcW w:w="900" w:type="dxa"/>
            <w:tcBorders>
              <w:top w:val="nil"/>
              <w:left w:val="nil"/>
              <w:bottom w:val="nil"/>
              <w:right w:val="single" w:color="auto" w:sz="4" w:space="0"/>
            </w:tcBorders>
            <w:shd w:val="clear" w:color="auto" w:fill="auto"/>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133.3</w:t>
            </w:r>
          </w:p>
        </w:tc>
        <w:tc>
          <w:tcPr>
            <w:tcW w:w="900" w:type="dxa"/>
            <w:tcBorders>
              <w:top w:val="nil"/>
              <w:left w:val="nil"/>
              <w:bottom w:val="nil"/>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133.3</w:t>
            </w:r>
          </w:p>
        </w:tc>
        <w:tc>
          <w:tcPr>
            <w:tcW w:w="900" w:type="dxa"/>
            <w:tcBorders>
              <w:top w:val="nil"/>
              <w:left w:val="nil"/>
              <w:bottom w:val="nil"/>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600</w:t>
            </w:r>
          </w:p>
        </w:tc>
        <w:tc>
          <w:tcPr>
            <w:tcW w:w="810" w:type="dxa"/>
            <w:tcBorders>
              <w:top w:val="nil"/>
              <w:left w:val="nil"/>
              <w:bottom w:val="nil"/>
              <w:right w:val="single" w:color="auto" w:sz="4" w:space="0"/>
            </w:tcBorders>
            <w:shd w:val="clear" w:color="auto" w:fill="auto"/>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400</w:t>
            </w:r>
          </w:p>
        </w:tc>
        <w:tc>
          <w:tcPr>
            <w:tcW w:w="810" w:type="dxa"/>
            <w:tcBorders>
              <w:top w:val="nil"/>
              <w:left w:val="nil"/>
              <w:bottom w:val="nil"/>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(90)</w:t>
            </w:r>
          </w:p>
        </w:tc>
        <w:tc>
          <w:tcPr>
            <w:tcW w:w="900" w:type="dxa"/>
            <w:tcBorders>
              <w:top w:val="nil"/>
              <w:left w:val="nil"/>
              <w:bottom w:val="nil"/>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0</w:t>
            </w:r>
          </w:p>
        </w:tc>
        <w:tc>
          <w:tcPr>
            <w:tcW w:w="720" w:type="dxa"/>
            <w:tcBorders>
              <w:top w:val="nil"/>
              <w:left w:val="nil"/>
              <w:bottom w:val="nil"/>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(90)</w:t>
            </w:r>
          </w:p>
        </w:tc>
        <w:tc>
          <w:tcPr>
            <w:tcW w:w="810" w:type="dxa"/>
            <w:tcBorders>
              <w:top w:val="nil"/>
              <w:left w:val="nil"/>
              <w:bottom w:val="nil"/>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(200)</w:t>
            </w:r>
          </w:p>
        </w:tc>
        <w:tc>
          <w:tcPr>
            <w:tcW w:w="720" w:type="dxa"/>
            <w:tcBorders>
              <w:top w:val="nil"/>
              <w:left w:val="nil"/>
              <w:bottom w:val="nil"/>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0</w:t>
            </w:r>
          </w:p>
        </w:tc>
        <w:tc>
          <w:tcPr>
            <w:tcW w:w="720" w:type="dxa"/>
            <w:tcBorders>
              <w:top w:val="nil"/>
              <w:left w:val="nil"/>
              <w:bottom w:val="nil"/>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(200)</w:t>
            </w:r>
          </w:p>
        </w:tc>
      </w:tr>
      <w:tr w:rsidRPr="00736809" w:rsidR="00736809" w:rsidTr="008A7434">
        <w:trPr>
          <w:trHeight w:val="315"/>
        </w:trPr>
        <w:tc>
          <w:tcPr>
            <w:tcW w:w="1345" w:type="dxa"/>
            <w:tcBorders>
              <w:top w:val="nil"/>
              <w:left w:val="single" w:color="auto" w:sz="4" w:space="0"/>
              <w:bottom w:val="nil"/>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TOTAL</w:t>
            </w:r>
          </w:p>
        </w:tc>
        <w:tc>
          <w:tcPr>
            <w:tcW w:w="900" w:type="dxa"/>
            <w:tcBorders>
              <w:top w:val="single" w:color="auto" w:sz="8" w:space="0"/>
              <w:left w:val="nil"/>
              <w:bottom w:val="single" w:color="auto" w:sz="8" w:space="0"/>
              <w:right w:val="single" w:color="auto" w:sz="4" w:space="0"/>
            </w:tcBorders>
            <w:shd w:val="clear" w:color="000000" w:fill="000000"/>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 </w:t>
            </w:r>
          </w:p>
        </w:tc>
        <w:tc>
          <w:tcPr>
            <w:tcW w:w="900" w:type="dxa"/>
            <w:tcBorders>
              <w:top w:val="single" w:color="auto" w:sz="8" w:space="0"/>
              <w:left w:val="nil"/>
              <w:bottom w:val="single" w:color="auto" w:sz="8"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1,004</w:t>
            </w:r>
          </w:p>
        </w:tc>
        <w:tc>
          <w:tcPr>
            <w:tcW w:w="810" w:type="dxa"/>
            <w:tcBorders>
              <w:top w:val="single" w:color="auto" w:sz="8" w:space="0"/>
              <w:left w:val="nil"/>
              <w:bottom w:val="single" w:color="auto" w:sz="8"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845</w:t>
            </w:r>
          </w:p>
        </w:tc>
        <w:tc>
          <w:tcPr>
            <w:tcW w:w="990" w:type="dxa"/>
            <w:tcBorders>
              <w:top w:val="single" w:color="auto" w:sz="8" w:space="0"/>
              <w:left w:val="nil"/>
              <w:bottom w:val="single" w:color="auto" w:sz="8" w:space="0"/>
              <w:right w:val="nil"/>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79634</w:t>
            </w:r>
          </w:p>
        </w:tc>
        <w:tc>
          <w:tcPr>
            <w:tcW w:w="990" w:type="dxa"/>
            <w:tcBorders>
              <w:top w:val="single" w:color="auto" w:sz="8" w:space="0"/>
              <w:left w:val="nil"/>
              <w:bottom w:val="single" w:color="auto" w:sz="8" w:space="0"/>
              <w:right w:val="nil"/>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82155</w:t>
            </w:r>
          </w:p>
        </w:tc>
        <w:tc>
          <w:tcPr>
            <w:tcW w:w="900" w:type="dxa"/>
            <w:tcBorders>
              <w:top w:val="single" w:color="auto" w:sz="8" w:space="0"/>
              <w:left w:val="single" w:color="auto" w:sz="4" w:space="0"/>
              <w:bottom w:val="single" w:color="auto" w:sz="8" w:space="0"/>
              <w:right w:val="nil"/>
            </w:tcBorders>
            <w:shd w:val="clear" w:color="000000" w:fill="000000"/>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 </w:t>
            </w:r>
          </w:p>
        </w:tc>
        <w:tc>
          <w:tcPr>
            <w:tcW w:w="900" w:type="dxa"/>
            <w:tcBorders>
              <w:top w:val="single" w:color="auto" w:sz="8" w:space="0"/>
              <w:left w:val="nil"/>
              <w:bottom w:val="single" w:color="auto" w:sz="8" w:space="0"/>
              <w:right w:val="nil"/>
            </w:tcBorders>
            <w:shd w:val="clear" w:color="000000" w:fill="000000"/>
            <w:noWrap/>
            <w:vAlign w:val="bottom"/>
            <w:hideMark/>
          </w:tcPr>
          <w:p w:rsidRPr="00736809" w:rsidR="00736809" w:rsidP="00736809" w:rsidRDefault="00736809">
            <w:pPr>
              <w:spacing w:after="0" w:line="240" w:lineRule="auto"/>
              <w:jc w:val="right"/>
              <w:rPr>
                <w:rFonts w:ascii="Calibri" w:hAnsi="Calibri" w:eastAsia="Times New Roman" w:cs="Times New Roman"/>
                <w:color w:val="000000"/>
                <w:sz w:val="10"/>
                <w:szCs w:val="10"/>
              </w:rPr>
            </w:pPr>
            <w:r w:rsidRPr="00736809">
              <w:rPr>
                <w:rFonts w:ascii="Calibri" w:hAnsi="Calibri" w:eastAsia="Times New Roman" w:cs="Times New Roman"/>
                <w:color w:val="000000"/>
                <w:sz w:val="10"/>
                <w:szCs w:val="10"/>
              </w:rPr>
              <w:t> </w:t>
            </w:r>
          </w:p>
        </w:tc>
        <w:tc>
          <w:tcPr>
            <w:tcW w:w="900" w:type="dxa"/>
            <w:tcBorders>
              <w:top w:val="single" w:color="auto" w:sz="8" w:space="0"/>
              <w:left w:val="single" w:color="auto" w:sz="4" w:space="0"/>
              <w:bottom w:val="single" w:color="auto" w:sz="8"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41733</w:t>
            </w:r>
          </w:p>
        </w:tc>
        <w:tc>
          <w:tcPr>
            <w:tcW w:w="810" w:type="dxa"/>
            <w:tcBorders>
              <w:top w:val="single" w:color="auto" w:sz="8" w:space="0"/>
              <w:left w:val="nil"/>
              <w:bottom w:val="single" w:color="auto" w:sz="8" w:space="0"/>
              <w:right w:val="single" w:color="auto" w:sz="4" w:space="0"/>
            </w:tcBorders>
            <w:shd w:val="clear" w:color="auto" w:fill="auto"/>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37,280</w:t>
            </w:r>
          </w:p>
        </w:tc>
        <w:tc>
          <w:tcPr>
            <w:tcW w:w="810" w:type="dxa"/>
            <w:tcBorders>
              <w:top w:val="single" w:color="auto" w:sz="8" w:space="0"/>
              <w:left w:val="nil"/>
              <w:bottom w:val="single" w:color="auto" w:sz="8" w:space="0"/>
              <w:right w:val="single" w:color="auto" w:sz="4" w:space="0"/>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 xml:space="preserve">2521 </w:t>
            </w:r>
          </w:p>
        </w:tc>
        <w:tc>
          <w:tcPr>
            <w:tcW w:w="900" w:type="dxa"/>
            <w:tcBorders>
              <w:top w:val="single" w:color="auto" w:sz="8" w:space="0"/>
              <w:left w:val="nil"/>
              <w:bottom w:val="single" w:color="auto" w:sz="8" w:space="0"/>
              <w:right w:val="nil"/>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0</w:t>
            </w:r>
          </w:p>
        </w:tc>
        <w:tc>
          <w:tcPr>
            <w:tcW w:w="720" w:type="dxa"/>
            <w:tcBorders>
              <w:top w:val="single" w:color="auto" w:sz="8" w:space="0"/>
              <w:left w:val="nil"/>
              <w:bottom w:val="single" w:color="auto" w:sz="8" w:space="0"/>
              <w:right w:val="nil"/>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 xml:space="preserve">2521 </w:t>
            </w:r>
          </w:p>
        </w:tc>
        <w:tc>
          <w:tcPr>
            <w:tcW w:w="810" w:type="dxa"/>
            <w:tcBorders>
              <w:top w:val="single" w:color="auto" w:sz="8" w:space="0"/>
              <w:left w:val="nil"/>
              <w:bottom w:val="single" w:color="auto" w:sz="8" w:space="0"/>
              <w:right w:val="nil"/>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(4453)</w:t>
            </w:r>
          </w:p>
        </w:tc>
        <w:tc>
          <w:tcPr>
            <w:tcW w:w="720" w:type="dxa"/>
            <w:tcBorders>
              <w:top w:val="single" w:color="auto" w:sz="8" w:space="0"/>
              <w:left w:val="nil"/>
              <w:bottom w:val="single" w:color="auto" w:sz="8" w:space="0"/>
              <w:right w:val="nil"/>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sz w:val="10"/>
                <w:szCs w:val="10"/>
              </w:rPr>
              <w:t>0</w:t>
            </w:r>
          </w:p>
        </w:tc>
        <w:tc>
          <w:tcPr>
            <w:tcW w:w="720" w:type="dxa"/>
            <w:tcBorders>
              <w:top w:val="single" w:color="auto" w:sz="8" w:space="0"/>
              <w:left w:val="nil"/>
              <w:bottom w:val="single" w:color="auto" w:sz="8" w:space="0"/>
              <w:right w:val="nil"/>
            </w:tcBorders>
            <w:shd w:val="clear" w:color="auto" w:fill="auto"/>
            <w:noWrap/>
            <w:vAlign w:val="bottom"/>
            <w:hideMark/>
          </w:tcPr>
          <w:p w:rsidRPr="00736809" w:rsidR="00736809" w:rsidP="00736809" w:rsidRDefault="00736809">
            <w:pPr>
              <w:spacing w:after="0" w:line="240" w:lineRule="auto"/>
              <w:jc w:val="right"/>
              <w:rPr>
                <w:rFonts w:ascii="Calibri" w:hAnsi="Calibri" w:eastAsia="Times New Roman" w:cs="Times New Roman"/>
                <w:sz w:val="10"/>
                <w:szCs w:val="10"/>
              </w:rPr>
            </w:pPr>
            <w:r w:rsidRPr="00736809">
              <w:rPr>
                <w:rFonts w:ascii="Calibri" w:hAnsi="Calibri" w:eastAsia="Times New Roman" w:cs="Times New Roman"/>
                <w:color w:val="FF0000"/>
                <w:sz w:val="10"/>
                <w:szCs w:val="10"/>
              </w:rPr>
              <w:t>(4453)</w:t>
            </w:r>
          </w:p>
        </w:tc>
      </w:tr>
    </w:tbl>
    <w:p w:rsidRPr="004D7524" w:rsidR="0091409C" w:rsidP="006D42EC" w:rsidRDefault="0091409C">
      <w:pPr>
        <w:pStyle w:val="Heading2"/>
        <w:sectPr w:rsidRPr="004D7524" w:rsidR="0091409C" w:rsidSect="003C1CB6">
          <w:pgSz w:w="15840" w:h="12240" w:orient="landscape" w:code="1"/>
          <w:pgMar w:top="1440" w:right="1440" w:bottom="1440" w:left="1440" w:header="720" w:footer="720" w:gutter="0"/>
          <w:cols w:space="720"/>
          <w:docGrid w:linePitch="360"/>
        </w:sectPr>
      </w:pPr>
    </w:p>
    <w:p w:rsidRPr="00F54459" w:rsidR="004D7524" w:rsidP="004D7524" w:rsidRDefault="004D7524">
      <w:pPr>
        <w:pStyle w:val="BodyTextIndent"/>
        <w:ind w:left="450"/>
        <w:rPr>
          <w:b/>
        </w:rPr>
      </w:pP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4D7524" w:rsidR="008A7E5F" w:rsidTr="00545C0F">
        <w:trPr>
          <w:trHeight w:val="360"/>
          <w:jc w:val="center"/>
        </w:trPr>
        <w:tc>
          <w:tcPr>
            <w:tcW w:w="9360" w:type="dxa"/>
            <w:gridSpan w:val="5"/>
            <w:tcBorders>
              <w:top w:val="nil"/>
              <w:left w:val="nil"/>
              <w:bottom w:val="nil"/>
              <w:right w:val="nil"/>
            </w:tcBorders>
            <w:shd w:val="clear" w:color="auto" w:fill="auto"/>
            <w:noWrap/>
            <w:vAlign w:val="bottom"/>
            <w:hideMark/>
          </w:tcPr>
          <w:p w:rsidRPr="004D7524" w:rsidR="008A7E5F" w:rsidP="00D01BEA" w:rsidRDefault="008A7E5F">
            <w:pPr>
              <w:spacing w:after="0" w:line="240" w:lineRule="auto"/>
              <w:jc w:val="center"/>
              <w:rPr>
                <w:rFonts w:eastAsia="Times New Roman" w:cs="Arial"/>
                <w:b/>
                <w:color w:val="0070C0"/>
                <w:sz w:val="28"/>
                <w:szCs w:val="28"/>
              </w:rPr>
            </w:pPr>
            <w:r w:rsidRPr="004D7524">
              <w:br w:type="page"/>
            </w:r>
            <w:r w:rsidRPr="004D7524">
              <w:rPr>
                <w:rFonts w:eastAsia="Times New Roman" w:cs="Arial"/>
                <w:b/>
                <w:color w:val="0070C0"/>
                <w:sz w:val="28"/>
                <w:szCs w:val="28"/>
              </w:rPr>
              <w:t>Table A</w:t>
            </w:r>
            <w:r w:rsidRPr="004D7524" w:rsidR="00D01BEA">
              <w:rPr>
                <w:rFonts w:eastAsia="Times New Roman" w:cs="Arial"/>
                <w:b/>
                <w:color w:val="0070C0"/>
                <w:sz w:val="28"/>
                <w:szCs w:val="28"/>
              </w:rPr>
              <w:t>4</w:t>
            </w:r>
            <w:r w:rsidRPr="004D7524">
              <w:rPr>
                <w:rFonts w:eastAsia="Times New Roman" w:cs="Arial"/>
                <w:b/>
                <w:color w:val="0070C0"/>
                <w:sz w:val="28"/>
                <w:szCs w:val="28"/>
              </w:rPr>
              <w:t>. ICR Summary of Burden</w:t>
            </w:r>
          </w:p>
        </w:tc>
      </w:tr>
      <w:tr w:rsidRPr="004D7524" w:rsidR="00545C0F" w:rsidTr="004D7524">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4D7524" w:rsidR="008A7E5F" w:rsidP="008F16EC" w:rsidRDefault="008A7E5F">
            <w:pPr>
              <w:spacing w:after="0" w:line="240" w:lineRule="auto"/>
              <w:jc w:val="center"/>
              <w:rPr>
                <w:rFonts w:eastAsia="Times New Roman" w:cs="Arial"/>
                <w:b/>
                <w:bCs/>
                <w:color w:val="FFFFFF"/>
                <w:sz w:val="20"/>
                <w:szCs w:val="20"/>
              </w:rPr>
            </w:pPr>
            <w:r w:rsidRPr="004D7524">
              <w:rPr>
                <w:rFonts w:eastAsia="Times New Roman" w:cs="Arial"/>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4D7524" w:rsidR="008A7E5F" w:rsidP="008F16EC" w:rsidRDefault="008A7E5F">
            <w:pPr>
              <w:spacing w:after="0" w:line="240" w:lineRule="auto"/>
              <w:jc w:val="center"/>
              <w:rPr>
                <w:rFonts w:eastAsia="Times New Roman" w:cs="Arial"/>
                <w:b/>
                <w:bCs/>
                <w:sz w:val="20"/>
                <w:szCs w:val="20"/>
              </w:rPr>
            </w:pPr>
            <w:r w:rsidRPr="004D7524">
              <w:rPr>
                <w:rFonts w:eastAsia="Times New Roman" w:cs="Arial"/>
                <w:b/>
                <w:bCs/>
                <w:sz w:val="20"/>
                <w:szCs w:val="20"/>
              </w:rPr>
              <w:t>Requested</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4D7524" w:rsidR="008A7E5F" w:rsidP="008F16EC" w:rsidRDefault="008A7E5F">
            <w:pPr>
              <w:spacing w:after="0" w:line="240" w:lineRule="auto"/>
              <w:jc w:val="center"/>
              <w:rPr>
                <w:rFonts w:eastAsia="Times New Roman" w:cs="Arial"/>
                <w:b/>
                <w:bCs/>
                <w:sz w:val="20"/>
                <w:szCs w:val="20"/>
              </w:rPr>
            </w:pPr>
            <w:r w:rsidRPr="004D7524">
              <w:rPr>
                <w:rFonts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4D7524" w:rsidR="008A7E5F" w:rsidP="008F16EC" w:rsidRDefault="008A7E5F">
            <w:pPr>
              <w:spacing w:after="0" w:line="240" w:lineRule="auto"/>
              <w:jc w:val="center"/>
              <w:rPr>
                <w:rFonts w:eastAsia="Times New Roman" w:cs="Arial"/>
                <w:b/>
                <w:bCs/>
                <w:sz w:val="20"/>
                <w:szCs w:val="20"/>
              </w:rPr>
            </w:pPr>
            <w:r w:rsidRPr="004D7524">
              <w:rPr>
                <w:rFonts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4D7524" w:rsidR="008A7E5F" w:rsidP="008F16EC" w:rsidRDefault="008A7E5F">
            <w:pPr>
              <w:spacing w:after="0" w:line="240" w:lineRule="auto"/>
              <w:jc w:val="center"/>
              <w:rPr>
                <w:rFonts w:eastAsia="Times New Roman" w:cs="Arial"/>
                <w:b/>
                <w:bCs/>
                <w:sz w:val="20"/>
                <w:szCs w:val="20"/>
              </w:rPr>
            </w:pPr>
            <w:r w:rsidRPr="004D7524">
              <w:rPr>
                <w:rFonts w:eastAsia="Times New Roman" w:cs="Arial"/>
                <w:b/>
                <w:bCs/>
                <w:sz w:val="20"/>
                <w:szCs w:val="20"/>
              </w:rPr>
              <w:t>Previously Approved</w:t>
            </w:r>
          </w:p>
        </w:tc>
      </w:tr>
      <w:tr w:rsidRPr="004D7524" w:rsidR="008A7E5F" w:rsidTr="004D7524">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4D7524" w:rsidR="008A7E5F" w:rsidP="008F16EC" w:rsidRDefault="00A874E4">
            <w:pPr>
              <w:spacing w:after="0" w:line="240" w:lineRule="auto"/>
              <w:rPr>
                <w:rFonts w:eastAsia="Times New Roman" w:cs="Arial"/>
                <w:color w:val="576170"/>
                <w:sz w:val="20"/>
                <w:szCs w:val="20"/>
              </w:rPr>
            </w:pPr>
            <w:r w:rsidRPr="004D7524">
              <w:rPr>
                <w:rFonts w:eastAsia="Times New Roman" w:cs="Arial"/>
                <w:color w:val="576170"/>
                <w:sz w:val="20"/>
                <w:szCs w:val="20"/>
              </w:rPr>
              <w:t xml:space="preserve">Total </w:t>
            </w:r>
            <w:r w:rsidRPr="004D7524" w:rsidR="008A7E5F">
              <w:rPr>
                <w:rFonts w:eastAsia="Times New Roman" w:cs="Arial"/>
                <w:color w:val="576170"/>
                <w:sz w:val="20"/>
                <w:szCs w:val="20"/>
              </w:rPr>
              <w:t>Number of Responses</w:t>
            </w:r>
          </w:p>
        </w:tc>
        <w:tc>
          <w:tcPr>
            <w:tcW w:w="1872" w:type="dxa"/>
            <w:tcBorders>
              <w:top w:val="nil"/>
              <w:left w:val="nil"/>
              <w:bottom w:val="single" w:color="auto" w:sz="4" w:space="0"/>
              <w:right w:val="single" w:color="auto" w:sz="4" w:space="0"/>
            </w:tcBorders>
            <w:shd w:val="clear" w:color="auto" w:fill="auto"/>
            <w:vAlign w:val="center"/>
            <w:hideMark/>
          </w:tcPr>
          <w:p w:rsidRPr="004D7524" w:rsidR="008A7E5F" w:rsidP="008F16EC" w:rsidRDefault="008A7E5F">
            <w:pPr>
              <w:spacing w:after="0" w:line="240" w:lineRule="auto"/>
              <w:rPr>
                <w:rFonts w:eastAsia="Times New Roman" w:cs="Arial"/>
                <w:color w:val="576170"/>
                <w:sz w:val="20"/>
                <w:szCs w:val="20"/>
              </w:rPr>
            </w:pPr>
            <w:r w:rsidRPr="004D7524">
              <w:rPr>
                <w:rFonts w:eastAsia="Times New Roman" w:cs="Arial"/>
                <w:color w:val="576170"/>
                <w:sz w:val="20"/>
                <w:szCs w:val="20"/>
              </w:rPr>
              <w:t> </w:t>
            </w:r>
            <w:r w:rsidR="00A175CD">
              <w:rPr>
                <w:rFonts w:eastAsia="Times New Roman" w:cs="Arial"/>
                <w:color w:val="576170"/>
                <w:sz w:val="20"/>
                <w:szCs w:val="20"/>
              </w:rPr>
              <w:t>82,155</w:t>
            </w:r>
          </w:p>
        </w:tc>
        <w:tc>
          <w:tcPr>
            <w:tcW w:w="1872" w:type="dxa"/>
            <w:tcBorders>
              <w:top w:val="nil"/>
              <w:left w:val="nil"/>
              <w:bottom w:val="single" w:color="auto" w:sz="4" w:space="0"/>
              <w:right w:val="single" w:color="auto" w:sz="4" w:space="0"/>
            </w:tcBorders>
            <w:shd w:val="clear" w:color="auto" w:fill="auto"/>
            <w:vAlign w:val="center"/>
            <w:hideMark/>
          </w:tcPr>
          <w:p w:rsidRPr="004D7524" w:rsidR="008A7E5F" w:rsidP="005A2759" w:rsidRDefault="008305C0">
            <w:pPr>
              <w:spacing w:after="0" w:line="240" w:lineRule="auto"/>
              <w:rPr>
                <w:rFonts w:eastAsia="Times New Roman" w:cs="Arial"/>
                <w:color w:val="576170"/>
                <w:sz w:val="20"/>
                <w:szCs w:val="20"/>
              </w:rPr>
            </w:pPr>
            <w:r>
              <w:rPr>
                <w:rFonts w:eastAsia="Times New Roman" w:cs="Arial"/>
                <w:color w:val="576170"/>
                <w:sz w:val="20"/>
                <w:szCs w:val="20"/>
              </w:rPr>
              <w:t xml:space="preserve"> </w:t>
            </w:r>
            <w:r w:rsidR="00A175CD">
              <w:rPr>
                <w:rFonts w:eastAsia="Times New Roman" w:cs="Arial"/>
                <w:color w:val="576170"/>
                <w:sz w:val="20"/>
                <w:szCs w:val="20"/>
              </w:rPr>
              <w:t>2521</w:t>
            </w:r>
          </w:p>
        </w:tc>
        <w:tc>
          <w:tcPr>
            <w:tcW w:w="1872" w:type="dxa"/>
            <w:tcBorders>
              <w:top w:val="nil"/>
              <w:left w:val="nil"/>
              <w:bottom w:val="single" w:color="auto" w:sz="4" w:space="0"/>
              <w:right w:val="single" w:color="auto" w:sz="4" w:space="0"/>
            </w:tcBorders>
            <w:shd w:val="clear" w:color="auto" w:fill="auto"/>
            <w:vAlign w:val="center"/>
            <w:hideMark/>
          </w:tcPr>
          <w:p w:rsidRPr="004D7524" w:rsidR="008A7E5F" w:rsidP="008F16EC" w:rsidRDefault="008A7E5F">
            <w:pPr>
              <w:spacing w:after="0" w:line="240" w:lineRule="auto"/>
              <w:rPr>
                <w:rFonts w:eastAsia="Times New Roman" w:cs="Arial"/>
                <w:color w:val="576170"/>
                <w:sz w:val="20"/>
                <w:szCs w:val="20"/>
              </w:rPr>
            </w:pPr>
            <w:r w:rsidRPr="004D7524">
              <w:rPr>
                <w:rFonts w:eastAsia="Times New Roman" w:cs="Arial"/>
                <w:color w:val="576170"/>
                <w:sz w:val="20"/>
                <w:szCs w:val="20"/>
              </w:rPr>
              <w:t> </w:t>
            </w:r>
            <w:r w:rsidR="00A175CD">
              <w:rPr>
                <w:rFonts w:eastAsia="Times New Roman" w:cs="Arial"/>
                <w:color w:val="576170"/>
                <w:sz w:val="20"/>
                <w:szCs w:val="20"/>
              </w:rPr>
              <w:t>0</w:t>
            </w:r>
          </w:p>
        </w:tc>
        <w:tc>
          <w:tcPr>
            <w:tcW w:w="1872" w:type="dxa"/>
            <w:tcBorders>
              <w:top w:val="nil"/>
              <w:left w:val="nil"/>
              <w:bottom w:val="single" w:color="auto" w:sz="4" w:space="0"/>
              <w:right w:val="single" w:color="auto" w:sz="4" w:space="0"/>
            </w:tcBorders>
            <w:shd w:val="clear" w:color="auto" w:fill="auto"/>
            <w:vAlign w:val="center"/>
            <w:hideMark/>
          </w:tcPr>
          <w:p w:rsidRPr="004D7524" w:rsidR="008A7E5F" w:rsidP="008F16EC" w:rsidRDefault="008A7E5F">
            <w:pPr>
              <w:spacing w:after="0" w:line="240" w:lineRule="auto"/>
              <w:rPr>
                <w:rFonts w:eastAsia="Times New Roman" w:cs="Arial"/>
                <w:color w:val="576170"/>
                <w:sz w:val="20"/>
                <w:szCs w:val="20"/>
              </w:rPr>
            </w:pPr>
            <w:r w:rsidRPr="004D7524">
              <w:rPr>
                <w:rFonts w:eastAsia="Times New Roman" w:cs="Arial"/>
                <w:color w:val="576170"/>
                <w:sz w:val="20"/>
                <w:szCs w:val="20"/>
              </w:rPr>
              <w:t> </w:t>
            </w:r>
            <w:r w:rsidR="00A175CD">
              <w:rPr>
                <w:rFonts w:eastAsia="Times New Roman" w:cs="Arial"/>
                <w:color w:val="576170"/>
                <w:sz w:val="20"/>
                <w:szCs w:val="20"/>
              </w:rPr>
              <w:t>79,634</w:t>
            </w:r>
          </w:p>
        </w:tc>
      </w:tr>
      <w:tr w:rsidRPr="004D7524" w:rsidR="008A7E5F" w:rsidTr="004D7524">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4D7524" w:rsidR="008A7E5F" w:rsidP="008F16EC" w:rsidRDefault="00A874E4">
            <w:pPr>
              <w:spacing w:after="0" w:line="240" w:lineRule="auto"/>
              <w:rPr>
                <w:rFonts w:eastAsia="Times New Roman" w:cs="Arial"/>
                <w:color w:val="576170"/>
                <w:sz w:val="20"/>
                <w:szCs w:val="20"/>
              </w:rPr>
            </w:pPr>
            <w:r w:rsidRPr="004D7524">
              <w:rPr>
                <w:rFonts w:eastAsia="Times New Roman" w:cs="Arial"/>
                <w:color w:val="576170"/>
                <w:sz w:val="20"/>
                <w:szCs w:val="20"/>
              </w:rPr>
              <w:t>Tota</w:t>
            </w:r>
            <w:r w:rsidRPr="004D7524" w:rsidR="008A7E5F">
              <w:rPr>
                <w:rFonts w:eastAsia="Times New Roman" w:cs="Arial"/>
                <w:color w:val="576170"/>
                <w:sz w:val="20"/>
                <w:szCs w:val="20"/>
              </w:rPr>
              <w:t>l Time Burden (</w:t>
            </w:r>
            <w:proofErr w:type="spellStart"/>
            <w:r w:rsidRPr="004D7524" w:rsidR="008A7E5F">
              <w:rPr>
                <w:rFonts w:eastAsia="Times New Roman" w:cs="Arial"/>
                <w:color w:val="576170"/>
                <w:sz w:val="20"/>
                <w:szCs w:val="20"/>
              </w:rPr>
              <w:t>Hr</w:t>
            </w:r>
            <w:proofErr w:type="spellEnd"/>
            <w:r w:rsidRPr="004D7524" w:rsidR="008A7E5F">
              <w:rPr>
                <w:rFonts w:eastAsia="Times New Roman" w:cs="Arial"/>
                <w:color w:val="576170"/>
                <w:sz w:val="20"/>
                <w:szCs w:val="20"/>
              </w:rPr>
              <w:t>)</w:t>
            </w:r>
          </w:p>
        </w:tc>
        <w:tc>
          <w:tcPr>
            <w:tcW w:w="1872" w:type="dxa"/>
            <w:tcBorders>
              <w:top w:val="nil"/>
              <w:left w:val="nil"/>
              <w:bottom w:val="single" w:color="auto" w:sz="4" w:space="0"/>
              <w:right w:val="single" w:color="auto" w:sz="4" w:space="0"/>
            </w:tcBorders>
            <w:shd w:val="clear" w:color="auto" w:fill="auto"/>
            <w:vAlign w:val="center"/>
            <w:hideMark/>
          </w:tcPr>
          <w:p w:rsidRPr="004D7524" w:rsidR="008A7E5F" w:rsidP="008F16EC" w:rsidRDefault="008A7E5F">
            <w:pPr>
              <w:spacing w:after="0" w:line="240" w:lineRule="auto"/>
              <w:rPr>
                <w:rFonts w:eastAsia="Times New Roman" w:cs="Arial"/>
                <w:color w:val="576170"/>
                <w:sz w:val="20"/>
                <w:szCs w:val="20"/>
              </w:rPr>
            </w:pPr>
            <w:r w:rsidRPr="004D7524">
              <w:rPr>
                <w:rFonts w:eastAsia="Times New Roman" w:cs="Arial"/>
                <w:color w:val="576170"/>
                <w:sz w:val="20"/>
                <w:szCs w:val="20"/>
              </w:rPr>
              <w:t> </w:t>
            </w:r>
            <w:r w:rsidR="00A175CD">
              <w:rPr>
                <w:rFonts w:eastAsia="Times New Roman" w:cs="Arial"/>
                <w:color w:val="576170"/>
                <w:sz w:val="20"/>
                <w:szCs w:val="20"/>
              </w:rPr>
              <w:t>37,280</w:t>
            </w:r>
          </w:p>
        </w:tc>
        <w:tc>
          <w:tcPr>
            <w:tcW w:w="1872" w:type="dxa"/>
            <w:tcBorders>
              <w:top w:val="nil"/>
              <w:left w:val="nil"/>
              <w:bottom w:val="single" w:color="auto" w:sz="4" w:space="0"/>
              <w:right w:val="single" w:color="auto" w:sz="4" w:space="0"/>
            </w:tcBorders>
            <w:shd w:val="clear" w:color="auto" w:fill="auto"/>
            <w:vAlign w:val="center"/>
            <w:hideMark/>
          </w:tcPr>
          <w:p w:rsidRPr="004D7524" w:rsidR="008A7E5F" w:rsidP="005A2759" w:rsidRDefault="008A7E5F">
            <w:pPr>
              <w:spacing w:after="0" w:line="240" w:lineRule="auto"/>
              <w:rPr>
                <w:rFonts w:eastAsia="Times New Roman" w:cs="Arial"/>
                <w:color w:val="576170"/>
                <w:sz w:val="20"/>
                <w:szCs w:val="20"/>
              </w:rPr>
            </w:pPr>
            <w:r w:rsidRPr="005A2759">
              <w:rPr>
                <w:rFonts w:eastAsia="Times New Roman" w:cs="Arial"/>
                <w:color w:val="FF0000"/>
                <w:sz w:val="20"/>
                <w:szCs w:val="20"/>
              </w:rPr>
              <w:t> </w:t>
            </w:r>
            <w:r w:rsidRPr="005A2759" w:rsidR="005A2759">
              <w:rPr>
                <w:rFonts w:eastAsia="Times New Roman" w:cs="Arial"/>
                <w:color w:val="FF0000"/>
                <w:sz w:val="20"/>
                <w:szCs w:val="20"/>
              </w:rPr>
              <w:t>(</w:t>
            </w:r>
            <w:r w:rsidRPr="005A2759" w:rsidR="00A175CD">
              <w:rPr>
                <w:rFonts w:eastAsia="Times New Roman" w:cs="Arial"/>
                <w:color w:val="FF0000"/>
                <w:sz w:val="20"/>
                <w:szCs w:val="20"/>
              </w:rPr>
              <w:t>4453</w:t>
            </w:r>
            <w:r w:rsidRPr="005A2759" w:rsidR="005A2759">
              <w:rPr>
                <w:rFonts w:eastAsia="Times New Roman" w:cs="Arial"/>
                <w:color w:val="FF0000"/>
                <w:sz w:val="20"/>
                <w:szCs w:val="20"/>
              </w:rPr>
              <w:t>)</w:t>
            </w:r>
          </w:p>
        </w:tc>
        <w:tc>
          <w:tcPr>
            <w:tcW w:w="1872" w:type="dxa"/>
            <w:tcBorders>
              <w:top w:val="nil"/>
              <w:left w:val="nil"/>
              <w:bottom w:val="single" w:color="auto" w:sz="4" w:space="0"/>
              <w:right w:val="single" w:color="auto" w:sz="4" w:space="0"/>
            </w:tcBorders>
            <w:shd w:val="clear" w:color="auto" w:fill="auto"/>
            <w:vAlign w:val="center"/>
            <w:hideMark/>
          </w:tcPr>
          <w:p w:rsidRPr="004D7524" w:rsidR="008A7E5F" w:rsidP="008F16EC" w:rsidRDefault="008A7E5F">
            <w:pPr>
              <w:spacing w:after="0" w:line="240" w:lineRule="auto"/>
              <w:rPr>
                <w:rFonts w:eastAsia="Times New Roman" w:cs="Arial"/>
                <w:color w:val="576170"/>
                <w:sz w:val="20"/>
                <w:szCs w:val="20"/>
              </w:rPr>
            </w:pPr>
            <w:r w:rsidRPr="004D7524">
              <w:rPr>
                <w:rFonts w:eastAsia="Times New Roman" w:cs="Arial"/>
                <w:color w:val="576170"/>
                <w:sz w:val="20"/>
                <w:szCs w:val="20"/>
              </w:rPr>
              <w:t> </w:t>
            </w:r>
            <w:r w:rsidR="00A175CD">
              <w:rPr>
                <w:rFonts w:eastAsia="Times New Roman" w:cs="Arial"/>
                <w:color w:val="576170"/>
                <w:sz w:val="20"/>
                <w:szCs w:val="20"/>
              </w:rPr>
              <w:t>0</w:t>
            </w:r>
          </w:p>
        </w:tc>
        <w:tc>
          <w:tcPr>
            <w:tcW w:w="1872" w:type="dxa"/>
            <w:tcBorders>
              <w:top w:val="nil"/>
              <w:left w:val="nil"/>
              <w:bottom w:val="single" w:color="auto" w:sz="4" w:space="0"/>
              <w:right w:val="single" w:color="auto" w:sz="4" w:space="0"/>
            </w:tcBorders>
            <w:shd w:val="clear" w:color="auto" w:fill="auto"/>
            <w:vAlign w:val="center"/>
            <w:hideMark/>
          </w:tcPr>
          <w:p w:rsidRPr="004D7524" w:rsidR="008A7E5F" w:rsidP="008F16EC" w:rsidRDefault="008A7E5F">
            <w:pPr>
              <w:spacing w:after="0" w:line="240" w:lineRule="auto"/>
              <w:rPr>
                <w:rFonts w:eastAsia="Times New Roman" w:cs="Arial"/>
                <w:color w:val="576170"/>
                <w:sz w:val="20"/>
                <w:szCs w:val="20"/>
              </w:rPr>
            </w:pPr>
            <w:r w:rsidRPr="004D7524">
              <w:rPr>
                <w:rFonts w:eastAsia="Times New Roman" w:cs="Arial"/>
                <w:color w:val="576170"/>
                <w:sz w:val="20"/>
                <w:szCs w:val="20"/>
              </w:rPr>
              <w:t> </w:t>
            </w:r>
            <w:r w:rsidR="00A175CD">
              <w:rPr>
                <w:rFonts w:eastAsia="Times New Roman" w:cs="Arial"/>
                <w:color w:val="576170"/>
                <w:sz w:val="20"/>
                <w:szCs w:val="20"/>
              </w:rPr>
              <w:t>41,733</w:t>
            </w:r>
          </w:p>
        </w:tc>
      </w:tr>
    </w:tbl>
    <w:p w:rsidRPr="004D7524" w:rsidR="00D854D8" w:rsidP="00A41763" w:rsidRDefault="00D854D8"/>
    <w:p w:rsidRPr="004D7524" w:rsidR="00F056C3" w:rsidP="00F056C3" w:rsidRDefault="00F056C3">
      <w:pPr>
        <w:pStyle w:val="Heading2"/>
      </w:pPr>
      <w:bookmarkStart w:name="_Toc18939205" w:id="19"/>
      <w:r w:rsidRPr="004D7524">
        <w:t>A.</w:t>
      </w:r>
      <w:r w:rsidRPr="004D7524" w:rsidR="00A41763">
        <w:t xml:space="preserve">16. </w:t>
      </w:r>
      <w:r w:rsidRPr="004D7524">
        <w:t>Collection, Tabulation, and Publication Plans</w:t>
      </w:r>
      <w:bookmarkEnd w:id="19"/>
      <w:r w:rsidRPr="004D7524">
        <w:t xml:space="preserve"> </w:t>
      </w:r>
    </w:p>
    <w:p w:rsidRPr="004D7524" w:rsidR="00A41763" w:rsidP="00A41763" w:rsidRDefault="00A41763">
      <w:r w:rsidRPr="004D7524">
        <w:rPr>
          <w:b/>
          <w:bCs/>
        </w:rPr>
        <w:t xml:space="preserve">For collections whose results will be published, outline the plans for tabulation and publication. </w:t>
      </w:r>
    </w:p>
    <w:p w:rsidRPr="00F54459" w:rsidR="004D7524" w:rsidP="004D7524" w:rsidRDefault="004D7524">
      <w:pPr>
        <w:ind w:left="360"/>
      </w:pPr>
      <w:r w:rsidRPr="00F54459">
        <w:t>This package contains no collections whose results will be published for statistical use.</w:t>
      </w:r>
      <w:r>
        <w:t xml:space="preserve">  </w:t>
      </w:r>
    </w:p>
    <w:p w:rsidRPr="004D7524" w:rsidR="00F056C3" w:rsidP="00F056C3" w:rsidRDefault="00F056C3">
      <w:pPr>
        <w:pStyle w:val="Heading2"/>
      </w:pPr>
      <w:bookmarkStart w:name="_Toc18939206" w:id="20"/>
      <w:r w:rsidRPr="004D7524">
        <w:t>A.</w:t>
      </w:r>
      <w:r w:rsidRPr="004D7524" w:rsidR="00A41763">
        <w:t xml:space="preserve">17. </w:t>
      </w:r>
      <w:r w:rsidRPr="004D7524">
        <w:t>OMB Number and Expiration Date</w:t>
      </w:r>
      <w:bookmarkEnd w:id="20"/>
      <w:r w:rsidRPr="004D7524">
        <w:t xml:space="preserve"> </w:t>
      </w:r>
    </w:p>
    <w:p w:rsidRPr="004D7524" w:rsidR="00A41763" w:rsidP="00A41763" w:rsidRDefault="00A41763">
      <w:r w:rsidRPr="004D7524">
        <w:rPr>
          <w:b/>
          <w:bCs/>
        </w:rPr>
        <w:t xml:space="preserve">If seeking approval to not display the expiration date for OMB approval of the information collection, explain the reasons why display would be inappropriate. </w:t>
      </w:r>
    </w:p>
    <w:p w:rsidRPr="00F54459" w:rsidR="004D7524" w:rsidP="004D7524" w:rsidRDefault="003241F4">
      <w:pPr>
        <w:ind w:left="360" w:right="-180"/>
      </w:pPr>
      <w:r>
        <w:lastRenderedPageBreak/>
        <w:t xml:space="preserve">The OMB number and expiration date will be displayed </w:t>
      </w:r>
      <w:r w:rsidR="005B1DE5">
        <w:t>in</w:t>
      </w:r>
      <w:r>
        <w:t xml:space="preserve"> </w:t>
      </w:r>
      <w:r w:rsidR="005B1DE5">
        <w:t>systems/databases in this collection.</w:t>
      </w:r>
    </w:p>
    <w:p w:rsidRPr="004D7524" w:rsidR="00F056C3" w:rsidP="00F056C3" w:rsidRDefault="00F056C3">
      <w:pPr>
        <w:pStyle w:val="Heading2"/>
      </w:pPr>
      <w:bookmarkStart w:name="_Toc18939207" w:id="21"/>
      <w:r w:rsidRPr="004D7524">
        <w:t>A.</w:t>
      </w:r>
      <w:r w:rsidRPr="004D7524" w:rsidR="00A41763">
        <w:t xml:space="preserve">18. </w:t>
      </w:r>
      <w:r w:rsidRPr="004D7524">
        <w:t>Certification Statement</w:t>
      </w:r>
      <w:bookmarkEnd w:id="21"/>
      <w:r w:rsidRPr="004D7524">
        <w:t xml:space="preserve"> </w:t>
      </w:r>
    </w:p>
    <w:p w:rsidRPr="004D7524" w:rsidR="00A41763" w:rsidP="00A41763" w:rsidRDefault="00A41763">
      <w:r w:rsidRPr="004D7524">
        <w:rPr>
          <w:b/>
          <w:bCs/>
        </w:rPr>
        <w:t xml:space="preserve">Explain each exception to the certification statement identified in Item 19 of OMB Form 83-I. </w:t>
      </w:r>
    </w:p>
    <w:p w:rsidRPr="00F54459" w:rsidR="004D7524" w:rsidP="004D7524" w:rsidRDefault="004D7524">
      <w:pPr>
        <w:ind w:left="360"/>
        <w:rPr>
          <w:b/>
          <w:u w:val="single"/>
        </w:rPr>
      </w:pPr>
      <w:r w:rsidRPr="00F54459">
        <w:t>The Department of Energy is not requesting any exceptions to the certification statement provided in Item 19 of OMB Form 83-I.</w:t>
      </w:r>
    </w:p>
    <w:p w:rsidRPr="004D7524" w:rsidR="004D7524" w:rsidP="00A41763" w:rsidRDefault="004D7524"/>
    <w:sectPr w:rsidRPr="004D7524" w:rsidR="004D7524" w:rsidSect="003C1CB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1F4" w:rsidRDefault="003241F4" w:rsidP="00536CE1">
      <w:pPr>
        <w:spacing w:after="0" w:line="240" w:lineRule="auto"/>
      </w:pPr>
      <w:r>
        <w:separator/>
      </w:r>
    </w:p>
  </w:endnote>
  <w:endnote w:type="continuationSeparator" w:id="0">
    <w:p w:rsidR="003241F4" w:rsidRDefault="003241F4"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F4" w:rsidRPr="001F3A8F" w:rsidRDefault="003241F4"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Environment, Safety and Health</w:t>
        </w:r>
      </w:sdtContent>
    </w:sdt>
    <w:r>
      <w:t xml:space="preserve"> </w:t>
    </w:r>
    <w:r>
      <w:tab/>
      <w:t xml:space="preserve"> </w:t>
    </w:r>
    <w:r>
      <w:fldChar w:fldCharType="begin"/>
    </w:r>
    <w:r>
      <w:instrText xml:space="preserve"> PAGE   \* MERGEFORMAT </w:instrText>
    </w:r>
    <w:r>
      <w:fldChar w:fldCharType="separate"/>
    </w:r>
    <w:r w:rsidR="00AD606E">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F4" w:rsidRDefault="00AD606E" w:rsidP="00760677">
    <w:pPr>
      <w:pStyle w:val="Footer"/>
    </w:pPr>
    <w:sdt>
      <w:sdtPr>
        <w:id w:val="272451101"/>
        <w:docPartObj>
          <w:docPartGallery w:val="Page Numbers (Bottom of Page)"/>
          <w:docPartUnique/>
        </w:docPartObj>
      </w:sdtPr>
      <w:sdtEndPr/>
      <w:sdtContent>
        <w:r w:rsidR="003241F4"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3241F4">
              <w:t>Improving the Quality and Scope of EIA Data</w:t>
            </w:r>
          </w:sdtContent>
        </w:sdt>
        <w:r w:rsidR="003241F4" w:rsidRPr="00CB180D">
          <w:tab/>
        </w:r>
      </w:sdtContent>
    </w:sdt>
    <w:r w:rsidR="003241F4" w:rsidRPr="00760677">
      <w:t xml:space="preserve"> </w:t>
    </w:r>
    <w:r w:rsidR="003241F4">
      <w:fldChar w:fldCharType="begin"/>
    </w:r>
    <w:r w:rsidR="003241F4">
      <w:instrText xml:space="preserve"> PAGE   \* MERGEFORMAT </w:instrText>
    </w:r>
    <w:r w:rsidR="003241F4">
      <w:fldChar w:fldCharType="separate"/>
    </w:r>
    <w:r w:rsidR="003241F4">
      <w:rPr>
        <w:noProof/>
      </w:rPr>
      <w:t>i</w:t>
    </w:r>
    <w:r w:rsidR="003241F4">
      <w:rPr>
        <w:noProof/>
      </w:rPr>
      <w:fldChar w:fldCharType="end"/>
    </w:r>
  </w:p>
  <w:p w:rsidR="003241F4" w:rsidRDefault="003241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F4" w:rsidRDefault="00AD606E" w:rsidP="00760677">
    <w:pPr>
      <w:pStyle w:val="Footer"/>
    </w:pPr>
    <w:sdt>
      <w:sdtPr>
        <w:id w:val="-22715443"/>
        <w:docPartObj>
          <w:docPartGallery w:val="Page Numbers (Bottom of Page)"/>
          <w:docPartUnique/>
        </w:docPartObj>
      </w:sdtPr>
      <w:sdtEndPr/>
      <w:sdtContent>
        <w:r w:rsidR="003241F4"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3241F4">
              <w:t>Improving the Quality and Scope of EIA Data</w:t>
            </w:r>
          </w:sdtContent>
        </w:sdt>
        <w:r w:rsidR="003241F4" w:rsidRPr="00CB180D">
          <w:tab/>
        </w:r>
      </w:sdtContent>
    </w:sdt>
    <w:r w:rsidR="003241F4" w:rsidRPr="00760677">
      <w:t xml:space="preserve"> </w:t>
    </w:r>
    <w:r w:rsidR="003241F4">
      <w:fldChar w:fldCharType="begin"/>
    </w:r>
    <w:r w:rsidR="003241F4">
      <w:instrText xml:space="preserve"> PAGE   \* MERGEFORMAT </w:instrText>
    </w:r>
    <w:r w:rsidR="003241F4">
      <w:fldChar w:fldCharType="separate"/>
    </w:r>
    <w:r w:rsidR="003241F4">
      <w:rPr>
        <w:noProof/>
      </w:rPr>
      <w:t>ii</w:t>
    </w:r>
    <w:r w:rsidR="003241F4">
      <w:rPr>
        <w:noProof/>
      </w:rPr>
      <w:fldChar w:fldCharType="end"/>
    </w:r>
  </w:p>
  <w:p w:rsidR="003241F4" w:rsidRDefault="003241F4"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672489"/>
      <w:docPartObj>
        <w:docPartGallery w:val="Page Numbers (Bottom of Page)"/>
        <w:docPartUnique/>
      </w:docPartObj>
    </w:sdtPr>
    <w:sdtEndPr/>
    <w:sdtContent>
      <w:p w:rsidR="003241F4" w:rsidRDefault="003241F4" w:rsidP="00760677">
        <w:pPr>
          <w:pStyle w:val="Footer"/>
        </w:pPr>
        <w:r>
          <w:fldChar w:fldCharType="begin"/>
        </w:r>
        <w:r>
          <w:instrText xml:space="preserve"> PAGE   \* MERGEFORMAT </w:instrText>
        </w:r>
        <w:r>
          <w:fldChar w:fldCharType="separate"/>
        </w:r>
        <w:r>
          <w:rPr>
            <w:noProof/>
          </w:rPr>
          <w:t>14</w:t>
        </w:r>
        <w:r>
          <w:rPr>
            <w:noProof/>
          </w:rPr>
          <w:fldChar w:fldCharType="end"/>
        </w:r>
        <w:r>
          <w:tab/>
          <w:t xml:space="preserve">                                                                                             </w:t>
        </w:r>
        <w:r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F4" w:rsidRDefault="00AD606E" w:rsidP="00760677">
    <w:pPr>
      <w:pStyle w:val="Footer"/>
    </w:pPr>
    <w:sdt>
      <w:sdtPr>
        <w:id w:val="-2118122873"/>
        <w:docPartObj>
          <w:docPartGallery w:val="Page Numbers (Bottom of Page)"/>
          <w:docPartUnique/>
        </w:docPartObj>
      </w:sdtPr>
      <w:sdtEndPr/>
      <w:sdtContent>
        <w:r w:rsidR="003241F4" w:rsidRPr="00CB180D">
          <w:t xml:space="preserve">U.S. Energy Information Administration   |   </w:t>
        </w:r>
        <w:sdt>
          <w:sdtPr>
            <w:alias w:val="Subject"/>
            <w:id w:val="1215929675"/>
            <w:dataBinding w:prefixMappings="xmlns:ns0='http://purl.org/dc/elements/1.1/' xmlns:ns1='http://schemas.openxmlformats.org/package/2006/metadata/core-properties' " w:xpath="/ns1:coreProperties[1]/ns0:subject[1]" w:storeItemID="{6C3C8BC8-F283-45AE-878A-BAB7291924A1}"/>
            <w:text/>
          </w:sdtPr>
          <w:sdtEndPr/>
          <w:sdtContent>
            <w:r w:rsidR="003241F4">
              <w:t>Improving the Quality and Scope of EIA Data</w:t>
            </w:r>
          </w:sdtContent>
        </w:sdt>
        <w:r w:rsidR="003241F4" w:rsidRPr="00CB180D">
          <w:tab/>
        </w:r>
      </w:sdtContent>
    </w:sdt>
    <w:r w:rsidR="003241F4" w:rsidRPr="00760677">
      <w:t xml:space="preserve"> </w:t>
    </w:r>
    <w:r w:rsidR="003241F4">
      <w:fldChar w:fldCharType="begin"/>
    </w:r>
    <w:r w:rsidR="003241F4">
      <w:instrText xml:space="preserve"> PAGE   \* MERGEFORMAT </w:instrText>
    </w:r>
    <w:r w:rsidR="003241F4">
      <w:fldChar w:fldCharType="separate"/>
    </w:r>
    <w:r w:rsidR="003241F4">
      <w:rPr>
        <w:noProof/>
      </w:rPr>
      <w:t>1</w:t>
    </w:r>
    <w:r w:rsidR="003241F4">
      <w:rPr>
        <w:noProof/>
      </w:rPr>
      <w:fldChar w:fldCharType="end"/>
    </w:r>
  </w:p>
  <w:p w:rsidR="003241F4" w:rsidRDefault="003241F4"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F4" w:rsidRPr="001F3A8F" w:rsidRDefault="003241F4" w:rsidP="00616E46">
    <w:pPr>
      <w:pStyle w:val="Footer"/>
      <w:tabs>
        <w:tab w:val="clear" w:pos="9720"/>
        <w:tab w:val="left" w:pos="8655"/>
      </w:tabs>
    </w:pPr>
    <w:r>
      <w:t>U.S. Department of Energy</w:t>
    </w:r>
    <w:r w:rsidRPr="00CB180D">
      <w:t xml:space="preserve">   |</w:t>
    </w:r>
    <w:r>
      <w:t xml:space="preserve">   </w:t>
    </w:r>
    <w:sdt>
      <w:sdtPr>
        <w:alias w:val="Title"/>
        <w:tag w:val=""/>
        <w:id w:val="-708725338"/>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EndPr/>
      <w:sdtContent>
        <w:r>
          <w:t>Supporting Statement for Environment, Safety and Health</w:t>
        </w:r>
      </w:sdtContent>
    </w:sdt>
    <w:r>
      <w:t xml:space="preserve"> </w:t>
    </w:r>
    <w:r>
      <w:tab/>
      <w:t xml:space="preserve"> </w:t>
    </w:r>
    <w:r>
      <w:fldChar w:fldCharType="begin"/>
    </w:r>
    <w:r>
      <w:instrText xml:space="preserve"> PAGE   \* MERGEFORMAT </w:instrText>
    </w:r>
    <w:r>
      <w:fldChar w:fldCharType="separate"/>
    </w:r>
    <w:r w:rsidR="00AD606E">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1F4" w:rsidRDefault="003241F4" w:rsidP="00536CE1">
      <w:pPr>
        <w:spacing w:after="0" w:line="240" w:lineRule="auto"/>
      </w:pPr>
      <w:r>
        <w:separator/>
      </w:r>
    </w:p>
  </w:footnote>
  <w:footnote w:type="continuationSeparator" w:id="0">
    <w:p w:rsidR="003241F4" w:rsidRDefault="003241F4" w:rsidP="00536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F4" w:rsidRDefault="003241F4"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F4" w:rsidRPr="00373208" w:rsidRDefault="003241F4"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F4" w:rsidRPr="00F8298C" w:rsidRDefault="003241F4" w:rsidP="00041909">
    <w:pPr>
      <w:pStyle w:val="Header"/>
    </w:pPr>
    <w:r>
      <w:t>September 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41F4" w:rsidRDefault="003241F4"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15:restartNumberingAfterBreak="0">
    <w:nsid w:val="035C13A2"/>
    <w:multiLevelType w:val="hybridMultilevel"/>
    <w:tmpl w:val="C716362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C596C4F6">
      <w:start w:val="1"/>
      <w:numFmt w:val="bullet"/>
      <w:lvlText w:val=""/>
      <w:lvlJc w:val="left"/>
      <w:pPr>
        <w:tabs>
          <w:tab w:val="num" w:pos="864"/>
        </w:tabs>
        <w:ind w:left="720" w:firstLine="0"/>
      </w:pPr>
      <w:rPr>
        <w:rFonts w:ascii="Symbol" w:hAnsi="Symbol" w:hint="default"/>
        <w:b w:val="0"/>
        <w:i w:val="0"/>
        <w:sz w:val="16"/>
        <w:szCs w:val="16"/>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8" w15:restartNumberingAfterBreak="0">
    <w:nsid w:val="07805809"/>
    <w:multiLevelType w:val="hybridMultilevel"/>
    <w:tmpl w:val="6BD6509E"/>
    <w:lvl w:ilvl="0" w:tplc="2EAE4CC2">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9E7DB7"/>
    <w:multiLevelType w:val="hybridMultilevel"/>
    <w:tmpl w:val="3CCA6D0E"/>
    <w:lvl w:ilvl="0" w:tplc="9BC8E93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F4D07"/>
    <w:multiLevelType w:val="hybridMultilevel"/>
    <w:tmpl w:val="EF88CEBC"/>
    <w:lvl w:ilvl="0" w:tplc="942AB8C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112C5"/>
    <w:multiLevelType w:val="hybridMultilevel"/>
    <w:tmpl w:val="13BA0B4C"/>
    <w:lvl w:ilvl="0" w:tplc="E12AAB4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num w:numId="1">
    <w:abstractNumId w:val="3"/>
  </w:num>
  <w:num w:numId="2">
    <w:abstractNumId w:val="7"/>
  </w:num>
  <w:num w:numId="3">
    <w:abstractNumId w:val="5"/>
  </w:num>
  <w:num w:numId="4">
    <w:abstractNumId w:val="4"/>
  </w:num>
  <w:num w:numId="5">
    <w:abstractNumId w:val="2"/>
  </w:num>
  <w:num w:numId="6">
    <w:abstractNumId w:val="1"/>
  </w:num>
  <w:num w:numId="7">
    <w:abstractNumId w:val="0"/>
  </w:num>
  <w:num w:numId="8">
    <w:abstractNumId w:val="12"/>
  </w:num>
  <w:num w:numId="9">
    <w:abstractNumId w:val="6"/>
  </w:num>
  <w:num w:numId="10">
    <w:abstractNumId w:val="10"/>
  </w:num>
  <w:num w:numId="11">
    <w:abstractNumId w:val="11"/>
  </w:num>
  <w:num w:numId="12">
    <w:abstractNumId w:val="8"/>
  </w:num>
  <w:num w:numId="1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6145"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11B3F"/>
    <w:rsid w:val="00013373"/>
    <w:rsid w:val="00013756"/>
    <w:rsid w:val="000142E5"/>
    <w:rsid w:val="00015DA7"/>
    <w:rsid w:val="000248CE"/>
    <w:rsid w:val="00024E1E"/>
    <w:rsid w:val="00034A4B"/>
    <w:rsid w:val="00041909"/>
    <w:rsid w:val="00046593"/>
    <w:rsid w:val="00047C08"/>
    <w:rsid w:val="0005401F"/>
    <w:rsid w:val="00055769"/>
    <w:rsid w:val="00056EC3"/>
    <w:rsid w:val="00062CFE"/>
    <w:rsid w:val="0007129A"/>
    <w:rsid w:val="000831C4"/>
    <w:rsid w:val="000844CA"/>
    <w:rsid w:val="000B3FBE"/>
    <w:rsid w:val="000C28E1"/>
    <w:rsid w:val="000C5311"/>
    <w:rsid w:val="000D5705"/>
    <w:rsid w:val="000F040A"/>
    <w:rsid w:val="000F7623"/>
    <w:rsid w:val="001034E8"/>
    <w:rsid w:val="00112A69"/>
    <w:rsid w:val="0011541D"/>
    <w:rsid w:val="00132F4A"/>
    <w:rsid w:val="00154192"/>
    <w:rsid w:val="00160BA9"/>
    <w:rsid w:val="00160BC8"/>
    <w:rsid w:val="00167425"/>
    <w:rsid w:val="001807A3"/>
    <w:rsid w:val="001947D5"/>
    <w:rsid w:val="001A6E1E"/>
    <w:rsid w:val="001A6E9A"/>
    <w:rsid w:val="001B0E69"/>
    <w:rsid w:val="001B482D"/>
    <w:rsid w:val="001B6585"/>
    <w:rsid w:val="001D03A8"/>
    <w:rsid w:val="001F3A8F"/>
    <w:rsid w:val="001F492B"/>
    <w:rsid w:val="00200579"/>
    <w:rsid w:val="002008B4"/>
    <w:rsid w:val="00201F24"/>
    <w:rsid w:val="002127CE"/>
    <w:rsid w:val="00215842"/>
    <w:rsid w:val="002207DF"/>
    <w:rsid w:val="00221AC2"/>
    <w:rsid w:val="00227E4B"/>
    <w:rsid w:val="0023015A"/>
    <w:rsid w:val="0023708A"/>
    <w:rsid w:val="002447B0"/>
    <w:rsid w:val="002468BB"/>
    <w:rsid w:val="0025022D"/>
    <w:rsid w:val="002530BB"/>
    <w:rsid w:val="002556F3"/>
    <w:rsid w:val="00260EDF"/>
    <w:rsid w:val="00264148"/>
    <w:rsid w:val="002722D9"/>
    <w:rsid w:val="00274179"/>
    <w:rsid w:val="002B0FD2"/>
    <w:rsid w:val="002C378C"/>
    <w:rsid w:val="002E3FD5"/>
    <w:rsid w:val="002E7A38"/>
    <w:rsid w:val="00306516"/>
    <w:rsid w:val="003241F4"/>
    <w:rsid w:val="00340AEA"/>
    <w:rsid w:val="003469CB"/>
    <w:rsid w:val="00350C8B"/>
    <w:rsid w:val="00351313"/>
    <w:rsid w:val="00363331"/>
    <w:rsid w:val="00367022"/>
    <w:rsid w:val="00371E14"/>
    <w:rsid w:val="00373208"/>
    <w:rsid w:val="00383DB3"/>
    <w:rsid w:val="003854B2"/>
    <w:rsid w:val="00385AE6"/>
    <w:rsid w:val="00387C8D"/>
    <w:rsid w:val="00392DD0"/>
    <w:rsid w:val="00393EA7"/>
    <w:rsid w:val="00396BCB"/>
    <w:rsid w:val="00397825"/>
    <w:rsid w:val="003A1073"/>
    <w:rsid w:val="003A10F3"/>
    <w:rsid w:val="003A3906"/>
    <w:rsid w:val="003B03A4"/>
    <w:rsid w:val="003C03EA"/>
    <w:rsid w:val="003C1CB6"/>
    <w:rsid w:val="003C690C"/>
    <w:rsid w:val="003E40FA"/>
    <w:rsid w:val="003F24ED"/>
    <w:rsid w:val="003F529E"/>
    <w:rsid w:val="00407CCE"/>
    <w:rsid w:val="00426481"/>
    <w:rsid w:val="00432966"/>
    <w:rsid w:val="0045608E"/>
    <w:rsid w:val="0045662F"/>
    <w:rsid w:val="00466959"/>
    <w:rsid w:val="0047784B"/>
    <w:rsid w:val="004946F0"/>
    <w:rsid w:val="00497C2A"/>
    <w:rsid w:val="004B1075"/>
    <w:rsid w:val="004C277B"/>
    <w:rsid w:val="004D05FB"/>
    <w:rsid w:val="004D29C7"/>
    <w:rsid w:val="004D7524"/>
    <w:rsid w:val="00504119"/>
    <w:rsid w:val="005065CF"/>
    <w:rsid w:val="00506BB4"/>
    <w:rsid w:val="0050705F"/>
    <w:rsid w:val="005170D3"/>
    <w:rsid w:val="0052493A"/>
    <w:rsid w:val="0052783E"/>
    <w:rsid w:val="00535CAF"/>
    <w:rsid w:val="00536054"/>
    <w:rsid w:val="0053654B"/>
    <w:rsid w:val="00536CE1"/>
    <w:rsid w:val="00537A91"/>
    <w:rsid w:val="0054180D"/>
    <w:rsid w:val="00545C0F"/>
    <w:rsid w:val="00547B53"/>
    <w:rsid w:val="005515CD"/>
    <w:rsid w:val="00571D8F"/>
    <w:rsid w:val="0057367D"/>
    <w:rsid w:val="00585BE3"/>
    <w:rsid w:val="0059212D"/>
    <w:rsid w:val="0059448D"/>
    <w:rsid w:val="005946D0"/>
    <w:rsid w:val="005A172C"/>
    <w:rsid w:val="005A2759"/>
    <w:rsid w:val="005B1DE5"/>
    <w:rsid w:val="005B2B58"/>
    <w:rsid w:val="005C00FA"/>
    <w:rsid w:val="005C2D89"/>
    <w:rsid w:val="005C485B"/>
    <w:rsid w:val="005D39D7"/>
    <w:rsid w:val="005D5956"/>
    <w:rsid w:val="005D6F63"/>
    <w:rsid w:val="005E369C"/>
    <w:rsid w:val="005F4848"/>
    <w:rsid w:val="005F7243"/>
    <w:rsid w:val="00616E46"/>
    <w:rsid w:val="0062008C"/>
    <w:rsid w:val="00620797"/>
    <w:rsid w:val="00626494"/>
    <w:rsid w:val="00641DE2"/>
    <w:rsid w:val="00643384"/>
    <w:rsid w:val="0065406F"/>
    <w:rsid w:val="00663EC4"/>
    <w:rsid w:val="006747FA"/>
    <w:rsid w:val="00677C5F"/>
    <w:rsid w:val="006A0BC7"/>
    <w:rsid w:val="006C0062"/>
    <w:rsid w:val="006C097E"/>
    <w:rsid w:val="006C2DC3"/>
    <w:rsid w:val="006D0439"/>
    <w:rsid w:val="006D42EC"/>
    <w:rsid w:val="006F3C12"/>
    <w:rsid w:val="006F7359"/>
    <w:rsid w:val="00704B7D"/>
    <w:rsid w:val="00711414"/>
    <w:rsid w:val="00725453"/>
    <w:rsid w:val="00730DA0"/>
    <w:rsid w:val="00735D63"/>
    <w:rsid w:val="00736809"/>
    <w:rsid w:val="00737591"/>
    <w:rsid w:val="007438F2"/>
    <w:rsid w:val="00743D5F"/>
    <w:rsid w:val="00750255"/>
    <w:rsid w:val="00755C3D"/>
    <w:rsid w:val="007576EF"/>
    <w:rsid w:val="00760677"/>
    <w:rsid w:val="00761C12"/>
    <w:rsid w:val="007658BA"/>
    <w:rsid w:val="00776CF4"/>
    <w:rsid w:val="00777E63"/>
    <w:rsid w:val="00784F89"/>
    <w:rsid w:val="00786336"/>
    <w:rsid w:val="007951D6"/>
    <w:rsid w:val="007953B2"/>
    <w:rsid w:val="007A0E7F"/>
    <w:rsid w:val="007A4378"/>
    <w:rsid w:val="007C5CE9"/>
    <w:rsid w:val="007D39CC"/>
    <w:rsid w:val="007D6AAF"/>
    <w:rsid w:val="007E29F8"/>
    <w:rsid w:val="007E5A11"/>
    <w:rsid w:val="007E73E6"/>
    <w:rsid w:val="007F1954"/>
    <w:rsid w:val="007F21D7"/>
    <w:rsid w:val="008057F8"/>
    <w:rsid w:val="00811910"/>
    <w:rsid w:val="00812C91"/>
    <w:rsid w:val="008213F9"/>
    <w:rsid w:val="008305C0"/>
    <w:rsid w:val="008307E1"/>
    <w:rsid w:val="00836D62"/>
    <w:rsid w:val="00844524"/>
    <w:rsid w:val="00867160"/>
    <w:rsid w:val="0087205B"/>
    <w:rsid w:val="00874FB8"/>
    <w:rsid w:val="00895669"/>
    <w:rsid w:val="00897946"/>
    <w:rsid w:val="008A3276"/>
    <w:rsid w:val="008A3447"/>
    <w:rsid w:val="008A6703"/>
    <w:rsid w:val="008A7434"/>
    <w:rsid w:val="008A7E5F"/>
    <w:rsid w:val="008C734C"/>
    <w:rsid w:val="008E4BF2"/>
    <w:rsid w:val="008F16EC"/>
    <w:rsid w:val="008F4CBD"/>
    <w:rsid w:val="009017AD"/>
    <w:rsid w:val="00901BED"/>
    <w:rsid w:val="00905735"/>
    <w:rsid w:val="009131B9"/>
    <w:rsid w:val="0091409C"/>
    <w:rsid w:val="00916AC0"/>
    <w:rsid w:val="00933D5D"/>
    <w:rsid w:val="00935805"/>
    <w:rsid w:val="009368F3"/>
    <w:rsid w:val="009428A5"/>
    <w:rsid w:val="00947C42"/>
    <w:rsid w:val="00950489"/>
    <w:rsid w:val="00957DE9"/>
    <w:rsid w:val="009616F7"/>
    <w:rsid w:val="00965A44"/>
    <w:rsid w:val="00967D7C"/>
    <w:rsid w:val="0097299A"/>
    <w:rsid w:val="009757AD"/>
    <w:rsid w:val="00980B6A"/>
    <w:rsid w:val="009818F9"/>
    <w:rsid w:val="0098618F"/>
    <w:rsid w:val="00987C32"/>
    <w:rsid w:val="00991646"/>
    <w:rsid w:val="0099448B"/>
    <w:rsid w:val="009959C3"/>
    <w:rsid w:val="00997347"/>
    <w:rsid w:val="009A31C1"/>
    <w:rsid w:val="009B19CE"/>
    <w:rsid w:val="009C202F"/>
    <w:rsid w:val="009C77F7"/>
    <w:rsid w:val="009E48F1"/>
    <w:rsid w:val="009E5ABC"/>
    <w:rsid w:val="009E5B9C"/>
    <w:rsid w:val="009F4ED1"/>
    <w:rsid w:val="00A00D71"/>
    <w:rsid w:val="00A00EDF"/>
    <w:rsid w:val="00A175CD"/>
    <w:rsid w:val="00A213E9"/>
    <w:rsid w:val="00A26A17"/>
    <w:rsid w:val="00A26BEF"/>
    <w:rsid w:val="00A30169"/>
    <w:rsid w:val="00A312A3"/>
    <w:rsid w:val="00A33D9F"/>
    <w:rsid w:val="00A37229"/>
    <w:rsid w:val="00A41763"/>
    <w:rsid w:val="00A418C9"/>
    <w:rsid w:val="00A72AA8"/>
    <w:rsid w:val="00A74C9B"/>
    <w:rsid w:val="00A874E4"/>
    <w:rsid w:val="00A93478"/>
    <w:rsid w:val="00A97079"/>
    <w:rsid w:val="00A97FE7"/>
    <w:rsid w:val="00AA3FD0"/>
    <w:rsid w:val="00AA46CA"/>
    <w:rsid w:val="00AA7EFA"/>
    <w:rsid w:val="00AB61B3"/>
    <w:rsid w:val="00AC323A"/>
    <w:rsid w:val="00AC3DCE"/>
    <w:rsid w:val="00AD4E56"/>
    <w:rsid w:val="00AD606E"/>
    <w:rsid w:val="00AD6357"/>
    <w:rsid w:val="00AD7F81"/>
    <w:rsid w:val="00AE4CA9"/>
    <w:rsid w:val="00AE6862"/>
    <w:rsid w:val="00AF367D"/>
    <w:rsid w:val="00AF45FD"/>
    <w:rsid w:val="00AF5DFB"/>
    <w:rsid w:val="00B2386E"/>
    <w:rsid w:val="00B35E2A"/>
    <w:rsid w:val="00B4263D"/>
    <w:rsid w:val="00B56F49"/>
    <w:rsid w:val="00B7442A"/>
    <w:rsid w:val="00B97002"/>
    <w:rsid w:val="00BB2F70"/>
    <w:rsid w:val="00BB6CF4"/>
    <w:rsid w:val="00BC14C3"/>
    <w:rsid w:val="00BC1ABE"/>
    <w:rsid w:val="00BD2F20"/>
    <w:rsid w:val="00BD4F62"/>
    <w:rsid w:val="00BE4AFD"/>
    <w:rsid w:val="00BF348B"/>
    <w:rsid w:val="00C00590"/>
    <w:rsid w:val="00C04647"/>
    <w:rsid w:val="00C058CF"/>
    <w:rsid w:val="00C12551"/>
    <w:rsid w:val="00C211CD"/>
    <w:rsid w:val="00C25328"/>
    <w:rsid w:val="00C34C40"/>
    <w:rsid w:val="00C3744D"/>
    <w:rsid w:val="00C43A84"/>
    <w:rsid w:val="00C64137"/>
    <w:rsid w:val="00C658E4"/>
    <w:rsid w:val="00C711A2"/>
    <w:rsid w:val="00C7266E"/>
    <w:rsid w:val="00C76C66"/>
    <w:rsid w:val="00C82DF9"/>
    <w:rsid w:val="00C87190"/>
    <w:rsid w:val="00CA1564"/>
    <w:rsid w:val="00CA7C8A"/>
    <w:rsid w:val="00CB44E8"/>
    <w:rsid w:val="00CB7978"/>
    <w:rsid w:val="00CC1D12"/>
    <w:rsid w:val="00CE42E9"/>
    <w:rsid w:val="00CE5178"/>
    <w:rsid w:val="00D001E4"/>
    <w:rsid w:val="00D00AA8"/>
    <w:rsid w:val="00D01BEA"/>
    <w:rsid w:val="00D02778"/>
    <w:rsid w:val="00D13E84"/>
    <w:rsid w:val="00D300F4"/>
    <w:rsid w:val="00D3344B"/>
    <w:rsid w:val="00D40175"/>
    <w:rsid w:val="00D55243"/>
    <w:rsid w:val="00D62F90"/>
    <w:rsid w:val="00D63E74"/>
    <w:rsid w:val="00D715C4"/>
    <w:rsid w:val="00D854D8"/>
    <w:rsid w:val="00D928FD"/>
    <w:rsid w:val="00DB2C18"/>
    <w:rsid w:val="00DC79E3"/>
    <w:rsid w:val="00DD159A"/>
    <w:rsid w:val="00DD51E1"/>
    <w:rsid w:val="00DE2D54"/>
    <w:rsid w:val="00E02BB0"/>
    <w:rsid w:val="00E03CE6"/>
    <w:rsid w:val="00E13716"/>
    <w:rsid w:val="00E266FF"/>
    <w:rsid w:val="00E27661"/>
    <w:rsid w:val="00E47DB3"/>
    <w:rsid w:val="00E509A9"/>
    <w:rsid w:val="00E51F8B"/>
    <w:rsid w:val="00E5242A"/>
    <w:rsid w:val="00E53398"/>
    <w:rsid w:val="00E66AE2"/>
    <w:rsid w:val="00E74DA4"/>
    <w:rsid w:val="00E81B89"/>
    <w:rsid w:val="00E91432"/>
    <w:rsid w:val="00E91B5A"/>
    <w:rsid w:val="00EA10CA"/>
    <w:rsid w:val="00EA76B9"/>
    <w:rsid w:val="00ED6E45"/>
    <w:rsid w:val="00EE2CAF"/>
    <w:rsid w:val="00EE43E4"/>
    <w:rsid w:val="00F001EA"/>
    <w:rsid w:val="00F056C3"/>
    <w:rsid w:val="00F16B90"/>
    <w:rsid w:val="00F34F19"/>
    <w:rsid w:val="00F44A21"/>
    <w:rsid w:val="00F575F0"/>
    <w:rsid w:val="00F6664C"/>
    <w:rsid w:val="00F750E7"/>
    <w:rsid w:val="00F80AF1"/>
    <w:rsid w:val="00F8298C"/>
    <w:rsid w:val="00F90245"/>
    <w:rsid w:val="00F920D9"/>
    <w:rsid w:val="00F94781"/>
    <w:rsid w:val="00FA5388"/>
    <w:rsid w:val="00FB08E3"/>
    <w:rsid w:val="00FB6BF3"/>
    <w:rsid w:val="00FD397B"/>
    <w:rsid w:val="00FD4B01"/>
    <w:rsid w:val="00FD52F2"/>
    <w:rsid w:val="00FD7CDC"/>
    <w:rsid w:val="00FE2197"/>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stroke="f">
      <v:fill color="white" on="f"/>
      <v:stroke on="f"/>
    </o:shapedefaults>
    <o:shapelayout v:ext="edit">
      <o:idmap v:ext="edit" data="1"/>
    </o:shapelayout>
  </w:shapeDefaults>
  <w:decimalSymbol w:val="."/>
  <w:listSeparator w:val=","/>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8"/>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2"/>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9428A5"/>
    <w:pPr>
      <w:autoSpaceDE w:val="0"/>
      <w:autoSpaceDN w:val="0"/>
      <w:adjustRightInd w:val="0"/>
      <w:spacing w:after="0"/>
    </w:pPr>
    <w:rPr>
      <w:rFonts w:ascii="Times New Roman" w:eastAsia="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locked/>
    <w:rsid w:val="009428A5"/>
    <w:pPr>
      <w:spacing w:after="120"/>
      <w:ind w:left="360"/>
    </w:pPr>
  </w:style>
  <w:style w:type="character" w:customStyle="1" w:styleId="BodyTextIndentChar">
    <w:name w:val="Body Text Indent Char"/>
    <w:basedOn w:val="DefaultParagraphFont"/>
    <w:link w:val="BodyTextIndent"/>
    <w:uiPriority w:val="99"/>
    <w:semiHidden/>
    <w:rsid w:val="009428A5"/>
  </w:style>
  <w:style w:type="character" w:styleId="CommentReference">
    <w:name w:val="annotation reference"/>
    <w:basedOn w:val="DefaultParagraphFont"/>
    <w:uiPriority w:val="99"/>
    <w:semiHidden/>
    <w:unhideWhenUsed/>
    <w:locked/>
    <w:rsid w:val="005946D0"/>
    <w:rPr>
      <w:sz w:val="16"/>
      <w:szCs w:val="16"/>
    </w:rPr>
  </w:style>
  <w:style w:type="paragraph" w:styleId="CommentText">
    <w:name w:val="annotation text"/>
    <w:basedOn w:val="Normal"/>
    <w:link w:val="CommentTextChar"/>
    <w:uiPriority w:val="99"/>
    <w:semiHidden/>
    <w:unhideWhenUsed/>
    <w:locked/>
    <w:rsid w:val="005946D0"/>
    <w:pPr>
      <w:spacing w:line="240" w:lineRule="auto"/>
    </w:pPr>
    <w:rPr>
      <w:sz w:val="20"/>
      <w:szCs w:val="20"/>
    </w:rPr>
  </w:style>
  <w:style w:type="character" w:customStyle="1" w:styleId="CommentTextChar">
    <w:name w:val="Comment Text Char"/>
    <w:basedOn w:val="DefaultParagraphFont"/>
    <w:link w:val="CommentText"/>
    <w:uiPriority w:val="99"/>
    <w:semiHidden/>
    <w:rsid w:val="005946D0"/>
    <w:rPr>
      <w:sz w:val="20"/>
      <w:szCs w:val="20"/>
    </w:rPr>
  </w:style>
  <w:style w:type="paragraph" w:styleId="CommentSubject">
    <w:name w:val="annotation subject"/>
    <w:basedOn w:val="CommentText"/>
    <w:next w:val="CommentText"/>
    <w:link w:val="CommentSubjectChar"/>
    <w:uiPriority w:val="99"/>
    <w:semiHidden/>
    <w:unhideWhenUsed/>
    <w:locked/>
    <w:rsid w:val="005946D0"/>
    <w:rPr>
      <w:b/>
      <w:bCs/>
    </w:rPr>
  </w:style>
  <w:style w:type="character" w:customStyle="1" w:styleId="CommentSubjectChar">
    <w:name w:val="Comment Subject Char"/>
    <w:basedOn w:val="CommentTextChar"/>
    <w:link w:val="CommentSubject"/>
    <w:uiPriority w:val="99"/>
    <w:semiHidden/>
    <w:rsid w:val="005946D0"/>
    <w:rPr>
      <w:b/>
      <w:bCs/>
      <w:sz w:val="20"/>
      <w:szCs w:val="20"/>
    </w:rPr>
  </w:style>
  <w:style w:type="character" w:styleId="FollowedHyperlink">
    <w:name w:val="FollowedHyperlink"/>
    <w:basedOn w:val="DefaultParagraphFont"/>
    <w:uiPriority w:val="99"/>
    <w:semiHidden/>
    <w:unhideWhenUsed/>
    <w:locked/>
    <w:rsid w:val="00AF5DFB"/>
    <w:rPr>
      <w:color w:val="5D973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4234">
      <w:bodyDiv w:val="1"/>
      <w:marLeft w:val="0"/>
      <w:marRight w:val="0"/>
      <w:marTop w:val="0"/>
      <w:marBottom w:val="0"/>
      <w:divBdr>
        <w:top w:val="none" w:sz="0" w:space="0" w:color="auto"/>
        <w:left w:val="none" w:sz="0" w:space="0" w:color="auto"/>
        <w:bottom w:val="none" w:sz="0" w:space="0" w:color="auto"/>
        <w:right w:val="none" w:sz="0" w:space="0" w:color="auto"/>
      </w:divBdr>
    </w:div>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01946554">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22587009">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392235487">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6403916">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633173753">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66814220">
      <w:bodyDiv w:val="1"/>
      <w:marLeft w:val="0"/>
      <w:marRight w:val="0"/>
      <w:marTop w:val="0"/>
      <w:marBottom w:val="0"/>
      <w:divBdr>
        <w:top w:val="none" w:sz="0" w:space="0" w:color="auto"/>
        <w:left w:val="none" w:sz="0" w:space="0" w:color="auto"/>
        <w:bottom w:val="none" w:sz="0" w:space="0" w:color="auto"/>
        <w:right w:val="none" w:sz="0" w:space="0" w:color="auto"/>
      </w:divBdr>
    </w:div>
    <w:div w:id="1014769431">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450318559">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4682250">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sidRDefault="0097548D">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RDefault="00D17918"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48D"/>
    <w:rsid w:val="000457E4"/>
    <w:rsid w:val="001D1082"/>
    <w:rsid w:val="00476B0E"/>
    <w:rsid w:val="005C7E4D"/>
    <w:rsid w:val="0065501B"/>
    <w:rsid w:val="006A38E5"/>
    <w:rsid w:val="0097548D"/>
    <w:rsid w:val="009E75B6"/>
    <w:rsid w:val="00D17918"/>
    <w:rsid w:val="00DB3F13"/>
    <w:rsid w:val="00F80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48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726B4B-17BF-4335-82B4-E4FB9AC6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4302</Words>
  <Characters>24523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Supporting Statement for Environment, Safety and Health</vt:lpstr>
    </vt:vector>
  </TitlesOfParts>
  <Company/>
  <LinksUpToDate>false</LinksUpToDate>
  <CharactersWithSpaces>28768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Environment, Safety and Health</dc:title>
  <dc:subject>Improving the Quality and Scope of EIA Data</dc:subject>
  <dc:creator>Stroud, Lawrence</dc:creator>
  <cp:keywords/>
  <dc:description/>
  <cp:lastModifiedBy>Freeman, Yohanna (CONTR)</cp:lastModifiedBy>
  <cp:revision>3</cp:revision>
  <cp:lastPrinted>2019-09-30T19:59:00Z</cp:lastPrinted>
  <dcterms:created xsi:type="dcterms:W3CDTF">2020-03-10T14:21:00Z</dcterms:created>
  <dcterms:modified xsi:type="dcterms:W3CDTF">2020-03-10T15:04:00Z</dcterms:modified>
</cp:coreProperties>
</file>