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B1C" w:rsidRPr="006A2B1C" w:rsidRDefault="006A2B1C" w:rsidP="006A2B1C">
      <w:pPr>
        <w:spacing w:after="0" w:line="240" w:lineRule="auto"/>
        <w:rPr>
          <w:rFonts w:ascii="Times New Roman" w:eastAsia="Times New Roman" w:hAnsi="Times New Roman" w:cs="Times New Roman"/>
          <w:sz w:val="24"/>
          <w:szCs w:val="24"/>
        </w:rPr>
      </w:pPr>
      <w:bookmarkStart w:id="0" w:name="_GoBack"/>
      <w:bookmarkEnd w:id="0"/>
      <w:r w:rsidRPr="006A2B1C">
        <w:rPr>
          <w:rFonts w:ascii="Helvetica" w:eastAsia="Times New Roman" w:hAnsi="Helvetica" w:cs="Helvetica"/>
          <w:color w:val="333333"/>
          <w:sz w:val="21"/>
          <w:szCs w:val="21"/>
          <w:shd w:val="clear" w:color="auto" w:fill="FFFFFF"/>
        </w:rPr>
        <w:t>§ 391.11 - General qualifications of drivers.</w:t>
      </w:r>
    </w:p>
    <w:p w:rsidR="006A2B1C" w:rsidRPr="006A2B1C" w:rsidRDefault="006A2B1C" w:rsidP="006A2B1C">
      <w:pPr>
        <w:shd w:val="clear" w:color="auto" w:fill="FFFFFF"/>
        <w:spacing w:after="150" w:line="240" w:lineRule="auto"/>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(a) A person shall not drive a commercial motor vehicle unless he/she is qualified to drive a commercial motor vehicle. Except as provided in </w:t>
      </w:r>
      <w:hyperlink r:id="rId5" w:history="1">
        <w:r w:rsidRPr="006A2B1C">
          <w:rPr>
            <w:rFonts w:ascii="Helvetica" w:eastAsia="Times New Roman" w:hAnsi="Helvetica" w:cs="Helvetica"/>
            <w:color w:val="428BCA"/>
            <w:spacing w:val="9"/>
            <w:sz w:val="21"/>
            <w:szCs w:val="21"/>
            <w:u w:val="single"/>
          </w:rPr>
          <w:t>§ 391.63</w:t>
        </w:r>
      </w:hyperlink>
      <w:r w:rsidRPr="006A2B1C">
        <w:rPr>
          <w:rFonts w:ascii="Helvetica" w:eastAsia="Times New Roman" w:hAnsi="Helvetica" w:cs="Helvetica"/>
          <w:color w:val="333333"/>
          <w:spacing w:val="9"/>
          <w:sz w:val="21"/>
          <w:szCs w:val="21"/>
        </w:rPr>
        <w:t>, a motor carrier shall not require or permit a person to drive a commercial motor vehicle unless that person is qualified to drive a commercial motor vehicle.</w:t>
      </w:r>
    </w:p>
    <w:p w:rsidR="006A2B1C" w:rsidRPr="006A2B1C" w:rsidRDefault="006A2B1C" w:rsidP="006A2B1C">
      <w:pPr>
        <w:shd w:val="clear" w:color="auto" w:fill="FFFFFF"/>
        <w:spacing w:after="150" w:line="240" w:lineRule="auto"/>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(b) Except as provided in subpart G of this part, a person is qualified to drive a motor vehicle if he/she -</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(1) Is at least 21 years old;</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(2) Can read and speak the English language sufficiently to converse with the general public, to understand highway traffic signs and signals in the English language, to respond to official inquiries, and to make entries on reports and records;</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(3) Can, by reason of experience, training, or both, safely operate the type of commercial motor vehicle he/she drives;</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(4) Is physically qualified to drive a commercial motor vehicle in accordance with subpart E - Physical Qualifications and Examinations of this part;</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(5) Has a currently valid commercial motor vehicle operator's license issued only by one State or jurisdiction;</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(6) Has prepared and furnished the motor carrier that employs him/her with the list of violations or the certificate as required by </w:t>
      </w:r>
      <w:hyperlink r:id="rId6" w:history="1">
        <w:r w:rsidRPr="006A2B1C">
          <w:rPr>
            <w:rFonts w:ascii="Helvetica" w:eastAsia="Times New Roman" w:hAnsi="Helvetica" w:cs="Helvetica"/>
            <w:color w:val="428BCA"/>
            <w:spacing w:val="9"/>
            <w:sz w:val="21"/>
            <w:szCs w:val="21"/>
            <w:u w:val="single"/>
          </w:rPr>
          <w:t>§ 391.27</w:t>
        </w:r>
      </w:hyperlink>
      <w:r w:rsidRPr="006A2B1C">
        <w:rPr>
          <w:rFonts w:ascii="Helvetica" w:eastAsia="Times New Roman" w:hAnsi="Helvetica" w:cs="Helvetica"/>
          <w:color w:val="333333"/>
          <w:spacing w:val="9"/>
          <w:sz w:val="21"/>
          <w:szCs w:val="21"/>
        </w:rPr>
        <w:t>;</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(7) Is not disqualified to drive a commercial motor vehicle under the rules in </w:t>
      </w:r>
      <w:hyperlink r:id="rId7" w:history="1">
        <w:r w:rsidRPr="006A2B1C">
          <w:rPr>
            <w:rFonts w:ascii="Helvetica" w:eastAsia="Times New Roman" w:hAnsi="Helvetica" w:cs="Helvetica"/>
            <w:color w:val="428BCA"/>
            <w:spacing w:val="9"/>
            <w:sz w:val="21"/>
            <w:szCs w:val="21"/>
            <w:u w:val="single"/>
          </w:rPr>
          <w:t>§ 391.15</w:t>
        </w:r>
      </w:hyperlink>
      <w:r w:rsidRPr="006A2B1C">
        <w:rPr>
          <w:rFonts w:ascii="Helvetica" w:eastAsia="Times New Roman" w:hAnsi="Helvetica" w:cs="Helvetica"/>
          <w:color w:val="333333"/>
          <w:spacing w:val="9"/>
          <w:sz w:val="21"/>
          <w:szCs w:val="21"/>
        </w:rPr>
        <w:t>; and</w:t>
      </w:r>
    </w:p>
    <w:p w:rsidR="006A2B1C" w:rsidRPr="006A2B1C" w:rsidRDefault="006A2B1C" w:rsidP="006A2B1C">
      <w:pPr>
        <w:shd w:val="clear" w:color="auto" w:fill="FFFFFF"/>
        <w:spacing w:after="150" w:line="240" w:lineRule="auto"/>
        <w:ind w:left="300"/>
        <w:jc w:val="both"/>
        <w:textAlignment w:val="baseline"/>
        <w:rPr>
          <w:rFonts w:ascii="Helvetica" w:eastAsia="Times New Roman" w:hAnsi="Helvetica" w:cs="Helvetica"/>
          <w:color w:val="333333"/>
          <w:spacing w:val="9"/>
          <w:sz w:val="21"/>
          <w:szCs w:val="21"/>
        </w:rPr>
      </w:pPr>
      <w:r w:rsidRPr="006A2B1C">
        <w:rPr>
          <w:rFonts w:ascii="Helvetica" w:eastAsia="Times New Roman" w:hAnsi="Helvetica" w:cs="Helvetica"/>
          <w:color w:val="333333"/>
          <w:spacing w:val="9"/>
          <w:sz w:val="21"/>
          <w:szCs w:val="21"/>
        </w:rPr>
        <w:t>(8) Has successfully completed a driver's road test and has been issued a certificate of driver's road test in accordance with </w:t>
      </w:r>
      <w:hyperlink r:id="rId8" w:history="1">
        <w:r w:rsidRPr="006A2B1C">
          <w:rPr>
            <w:rFonts w:ascii="Helvetica" w:eastAsia="Times New Roman" w:hAnsi="Helvetica" w:cs="Helvetica"/>
            <w:color w:val="428BCA"/>
            <w:spacing w:val="9"/>
            <w:sz w:val="21"/>
            <w:szCs w:val="21"/>
            <w:u w:val="single"/>
          </w:rPr>
          <w:t>§ 391.31</w:t>
        </w:r>
      </w:hyperlink>
      <w:r w:rsidRPr="006A2B1C">
        <w:rPr>
          <w:rFonts w:ascii="Helvetica" w:eastAsia="Times New Roman" w:hAnsi="Helvetica" w:cs="Helvetica"/>
          <w:color w:val="333333"/>
          <w:spacing w:val="9"/>
          <w:sz w:val="21"/>
          <w:szCs w:val="21"/>
        </w:rPr>
        <w:t>, or has presented an operator's license or a certificate of road test which the motor carrier that employs him/her has accepted as equivalent to a road test in accordance with </w:t>
      </w:r>
      <w:hyperlink r:id="rId9" w:history="1">
        <w:r w:rsidRPr="006A2B1C">
          <w:rPr>
            <w:rFonts w:ascii="Helvetica" w:eastAsia="Times New Roman" w:hAnsi="Helvetica" w:cs="Helvetica"/>
            <w:color w:val="428BCA"/>
            <w:spacing w:val="9"/>
            <w:sz w:val="21"/>
            <w:szCs w:val="21"/>
            <w:u w:val="single"/>
          </w:rPr>
          <w:t>§ 391.33</w:t>
        </w:r>
      </w:hyperlink>
      <w:r w:rsidRPr="006A2B1C">
        <w:rPr>
          <w:rFonts w:ascii="Helvetica" w:eastAsia="Times New Roman" w:hAnsi="Helvetica" w:cs="Helvetica"/>
          <w:color w:val="333333"/>
          <w:spacing w:val="9"/>
          <w:sz w:val="21"/>
          <w:szCs w:val="21"/>
        </w:rPr>
        <w:t>.</w:t>
      </w:r>
    </w:p>
    <w:p w:rsidR="006A2B1C" w:rsidRPr="006A2B1C" w:rsidRDefault="006A2B1C" w:rsidP="006A2B1C">
      <w:pPr>
        <w:shd w:val="clear" w:color="auto" w:fill="FFFFFF"/>
        <w:spacing w:line="240" w:lineRule="auto"/>
        <w:textAlignment w:val="baseline"/>
        <w:rPr>
          <w:rFonts w:ascii="Helvetica" w:eastAsia="Times New Roman" w:hAnsi="Helvetica" w:cs="Helvetica"/>
          <w:color w:val="333333"/>
          <w:sz w:val="17"/>
          <w:szCs w:val="17"/>
        </w:rPr>
      </w:pPr>
      <w:r w:rsidRPr="006A2B1C">
        <w:rPr>
          <w:rFonts w:ascii="Helvetica" w:eastAsia="Times New Roman" w:hAnsi="Helvetica" w:cs="Helvetica"/>
          <w:color w:val="333333"/>
          <w:sz w:val="17"/>
          <w:szCs w:val="17"/>
        </w:rPr>
        <w:t>[35 FR 6460, Apr. 22, 1970, as amended at 35 FR 17420, Nov. 13, 1970; 35 FR 19181, Dec. 18, 1970; 36 FR 222, Jan. 7, 1971, 36 FR 24220, Dec. 22, 1971; 45 FR 46424, July 10, 1980; 52 FR 20589, June 1, 1987; 59 FR 60323, Nov. 23, 1994; 60 FR 38744, 38745, July 28, 1995; 63 FR 33276, June 18, 1998]</w:t>
      </w:r>
    </w:p>
    <w:p w:rsidR="006A2B1C" w:rsidRPr="006A2B1C" w:rsidRDefault="006A2B1C" w:rsidP="006A2B1C">
      <w:pPr>
        <w:shd w:val="clear" w:color="auto" w:fill="FFFFFF"/>
        <w:spacing w:after="0" w:line="240" w:lineRule="auto"/>
        <w:textAlignment w:val="baseline"/>
        <w:rPr>
          <w:rFonts w:ascii="Helvetica" w:eastAsia="Times New Roman" w:hAnsi="Helvetica" w:cs="Helvetica"/>
          <w:smallCaps/>
          <w:color w:val="333333"/>
          <w:sz w:val="24"/>
          <w:szCs w:val="24"/>
        </w:rPr>
      </w:pPr>
      <w:r w:rsidRPr="006A2B1C">
        <w:rPr>
          <w:rFonts w:ascii="Helvetica" w:eastAsia="Times New Roman" w:hAnsi="Helvetica" w:cs="Helvetica"/>
          <w:b/>
          <w:bCs/>
          <w:smallCaps/>
          <w:color w:val="333333"/>
          <w:sz w:val="20"/>
          <w:szCs w:val="20"/>
        </w:rPr>
        <w:t>authority:</w:t>
      </w:r>
      <w:r w:rsidRPr="006A2B1C">
        <w:rPr>
          <w:rFonts w:ascii="Helvetica" w:eastAsia="Times New Roman" w:hAnsi="Helvetica" w:cs="Helvetica"/>
          <w:smallCaps/>
          <w:color w:val="333333"/>
          <w:sz w:val="24"/>
          <w:szCs w:val="24"/>
        </w:rPr>
        <w:t> </w:t>
      </w:r>
      <w:hyperlink r:id="rId10" w:history="1">
        <w:r w:rsidRPr="006A2B1C">
          <w:rPr>
            <w:rFonts w:ascii="Helvetica" w:eastAsia="Times New Roman" w:hAnsi="Helvetica" w:cs="Helvetica"/>
            <w:smallCaps/>
            <w:color w:val="428BCA"/>
            <w:sz w:val="20"/>
            <w:szCs w:val="20"/>
            <w:u w:val="single"/>
          </w:rPr>
          <w:t>49 u.s.c. 504</w:t>
        </w:r>
      </w:hyperlink>
      <w:r w:rsidRPr="006A2B1C">
        <w:rPr>
          <w:rFonts w:ascii="Helvetica" w:eastAsia="Times New Roman" w:hAnsi="Helvetica" w:cs="Helvetica"/>
          <w:smallCaps/>
          <w:color w:val="333333"/>
          <w:sz w:val="24"/>
          <w:szCs w:val="24"/>
        </w:rPr>
        <w:t>,</w:t>
      </w:r>
      <w:hyperlink r:id="rId11" w:history="1">
        <w:r w:rsidRPr="006A2B1C">
          <w:rPr>
            <w:rFonts w:ascii="Helvetica" w:eastAsia="Times New Roman" w:hAnsi="Helvetica" w:cs="Helvetica"/>
            <w:smallCaps/>
            <w:color w:val="428BCA"/>
            <w:sz w:val="20"/>
            <w:szCs w:val="20"/>
            <w:u w:val="single"/>
          </w:rPr>
          <w:t>508</w:t>
        </w:r>
      </w:hyperlink>
      <w:r w:rsidRPr="006A2B1C">
        <w:rPr>
          <w:rFonts w:ascii="Helvetica" w:eastAsia="Times New Roman" w:hAnsi="Helvetica" w:cs="Helvetica"/>
          <w:smallCaps/>
          <w:color w:val="333333"/>
          <w:sz w:val="24"/>
          <w:szCs w:val="24"/>
        </w:rPr>
        <w:t>,</w:t>
      </w:r>
      <w:hyperlink r:id="rId12" w:history="1">
        <w:r w:rsidRPr="006A2B1C">
          <w:rPr>
            <w:rFonts w:ascii="Helvetica" w:eastAsia="Times New Roman" w:hAnsi="Helvetica" w:cs="Helvetica"/>
            <w:smallCaps/>
            <w:color w:val="428BCA"/>
            <w:sz w:val="20"/>
            <w:szCs w:val="20"/>
            <w:u w:val="single"/>
          </w:rPr>
          <w:t>31133</w:t>
        </w:r>
      </w:hyperlink>
      <w:r w:rsidRPr="006A2B1C">
        <w:rPr>
          <w:rFonts w:ascii="Helvetica" w:eastAsia="Times New Roman" w:hAnsi="Helvetica" w:cs="Helvetica"/>
          <w:smallCaps/>
          <w:color w:val="333333"/>
          <w:sz w:val="24"/>
          <w:szCs w:val="24"/>
        </w:rPr>
        <w:t>,</w:t>
      </w:r>
      <w:hyperlink r:id="rId13" w:history="1">
        <w:r w:rsidRPr="006A2B1C">
          <w:rPr>
            <w:rFonts w:ascii="Helvetica" w:eastAsia="Times New Roman" w:hAnsi="Helvetica" w:cs="Helvetica"/>
            <w:smallCaps/>
            <w:color w:val="428BCA"/>
            <w:sz w:val="20"/>
            <w:szCs w:val="20"/>
            <w:u w:val="single"/>
          </w:rPr>
          <w:t>31136</w:t>
        </w:r>
      </w:hyperlink>
      <w:r w:rsidRPr="006A2B1C">
        <w:rPr>
          <w:rFonts w:ascii="Helvetica" w:eastAsia="Times New Roman" w:hAnsi="Helvetica" w:cs="Helvetica"/>
          <w:smallCaps/>
          <w:color w:val="333333"/>
          <w:sz w:val="24"/>
          <w:szCs w:val="24"/>
        </w:rPr>
        <w:t>,</w:t>
      </w:r>
      <w:hyperlink r:id="rId14" w:history="1">
        <w:r w:rsidRPr="006A2B1C">
          <w:rPr>
            <w:rFonts w:ascii="Helvetica" w:eastAsia="Times New Roman" w:hAnsi="Helvetica" w:cs="Helvetica"/>
            <w:smallCaps/>
            <w:color w:val="428BCA"/>
            <w:sz w:val="20"/>
            <w:szCs w:val="20"/>
            <w:u w:val="single"/>
          </w:rPr>
          <w:t>31149</w:t>
        </w:r>
      </w:hyperlink>
      <w:r w:rsidRPr="006A2B1C">
        <w:rPr>
          <w:rFonts w:ascii="Helvetica" w:eastAsia="Times New Roman" w:hAnsi="Helvetica" w:cs="Helvetica"/>
          <w:smallCaps/>
          <w:color w:val="333333"/>
          <w:sz w:val="24"/>
          <w:szCs w:val="24"/>
        </w:rPr>
        <w:t>,</w:t>
      </w:r>
      <w:hyperlink r:id="rId15" w:history="1">
        <w:r w:rsidRPr="006A2B1C">
          <w:rPr>
            <w:rFonts w:ascii="Helvetica" w:eastAsia="Times New Roman" w:hAnsi="Helvetica" w:cs="Helvetica"/>
            <w:smallCaps/>
            <w:color w:val="428BCA"/>
            <w:sz w:val="20"/>
            <w:szCs w:val="20"/>
            <w:u w:val="single"/>
          </w:rPr>
          <w:t>31502</w:t>
        </w:r>
      </w:hyperlink>
      <w:r w:rsidRPr="006A2B1C">
        <w:rPr>
          <w:rFonts w:ascii="Helvetica" w:eastAsia="Times New Roman" w:hAnsi="Helvetica" w:cs="Helvetica"/>
          <w:smallCaps/>
          <w:color w:val="333333"/>
          <w:sz w:val="24"/>
          <w:szCs w:val="24"/>
        </w:rPr>
        <w:t>; sec. 4007(b), pub. l. 102-240, 105 stat. 1914, 2152; sec. 114, pub. l. 103-311, 108 stat. 1673, 1677; sec. 215, pub. l. 106-159, 113 stat. 1748, 1767; sec. 32934, pub. l. 112-141, 126 stat. 405, 830; secs. 5403 and 5524, pub. l. 114-94, 129 stat. 1312, 1548, 1560; sec. 2, pub. l. 115-105, 131 stat. 2263; and </w:t>
      </w:r>
      <w:hyperlink r:id="rId16" w:history="1">
        <w:r w:rsidRPr="006A2B1C">
          <w:rPr>
            <w:rFonts w:ascii="Helvetica" w:eastAsia="Times New Roman" w:hAnsi="Helvetica" w:cs="Helvetica"/>
            <w:smallCaps/>
            <w:color w:val="428BCA"/>
            <w:sz w:val="20"/>
            <w:szCs w:val="20"/>
            <w:u w:val="single"/>
          </w:rPr>
          <w:t>49 cfr 1.87</w:t>
        </w:r>
      </w:hyperlink>
    </w:p>
    <w:p w:rsidR="006A2B1C" w:rsidRPr="006A2B1C" w:rsidRDefault="006A2B1C" w:rsidP="006A2B1C">
      <w:pPr>
        <w:shd w:val="clear" w:color="auto" w:fill="FFFFFF"/>
        <w:spacing w:after="0" w:line="240" w:lineRule="auto"/>
        <w:textAlignment w:val="baseline"/>
        <w:rPr>
          <w:rFonts w:ascii="Helvetica" w:eastAsia="Times New Roman" w:hAnsi="Helvetica" w:cs="Helvetica"/>
          <w:smallCaps/>
          <w:color w:val="333333"/>
          <w:sz w:val="24"/>
          <w:szCs w:val="24"/>
        </w:rPr>
      </w:pPr>
      <w:r w:rsidRPr="006A2B1C">
        <w:rPr>
          <w:rFonts w:ascii="Helvetica" w:eastAsia="Times New Roman" w:hAnsi="Helvetica" w:cs="Helvetica"/>
          <w:b/>
          <w:bCs/>
          <w:smallCaps/>
          <w:color w:val="333333"/>
          <w:sz w:val="20"/>
          <w:szCs w:val="20"/>
        </w:rPr>
        <w:t>source:</w:t>
      </w:r>
      <w:r w:rsidRPr="006A2B1C">
        <w:rPr>
          <w:rFonts w:ascii="Helvetica" w:eastAsia="Times New Roman" w:hAnsi="Helvetica" w:cs="Helvetica"/>
          <w:smallCaps/>
          <w:color w:val="333333"/>
          <w:sz w:val="24"/>
          <w:szCs w:val="24"/>
        </w:rPr>
        <w:t> 35 fr 6460, apr. 22, 1970, unless otherwise noted.</w:t>
      </w:r>
    </w:p>
    <w:p w:rsidR="006A2B1C" w:rsidRPr="006A2B1C" w:rsidRDefault="006A2B1C" w:rsidP="006A2B1C">
      <w:pPr>
        <w:shd w:val="clear" w:color="auto" w:fill="FFFFFF"/>
        <w:spacing w:after="0" w:line="240" w:lineRule="auto"/>
        <w:textAlignment w:val="baseline"/>
        <w:rPr>
          <w:rFonts w:ascii="Helvetica" w:eastAsia="Times New Roman" w:hAnsi="Helvetica" w:cs="Helvetica"/>
          <w:smallCaps/>
          <w:color w:val="333333"/>
          <w:sz w:val="24"/>
          <w:szCs w:val="24"/>
        </w:rPr>
      </w:pPr>
      <w:r w:rsidRPr="006A2B1C">
        <w:rPr>
          <w:rFonts w:ascii="Helvetica" w:eastAsia="Times New Roman" w:hAnsi="Helvetica" w:cs="Helvetica"/>
          <w:b/>
          <w:bCs/>
          <w:smallCaps/>
          <w:color w:val="333333"/>
          <w:sz w:val="20"/>
          <w:szCs w:val="20"/>
        </w:rPr>
        <w:t>cite as:</w:t>
      </w:r>
      <w:r w:rsidRPr="006A2B1C">
        <w:rPr>
          <w:rFonts w:ascii="Helvetica" w:eastAsia="Times New Roman" w:hAnsi="Helvetica" w:cs="Helvetica"/>
          <w:smallCaps/>
          <w:color w:val="333333"/>
          <w:sz w:val="24"/>
          <w:szCs w:val="24"/>
        </w:rPr>
        <w:t> 49 cfr 391.11</w:t>
      </w:r>
    </w:p>
    <w:p w:rsidR="00FA2F08" w:rsidRDefault="0056204D"/>
    <w:sectPr w:rsidR="00FA2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2B1C"/>
    <w:rsid w:val="0056204D"/>
    <w:rsid w:val="006A2B1C"/>
    <w:rsid w:val="00946909"/>
    <w:rsid w:val="00E67E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sectiontitle">
    <w:name w:val="content_section_title"/>
    <w:basedOn w:val="DefaultParagraphFont"/>
    <w:rsid w:val="006A2B1C"/>
  </w:style>
  <w:style w:type="paragraph" w:customStyle="1" w:styleId="indentfirstlevel">
    <w:name w:val="indent_first_level"/>
    <w:basedOn w:val="Normal"/>
    <w:rsid w:val="006A2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2B1C"/>
    <w:rPr>
      <w:color w:val="0000FF"/>
      <w:u w:val="single"/>
    </w:rPr>
  </w:style>
  <w:style w:type="paragraph" w:customStyle="1" w:styleId="indentsecondlevel">
    <w:name w:val="indent_second_level"/>
    <w:basedOn w:val="Normal"/>
    <w:rsid w:val="006A2B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B1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ntentsectiontitle">
    <w:name w:val="content_section_title"/>
    <w:basedOn w:val="DefaultParagraphFont"/>
    <w:rsid w:val="006A2B1C"/>
  </w:style>
  <w:style w:type="paragraph" w:customStyle="1" w:styleId="indentfirstlevel">
    <w:name w:val="indent_first_level"/>
    <w:basedOn w:val="Normal"/>
    <w:rsid w:val="006A2B1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A2B1C"/>
    <w:rPr>
      <w:color w:val="0000FF"/>
      <w:u w:val="single"/>
    </w:rPr>
  </w:style>
  <w:style w:type="paragraph" w:customStyle="1" w:styleId="indentsecondlevel">
    <w:name w:val="indent_second_level"/>
    <w:basedOn w:val="Normal"/>
    <w:rsid w:val="006A2B1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A2B1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3994718">
      <w:bodyDiv w:val="1"/>
      <w:marLeft w:val="0"/>
      <w:marRight w:val="0"/>
      <w:marTop w:val="0"/>
      <w:marBottom w:val="0"/>
      <w:divBdr>
        <w:top w:val="none" w:sz="0" w:space="0" w:color="auto"/>
        <w:left w:val="none" w:sz="0" w:space="0" w:color="auto"/>
        <w:bottom w:val="none" w:sz="0" w:space="0" w:color="auto"/>
        <w:right w:val="none" w:sz="0" w:space="0" w:color="auto"/>
      </w:divBdr>
      <w:divsChild>
        <w:div w:id="1844667579">
          <w:marLeft w:val="0"/>
          <w:marRight w:val="0"/>
          <w:marTop w:val="0"/>
          <w:marBottom w:val="240"/>
          <w:divBdr>
            <w:top w:val="none" w:sz="0" w:space="0" w:color="auto"/>
            <w:left w:val="none" w:sz="0" w:space="0" w:color="auto"/>
            <w:bottom w:val="none" w:sz="0" w:space="0" w:color="auto"/>
            <w:right w:val="none" w:sz="0" w:space="0" w:color="auto"/>
          </w:divBdr>
        </w:div>
        <w:div w:id="947470170">
          <w:marLeft w:val="0"/>
          <w:marRight w:val="0"/>
          <w:marTop w:val="375"/>
          <w:marBottom w:val="0"/>
          <w:divBdr>
            <w:top w:val="none" w:sz="0" w:space="0" w:color="auto"/>
            <w:left w:val="none" w:sz="0" w:space="0" w:color="auto"/>
            <w:bottom w:val="none" w:sz="0" w:space="0" w:color="auto"/>
            <w:right w:val="none" w:sz="0" w:space="0" w:color="auto"/>
          </w:divBdr>
          <w:divsChild>
            <w:div w:id="186408847">
              <w:marLeft w:val="0"/>
              <w:marRight w:val="0"/>
              <w:marTop w:val="45"/>
              <w:marBottom w:val="0"/>
              <w:divBdr>
                <w:top w:val="none" w:sz="0" w:space="0" w:color="auto"/>
                <w:left w:val="none" w:sz="0" w:space="0" w:color="auto"/>
                <w:bottom w:val="none" w:sz="0" w:space="0" w:color="auto"/>
                <w:right w:val="none" w:sz="0" w:space="0" w:color="auto"/>
              </w:divBdr>
            </w:div>
            <w:div w:id="655299247">
              <w:marLeft w:val="0"/>
              <w:marRight w:val="0"/>
              <w:marTop w:val="45"/>
              <w:marBottom w:val="0"/>
              <w:divBdr>
                <w:top w:val="none" w:sz="0" w:space="0" w:color="auto"/>
                <w:left w:val="none" w:sz="0" w:space="0" w:color="auto"/>
                <w:bottom w:val="none" w:sz="0" w:space="0" w:color="auto"/>
                <w:right w:val="none" w:sz="0" w:space="0" w:color="auto"/>
              </w:divBdr>
            </w:div>
            <w:div w:id="1458911794">
              <w:marLeft w:val="0"/>
              <w:marRight w:val="0"/>
              <w:marTop w:val="45"/>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stomsmobile.com/regulations/49/391.31" TargetMode="External"/><Relationship Id="rId13" Type="http://schemas.openxmlformats.org/officeDocument/2006/relationships/hyperlink" Target="https://www.customsmobile.com/uscode/49/31136"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ustomsmobile.com/regulations/49/391.15" TargetMode="External"/><Relationship Id="rId12" Type="http://schemas.openxmlformats.org/officeDocument/2006/relationships/hyperlink" Target="https://www.customsmobile.com/uscode/49/31133" TargetMode="External"/><Relationship Id="rId17"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s://www.customsmobile.com/regulations/49/1.87" TargetMode="External"/><Relationship Id="rId1" Type="http://schemas.openxmlformats.org/officeDocument/2006/relationships/styles" Target="styles.xml"/><Relationship Id="rId6" Type="http://schemas.openxmlformats.org/officeDocument/2006/relationships/hyperlink" Target="https://www.customsmobile.com/regulations/49/391.27" TargetMode="External"/><Relationship Id="rId11" Type="http://schemas.openxmlformats.org/officeDocument/2006/relationships/hyperlink" Target="https://www.customsmobile.com/uscode/49/508" TargetMode="External"/><Relationship Id="rId5" Type="http://schemas.openxmlformats.org/officeDocument/2006/relationships/hyperlink" Target="https://www.customsmobile.com/regulations/49/391.63" TargetMode="External"/><Relationship Id="rId15" Type="http://schemas.openxmlformats.org/officeDocument/2006/relationships/hyperlink" Target="https://www.customsmobile.com/uscode/49/31502" TargetMode="External"/><Relationship Id="rId10" Type="http://schemas.openxmlformats.org/officeDocument/2006/relationships/hyperlink" Target="https://www.customsmobile.com/uscode/49/504" TargetMode="External"/><Relationship Id="rId4" Type="http://schemas.openxmlformats.org/officeDocument/2006/relationships/webSettings" Target="webSettings.xml"/><Relationship Id="rId9" Type="http://schemas.openxmlformats.org/officeDocument/2006/relationships/hyperlink" Target="https://www.customsmobile.com/regulations/49/391.33" TargetMode="External"/><Relationship Id="rId14" Type="http://schemas.openxmlformats.org/officeDocument/2006/relationships/hyperlink" Target="https://www.customsmobile.com/uscode/49/3114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478</Words>
  <Characters>2731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Roxane (FMCSA)</dc:creator>
  <cp:keywords/>
  <dc:description/>
  <cp:lastModifiedBy>SYSTEM</cp:lastModifiedBy>
  <cp:revision>2</cp:revision>
  <dcterms:created xsi:type="dcterms:W3CDTF">2019-10-28T23:01:00Z</dcterms:created>
  <dcterms:modified xsi:type="dcterms:W3CDTF">2019-10-28T23:01:00Z</dcterms:modified>
</cp:coreProperties>
</file>