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A4" w:rsidRPr="006C39A4" w:rsidRDefault="006C39A4" w:rsidP="006C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C39A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§ 391.63 - Multiple-employer drivers.</w:t>
      </w:r>
    </w:p>
    <w:p w:rsidR="006C39A4" w:rsidRPr="006C39A4" w:rsidRDefault="006C39A4" w:rsidP="006C39A4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(a) If a motor carrier employs a person as a multiple-employer driver (as defined in </w:t>
      </w:r>
      <w:hyperlink r:id="rId5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390.5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 of this subchapter), the motor carrier shall comply with all requirements of this part, except that the motor carrier need not -</w:t>
      </w:r>
    </w:p>
    <w:p w:rsidR="006C39A4" w:rsidRPr="006C39A4" w:rsidRDefault="006C39A4" w:rsidP="006C39A4">
      <w:p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(1) Require the person to furnish an application for employment in accordance with </w:t>
      </w:r>
      <w:hyperlink r:id="rId6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391.21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;</w:t>
      </w:r>
    </w:p>
    <w:p w:rsidR="006C39A4" w:rsidRPr="006C39A4" w:rsidRDefault="006C39A4" w:rsidP="006C39A4">
      <w:p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(2) Make the investigations and inquiries specified in </w:t>
      </w:r>
      <w:hyperlink r:id="rId7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391.23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 with respect to that person;</w:t>
      </w:r>
    </w:p>
    <w:p w:rsidR="006C39A4" w:rsidRPr="006C39A4" w:rsidRDefault="006C39A4" w:rsidP="006C39A4">
      <w:p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(3) Perform the annual driving record inquiry required by </w:t>
      </w:r>
      <w:hyperlink r:id="rId8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391.25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(a);</w:t>
      </w:r>
    </w:p>
    <w:p w:rsidR="006C39A4" w:rsidRPr="006C39A4" w:rsidRDefault="006C39A4" w:rsidP="006C39A4">
      <w:p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(4) Perform the annual review of the person's driving record required by </w:t>
      </w:r>
      <w:hyperlink r:id="rId9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391.25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(b); or</w:t>
      </w:r>
    </w:p>
    <w:p w:rsidR="006C39A4" w:rsidRPr="006C39A4" w:rsidRDefault="006C39A4" w:rsidP="006C39A4">
      <w:pPr>
        <w:shd w:val="clear" w:color="auto" w:fill="FFFFFF"/>
        <w:spacing w:after="150" w:line="240" w:lineRule="auto"/>
        <w:ind w:left="300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(5) Require the person to furnish a record of violations or a certificate in accordance with </w:t>
      </w:r>
      <w:hyperlink r:id="rId10" w:history="1">
        <w:r w:rsidRPr="006C39A4">
          <w:rPr>
            <w:rFonts w:ascii="Helvetica" w:eastAsia="Times New Roman" w:hAnsi="Helvetica" w:cs="Helvetica"/>
            <w:color w:val="428BCA"/>
            <w:spacing w:val="9"/>
            <w:sz w:val="21"/>
            <w:szCs w:val="21"/>
            <w:u w:val="single"/>
          </w:rPr>
          <w:t>§ 391.27</w:t>
        </w:r>
      </w:hyperlink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.</w:t>
      </w:r>
    </w:p>
    <w:p w:rsidR="006C39A4" w:rsidRPr="006C39A4" w:rsidRDefault="006C39A4" w:rsidP="006C39A4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pacing w:val="9"/>
          <w:sz w:val="21"/>
          <w:szCs w:val="21"/>
        </w:rPr>
      </w:pPr>
      <w:r w:rsidRPr="006C39A4">
        <w:rPr>
          <w:rFonts w:ascii="Helvetica" w:eastAsia="Times New Roman" w:hAnsi="Helvetica" w:cs="Helvetica"/>
          <w:color w:val="333333"/>
          <w:spacing w:val="9"/>
          <w:sz w:val="21"/>
          <w:szCs w:val="21"/>
        </w:rPr>
        <w:t>(b) Before a motor carrier permits a multiple-employer driver to drive a commercial motor vehicle, the motor carrier must obtain his/her name, his/her social security number, and the identification number, type and issuing State of his/her commercial motor vehicle operator's license. The motor carrier must maintain this information for three years after employment of the multiple-employer driver ceases.</w:t>
      </w:r>
    </w:p>
    <w:p w:rsidR="006C39A4" w:rsidRPr="006C39A4" w:rsidRDefault="006C39A4" w:rsidP="006C39A4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6C39A4">
        <w:rPr>
          <w:rFonts w:ascii="Helvetica" w:eastAsia="Times New Roman" w:hAnsi="Helvetica" w:cs="Helvetica"/>
          <w:color w:val="333333"/>
          <w:sz w:val="17"/>
          <w:szCs w:val="17"/>
        </w:rPr>
        <w:t>[63 FR 33278, June 18, 1998, as amended at 79 FR 59457, Oct. 2, 2014]</w:t>
      </w:r>
    </w:p>
    <w:p w:rsidR="006C39A4" w:rsidRPr="006C39A4" w:rsidRDefault="006C39A4" w:rsidP="006C39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mallCaps/>
          <w:color w:val="333333"/>
          <w:sz w:val="24"/>
          <w:szCs w:val="24"/>
        </w:rPr>
      </w:pPr>
      <w:r w:rsidRPr="006C39A4">
        <w:rPr>
          <w:rFonts w:ascii="Helvetica" w:eastAsia="Times New Roman" w:hAnsi="Helvetica" w:cs="Helvetica"/>
          <w:b/>
          <w:bCs/>
          <w:smallCaps/>
          <w:color w:val="333333"/>
          <w:sz w:val="20"/>
          <w:szCs w:val="20"/>
        </w:rPr>
        <w:t>authority:</w:t>
      </w:r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 </w:t>
      </w:r>
      <w:hyperlink r:id="rId11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49 u.s.c. 504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,</w:t>
      </w:r>
      <w:hyperlink r:id="rId12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508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,</w:t>
      </w:r>
      <w:hyperlink r:id="rId13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31133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,</w:t>
      </w:r>
      <w:hyperlink r:id="rId14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31136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,</w:t>
      </w:r>
      <w:hyperlink r:id="rId15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31149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,</w:t>
      </w:r>
      <w:hyperlink r:id="rId16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31502</w:t>
        </w:r>
      </w:hyperlink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; sec. 4007(b), pub. l. 102-240, 105 stat. 1914, 2152; sec. 114, pub. l. 103-311, 108 stat. 1673, 1677; sec. 215, pub. l. 106-159, 113 stat. 1748, 1767; sec. 32934, pub. l. 112-141, 126 stat. 405, 830; secs. 5403 and 5524, pub. l. 114-94, 129 stat. 1312, 1548, 1560; sec. 2, pub. l. 115-105, 131 stat. 2263; and </w:t>
      </w:r>
      <w:hyperlink r:id="rId17" w:history="1">
        <w:r w:rsidRPr="006C39A4">
          <w:rPr>
            <w:rFonts w:ascii="Helvetica" w:eastAsia="Times New Roman" w:hAnsi="Helvetica" w:cs="Helvetica"/>
            <w:smallCaps/>
            <w:color w:val="428BCA"/>
            <w:sz w:val="20"/>
            <w:szCs w:val="20"/>
            <w:u w:val="single"/>
          </w:rPr>
          <w:t>49 cfr 1.87</w:t>
        </w:r>
      </w:hyperlink>
    </w:p>
    <w:p w:rsidR="006C39A4" w:rsidRPr="006C39A4" w:rsidRDefault="006C39A4" w:rsidP="006C39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mallCaps/>
          <w:color w:val="333333"/>
          <w:sz w:val="24"/>
          <w:szCs w:val="24"/>
        </w:rPr>
      </w:pPr>
      <w:r w:rsidRPr="006C39A4">
        <w:rPr>
          <w:rFonts w:ascii="Helvetica" w:eastAsia="Times New Roman" w:hAnsi="Helvetica" w:cs="Helvetica"/>
          <w:b/>
          <w:bCs/>
          <w:smallCaps/>
          <w:color w:val="333333"/>
          <w:sz w:val="20"/>
          <w:szCs w:val="20"/>
        </w:rPr>
        <w:t>source:</w:t>
      </w:r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 35 fr 6460, apr. 22, 1970, unless otherwise noted.</w:t>
      </w:r>
    </w:p>
    <w:p w:rsidR="006C39A4" w:rsidRPr="006C39A4" w:rsidRDefault="006C39A4" w:rsidP="006C39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mallCaps/>
          <w:color w:val="333333"/>
          <w:sz w:val="24"/>
          <w:szCs w:val="24"/>
        </w:rPr>
      </w:pPr>
      <w:r w:rsidRPr="006C39A4">
        <w:rPr>
          <w:rFonts w:ascii="Helvetica" w:eastAsia="Times New Roman" w:hAnsi="Helvetica" w:cs="Helvetica"/>
          <w:b/>
          <w:bCs/>
          <w:smallCaps/>
          <w:color w:val="333333"/>
          <w:sz w:val="20"/>
          <w:szCs w:val="20"/>
        </w:rPr>
        <w:t>cite as:</w:t>
      </w:r>
      <w:r w:rsidRPr="006C39A4">
        <w:rPr>
          <w:rFonts w:ascii="Helvetica" w:eastAsia="Times New Roman" w:hAnsi="Helvetica" w:cs="Helvetica"/>
          <w:smallCaps/>
          <w:color w:val="333333"/>
          <w:sz w:val="24"/>
          <w:szCs w:val="24"/>
        </w:rPr>
        <w:t> 49 cfr 391.63</w:t>
      </w:r>
    </w:p>
    <w:p w:rsidR="009E4195" w:rsidRDefault="009E4195"/>
    <w:p w:rsidR="009E4195" w:rsidRDefault="009E4195" w:rsidP="009E4195">
      <w:r>
        <w:rPr>
          <w:rStyle w:val="contentsectiontitle"/>
          <w:rFonts w:ascii="Helvetica" w:hAnsi="Helvetica" w:cs="Helvetica"/>
          <w:color w:val="333333"/>
          <w:sz w:val="21"/>
          <w:szCs w:val="21"/>
          <w:shd w:val="clear" w:color="auto" w:fill="FFFFFF"/>
        </w:rPr>
        <w:t>§ 391.63 - Multiple-employer drivers.</w:t>
      </w:r>
    </w:p>
    <w:p w:rsidR="009E4195" w:rsidRDefault="009E4195" w:rsidP="009E4195">
      <w:pPr>
        <w:pStyle w:val="indentfirstlevel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(a) If a motor carrier employs a person as a multiple-employer driver (as defined in </w:t>
      </w:r>
      <w:hyperlink r:id="rId18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390.5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 of this subchapter), the motor carrier shall comply with all requirements of this part, except that the motor carrier need not -</w:t>
      </w:r>
    </w:p>
    <w:p w:rsidR="009E4195" w:rsidRDefault="009E4195" w:rsidP="009E4195">
      <w:pPr>
        <w:pStyle w:val="indentsecondlevel"/>
        <w:shd w:val="clear" w:color="auto" w:fill="FFFFFF"/>
        <w:spacing w:before="0" w:beforeAutospacing="0" w:after="150" w:afterAutospacing="0"/>
        <w:ind w:left="30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(1) Require the person to furnish an application for employment in accordance with </w:t>
      </w:r>
      <w:hyperlink r:id="rId19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391.21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;</w:t>
      </w:r>
    </w:p>
    <w:p w:rsidR="009E4195" w:rsidRDefault="009E4195" w:rsidP="009E4195">
      <w:pPr>
        <w:pStyle w:val="indentsecondlevel"/>
        <w:shd w:val="clear" w:color="auto" w:fill="FFFFFF"/>
        <w:spacing w:before="0" w:beforeAutospacing="0" w:after="150" w:afterAutospacing="0"/>
        <w:ind w:left="30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(2) Make the investigations and inquiries specified in </w:t>
      </w:r>
      <w:hyperlink r:id="rId20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391.23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 with respect to that person;</w:t>
      </w:r>
    </w:p>
    <w:p w:rsidR="009E4195" w:rsidRDefault="009E4195" w:rsidP="009E4195">
      <w:pPr>
        <w:pStyle w:val="indentsecondlevel"/>
        <w:shd w:val="clear" w:color="auto" w:fill="FFFFFF"/>
        <w:spacing w:before="0" w:beforeAutospacing="0" w:after="150" w:afterAutospacing="0"/>
        <w:ind w:left="30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(3) Perform the annual driving record inquiry required by </w:t>
      </w:r>
      <w:hyperlink r:id="rId21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391.25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(a);</w:t>
      </w:r>
    </w:p>
    <w:p w:rsidR="009E4195" w:rsidRDefault="009E4195" w:rsidP="009E4195">
      <w:pPr>
        <w:pStyle w:val="indentsecondlevel"/>
        <w:shd w:val="clear" w:color="auto" w:fill="FFFFFF"/>
        <w:spacing w:before="0" w:beforeAutospacing="0" w:after="150" w:afterAutospacing="0"/>
        <w:ind w:left="30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(4) Perform the annual review of the person's driving record required by </w:t>
      </w:r>
      <w:hyperlink r:id="rId22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391.25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(b); or</w:t>
      </w:r>
    </w:p>
    <w:p w:rsidR="009E4195" w:rsidRDefault="009E4195" w:rsidP="009E4195">
      <w:pPr>
        <w:pStyle w:val="indentsecondlevel"/>
        <w:shd w:val="clear" w:color="auto" w:fill="FFFFFF"/>
        <w:spacing w:before="0" w:beforeAutospacing="0" w:after="150" w:afterAutospacing="0"/>
        <w:ind w:left="30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>(5) Require the person to furnish a record of violations or a certificate in accordance with </w:t>
      </w:r>
      <w:hyperlink r:id="rId23" w:history="1">
        <w:r>
          <w:rPr>
            <w:rStyle w:val="Hyperlink"/>
            <w:rFonts w:ascii="Helvetica" w:hAnsi="Helvetica" w:cs="Helvetica"/>
            <w:color w:val="428BCA"/>
            <w:spacing w:val="9"/>
            <w:sz w:val="21"/>
            <w:szCs w:val="21"/>
          </w:rPr>
          <w:t>§ 391.27</w:t>
        </w:r>
      </w:hyperlink>
      <w:r>
        <w:rPr>
          <w:rFonts w:ascii="Helvetica" w:hAnsi="Helvetica" w:cs="Helvetica"/>
          <w:color w:val="333333"/>
          <w:spacing w:val="9"/>
          <w:sz w:val="21"/>
          <w:szCs w:val="21"/>
        </w:rPr>
        <w:t>.</w:t>
      </w:r>
    </w:p>
    <w:p w:rsidR="009E4195" w:rsidRDefault="009E4195" w:rsidP="009E4195">
      <w:pPr>
        <w:pStyle w:val="indentfirstlevel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pacing w:val="9"/>
          <w:sz w:val="21"/>
          <w:szCs w:val="21"/>
        </w:rPr>
      </w:pPr>
      <w:r>
        <w:rPr>
          <w:rFonts w:ascii="Helvetica" w:hAnsi="Helvetica" w:cs="Helvetica"/>
          <w:color w:val="333333"/>
          <w:spacing w:val="9"/>
          <w:sz w:val="21"/>
          <w:szCs w:val="21"/>
        </w:rPr>
        <w:t xml:space="preserve">(b) Before a motor carrier permits a multiple-employer driver to drive a commercial motor vehicle, the motor carrier must obtain his/her name, his/her social security number, and the identification number, type and issuing State of his/her commercial motor vehicle operator's </w:t>
      </w:r>
      <w:r>
        <w:rPr>
          <w:rFonts w:ascii="Helvetica" w:hAnsi="Helvetica" w:cs="Helvetica"/>
          <w:color w:val="333333"/>
          <w:spacing w:val="9"/>
          <w:sz w:val="21"/>
          <w:szCs w:val="21"/>
        </w:rPr>
        <w:lastRenderedPageBreak/>
        <w:t>license. The motor carrier must maintain this information for three years after employment of the multiple-employer driver ceases.</w:t>
      </w:r>
    </w:p>
    <w:p w:rsidR="009E4195" w:rsidRDefault="009E4195" w:rsidP="009E4195">
      <w:pPr>
        <w:shd w:val="clear" w:color="auto" w:fill="FFFFFF"/>
        <w:textAlignment w:val="baseline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[63 FR 33278, June 18, 1998, as amended at 79 FR 59457, Oct. 2, 2014]</w:t>
      </w:r>
    </w:p>
    <w:p w:rsidR="009E4195" w:rsidRDefault="009E4195" w:rsidP="009E4195">
      <w:pPr>
        <w:shd w:val="clear" w:color="auto" w:fill="FFFFFF"/>
        <w:textAlignment w:val="baseline"/>
        <w:rPr>
          <w:rFonts w:ascii="Helvetica" w:hAnsi="Helvetica" w:cs="Helvetica"/>
          <w:smallCaps/>
          <w:color w:val="333333"/>
          <w:sz w:val="24"/>
          <w:szCs w:val="24"/>
        </w:rPr>
      </w:pPr>
      <w:r>
        <w:rPr>
          <w:rStyle w:val="Strong"/>
          <w:rFonts w:ascii="Helvetica" w:hAnsi="Helvetica" w:cs="Helvetica"/>
          <w:smallCaps/>
          <w:color w:val="333333"/>
          <w:sz w:val="20"/>
          <w:szCs w:val="20"/>
        </w:rPr>
        <w:t>authority:</w:t>
      </w:r>
      <w:r>
        <w:rPr>
          <w:rFonts w:ascii="Helvetica" w:hAnsi="Helvetica" w:cs="Helvetica"/>
          <w:smallCaps/>
          <w:color w:val="333333"/>
        </w:rPr>
        <w:t> </w:t>
      </w:r>
      <w:hyperlink r:id="rId24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49 u.s.c. 504</w:t>
        </w:r>
      </w:hyperlink>
      <w:r>
        <w:rPr>
          <w:rFonts w:ascii="Helvetica" w:hAnsi="Helvetica" w:cs="Helvetica"/>
          <w:smallCaps/>
          <w:color w:val="333333"/>
        </w:rPr>
        <w:t>,</w:t>
      </w:r>
      <w:hyperlink r:id="rId25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508</w:t>
        </w:r>
      </w:hyperlink>
      <w:r>
        <w:rPr>
          <w:rFonts w:ascii="Helvetica" w:hAnsi="Helvetica" w:cs="Helvetica"/>
          <w:smallCaps/>
          <w:color w:val="333333"/>
        </w:rPr>
        <w:t>,</w:t>
      </w:r>
      <w:hyperlink r:id="rId26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31133</w:t>
        </w:r>
      </w:hyperlink>
      <w:r>
        <w:rPr>
          <w:rFonts w:ascii="Helvetica" w:hAnsi="Helvetica" w:cs="Helvetica"/>
          <w:smallCaps/>
          <w:color w:val="333333"/>
        </w:rPr>
        <w:t>,</w:t>
      </w:r>
      <w:hyperlink r:id="rId27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31136</w:t>
        </w:r>
      </w:hyperlink>
      <w:r>
        <w:rPr>
          <w:rFonts w:ascii="Helvetica" w:hAnsi="Helvetica" w:cs="Helvetica"/>
          <w:smallCaps/>
          <w:color w:val="333333"/>
        </w:rPr>
        <w:t>,</w:t>
      </w:r>
      <w:hyperlink r:id="rId28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31149</w:t>
        </w:r>
      </w:hyperlink>
      <w:r>
        <w:rPr>
          <w:rFonts w:ascii="Helvetica" w:hAnsi="Helvetica" w:cs="Helvetica"/>
          <w:smallCaps/>
          <w:color w:val="333333"/>
        </w:rPr>
        <w:t>,</w:t>
      </w:r>
      <w:hyperlink r:id="rId29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31502</w:t>
        </w:r>
      </w:hyperlink>
      <w:r>
        <w:rPr>
          <w:rFonts w:ascii="Helvetica" w:hAnsi="Helvetica" w:cs="Helvetica"/>
          <w:smallCaps/>
          <w:color w:val="333333"/>
        </w:rPr>
        <w:t>; sec. 4007(b), pub. l. 102-240, 105 stat. 1914, 2152; sec. 114, pub. l. 103-311, 108 stat. 1673, 1677; sec. 215, pub. l. 106-159, 113 stat. 1748, 1767; sec. 32934, pub. l. 112-141, 126 stat. 405, 830; secs. 5403 and 5524, pub. l. 114-94, 129 stat. 1312, 1548, 1560; sec. 2, pub. l. 115-105, 131 stat. 2263; and </w:t>
      </w:r>
      <w:hyperlink r:id="rId30" w:history="1">
        <w:r>
          <w:rPr>
            <w:rStyle w:val="Hyperlink"/>
            <w:rFonts w:ascii="Helvetica" w:hAnsi="Helvetica" w:cs="Helvetica"/>
            <w:smallCaps/>
            <w:color w:val="428BCA"/>
            <w:sz w:val="20"/>
            <w:szCs w:val="20"/>
          </w:rPr>
          <w:t>49 cfr 1.87</w:t>
        </w:r>
      </w:hyperlink>
    </w:p>
    <w:p w:rsidR="009E4195" w:rsidRDefault="009E4195" w:rsidP="009E4195">
      <w:pPr>
        <w:shd w:val="clear" w:color="auto" w:fill="FFFFFF"/>
        <w:textAlignment w:val="baseline"/>
        <w:rPr>
          <w:rFonts w:ascii="Helvetica" w:hAnsi="Helvetica" w:cs="Helvetica"/>
          <w:smallCaps/>
          <w:color w:val="333333"/>
        </w:rPr>
      </w:pPr>
      <w:r>
        <w:rPr>
          <w:rStyle w:val="Strong"/>
          <w:rFonts w:ascii="Helvetica" w:hAnsi="Helvetica" w:cs="Helvetica"/>
          <w:smallCaps/>
          <w:color w:val="333333"/>
          <w:sz w:val="20"/>
          <w:szCs w:val="20"/>
        </w:rPr>
        <w:t>source:</w:t>
      </w:r>
      <w:r>
        <w:rPr>
          <w:rFonts w:ascii="Helvetica" w:hAnsi="Helvetica" w:cs="Helvetica"/>
          <w:smallCaps/>
          <w:color w:val="333333"/>
        </w:rPr>
        <w:t> 35 fr 6460, apr. 22, 1970, unless otherwise noted.</w:t>
      </w:r>
    </w:p>
    <w:p w:rsidR="009E4195" w:rsidRDefault="009E4195" w:rsidP="009E4195">
      <w:pPr>
        <w:shd w:val="clear" w:color="auto" w:fill="FFFFFF"/>
        <w:textAlignment w:val="baseline"/>
        <w:rPr>
          <w:rFonts w:ascii="Helvetica" w:hAnsi="Helvetica" w:cs="Helvetica"/>
          <w:smallCaps/>
          <w:color w:val="333333"/>
        </w:rPr>
      </w:pPr>
      <w:r>
        <w:rPr>
          <w:rStyle w:val="Strong"/>
          <w:rFonts w:ascii="Helvetica" w:hAnsi="Helvetica" w:cs="Helvetica"/>
          <w:smallCaps/>
          <w:color w:val="333333"/>
          <w:sz w:val="20"/>
          <w:szCs w:val="20"/>
        </w:rPr>
        <w:t>cite as:</w:t>
      </w:r>
      <w:r>
        <w:rPr>
          <w:rFonts w:ascii="Helvetica" w:hAnsi="Helvetica" w:cs="Helvetica"/>
          <w:smallCaps/>
          <w:color w:val="333333"/>
        </w:rPr>
        <w:t> 49 cfr 391.63</w:t>
      </w:r>
    </w:p>
    <w:p w:rsidR="009E4195" w:rsidRDefault="009E4195" w:rsidP="009E4195">
      <w:pPr>
        <w:jc w:val="both"/>
      </w:pPr>
    </w:p>
    <w:p w:rsidR="009E4195" w:rsidRDefault="009E4195"/>
    <w:sectPr w:rsidR="009E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A4"/>
    <w:rsid w:val="006C39A4"/>
    <w:rsid w:val="00946909"/>
    <w:rsid w:val="009E4195"/>
    <w:rsid w:val="00BE0CB7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sectiontitle">
    <w:name w:val="content_section_title"/>
    <w:basedOn w:val="DefaultParagraphFont"/>
    <w:rsid w:val="006C39A4"/>
  </w:style>
  <w:style w:type="paragraph" w:customStyle="1" w:styleId="indentfirstlevel">
    <w:name w:val="indent_first_level"/>
    <w:basedOn w:val="Normal"/>
    <w:rsid w:val="006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39A4"/>
    <w:rPr>
      <w:color w:val="0000FF"/>
      <w:u w:val="single"/>
    </w:rPr>
  </w:style>
  <w:style w:type="paragraph" w:customStyle="1" w:styleId="indentsecondlevel">
    <w:name w:val="indent_second_level"/>
    <w:basedOn w:val="Normal"/>
    <w:rsid w:val="006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sectiontitle">
    <w:name w:val="content_section_title"/>
    <w:basedOn w:val="DefaultParagraphFont"/>
    <w:rsid w:val="006C39A4"/>
  </w:style>
  <w:style w:type="paragraph" w:customStyle="1" w:styleId="indentfirstlevel">
    <w:name w:val="indent_first_level"/>
    <w:basedOn w:val="Normal"/>
    <w:rsid w:val="006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39A4"/>
    <w:rPr>
      <w:color w:val="0000FF"/>
      <w:u w:val="single"/>
    </w:rPr>
  </w:style>
  <w:style w:type="paragraph" w:customStyle="1" w:styleId="indentsecondlevel">
    <w:name w:val="indent_second_level"/>
    <w:basedOn w:val="Normal"/>
    <w:rsid w:val="006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72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37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93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0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8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16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57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tomsmobile.com/regulations/49/391.25" TargetMode="External"/><Relationship Id="rId13" Type="http://schemas.openxmlformats.org/officeDocument/2006/relationships/hyperlink" Target="https://www.customsmobile.com/uscode/49/31133" TargetMode="External"/><Relationship Id="rId18" Type="http://schemas.openxmlformats.org/officeDocument/2006/relationships/hyperlink" Target="https://www.customsmobile.com/regulations/49/390.5" TargetMode="External"/><Relationship Id="rId26" Type="http://schemas.openxmlformats.org/officeDocument/2006/relationships/hyperlink" Target="https://www.customsmobile.com/uscode/49/311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stomsmobile.com/regulations/49/391.25" TargetMode="External"/><Relationship Id="rId7" Type="http://schemas.openxmlformats.org/officeDocument/2006/relationships/hyperlink" Target="https://www.customsmobile.com/regulations/49/391.23" TargetMode="External"/><Relationship Id="rId12" Type="http://schemas.openxmlformats.org/officeDocument/2006/relationships/hyperlink" Target="https://www.customsmobile.com/uscode/49/508" TargetMode="External"/><Relationship Id="rId17" Type="http://schemas.openxmlformats.org/officeDocument/2006/relationships/hyperlink" Target="https://www.customsmobile.com/regulations/49/1.87" TargetMode="External"/><Relationship Id="rId25" Type="http://schemas.openxmlformats.org/officeDocument/2006/relationships/hyperlink" Target="https://www.customsmobile.com/uscode/49/5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ustomsmobile.com/uscode/49/31502" TargetMode="External"/><Relationship Id="rId20" Type="http://schemas.openxmlformats.org/officeDocument/2006/relationships/hyperlink" Target="https://www.customsmobile.com/regulations/49/391.23" TargetMode="External"/><Relationship Id="rId29" Type="http://schemas.openxmlformats.org/officeDocument/2006/relationships/hyperlink" Target="https://www.customsmobile.com/uscode/49/31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stomsmobile.com/regulations/49/391.21" TargetMode="External"/><Relationship Id="rId11" Type="http://schemas.openxmlformats.org/officeDocument/2006/relationships/hyperlink" Target="https://www.customsmobile.com/uscode/49/504" TargetMode="External"/><Relationship Id="rId24" Type="http://schemas.openxmlformats.org/officeDocument/2006/relationships/hyperlink" Target="https://www.customsmobile.com/uscode/49/50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ustomsmobile.com/regulations/49/390.5" TargetMode="External"/><Relationship Id="rId15" Type="http://schemas.openxmlformats.org/officeDocument/2006/relationships/hyperlink" Target="https://www.customsmobile.com/uscode/49/31149" TargetMode="External"/><Relationship Id="rId23" Type="http://schemas.openxmlformats.org/officeDocument/2006/relationships/hyperlink" Target="https://www.customsmobile.com/regulations/49/391.27" TargetMode="External"/><Relationship Id="rId28" Type="http://schemas.openxmlformats.org/officeDocument/2006/relationships/hyperlink" Target="https://www.customsmobile.com/uscode/49/31149" TargetMode="External"/><Relationship Id="rId10" Type="http://schemas.openxmlformats.org/officeDocument/2006/relationships/hyperlink" Target="https://www.customsmobile.com/regulations/49/391.27" TargetMode="External"/><Relationship Id="rId19" Type="http://schemas.openxmlformats.org/officeDocument/2006/relationships/hyperlink" Target="https://www.customsmobile.com/regulations/49/391.2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stomsmobile.com/regulations/49/391.25" TargetMode="External"/><Relationship Id="rId14" Type="http://schemas.openxmlformats.org/officeDocument/2006/relationships/hyperlink" Target="https://www.customsmobile.com/uscode/49/31136" TargetMode="External"/><Relationship Id="rId22" Type="http://schemas.openxmlformats.org/officeDocument/2006/relationships/hyperlink" Target="https://www.customsmobile.com/regulations/49/391.25" TargetMode="External"/><Relationship Id="rId27" Type="http://schemas.openxmlformats.org/officeDocument/2006/relationships/hyperlink" Target="https://www.customsmobile.com/uscode/49/31136" TargetMode="External"/><Relationship Id="rId30" Type="http://schemas.openxmlformats.org/officeDocument/2006/relationships/hyperlink" Target="https://www.customsmobile.com/regulations/49/1.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2019-10-28T23:08:00Z</dcterms:created>
  <dcterms:modified xsi:type="dcterms:W3CDTF">2019-10-28T23:08:00Z</dcterms:modified>
</cp:coreProperties>
</file>