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42AD" w14:textId="77777777" w:rsidR="00FD134E" w:rsidRPr="00FD134E" w:rsidRDefault="00FD134E" w:rsidP="00FD134E">
      <w:pPr>
        <w:widowControl w:val="0"/>
        <w:tabs>
          <w:tab w:val="center" w:pos="4680"/>
        </w:tabs>
        <w:jc w:val="center"/>
        <w:rPr>
          <w:b/>
          <w:szCs w:val="24"/>
        </w:rPr>
      </w:pPr>
      <w:bookmarkStart w:id="0" w:name="_GoBack"/>
      <w:bookmarkEnd w:id="0"/>
      <w:r w:rsidRPr="00FD134E">
        <w:rPr>
          <w:b/>
          <w:szCs w:val="24"/>
        </w:rPr>
        <w:t>FEDERAL RAILROAD ADMINISTRATION</w:t>
      </w:r>
    </w:p>
    <w:p w14:paraId="3EB1B599" w14:textId="2CF8E3E9" w:rsidR="00FD134E" w:rsidRPr="00FD134E" w:rsidRDefault="00FD134E" w:rsidP="00FD134E">
      <w:pPr>
        <w:widowControl w:val="0"/>
        <w:tabs>
          <w:tab w:val="center" w:pos="4680"/>
        </w:tabs>
        <w:jc w:val="center"/>
        <w:rPr>
          <w:b/>
          <w:szCs w:val="24"/>
        </w:rPr>
      </w:pPr>
      <w:r w:rsidRPr="00FD134E">
        <w:rPr>
          <w:b/>
          <w:szCs w:val="24"/>
        </w:rPr>
        <w:t>Rear End Marking Devices</w:t>
      </w:r>
    </w:p>
    <w:p w14:paraId="429084C0" w14:textId="486D7A8B" w:rsidR="00FD134E" w:rsidRPr="00FD134E" w:rsidRDefault="00FD134E" w:rsidP="00FD134E">
      <w:pPr>
        <w:widowControl w:val="0"/>
        <w:tabs>
          <w:tab w:val="center" w:pos="4680"/>
        </w:tabs>
        <w:jc w:val="center"/>
        <w:rPr>
          <w:b/>
          <w:szCs w:val="24"/>
        </w:rPr>
      </w:pPr>
      <w:r w:rsidRPr="00FD134E">
        <w:rPr>
          <w:b/>
          <w:szCs w:val="24"/>
        </w:rPr>
        <w:t>(Title 49 Code of Federal Regulations Part 2</w:t>
      </w:r>
      <w:r>
        <w:rPr>
          <w:b/>
          <w:szCs w:val="24"/>
        </w:rPr>
        <w:t>21</w:t>
      </w:r>
      <w:r w:rsidRPr="00FD134E">
        <w:rPr>
          <w:b/>
          <w:szCs w:val="24"/>
        </w:rPr>
        <w:t>)</w:t>
      </w:r>
    </w:p>
    <w:p w14:paraId="3D418F3E" w14:textId="77777777" w:rsidR="00FD134E" w:rsidRPr="00FD134E" w:rsidRDefault="00FD134E" w:rsidP="00FD134E">
      <w:pPr>
        <w:widowControl w:val="0"/>
        <w:tabs>
          <w:tab w:val="center" w:pos="4680"/>
        </w:tabs>
        <w:jc w:val="center"/>
        <w:rPr>
          <w:b/>
          <w:szCs w:val="24"/>
        </w:rPr>
      </w:pPr>
      <w:r w:rsidRPr="00FD134E">
        <w:rPr>
          <w:b/>
          <w:szCs w:val="24"/>
        </w:rPr>
        <w:t xml:space="preserve">SUPPORTING JUSTIFICATION </w:t>
      </w:r>
    </w:p>
    <w:p w14:paraId="330616A0" w14:textId="1FF3933F" w:rsidR="00FD134E" w:rsidRPr="00FD134E" w:rsidRDefault="00FD134E" w:rsidP="00FD134E">
      <w:pPr>
        <w:widowControl w:val="0"/>
        <w:tabs>
          <w:tab w:val="center" w:pos="4680"/>
        </w:tabs>
        <w:jc w:val="center"/>
        <w:rPr>
          <w:b/>
          <w:szCs w:val="24"/>
        </w:rPr>
      </w:pPr>
      <w:r w:rsidRPr="00FD134E">
        <w:rPr>
          <w:b/>
          <w:szCs w:val="24"/>
        </w:rPr>
        <w:t>OMB Control No. 2130-0523</w:t>
      </w:r>
    </w:p>
    <w:p w14:paraId="7B5663D8" w14:textId="77777777" w:rsidR="00FB79AA" w:rsidRPr="000A2EA6" w:rsidRDefault="00FB79AA" w:rsidP="00B10C31">
      <w:pPr>
        <w:widowControl w:val="0"/>
        <w:rPr>
          <w:b/>
          <w:szCs w:val="24"/>
        </w:rPr>
      </w:pPr>
    </w:p>
    <w:p w14:paraId="3C4149FC" w14:textId="77777777" w:rsidR="001C2F4B" w:rsidRPr="000A2EA6" w:rsidRDefault="001C2F4B" w:rsidP="00B10C31">
      <w:pPr>
        <w:widowControl w:val="0"/>
        <w:ind w:left="720"/>
        <w:rPr>
          <w:szCs w:val="24"/>
          <w:u w:val="single"/>
        </w:rPr>
      </w:pPr>
      <w:r w:rsidRPr="000A2EA6">
        <w:rPr>
          <w:szCs w:val="24"/>
          <w:u w:val="single"/>
        </w:rPr>
        <w:t>Summary of Submission</w:t>
      </w:r>
    </w:p>
    <w:p w14:paraId="2FC00D68" w14:textId="77777777" w:rsidR="001C2F4B" w:rsidRPr="000A2EA6" w:rsidRDefault="001C2F4B" w:rsidP="00B10C31">
      <w:pPr>
        <w:widowControl w:val="0"/>
        <w:ind w:left="720"/>
        <w:rPr>
          <w:szCs w:val="24"/>
          <w:u w:val="single"/>
        </w:rPr>
      </w:pPr>
    </w:p>
    <w:p w14:paraId="75CF25D8" w14:textId="77777777" w:rsidR="007318CF" w:rsidRPr="000A2EA6" w:rsidRDefault="00CE6F17" w:rsidP="00B10C31">
      <w:pPr>
        <w:widowControl w:val="0"/>
        <w:numPr>
          <w:ilvl w:val="1"/>
          <w:numId w:val="1"/>
        </w:numPr>
        <w:rPr>
          <w:szCs w:val="24"/>
        </w:rPr>
      </w:pPr>
      <w:r w:rsidRPr="000A2EA6">
        <w:rPr>
          <w:szCs w:val="24"/>
        </w:rPr>
        <w:t xml:space="preserve">This submission is a request for a three-year </w:t>
      </w:r>
      <w:r w:rsidRPr="003662CB">
        <w:rPr>
          <w:szCs w:val="24"/>
          <w:u w:val="single"/>
        </w:rPr>
        <w:t>extension with</w:t>
      </w:r>
      <w:r w:rsidR="00082874" w:rsidRPr="003662CB">
        <w:rPr>
          <w:szCs w:val="24"/>
          <w:u w:val="single"/>
        </w:rPr>
        <w:t xml:space="preserve"> a </w:t>
      </w:r>
      <w:r w:rsidRPr="003662CB">
        <w:rPr>
          <w:szCs w:val="24"/>
          <w:u w:val="single"/>
        </w:rPr>
        <w:t>change</w:t>
      </w:r>
      <w:r w:rsidRPr="000A2EA6">
        <w:rPr>
          <w:szCs w:val="24"/>
        </w:rPr>
        <w:t xml:space="preserve"> of the previous approval granted by </w:t>
      </w:r>
      <w:r w:rsidR="00A75564">
        <w:rPr>
          <w:szCs w:val="24"/>
        </w:rPr>
        <w:t>the Office of Management and</w:t>
      </w:r>
      <w:r w:rsidR="004144E7">
        <w:rPr>
          <w:szCs w:val="24"/>
        </w:rPr>
        <w:t xml:space="preserve"> Budget</w:t>
      </w:r>
      <w:r w:rsidR="00A75564">
        <w:rPr>
          <w:szCs w:val="24"/>
        </w:rPr>
        <w:t xml:space="preserve"> (</w:t>
      </w:r>
      <w:r w:rsidR="007318CF" w:rsidRPr="000A2EA6">
        <w:rPr>
          <w:szCs w:val="24"/>
        </w:rPr>
        <w:t>OMB</w:t>
      </w:r>
      <w:r w:rsidR="00A75564">
        <w:rPr>
          <w:szCs w:val="24"/>
        </w:rPr>
        <w:t>)</w:t>
      </w:r>
      <w:r w:rsidR="007318CF" w:rsidRPr="000A2EA6">
        <w:rPr>
          <w:szCs w:val="24"/>
        </w:rPr>
        <w:t xml:space="preserve"> on </w:t>
      </w:r>
      <w:r w:rsidR="007318CF" w:rsidRPr="000A2EA6">
        <w:rPr>
          <w:b/>
          <w:szCs w:val="24"/>
        </w:rPr>
        <w:t>September 30, 2016</w:t>
      </w:r>
      <w:r w:rsidR="007318CF" w:rsidRPr="000A2EA6">
        <w:rPr>
          <w:szCs w:val="24"/>
        </w:rPr>
        <w:t xml:space="preserve">, which now expires on </w:t>
      </w:r>
      <w:r w:rsidR="007318CF" w:rsidRPr="000A2EA6">
        <w:rPr>
          <w:b/>
          <w:szCs w:val="24"/>
        </w:rPr>
        <w:t>October 31, 2019</w:t>
      </w:r>
      <w:r w:rsidR="007318CF" w:rsidRPr="004144E7">
        <w:rPr>
          <w:szCs w:val="24"/>
        </w:rPr>
        <w:t>.</w:t>
      </w:r>
      <w:r w:rsidR="007318CF" w:rsidRPr="00B10C31">
        <w:rPr>
          <w:szCs w:val="24"/>
        </w:rPr>
        <w:t xml:space="preserve"> </w:t>
      </w:r>
    </w:p>
    <w:p w14:paraId="26EBD238" w14:textId="77777777" w:rsidR="00CE6F17" w:rsidRPr="000A2EA6" w:rsidRDefault="00CE6F17" w:rsidP="00B10C31">
      <w:pPr>
        <w:widowControl w:val="0"/>
        <w:ind w:left="720"/>
        <w:rPr>
          <w:szCs w:val="24"/>
        </w:rPr>
      </w:pPr>
    </w:p>
    <w:p w14:paraId="3FEC86D6" w14:textId="77777777" w:rsidR="007318CF" w:rsidRPr="000A2EA6" w:rsidRDefault="00A75564" w:rsidP="00B10C31">
      <w:pPr>
        <w:widowControl w:val="0"/>
        <w:numPr>
          <w:ilvl w:val="1"/>
          <w:numId w:val="1"/>
        </w:numPr>
        <w:outlineLvl w:val="0"/>
        <w:rPr>
          <w:szCs w:val="24"/>
        </w:rPr>
      </w:pPr>
      <w:r>
        <w:rPr>
          <w:szCs w:val="24"/>
        </w:rPr>
        <w:t>The Federal Railroad Administration (</w:t>
      </w:r>
      <w:r w:rsidR="007318CF" w:rsidRPr="000A2EA6">
        <w:rPr>
          <w:szCs w:val="24"/>
        </w:rPr>
        <w:t>FRA</w:t>
      </w:r>
      <w:r>
        <w:rPr>
          <w:szCs w:val="24"/>
        </w:rPr>
        <w:t>)</w:t>
      </w:r>
      <w:r w:rsidR="007318CF" w:rsidRPr="000A2EA6">
        <w:rPr>
          <w:szCs w:val="24"/>
        </w:rPr>
        <w:t xml:space="preserve"> published the required 60-day Notice in the </w:t>
      </w:r>
      <w:r w:rsidR="007318CF" w:rsidRPr="0095675F">
        <w:rPr>
          <w:i/>
          <w:szCs w:val="24"/>
        </w:rPr>
        <w:t>Federal Register</w:t>
      </w:r>
      <w:r w:rsidR="008B1D35">
        <w:rPr>
          <w:szCs w:val="24"/>
        </w:rPr>
        <w:t xml:space="preserve"> </w:t>
      </w:r>
      <w:r w:rsidR="007318CF" w:rsidRPr="000A2EA6">
        <w:rPr>
          <w:szCs w:val="24"/>
        </w:rPr>
        <w:t xml:space="preserve">on </w:t>
      </w:r>
      <w:r w:rsidR="007318CF" w:rsidRPr="000A2EA6">
        <w:rPr>
          <w:b/>
          <w:szCs w:val="24"/>
        </w:rPr>
        <w:t xml:space="preserve">August </w:t>
      </w:r>
      <w:r w:rsidR="000E541C">
        <w:rPr>
          <w:b/>
          <w:szCs w:val="24"/>
        </w:rPr>
        <w:t>21</w:t>
      </w:r>
      <w:r w:rsidR="007318CF" w:rsidRPr="000A2EA6">
        <w:rPr>
          <w:b/>
          <w:szCs w:val="24"/>
        </w:rPr>
        <w:t>, 2019</w:t>
      </w:r>
      <w:r w:rsidR="007318CF" w:rsidRPr="000A2EA6">
        <w:rPr>
          <w:szCs w:val="24"/>
        </w:rPr>
        <w:t xml:space="preserve">.  </w:t>
      </w:r>
      <w:r w:rsidR="007318CF" w:rsidRPr="00C07B3A">
        <w:rPr>
          <w:szCs w:val="24"/>
          <w:u w:val="single"/>
        </w:rPr>
        <w:t>See</w:t>
      </w:r>
      <w:r w:rsidR="007318CF" w:rsidRPr="000A2EA6">
        <w:rPr>
          <w:szCs w:val="24"/>
        </w:rPr>
        <w:t xml:space="preserve"> 84 FR 43645.  FRA received </w:t>
      </w:r>
      <w:r w:rsidR="007318CF" w:rsidRPr="000A2EA6">
        <w:rPr>
          <w:szCs w:val="24"/>
          <w:u w:val="single"/>
        </w:rPr>
        <w:t>no</w:t>
      </w:r>
      <w:r w:rsidR="007318CF" w:rsidRPr="000A2EA6">
        <w:rPr>
          <w:szCs w:val="24"/>
        </w:rPr>
        <w:t xml:space="preserve"> comments in response to this Notice.</w:t>
      </w:r>
    </w:p>
    <w:p w14:paraId="6FFD8712" w14:textId="77777777" w:rsidR="00CE6F17" w:rsidRPr="000A2EA6" w:rsidRDefault="00CE6F17" w:rsidP="00B10C31">
      <w:pPr>
        <w:widowControl w:val="0"/>
        <w:ind w:left="1080"/>
        <w:rPr>
          <w:szCs w:val="24"/>
        </w:rPr>
      </w:pPr>
    </w:p>
    <w:p w14:paraId="094E2160" w14:textId="7E6098FE" w:rsidR="00CE6F17" w:rsidRPr="00B10C31" w:rsidRDefault="00CE6F17" w:rsidP="00B10C31">
      <w:pPr>
        <w:widowControl w:val="0"/>
        <w:numPr>
          <w:ilvl w:val="1"/>
          <w:numId w:val="1"/>
        </w:numPr>
        <w:outlineLvl w:val="0"/>
        <w:rPr>
          <w:szCs w:val="24"/>
        </w:rPr>
      </w:pPr>
      <w:r w:rsidRPr="003662CB">
        <w:rPr>
          <w:szCs w:val="24"/>
        </w:rPr>
        <w:t xml:space="preserve">The total number of burden </w:t>
      </w:r>
      <w:r w:rsidRPr="003662CB">
        <w:rPr>
          <w:b/>
          <w:szCs w:val="24"/>
        </w:rPr>
        <w:t xml:space="preserve">hours </w:t>
      </w:r>
      <w:r w:rsidRPr="00E973EF">
        <w:rPr>
          <w:szCs w:val="24"/>
        </w:rPr>
        <w:t>requested</w:t>
      </w:r>
      <w:r w:rsidRPr="003662CB">
        <w:rPr>
          <w:szCs w:val="24"/>
        </w:rPr>
        <w:t xml:space="preserve"> for this information collection submission is </w:t>
      </w:r>
      <w:r w:rsidR="00082874" w:rsidRPr="003662CB">
        <w:rPr>
          <w:b/>
          <w:szCs w:val="24"/>
        </w:rPr>
        <w:t>2</w:t>
      </w:r>
      <w:r w:rsidRPr="003662CB">
        <w:rPr>
          <w:b/>
          <w:szCs w:val="24"/>
        </w:rPr>
        <w:t xml:space="preserve"> hours</w:t>
      </w:r>
      <w:r w:rsidR="00082874" w:rsidRPr="003662CB">
        <w:rPr>
          <w:szCs w:val="24"/>
        </w:rPr>
        <w:t>.</w:t>
      </w:r>
      <w:r w:rsidR="00BC03CF" w:rsidRPr="003662CB">
        <w:rPr>
          <w:szCs w:val="24"/>
        </w:rPr>
        <w:t xml:space="preserve">  </w:t>
      </w:r>
      <w:r w:rsidRPr="000A2EA6">
        <w:rPr>
          <w:szCs w:val="24"/>
        </w:rPr>
        <w:t>The total number of burden</w:t>
      </w:r>
      <w:r w:rsidR="003B471A">
        <w:rPr>
          <w:szCs w:val="24"/>
        </w:rPr>
        <w:t xml:space="preserve"> hours</w:t>
      </w:r>
      <w:r w:rsidRPr="000A2EA6">
        <w:rPr>
          <w:szCs w:val="24"/>
        </w:rPr>
        <w:t xml:space="preserve"> </w:t>
      </w:r>
      <w:r w:rsidRPr="000A2EA6">
        <w:rPr>
          <w:b/>
          <w:szCs w:val="24"/>
        </w:rPr>
        <w:t>previously approved</w:t>
      </w:r>
      <w:r w:rsidRPr="000A2EA6">
        <w:rPr>
          <w:szCs w:val="24"/>
        </w:rPr>
        <w:t xml:space="preserve"> for this information collection was </w:t>
      </w:r>
      <w:r w:rsidRPr="000A2EA6">
        <w:rPr>
          <w:b/>
          <w:szCs w:val="24"/>
        </w:rPr>
        <w:t>39 hours</w:t>
      </w:r>
      <w:r w:rsidRPr="004144E7">
        <w:rPr>
          <w:szCs w:val="24"/>
        </w:rPr>
        <w:t>.</w:t>
      </w:r>
    </w:p>
    <w:p w14:paraId="156321F7" w14:textId="77777777" w:rsidR="00CE6F17" w:rsidRPr="000A2EA6" w:rsidRDefault="00CE6F17" w:rsidP="00B10C31">
      <w:pPr>
        <w:widowControl w:val="0"/>
        <w:outlineLvl w:val="0"/>
        <w:rPr>
          <w:szCs w:val="24"/>
        </w:rPr>
      </w:pPr>
    </w:p>
    <w:p w14:paraId="568A03E5" w14:textId="1FC42817" w:rsidR="00CE6F17" w:rsidRDefault="00CE6F17" w:rsidP="00B10C31">
      <w:pPr>
        <w:widowControl w:val="0"/>
        <w:numPr>
          <w:ilvl w:val="1"/>
          <w:numId w:val="1"/>
        </w:numPr>
        <w:outlineLvl w:val="0"/>
        <w:rPr>
          <w:szCs w:val="24"/>
        </w:rPr>
      </w:pPr>
      <w:r w:rsidRPr="003662CB">
        <w:rPr>
          <w:szCs w:val="24"/>
        </w:rPr>
        <w:t>T</w:t>
      </w:r>
      <w:r w:rsidR="000931A9" w:rsidRPr="003662CB">
        <w:rPr>
          <w:szCs w:val="24"/>
        </w:rPr>
        <w:t>he t</w:t>
      </w:r>
      <w:r w:rsidRPr="003662CB">
        <w:rPr>
          <w:szCs w:val="24"/>
        </w:rPr>
        <w:t xml:space="preserve">otal number of </w:t>
      </w:r>
      <w:r w:rsidRPr="00E973EF">
        <w:rPr>
          <w:b/>
          <w:szCs w:val="24"/>
        </w:rPr>
        <w:t>responses</w:t>
      </w:r>
      <w:r w:rsidRPr="003662CB">
        <w:rPr>
          <w:szCs w:val="24"/>
        </w:rPr>
        <w:t xml:space="preserve"> </w:t>
      </w:r>
      <w:r w:rsidRPr="00E973EF">
        <w:rPr>
          <w:szCs w:val="24"/>
        </w:rPr>
        <w:t>requested</w:t>
      </w:r>
      <w:r w:rsidRPr="003662CB">
        <w:rPr>
          <w:szCs w:val="24"/>
        </w:rPr>
        <w:t xml:space="preserve"> for this information collection submission is </w:t>
      </w:r>
      <w:r w:rsidR="00082874" w:rsidRPr="003662CB">
        <w:rPr>
          <w:b/>
          <w:szCs w:val="24"/>
        </w:rPr>
        <w:t>two</w:t>
      </w:r>
      <w:r w:rsidR="00BC03CF">
        <w:rPr>
          <w:b/>
          <w:szCs w:val="24"/>
        </w:rPr>
        <w:t xml:space="preserve"> (2)</w:t>
      </w:r>
      <w:r w:rsidR="00BC03CF" w:rsidRPr="003662CB">
        <w:rPr>
          <w:b/>
          <w:szCs w:val="24"/>
        </w:rPr>
        <w:t>.</w:t>
      </w:r>
      <w:r w:rsidR="00082874" w:rsidRPr="003662CB">
        <w:rPr>
          <w:b/>
          <w:szCs w:val="24"/>
        </w:rPr>
        <w:t xml:space="preserve"> </w:t>
      </w:r>
      <w:r w:rsidRPr="000A2EA6">
        <w:rPr>
          <w:szCs w:val="24"/>
        </w:rPr>
        <w:t>T</w:t>
      </w:r>
      <w:r w:rsidR="000931A9">
        <w:rPr>
          <w:szCs w:val="24"/>
        </w:rPr>
        <w:t>he t</w:t>
      </w:r>
      <w:r w:rsidRPr="000A2EA6">
        <w:rPr>
          <w:szCs w:val="24"/>
        </w:rPr>
        <w:t xml:space="preserve">otal number of responses </w:t>
      </w:r>
      <w:r w:rsidRPr="000A2EA6">
        <w:rPr>
          <w:b/>
          <w:szCs w:val="24"/>
        </w:rPr>
        <w:t>previously approved</w:t>
      </w:r>
      <w:r w:rsidRPr="000A2EA6">
        <w:rPr>
          <w:szCs w:val="24"/>
        </w:rPr>
        <w:t xml:space="preserve"> for this information collection submission was </w:t>
      </w:r>
      <w:r w:rsidRPr="000A2EA6">
        <w:rPr>
          <w:b/>
          <w:szCs w:val="24"/>
        </w:rPr>
        <w:t>four (4)</w:t>
      </w:r>
      <w:r w:rsidRPr="000A2EA6">
        <w:rPr>
          <w:szCs w:val="24"/>
        </w:rPr>
        <w:t>.</w:t>
      </w:r>
    </w:p>
    <w:p w14:paraId="07C45E35" w14:textId="77777777" w:rsidR="00DC480A" w:rsidRDefault="00DC480A" w:rsidP="00B10C31">
      <w:pPr>
        <w:pStyle w:val="ListParagraph"/>
        <w:rPr>
          <w:szCs w:val="24"/>
        </w:rPr>
      </w:pPr>
    </w:p>
    <w:p w14:paraId="135ECDF4" w14:textId="77777777" w:rsidR="00DC480A" w:rsidRPr="00DC480A" w:rsidRDefault="00DC480A" w:rsidP="00B10C31">
      <w:pPr>
        <w:pStyle w:val="ListParagraph"/>
        <w:numPr>
          <w:ilvl w:val="1"/>
          <w:numId w:val="1"/>
        </w:numPr>
        <w:rPr>
          <w:szCs w:val="24"/>
        </w:rPr>
      </w:pPr>
      <w:r w:rsidRPr="00DC480A">
        <w:rPr>
          <w:szCs w:val="24"/>
        </w:rPr>
        <w:t xml:space="preserve">Adjustment(s) </w:t>
      </w:r>
      <w:r>
        <w:rPr>
          <w:szCs w:val="24"/>
        </w:rPr>
        <w:t>de</w:t>
      </w:r>
      <w:r w:rsidRPr="00DC480A">
        <w:rPr>
          <w:szCs w:val="24"/>
        </w:rPr>
        <w:t xml:space="preserve">creased the burden by </w:t>
      </w:r>
      <w:r w:rsidR="00082874" w:rsidRPr="00625455">
        <w:rPr>
          <w:i/>
          <w:szCs w:val="24"/>
        </w:rPr>
        <w:t>37</w:t>
      </w:r>
      <w:r w:rsidR="00082874">
        <w:rPr>
          <w:szCs w:val="24"/>
        </w:rPr>
        <w:t xml:space="preserve"> hours and </w:t>
      </w:r>
      <w:r w:rsidR="00082874" w:rsidRPr="00625455">
        <w:rPr>
          <w:i/>
          <w:szCs w:val="24"/>
        </w:rPr>
        <w:t>2</w:t>
      </w:r>
      <w:r w:rsidR="00082874">
        <w:rPr>
          <w:szCs w:val="24"/>
        </w:rPr>
        <w:t xml:space="preserve"> responses.</w:t>
      </w:r>
    </w:p>
    <w:p w14:paraId="370FD40C" w14:textId="77777777" w:rsidR="00CE6F17" w:rsidRPr="000A2EA6" w:rsidRDefault="00CE6F17" w:rsidP="00B10C31">
      <w:pPr>
        <w:pStyle w:val="ListParagraph"/>
        <w:rPr>
          <w:szCs w:val="24"/>
        </w:rPr>
      </w:pPr>
    </w:p>
    <w:p w14:paraId="754691FE" w14:textId="77777777" w:rsidR="00CE6F17" w:rsidRPr="000A2EA6" w:rsidRDefault="00DC480A" w:rsidP="00B10C31">
      <w:pPr>
        <w:widowControl w:val="0"/>
        <w:numPr>
          <w:ilvl w:val="1"/>
          <w:numId w:val="1"/>
        </w:numPr>
        <w:outlineLvl w:val="0"/>
        <w:rPr>
          <w:szCs w:val="24"/>
        </w:rPr>
      </w:pPr>
      <w:r>
        <w:rPr>
          <w:szCs w:val="24"/>
        </w:rPr>
        <w:t>There</w:t>
      </w:r>
      <w:r w:rsidR="00CE6F17" w:rsidRPr="000A2EA6">
        <w:rPr>
          <w:szCs w:val="24"/>
        </w:rPr>
        <w:t xml:space="preserve"> are </w:t>
      </w:r>
      <w:r w:rsidR="00CE6F17" w:rsidRPr="000A2EA6">
        <w:rPr>
          <w:szCs w:val="24"/>
          <w:u w:val="single"/>
        </w:rPr>
        <w:t>no</w:t>
      </w:r>
      <w:r w:rsidR="00CE6F17" w:rsidRPr="000A2EA6">
        <w:rPr>
          <w:szCs w:val="24"/>
        </w:rPr>
        <w:t xml:space="preserve"> </w:t>
      </w:r>
      <w:r w:rsidR="00CE6F17" w:rsidRPr="000A2EA6">
        <w:rPr>
          <w:b/>
          <w:szCs w:val="24"/>
        </w:rPr>
        <w:t xml:space="preserve">program changes </w:t>
      </w:r>
      <w:r w:rsidR="00CE6F17" w:rsidRPr="000A2EA6">
        <w:rPr>
          <w:szCs w:val="24"/>
        </w:rPr>
        <w:t>at this time.</w:t>
      </w:r>
    </w:p>
    <w:p w14:paraId="2F5BC1F9" w14:textId="77777777" w:rsidR="00CE6F17" w:rsidRPr="000A2EA6" w:rsidRDefault="00CE6F17" w:rsidP="00B10C31">
      <w:pPr>
        <w:widowControl w:val="0"/>
        <w:outlineLvl w:val="0"/>
        <w:rPr>
          <w:szCs w:val="24"/>
        </w:rPr>
      </w:pPr>
    </w:p>
    <w:p w14:paraId="6E2D3B4E" w14:textId="2B832366" w:rsidR="00FC04BE" w:rsidRDefault="00CE6F17" w:rsidP="00B10C31">
      <w:pPr>
        <w:widowControl w:val="0"/>
        <w:numPr>
          <w:ilvl w:val="1"/>
          <w:numId w:val="1"/>
        </w:numPr>
        <w:outlineLvl w:val="0"/>
        <w:rPr>
          <w:szCs w:val="24"/>
        </w:rPr>
      </w:pPr>
      <w:r w:rsidRPr="00044E3E">
        <w:rPr>
          <w:szCs w:val="24"/>
        </w:rPr>
        <w:t xml:space="preserve">**The answer to question </w:t>
      </w:r>
      <w:r w:rsidRPr="00044E3E">
        <w:rPr>
          <w:b/>
          <w:szCs w:val="24"/>
          <w:u w:val="single"/>
        </w:rPr>
        <w:t>number 12</w:t>
      </w:r>
      <w:r w:rsidRPr="00044E3E">
        <w:rPr>
          <w:szCs w:val="24"/>
        </w:rPr>
        <w:t xml:space="preserve"> itemizes the hourly burden associated with each requirement of this rule (</w:t>
      </w:r>
      <w:r w:rsidR="003F6E0D">
        <w:rPr>
          <w:szCs w:val="24"/>
        </w:rPr>
        <w:t>see page 5</w:t>
      </w:r>
      <w:r w:rsidRPr="00044E3E">
        <w:rPr>
          <w:szCs w:val="24"/>
        </w:rPr>
        <w:t>).</w:t>
      </w:r>
    </w:p>
    <w:p w14:paraId="221D4E58" w14:textId="77777777" w:rsidR="005A6E66" w:rsidRDefault="005A6E66" w:rsidP="005A6E66">
      <w:pPr>
        <w:pStyle w:val="ListParagraph"/>
        <w:rPr>
          <w:szCs w:val="24"/>
        </w:rPr>
      </w:pPr>
    </w:p>
    <w:p w14:paraId="2A15236E" w14:textId="1B4317DE" w:rsidR="005A6E66" w:rsidRPr="005A6E66" w:rsidRDefault="005A6E66" w:rsidP="005A6E66">
      <w:pPr>
        <w:widowControl w:val="0"/>
        <w:numPr>
          <w:ilvl w:val="1"/>
          <w:numId w:val="1"/>
        </w:numPr>
        <w:rPr>
          <w:szCs w:val="24"/>
        </w:rPr>
      </w:pPr>
      <w:r w:rsidRPr="00D62670">
        <w:rPr>
          <w:szCs w:val="24"/>
        </w:rPr>
        <w:t xml:space="preserve">**The answer to question </w:t>
      </w:r>
      <w:r w:rsidRPr="005E5E53">
        <w:rPr>
          <w:b/>
          <w:szCs w:val="24"/>
          <w:u w:val="single"/>
        </w:rPr>
        <w:t>number 15</w:t>
      </w:r>
      <w:r w:rsidRPr="00D62670">
        <w:rPr>
          <w:szCs w:val="24"/>
        </w:rPr>
        <w:t xml:space="preserve"> itemizes all adjustments associated with this rule</w:t>
      </w:r>
      <w:r>
        <w:rPr>
          <w:szCs w:val="24"/>
        </w:rPr>
        <w:t>.</w:t>
      </w:r>
      <w:r w:rsidRPr="00D62670">
        <w:rPr>
          <w:szCs w:val="24"/>
        </w:rPr>
        <w:t xml:space="preserve"> </w:t>
      </w:r>
      <w:r>
        <w:rPr>
          <w:szCs w:val="24"/>
        </w:rPr>
        <w:t xml:space="preserve"> </w:t>
      </w:r>
      <w:r w:rsidRPr="00D62670">
        <w:rPr>
          <w:szCs w:val="24"/>
        </w:rPr>
        <w:t>(</w:t>
      </w:r>
      <w:r w:rsidRPr="005E5E53">
        <w:rPr>
          <w:szCs w:val="24"/>
          <w:u w:val="single"/>
        </w:rPr>
        <w:t>See</w:t>
      </w:r>
      <w:r w:rsidRPr="00D62670">
        <w:rPr>
          <w:szCs w:val="24"/>
        </w:rPr>
        <w:t xml:space="preserve"> </w:t>
      </w:r>
      <w:r>
        <w:rPr>
          <w:szCs w:val="24"/>
        </w:rPr>
        <w:t>page 6.</w:t>
      </w:r>
      <w:r w:rsidRPr="00D62670">
        <w:rPr>
          <w:szCs w:val="24"/>
        </w:rPr>
        <w:t>)</w:t>
      </w:r>
    </w:p>
    <w:p w14:paraId="06B67531" w14:textId="77777777" w:rsidR="00044E3E" w:rsidRPr="00044E3E" w:rsidRDefault="00044E3E" w:rsidP="00044E3E">
      <w:pPr>
        <w:widowControl w:val="0"/>
        <w:ind w:left="1080"/>
        <w:outlineLvl w:val="0"/>
        <w:rPr>
          <w:szCs w:val="24"/>
        </w:rPr>
      </w:pPr>
    </w:p>
    <w:p w14:paraId="20BA9F63" w14:textId="77777777" w:rsidR="001C2F4B" w:rsidRPr="000A2EA6" w:rsidRDefault="001C2F4B" w:rsidP="004144E7">
      <w:pPr>
        <w:widowControl w:val="0"/>
        <w:numPr>
          <w:ilvl w:val="0"/>
          <w:numId w:val="2"/>
        </w:numPr>
        <w:ind w:left="720"/>
        <w:rPr>
          <w:szCs w:val="24"/>
        </w:rPr>
      </w:pPr>
      <w:r w:rsidRPr="000A2EA6">
        <w:rPr>
          <w:b/>
          <w:szCs w:val="24"/>
          <w:u w:val="single"/>
        </w:rPr>
        <w:t>Circumstances that make collection of the information necessary</w:t>
      </w:r>
      <w:r w:rsidRPr="004144E7">
        <w:rPr>
          <w:szCs w:val="24"/>
        </w:rPr>
        <w:t>.</w:t>
      </w:r>
    </w:p>
    <w:p w14:paraId="3281507D" w14:textId="77777777" w:rsidR="00FB79AA" w:rsidRPr="000A2EA6" w:rsidRDefault="00FB79AA" w:rsidP="00B10C31">
      <w:pPr>
        <w:widowControl w:val="0"/>
        <w:rPr>
          <w:szCs w:val="24"/>
        </w:rPr>
      </w:pPr>
    </w:p>
    <w:p w14:paraId="25F995BE" w14:textId="77777777" w:rsidR="00FB79AA" w:rsidRPr="000A2EA6" w:rsidRDefault="00FB79AA" w:rsidP="00B10C31">
      <w:pPr>
        <w:widowControl w:val="0"/>
        <w:ind w:left="720"/>
        <w:rPr>
          <w:szCs w:val="24"/>
        </w:rPr>
      </w:pPr>
      <w:r w:rsidRPr="000A2EA6">
        <w:rPr>
          <w:szCs w:val="24"/>
          <w:u w:val="single"/>
        </w:rPr>
        <w:t>Background</w:t>
      </w:r>
      <w:r w:rsidRPr="000A2EA6">
        <w:rPr>
          <w:szCs w:val="24"/>
        </w:rPr>
        <w:t xml:space="preserve"> </w:t>
      </w:r>
    </w:p>
    <w:p w14:paraId="72F254B1" w14:textId="77777777" w:rsidR="00FB79AA" w:rsidRPr="000A2EA6" w:rsidRDefault="00FB79AA" w:rsidP="00B10C31">
      <w:pPr>
        <w:widowControl w:val="0"/>
        <w:ind w:left="720"/>
        <w:rPr>
          <w:b/>
          <w:szCs w:val="24"/>
        </w:rPr>
      </w:pPr>
    </w:p>
    <w:p w14:paraId="55A7ECC1" w14:textId="77777777" w:rsidR="00FB79AA" w:rsidRPr="000A2EA6" w:rsidRDefault="00FB79AA" w:rsidP="00B10C31">
      <w:pPr>
        <w:widowControl w:val="0"/>
        <w:ind w:left="720"/>
        <w:rPr>
          <w:szCs w:val="24"/>
        </w:rPr>
      </w:pPr>
      <w:r w:rsidRPr="000A2EA6">
        <w:rPr>
          <w:szCs w:val="24"/>
        </w:rPr>
        <w:t>On July 8, 1976, Congress enacted the Federal Railroad Safety</w:t>
      </w:r>
      <w:r w:rsidR="004144E7">
        <w:rPr>
          <w:szCs w:val="24"/>
        </w:rPr>
        <w:t xml:space="preserve"> Authorization</w:t>
      </w:r>
      <w:r w:rsidRPr="000A2EA6">
        <w:rPr>
          <w:szCs w:val="24"/>
        </w:rPr>
        <w:t xml:space="preserve"> Act of 1976.  In addition to providing authorization for continued railroad safety appropriations, the statute included a provision that required the Secretary of</w:t>
      </w:r>
      <w:r w:rsidR="00C05AFA">
        <w:rPr>
          <w:szCs w:val="24"/>
        </w:rPr>
        <w:t xml:space="preserve"> the U.S. Department of</w:t>
      </w:r>
      <w:r w:rsidRPr="000A2EA6">
        <w:rPr>
          <w:szCs w:val="24"/>
        </w:rPr>
        <w:t xml:space="preserve"> Transportation</w:t>
      </w:r>
      <w:r w:rsidR="00C05AFA">
        <w:rPr>
          <w:szCs w:val="24"/>
        </w:rPr>
        <w:t xml:space="preserve"> (DOT)</w:t>
      </w:r>
      <w:r w:rsidRPr="000A2EA6">
        <w:rPr>
          <w:szCs w:val="24"/>
        </w:rPr>
        <w:t xml:space="preserve"> to issue within 180 days such rules as may be necessary to require that the rear car of passenger, commuter</w:t>
      </w:r>
      <w:r w:rsidR="00427C51">
        <w:rPr>
          <w:szCs w:val="24"/>
        </w:rPr>
        <w:t>,</w:t>
      </w:r>
      <w:r w:rsidRPr="000A2EA6">
        <w:rPr>
          <w:szCs w:val="24"/>
        </w:rPr>
        <w:t xml:space="preserve"> and freight trains are equipped with highly visible markers. (</w:t>
      </w:r>
      <w:r w:rsidRPr="004144E7">
        <w:rPr>
          <w:szCs w:val="24"/>
        </w:rPr>
        <w:t>See</w:t>
      </w:r>
      <w:r w:rsidRPr="000A2EA6">
        <w:rPr>
          <w:szCs w:val="24"/>
        </w:rPr>
        <w:t xml:space="preserve"> 49 U.S.C. 20132).</w:t>
      </w:r>
    </w:p>
    <w:p w14:paraId="5A2CC166" w14:textId="77777777" w:rsidR="00B5750F" w:rsidRDefault="00B5750F" w:rsidP="00B10C31">
      <w:pPr>
        <w:widowControl w:val="0"/>
        <w:ind w:left="720"/>
        <w:rPr>
          <w:szCs w:val="24"/>
        </w:rPr>
      </w:pPr>
    </w:p>
    <w:p w14:paraId="26329C07" w14:textId="5A2F0DAE" w:rsidR="00FB79AA" w:rsidRPr="000A2EA6" w:rsidRDefault="00FB79AA" w:rsidP="00B10C31">
      <w:pPr>
        <w:widowControl w:val="0"/>
        <w:ind w:left="720"/>
        <w:rPr>
          <w:szCs w:val="24"/>
        </w:rPr>
      </w:pPr>
      <w:r w:rsidRPr="000A2EA6">
        <w:rPr>
          <w:szCs w:val="24"/>
        </w:rPr>
        <w:t xml:space="preserve">On January 11, 1977, FRA issued </w:t>
      </w:r>
      <w:r w:rsidR="00427C51">
        <w:rPr>
          <w:szCs w:val="24"/>
        </w:rPr>
        <w:t xml:space="preserve">Title 49 Code of Federal Regulations (49 CFR) </w:t>
      </w:r>
      <w:r w:rsidRPr="000A2EA6">
        <w:rPr>
          <w:szCs w:val="24"/>
        </w:rPr>
        <w:t>Part 221</w:t>
      </w:r>
      <w:r w:rsidR="00427C51">
        <w:rPr>
          <w:szCs w:val="24"/>
        </w:rPr>
        <w:t>,</w:t>
      </w:r>
      <w:r w:rsidRPr="000A2EA6">
        <w:rPr>
          <w:szCs w:val="24"/>
        </w:rPr>
        <w:t xml:space="preserve"> </w:t>
      </w:r>
      <w:r w:rsidRPr="004144E7">
        <w:rPr>
          <w:i/>
          <w:szCs w:val="24"/>
        </w:rPr>
        <w:t>Rear End Marking Device - Passenger, Commuter and Freight Trains</w:t>
      </w:r>
      <w:r w:rsidRPr="000A2EA6">
        <w:rPr>
          <w:szCs w:val="24"/>
        </w:rPr>
        <w:t xml:space="preserve">.  Through the requirements of </w:t>
      </w:r>
      <w:r w:rsidRPr="000A2EA6">
        <w:rPr>
          <w:szCs w:val="24"/>
        </w:rPr>
        <w:lastRenderedPageBreak/>
        <w:t xml:space="preserve">this part, FRA ensures that marking devices for the trailing end of rear cars meet minimum requirements regarding visibility and display.  The rule established the performance standards for </w:t>
      </w:r>
      <w:r w:rsidR="00874E64">
        <w:rPr>
          <w:szCs w:val="24"/>
        </w:rPr>
        <w:t>“</w:t>
      </w:r>
      <w:r w:rsidRPr="000A2EA6">
        <w:rPr>
          <w:szCs w:val="24"/>
        </w:rPr>
        <w:t>highly visible</w:t>
      </w:r>
      <w:r w:rsidR="00874E64">
        <w:rPr>
          <w:szCs w:val="24"/>
        </w:rPr>
        <w:t>”</w:t>
      </w:r>
      <w:r w:rsidRPr="000A2EA6">
        <w:rPr>
          <w:szCs w:val="24"/>
        </w:rPr>
        <w:t xml:space="preserve"> marking devices in order to be approved by the Federal Railroad </w:t>
      </w:r>
      <w:r w:rsidR="00BC03CF">
        <w:rPr>
          <w:szCs w:val="24"/>
        </w:rPr>
        <w:t xml:space="preserve">Administration (FRA) </w:t>
      </w:r>
      <w:r w:rsidRPr="000A2EA6">
        <w:rPr>
          <w:szCs w:val="24"/>
        </w:rPr>
        <w:t>Administrator.</w:t>
      </w:r>
    </w:p>
    <w:p w14:paraId="7E98924E" w14:textId="218C4F2E" w:rsidR="00FB79AA" w:rsidRDefault="00FB79AA" w:rsidP="00B10C31">
      <w:pPr>
        <w:widowControl w:val="0"/>
        <w:rPr>
          <w:szCs w:val="24"/>
        </w:rPr>
      </w:pPr>
    </w:p>
    <w:p w14:paraId="3E31AB67" w14:textId="599925A2" w:rsidR="00FB79AA" w:rsidRDefault="00FB79AA" w:rsidP="00B10C31">
      <w:pPr>
        <w:widowControl w:val="0"/>
        <w:ind w:left="720"/>
        <w:rPr>
          <w:szCs w:val="24"/>
        </w:rPr>
      </w:pPr>
      <w:r w:rsidRPr="000A2EA6">
        <w:rPr>
          <w:szCs w:val="24"/>
        </w:rPr>
        <w:t>On December 8, 1977, an Appendix to Part 221 was added</w:t>
      </w:r>
      <w:r w:rsidR="00610F85">
        <w:rPr>
          <w:szCs w:val="24"/>
        </w:rPr>
        <w:t>,</w:t>
      </w:r>
      <w:r w:rsidRPr="000A2EA6">
        <w:rPr>
          <w:szCs w:val="24"/>
        </w:rPr>
        <w:t xml:space="preserve"> which sets forth the specific procedures by which railroads are to obtain approval of the marking devices to be used.</w:t>
      </w:r>
    </w:p>
    <w:p w14:paraId="63459CDA" w14:textId="4F962CAB" w:rsidR="00FD134E" w:rsidRDefault="00FD134E" w:rsidP="00B10C31">
      <w:pPr>
        <w:widowControl w:val="0"/>
        <w:ind w:left="720"/>
        <w:rPr>
          <w:szCs w:val="24"/>
        </w:rPr>
      </w:pPr>
    </w:p>
    <w:p w14:paraId="2EE49650" w14:textId="005B178D" w:rsidR="00FD134E" w:rsidRPr="00FE1030" w:rsidRDefault="00FD134E" w:rsidP="00FD134E">
      <w:pPr>
        <w:widowControl w:val="0"/>
        <w:ind w:left="720" w:hanging="720"/>
        <w:rPr>
          <w:szCs w:val="24"/>
        </w:rPr>
      </w:pPr>
      <w:r>
        <w:rPr>
          <w:b/>
          <w:szCs w:val="24"/>
        </w:rPr>
        <w:t>2</w:t>
      </w:r>
      <w:r w:rsidRPr="000A2EA6">
        <w:rPr>
          <w:b/>
          <w:szCs w:val="24"/>
        </w:rPr>
        <w:t>.</w:t>
      </w:r>
      <w:r w:rsidRPr="000A2EA6">
        <w:rPr>
          <w:b/>
          <w:szCs w:val="24"/>
        </w:rPr>
        <w:tab/>
      </w:r>
      <w:r w:rsidRPr="00FD134E">
        <w:rPr>
          <w:b/>
          <w:szCs w:val="24"/>
          <w:u w:val="single"/>
        </w:rPr>
        <w:t>How, by whom, and for what purpose the information is to be used</w:t>
      </w:r>
      <w:r w:rsidRPr="00FE1030">
        <w:rPr>
          <w:szCs w:val="24"/>
        </w:rPr>
        <w:t>.</w:t>
      </w:r>
    </w:p>
    <w:p w14:paraId="72AED139" w14:textId="2199E0C0" w:rsidR="00FB79AA" w:rsidRPr="000A2EA6" w:rsidRDefault="00FB79AA" w:rsidP="00B10C31">
      <w:pPr>
        <w:widowControl w:val="0"/>
        <w:rPr>
          <w:b/>
          <w:szCs w:val="24"/>
        </w:rPr>
      </w:pPr>
    </w:p>
    <w:p w14:paraId="379D7F07" w14:textId="7CAF5A92" w:rsidR="00FB79AA" w:rsidRPr="000A2EA6" w:rsidRDefault="00D736EE" w:rsidP="00B10C31">
      <w:pPr>
        <w:widowControl w:val="0"/>
        <w:ind w:left="720"/>
        <w:rPr>
          <w:szCs w:val="24"/>
        </w:rPr>
      </w:pPr>
      <w:r>
        <w:rPr>
          <w:szCs w:val="24"/>
        </w:rPr>
        <w:t>FRA’s</w:t>
      </w:r>
      <w:r w:rsidR="00FB79AA" w:rsidRPr="000A2EA6">
        <w:rPr>
          <w:szCs w:val="24"/>
        </w:rPr>
        <w:t xml:space="preserve"> Office of Safety personnel use this information to monitor railroad compliance with the safety requirements stipulated in 49 CFR Part 221.  Specifically, FRA reviews the information to ensure that passenger, commuter, and freight trains are equipped with at least one rear-end marking device</w:t>
      </w:r>
      <w:r w:rsidR="007A39F4">
        <w:rPr>
          <w:szCs w:val="24"/>
        </w:rPr>
        <w:t>,</w:t>
      </w:r>
      <w:r w:rsidR="00FB79AA" w:rsidRPr="000A2EA6">
        <w:rPr>
          <w:szCs w:val="24"/>
        </w:rPr>
        <w:t xml:space="preserve"> which has been approved by the </w:t>
      </w:r>
      <w:r w:rsidR="00BC03CF">
        <w:rPr>
          <w:szCs w:val="24"/>
        </w:rPr>
        <w:t xml:space="preserve">FRA </w:t>
      </w:r>
      <w:r w:rsidR="00FB79AA" w:rsidRPr="000A2EA6">
        <w:rPr>
          <w:szCs w:val="24"/>
        </w:rPr>
        <w:t xml:space="preserve">Administrator in accordance with the procedures included in Appendix A of this Part.  Each submission for approval of a marking device must contain a detailed description of the device, including the type, luminance description, size of lens, manufacturer, catalog number, lamp manufacturer, lamp type, model number, and auxiliary optics used.  Also, each submission for approval must include a certification signed by the </w:t>
      </w:r>
      <w:r w:rsidR="00BC03CF">
        <w:rPr>
          <w:szCs w:val="24"/>
        </w:rPr>
        <w:t>C</w:t>
      </w:r>
      <w:r w:rsidR="00FB79AA" w:rsidRPr="000A2EA6">
        <w:rPr>
          <w:szCs w:val="24"/>
        </w:rPr>
        <w:t xml:space="preserve">hief </w:t>
      </w:r>
      <w:r w:rsidR="00BC03CF">
        <w:rPr>
          <w:szCs w:val="24"/>
        </w:rPr>
        <w:t>O</w:t>
      </w:r>
      <w:r w:rsidR="00FB79AA" w:rsidRPr="000A2EA6">
        <w:rPr>
          <w:szCs w:val="24"/>
        </w:rPr>
        <w:t xml:space="preserve">perating </w:t>
      </w:r>
      <w:r w:rsidR="00BC03CF">
        <w:rPr>
          <w:szCs w:val="24"/>
        </w:rPr>
        <w:t>O</w:t>
      </w:r>
      <w:r w:rsidR="00FB79AA" w:rsidRPr="000A2EA6">
        <w:rPr>
          <w:szCs w:val="24"/>
        </w:rPr>
        <w:t xml:space="preserve">fficer of the railroad </w:t>
      </w:r>
      <w:r w:rsidR="007A39F4">
        <w:rPr>
          <w:szCs w:val="24"/>
        </w:rPr>
        <w:t>at which</w:t>
      </w:r>
      <w:r w:rsidR="007A39F4" w:rsidRPr="000A2EA6">
        <w:rPr>
          <w:szCs w:val="24"/>
        </w:rPr>
        <w:t xml:space="preserve"> </w:t>
      </w:r>
      <w:r w:rsidR="00FB79AA" w:rsidRPr="000A2EA6">
        <w:rPr>
          <w:szCs w:val="24"/>
        </w:rPr>
        <w:t xml:space="preserve">the device described in the submission has been tested in accordance with the current </w:t>
      </w:r>
      <w:bookmarkStart w:id="1" w:name="_Hlk22281134"/>
      <w:r w:rsidR="00FB79AA" w:rsidRPr="000A2EA6">
        <w:rPr>
          <w:szCs w:val="24"/>
        </w:rPr>
        <w:t>“</w:t>
      </w:r>
      <w:hyperlink r:id="rId9" w:anchor="p1_z5_gD_lRT_y1977_m11" w:history="1">
        <w:r w:rsidR="00FB79AA" w:rsidRPr="009D262E">
          <w:rPr>
            <w:rStyle w:val="Hyperlink"/>
            <w:szCs w:val="24"/>
          </w:rPr>
          <w:t>Guidelines of Testing of FRA Rear End Marking Devices</w:t>
        </w:r>
      </w:hyperlink>
      <w:r w:rsidR="00FB79AA" w:rsidRPr="000A2EA6">
        <w:rPr>
          <w:szCs w:val="24"/>
        </w:rPr>
        <w:t>.</w:t>
      </w:r>
      <w:bookmarkEnd w:id="1"/>
      <w:r w:rsidR="00FB79AA" w:rsidRPr="000A2EA6">
        <w:rPr>
          <w:szCs w:val="24"/>
        </w:rPr>
        <w:t xml:space="preserve">”  Additionally, each submission must incorporate the results of tests performed under </w:t>
      </w:r>
      <w:r w:rsidR="0079383B">
        <w:rPr>
          <w:szCs w:val="24"/>
        </w:rPr>
        <w:t>Appendix A</w:t>
      </w:r>
      <w:r w:rsidR="00FE1030">
        <w:rPr>
          <w:szCs w:val="24"/>
        </w:rPr>
        <w:t>,</w:t>
      </w:r>
      <w:r w:rsidR="00FB79AA" w:rsidRPr="000A2EA6">
        <w:rPr>
          <w:szCs w:val="24"/>
        </w:rPr>
        <w:t xml:space="preserve"> demonstrating marking device performance in compliance with the standard prescribed in 49 CFR 221.15.  Moreover, detailed test results must be maintained, including a</w:t>
      </w:r>
      <w:r w:rsidR="00EF27C9">
        <w:rPr>
          <w:szCs w:val="24"/>
        </w:rPr>
        <w:t>t</w:t>
      </w:r>
      <w:r w:rsidR="00FB79AA" w:rsidRPr="000A2EA6">
        <w:rPr>
          <w:szCs w:val="24"/>
        </w:rPr>
        <w:t xml:space="preserve"> a minimum</w:t>
      </w:r>
      <w:r w:rsidR="000C6A00">
        <w:rPr>
          <w:szCs w:val="24"/>
        </w:rPr>
        <w:t>,</w:t>
      </w:r>
      <w:r w:rsidR="00FB79AA" w:rsidRPr="000A2EA6">
        <w:rPr>
          <w:szCs w:val="24"/>
        </w:rPr>
        <w:t xml:space="preserve"> the name and address of the testing organization, the name of the individual in charge of the tests, a narrative description of the test procedures, the number of samples tested, and, for each sample tested, the on-axis beam candela, the beam candela at the plus-minus 15 degree points in the horizontal plane, and the chromaticity coordinates.  These records must be made available for inspection by FRA at a designated location</w:t>
      </w:r>
      <w:r w:rsidR="00AB5E4C">
        <w:rPr>
          <w:szCs w:val="24"/>
        </w:rPr>
        <w:t>,</w:t>
      </w:r>
      <w:r w:rsidR="00FB79AA" w:rsidRPr="000A2EA6">
        <w:rPr>
          <w:szCs w:val="24"/>
        </w:rPr>
        <w:t xml:space="preserve"> which is identified in the submission.  </w:t>
      </w:r>
    </w:p>
    <w:p w14:paraId="301F0B2E" w14:textId="77777777" w:rsidR="00DC480A" w:rsidRDefault="00DC480A" w:rsidP="00B10C31">
      <w:pPr>
        <w:widowControl w:val="0"/>
        <w:ind w:left="720"/>
        <w:rPr>
          <w:szCs w:val="24"/>
        </w:rPr>
      </w:pPr>
    </w:p>
    <w:p w14:paraId="31FCC32C" w14:textId="77777777" w:rsidR="00FB79AA" w:rsidRPr="000A2EA6" w:rsidRDefault="00FB79AA" w:rsidP="00B10C31">
      <w:pPr>
        <w:widowControl w:val="0"/>
        <w:ind w:left="720"/>
        <w:rPr>
          <w:szCs w:val="24"/>
        </w:rPr>
      </w:pPr>
      <w:r w:rsidRPr="000A2EA6">
        <w:rPr>
          <w:szCs w:val="24"/>
        </w:rPr>
        <w:t xml:space="preserve">FRA reviews these test records to determine if a particular device satisfies the specified visibility criteria.  Where it deems it necessary, FRA will independently test any procedures to verify that a rear-end marking device’s performance in the operating environment accords with the test results submitted by the railroad.  Where this is not the case, FRA reserves the right to withdraw approval. </w:t>
      </w:r>
    </w:p>
    <w:p w14:paraId="48D83232" w14:textId="77777777" w:rsidR="00FB79AA" w:rsidRPr="000A2EA6" w:rsidRDefault="00FB79AA" w:rsidP="00B10C31">
      <w:pPr>
        <w:widowControl w:val="0"/>
        <w:rPr>
          <w:szCs w:val="24"/>
        </w:rPr>
      </w:pPr>
    </w:p>
    <w:p w14:paraId="290A7F62" w14:textId="5FADBE8A" w:rsidR="00FB79AA" w:rsidRPr="000A2EA6" w:rsidRDefault="00FB79AA" w:rsidP="00B10C31">
      <w:pPr>
        <w:widowControl w:val="0"/>
        <w:ind w:left="720"/>
        <w:rPr>
          <w:szCs w:val="24"/>
        </w:rPr>
      </w:pPr>
      <w:r w:rsidRPr="000A2EA6">
        <w:rPr>
          <w:szCs w:val="24"/>
        </w:rPr>
        <w:t xml:space="preserve">For railroads electing to use rear-end marking devices </w:t>
      </w:r>
      <w:r w:rsidR="00AC6EAD">
        <w:rPr>
          <w:szCs w:val="24"/>
        </w:rPr>
        <w:t>that</w:t>
      </w:r>
      <w:r w:rsidR="00AC6EAD" w:rsidRPr="000A2EA6">
        <w:rPr>
          <w:szCs w:val="24"/>
        </w:rPr>
        <w:t xml:space="preserve"> </w:t>
      </w:r>
      <w:r w:rsidRPr="000A2EA6">
        <w:rPr>
          <w:szCs w:val="24"/>
        </w:rPr>
        <w:t>have been previously approved by FRA, agency safety staff</w:t>
      </w:r>
      <w:r w:rsidR="00851446">
        <w:rPr>
          <w:szCs w:val="24"/>
        </w:rPr>
        <w:t xml:space="preserve"> </w:t>
      </w:r>
      <w:r w:rsidRPr="000A2EA6">
        <w:rPr>
          <w:szCs w:val="24"/>
        </w:rPr>
        <w:t xml:space="preserve">review these applications to ensure that they include the marking device model and that this model is one approved in </w:t>
      </w:r>
      <w:r w:rsidR="00AC6EAD">
        <w:rPr>
          <w:szCs w:val="24"/>
        </w:rPr>
        <w:t>A</w:t>
      </w:r>
      <w:r w:rsidRPr="000A2EA6">
        <w:rPr>
          <w:szCs w:val="24"/>
        </w:rPr>
        <w:t>ppendix B of this Part</w:t>
      </w:r>
      <w:r w:rsidR="00AC6EAD">
        <w:rPr>
          <w:szCs w:val="24"/>
        </w:rPr>
        <w:t>.  Applications must</w:t>
      </w:r>
      <w:r w:rsidRPr="000A2EA6">
        <w:rPr>
          <w:szCs w:val="24"/>
        </w:rPr>
        <w:t xml:space="preserve"> include a certification, signed by the </w:t>
      </w:r>
      <w:r w:rsidR="000C6A00">
        <w:rPr>
          <w:szCs w:val="24"/>
        </w:rPr>
        <w:t>C</w:t>
      </w:r>
      <w:r w:rsidRPr="000A2EA6">
        <w:rPr>
          <w:szCs w:val="24"/>
        </w:rPr>
        <w:t xml:space="preserve">hief </w:t>
      </w:r>
      <w:r w:rsidR="000C6A00">
        <w:rPr>
          <w:szCs w:val="24"/>
        </w:rPr>
        <w:t>O</w:t>
      </w:r>
      <w:r w:rsidRPr="000A2EA6">
        <w:rPr>
          <w:szCs w:val="24"/>
        </w:rPr>
        <w:t xml:space="preserve">perating </w:t>
      </w:r>
      <w:r w:rsidR="000C6A00">
        <w:rPr>
          <w:szCs w:val="24"/>
        </w:rPr>
        <w:t>O</w:t>
      </w:r>
      <w:r w:rsidRPr="000A2EA6">
        <w:rPr>
          <w:szCs w:val="24"/>
        </w:rPr>
        <w:t>fficer of the railroad that the marking devices installed in the operating environment consist of the same type and model of components used in the sample tested for the original approval.</w:t>
      </w:r>
    </w:p>
    <w:p w14:paraId="12C59691" w14:textId="77777777" w:rsidR="00FB79AA" w:rsidRPr="000A2EA6" w:rsidRDefault="00FB79AA" w:rsidP="00B10C31">
      <w:pPr>
        <w:widowControl w:val="0"/>
        <w:rPr>
          <w:szCs w:val="24"/>
        </w:rPr>
      </w:pPr>
    </w:p>
    <w:p w14:paraId="412DE27C" w14:textId="45509BFA" w:rsidR="00FB79AA" w:rsidRDefault="00FB79AA" w:rsidP="00B10C31">
      <w:pPr>
        <w:widowControl w:val="0"/>
        <w:ind w:left="720"/>
        <w:rPr>
          <w:szCs w:val="24"/>
        </w:rPr>
      </w:pPr>
      <w:r w:rsidRPr="000A2EA6">
        <w:rPr>
          <w:szCs w:val="24"/>
        </w:rPr>
        <w:t>In sum, the required submission</w:t>
      </w:r>
      <w:r w:rsidR="00C143EA" w:rsidRPr="000A2EA6">
        <w:rPr>
          <w:szCs w:val="24"/>
        </w:rPr>
        <w:t>s</w:t>
      </w:r>
      <w:r w:rsidRPr="000A2EA6">
        <w:rPr>
          <w:szCs w:val="24"/>
        </w:rPr>
        <w:t xml:space="preserve"> enable FRA enforcement personnel to effectively control the use of illegal, ineffective, or unapproved devices</w:t>
      </w:r>
      <w:r w:rsidR="00AC6EAD">
        <w:rPr>
          <w:szCs w:val="24"/>
        </w:rPr>
        <w:t>,</w:t>
      </w:r>
      <w:r w:rsidRPr="000A2EA6">
        <w:rPr>
          <w:szCs w:val="24"/>
        </w:rPr>
        <w:t xml:space="preserve"> which do not provide sufficient </w:t>
      </w:r>
      <w:r w:rsidR="00874E64">
        <w:rPr>
          <w:szCs w:val="24"/>
        </w:rPr>
        <w:t>“</w:t>
      </w:r>
      <w:r w:rsidRPr="000A2EA6">
        <w:rPr>
          <w:szCs w:val="24"/>
        </w:rPr>
        <w:t>visibility</w:t>
      </w:r>
      <w:r w:rsidR="00874E64">
        <w:rPr>
          <w:szCs w:val="24"/>
        </w:rPr>
        <w:t>”</w:t>
      </w:r>
      <w:r w:rsidRPr="000A2EA6">
        <w:rPr>
          <w:szCs w:val="24"/>
        </w:rPr>
        <w:t xml:space="preserve"> to </w:t>
      </w:r>
      <w:r w:rsidRPr="000A2EA6">
        <w:rPr>
          <w:szCs w:val="24"/>
        </w:rPr>
        <w:lastRenderedPageBreak/>
        <w:t>maintain the necessary degree of safety in train operations.</w:t>
      </w:r>
    </w:p>
    <w:p w14:paraId="3F376E36" w14:textId="77777777" w:rsidR="003662CB" w:rsidRDefault="003662CB" w:rsidP="00B10C31">
      <w:pPr>
        <w:widowControl w:val="0"/>
        <w:rPr>
          <w:b/>
          <w:szCs w:val="24"/>
        </w:rPr>
      </w:pPr>
    </w:p>
    <w:p w14:paraId="3A2944F0" w14:textId="77777777" w:rsidR="00E27CF7" w:rsidRPr="00FE1030" w:rsidRDefault="00E27CF7" w:rsidP="00B10C31">
      <w:pPr>
        <w:widowControl w:val="0"/>
        <w:ind w:left="720" w:hanging="720"/>
        <w:rPr>
          <w:szCs w:val="24"/>
        </w:rPr>
      </w:pPr>
      <w:r w:rsidRPr="000A2EA6">
        <w:rPr>
          <w:b/>
          <w:szCs w:val="24"/>
        </w:rPr>
        <w:t>3.</w:t>
      </w:r>
      <w:r w:rsidRPr="000A2EA6">
        <w:rPr>
          <w:b/>
          <w:szCs w:val="24"/>
        </w:rPr>
        <w:tab/>
      </w:r>
      <w:r w:rsidRPr="000A2EA6">
        <w:rPr>
          <w:b/>
          <w:szCs w:val="24"/>
          <w:u w:val="single"/>
        </w:rPr>
        <w:t>Extent of automated information collection</w:t>
      </w:r>
      <w:r w:rsidRPr="00FE1030">
        <w:rPr>
          <w:szCs w:val="24"/>
        </w:rPr>
        <w:t>.</w:t>
      </w:r>
    </w:p>
    <w:p w14:paraId="5C46822E" w14:textId="77777777" w:rsidR="00FB79AA" w:rsidRPr="000A2EA6" w:rsidRDefault="00FB79AA" w:rsidP="00B10C31">
      <w:pPr>
        <w:widowControl w:val="0"/>
        <w:rPr>
          <w:b/>
          <w:szCs w:val="24"/>
        </w:rPr>
      </w:pPr>
    </w:p>
    <w:p w14:paraId="17FCF422" w14:textId="2B1E3518" w:rsidR="00FB79AA" w:rsidRDefault="00FB79AA" w:rsidP="00BC59F4">
      <w:pPr>
        <w:widowControl w:val="0"/>
        <w:ind w:left="720"/>
        <w:rPr>
          <w:szCs w:val="24"/>
        </w:rPr>
      </w:pPr>
      <w:r w:rsidRPr="000A2EA6">
        <w:rPr>
          <w:szCs w:val="24"/>
        </w:rPr>
        <w:t>FRA strongly endorses and highly encourages the use of advanced information technology, wherever possible, to reduce burden.  Railroads may keep detailed test records for marking devices consisting of lighted elements, non-lighted elements, or a combination of both electronically, if they are equipped to do so.</w:t>
      </w:r>
      <w:r w:rsidR="00BC59F4">
        <w:rPr>
          <w:szCs w:val="24"/>
        </w:rPr>
        <w:t xml:space="preserve">  </w:t>
      </w:r>
      <w:r w:rsidRPr="000A2EA6">
        <w:rPr>
          <w:szCs w:val="24"/>
        </w:rPr>
        <w:t xml:space="preserve">It should be noted that the burden hours for this information collection are already </w:t>
      </w:r>
      <w:r w:rsidR="009F09DF" w:rsidRPr="000A2EA6">
        <w:rPr>
          <w:szCs w:val="24"/>
        </w:rPr>
        <w:t xml:space="preserve">extremely </w:t>
      </w:r>
      <w:r w:rsidRPr="000A2EA6">
        <w:rPr>
          <w:szCs w:val="24"/>
        </w:rPr>
        <w:t>minim</w:t>
      </w:r>
      <w:r w:rsidR="009F09DF" w:rsidRPr="000A2EA6">
        <w:rPr>
          <w:szCs w:val="24"/>
        </w:rPr>
        <w:t>al</w:t>
      </w:r>
      <w:r w:rsidRPr="000A2EA6">
        <w:rPr>
          <w:szCs w:val="24"/>
        </w:rPr>
        <w:t xml:space="preserve">.  </w:t>
      </w:r>
    </w:p>
    <w:p w14:paraId="40E7AD6A" w14:textId="77777777" w:rsidR="003662CB" w:rsidRPr="00BC59F4" w:rsidRDefault="003662CB" w:rsidP="00BC59F4">
      <w:pPr>
        <w:widowControl w:val="0"/>
        <w:ind w:left="720"/>
        <w:rPr>
          <w:szCs w:val="24"/>
        </w:rPr>
      </w:pPr>
    </w:p>
    <w:p w14:paraId="36EC6508" w14:textId="77777777" w:rsidR="00C84591" w:rsidRPr="000A2EA6" w:rsidRDefault="00C84591" w:rsidP="00B10C31">
      <w:pPr>
        <w:widowControl w:val="0"/>
        <w:rPr>
          <w:szCs w:val="24"/>
        </w:rPr>
      </w:pPr>
      <w:r w:rsidRPr="000A2EA6">
        <w:rPr>
          <w:b/>
          <w:szCs w:val="24"/>
        </w:rPr>
        <w:t>4.</w:t>
      </w:r>
      <w:r w:rsidRPr="000A2EA6">
        <w:rPr>
          <w:b/>
          <w:szCs w:val="24"/>
        </w:rPr>
        <w:tab/>
      </w:r>
      <w:r w:rsidRPr="000A2EA6">
        <w:rPr>
          <w:b/>
          <w:szCs w:val="24"/>
          <w:u w:val="single"/>
        </w:rPr>
        <w:t>Efforts to identify duplication</w:t>
      </w:r>
      <w:r w:rsidRPr="00FE1030">
        <w:rPr>
          <w:szCs w:val="24"/>
        </w:rPr>
        <w:t>.</w:t>
      </w:r>
    </w:p>
    <w:p w14:paraId="25ECC265" w14:textId="77777777" w:rsidR="00FB79AA" w:rsidRPr="000A2EA6" w:rsidRDefault="00FB79AA" w:rsidP="00B10C31">
      <w:pPr>
        <w:widowControl w:val="0"/>
        <w:rPr>
          <w:b/>
          <w:szCs w:val="24"/>
        </w:rPr>
      </w:pPr>
    </w:p>
    <w:p w14:paraId="06EA520B" w14:textId="77777777" w:rsidR="00FB79AA" w:rsidRPr="000A2EA6" w:rsidRDefault="00DF1FD2" w:rsidP="00B10C31">
      <w:pPr>
        <w:widowControl w:val="0"/>
        <w:ind w:left="720"/>
        <w:rPr>
          <w:b/>
          <w:szCs w:val="24"/>
        </w:rPr>
      </w:pPr>
      <w:r>
        <w:rPr>
          <w:szCs w:val="24"/>
        </w:rPr>
        <w:t>To our knowledge, t</w:t>
      </w:r>
      <w:r w:rsidR="00FB79AA" w:rsidRPr="000A2EA6">
        <w:rPr>
          <w:szCs w:val="24"/>
        </w:rPr>
        <w:t>he information collection requirements are not duplicated anywhere.</w:t>
      </w:r>
      <w:r w:rsidR="00DC480A">
        <w:rPr>
          <w:b/>
          <w:szCs w:val="24"/>
        </w:rPr>
        <w:t xml:space="preserve">  </w:t>
      </w:r>
      <w:r w:rsidR="00FB79AA" w:rsidRPr="000A2EA6">
        <w:rPr>
          <w:szCs w:val="24"/>
        </w:rPr>
        <w:t>Similar data are not available from any other source.</w:t>
      </w:r>
    </w:p>
    <w:p w14:paraId="665A300F" w14:textId="77777777" w:rsidR="00FB79AA" w:rsidRPr="000A2EA6" w:rsidRDefault="00FB79AA" w:rsidP="00B10C31">
      <w:pPr>
        <w:widowControl w:val="0"/>
        <w:rPr>
          <w:b/>
          <w:szCs w:val="24"/>
        </w:rPr>
      </w:pPr>
    </w:p>
    <w:p w14:paraId="2CF294E7" w14:textId="77777777" w:rsidR="00437FF0" w:rsidRPr="000A2EA6" w:rsidRDefault="00437FF0" w:rsidP="00B10C31">
      <w:pPr>
        <w:widowControl w:val="0"/>
        <w:rPr>
          <w:szCs w:val="24"/>
        </w:rPr>
      </w:pPr>
      <w:r w:rsidRPr="000A2EA6">
        <w:rPr>
          <w:b/>
          <w:szCs w:val="24"/>
        </w:rPr>
        <w:t>5.</w:t>
      </w:r>
      <w:r w:rsidRPr="000A2EA6">
        <w:rPr>
          <w:b/>
          <w:szCs w:val="24"/>
        </w:rPr>
        <w:tab/>
      </w:r>
      <w:r w:rsidRPr="000A2EA6">
        <w:rPr>
          <w:b/>
          <w:szCs w:val="24"/>
          <w:u w:val="single"/>
        </w:rPr>
        <w:t>Efforts to minimize the burden on small businesses</w:t>
      </w:r>
      <w:r w:rsidRPr="00FE1030">
        <w:rPr>
          <w:szCs w:val="24"/>
        </w:rPr>
        <w:t>.</w:t>
      </w:r>
    </w:p>
    <w:p w14:paraId="71473982" w14:textId="77777777" w:rsidR="00FB79AA" w:rsidRPr="000A2EA6" w:rsidRDefault="00FB79AA" w:rsidP="00B10C31">
      <w:pPr>
        <w:widowControl w:val="0"/>
        <w:rPr>
          <w:b/>
          <w:szCs w:val="24"/>
        </w:rPr>
      </w:pPr>
    </w:p>
    <w:p w14:paraId="54761707" w14:textId="77777777" w:rsidR="00FB79AA" w:rsidRPr="000A2EA6" w:rsidRDefault="00FB79AA" w:rsidP="00B10C31">
      <w:pPr>
        <w:widowControl w:val="0"/>
        <w:ind w:left="720"/>
        <w:rPr>
          <w:szCs w:val="24"/>
        </w:rPr>
      </w:pPr>
      <w:r w:rsidRPr="000A2EA6">
        <w:rPr>
          <w:szCs w:val="24"/>
        </w:rPr>
        <w:t xml:space="preserve">Most small railroads are specifically exempt from this regulation.  Those that are not exempt (because they operate more than one train at any given time) can utilize a shortened approval procedure.  Under this procedure, they are able to adopt a marking device </w:t>
      </w:r>
      <w:r w:rsidR="00FF3FB0">
        <w:rPr>
          <w:szCs w:val="24"/>
        </w:rPr>
        <w:t>that</w:t>
      </w:r>
      <w:r w:rsidR="00FF3FB0" w:rsidRPr="000A2EA6">
        <w:rPr>
          <w:szCs w:val="24"/>
        </w:rPr>
        <w:t xml:space="preserve"> </w:t>
      </w:r>
      <w:r w:rsidRPr="000A2EA6">
        <w:rPr>
          <w:szCs w:val="24"/>
        </w:rPr>
        <w:t xml:space="preserve">has already been approved for use on a large Class I railroad.  This minimizes any additional expenses due to a separate testing procedure. </w:t>
      </w:r>
    </w:p>
    <w:p w14:paraId="515E4979" w14:textId="77777777" w:rsidR="00A97BEA" w:rsidRPr="000A2EA6" w:rsidRDefault="00A97BEA" w:rsidP="00B10C31">
      <w:pPr>
        <w:widowControl w:val="0"/>
        <w:ind w:left="720"/>
        <w:rPr>
          <w:szCs w:val="24"/>
        </w:rPr>
      </w:pPr>
    </w:p>
    <w:p w14:paraId="2935904F" w14:textId="77777777" w:rsidR="00D84F9C" w:rsidRPr="000A2EA6" w:rsidRDefault="00D84F9C" w:rsidP="00B10C31">
      <w:pPr>
        <w:widowControl w:val="0"/>
        <w:ind w:left="720" w:hanging="720"/>
        <w:rPr>
          <w:b/>
          <w:szCs w:val="24"/>
        </w:rPr>
      </w:pPr>
      <w:r w:rsidRPr="000A2EA6">
        <w:rPr>
          <w:b/>
          <w:szCs w:val="24"/>
        </w:rPr>
        <w:t>6.</w:t>
      </w:r>
      <w:r w:rsidRPr="000A2EA6">
        <w:rPr>
          <w:b/>
          <w:szCs w:val="24"/>
        </w:rPr>
        <w:tab/>
      </w:r>
      <w:r w:rsidRPr="000A2EA6">
        <w:rPr>
          <w:b/>
          <w:szCs w:val="24"/>
          <w:u w:val="single"/>
        </w:rPr>
        <w:t>Impact of less frequent collection of information</w:t>
      </w:r>
      <w:r w:rsidRPr="00FE1030">
        <w:rPr>
          <w:szCs w:val="24"/>
        </w:rPr>
        <w:t>.</w:t>
      </w:r>
    </w:p>
    <w:p w14:paraId="06EDE904" w14:textId="77777777" w:rsidR="00FB79AA" w:rsidRPr="000A2EA6" w:rsidRDefault="00FB79AA" w:rsidP="00B10C31">
      <w:pPr>
        <w:widowControl w:val="0"/>
        <w:rPr>
          <w:szCs w:val="24"/>
        </w:rPr>
      </w:pPr>
    </w:p>
    <w:p w14:paraId="7010E869" w14:textId="77777777" w:rsidR="00FB4888" w:rsidRPr="000A2EA6" w:rsidRDefault="00FB79AA" w:rsidP="00B10C31">
      <w:pPr>
        <w:widowControl w:val="0"/>
        <w:ind w:left="720"/>
        <w:rPr>
          <w:szCs w:val="24"/>
        </w:rPr>
      </w:pPr>
      <w:r w:rsidRPr="000A2EA6">
        <w:rPr>
          <w:szCs w:val="24"/>
        </w:rPr>
        <w:t xml:space="preserve">If this information </w:t>
      </w:r>
      <w:r w:rsidR="00FF3FB0" w:rsidRPr="000A2EA6">
        <w:rPr>
          <w:szCs w:val="24"/>
        </w:rPr>
        <w:t>w</w:t>
      </w:r>
      <w:r w:rsidR="00FF3FB0">
        <w:rPr>
          <w:szCs w:val="24"/>
        </w:rPr>
        <w:t>as</w:t>
      </w:r>
      <w:r w:rsidR="00FF3FB0" w:rsidRPr="000A2EA6">
        <w:rPr>
          <w:szCs w:val="24"/>
        </w:rPr>
        <w:t xml:space="preserve"> </w:t>
      </w:r>
      <w:r w:rsidRPr="000A2EA6">
        <w:rPr>
          <w:szCs w:val="24"/>
        </w:rPr>
        <w:t>not collected or collected less frequently, railroad safety in the United States would be seriously hindered.  Specifically, if rear-end marking devices were not</w:t>
      </w:r>
      <w:r w:rsidR="005E4208" w:rsidRPr="000A2EA6">
        <w:rPr>
          <w:szCs w:val="24"/>
        </w:rPr>
        <w:t xml:space="preserve"> </w:t>
      </w:r>
      <w:r w:rsidRPr="000A2EA6">
        <w:rPr>
          <w:szCs w:val="24"/>
        </w:rPr>
        <w:t xml:space="preserve">approved by FRA before being used by railroads, they might not meet Federal standards for visibility, particularly at certain distances.  This could result in rear-end passenger, commuter, and freight cars not being visible to other trains or to motorists at highway-rail crossings.  Such a lack of visibility could, in turn, result in </w:t>
      </w:r>
      <w:r w:rsidR="00FF3FB0">
        <w:rPr>
          <w:szCs w:val="24"/>
        </w:rPr>
        <w:t xml:space="preserve">an </w:t>
      </w:r>
      <w:r w:rsidRPr="000A2EA6">
        <w:rPr>
          <w:szCs w:val="24"/>
        </w:rPr>
        <w:t xml:space="preserve">increased number of accidents/incidents </w:t>
      </w:r>
      <w:r w:rsidR="00FF3FB0">
        <w:rPr>
          <w:szCs w:val="24"/>
        </w:rPr>
        <w:t>in which</w:t>
      </w:r>
      <w:r w:rsidR="00FF3FB0" w:rsidRPr="000A2EA6">
        <w:rPr>
          <w:szCs w:val="24"/>
        </w:rPr>
        <w:t xml:space="preserve"> </w:t>
      </w:r>
      <w:r w:rsidRPr="000A2EA6">
        <w:rPr>
          <w:szCs w:val="24"/>
        </w:rPr>
        <w:t xml:space="preserve">train crews, the traveling public, and motorists are seriously injured </w:t>
      </w:r>
      <w:r w:rsidR="00FF3FB0">
        <w:rPr>
          <w:szCs w:val="24"/>
        </w:rPr>
        <w:t>or</w:t>
      </w:r>
      <w:r w:rsidRPr="000A2EA6">
        <w:rPr>
          <w:szCs w:val="24"/>
        </w:rPr>
        <w:t xml:space="preserve"> possibly killed. </w:t>
      </w:r>
    </w:p>
    <w:p w14:paraId="53B0F98E" w14:textId="77777777" w:rsidR="00FB79AA" w:rsidRPr="000A2EA6" w:rsidRDefault="00FB79AA" w:rsidP="00B10C31">
      <w:pPr>
        <w:widowControl w:val="0"/>
        <w:rPr>
          <w:szCs w:val="24"/>
        </w:rPr>
      </w:pPr>
    </w:p>
    <w:p w14:paraId="2FD4FB5F" w14:textId="1A4216CA" w:rsidR="00FB79AA" w:rsidRDefault="00FB79AA" w:rsidP="00B10C31">
      <w:pPr>
        <w:widowControl w:val="0"/>
        <w:ind w:left="720"/>
        <w:rPr>
          <w:szCs w:val="24"/>
        </w:rPr>
      </w:pPr>
      <w:r w:rsidRPr="000A2EA6">
        <w:rPr>
          <w:szCs w:val="24"/>
        </w:rPr>
        <w:t>The frequency of submission of information is presently as minimal as possible</w:t>
      </w:r>
      <w:r w:rsidR="000C6A00">
        <w:rPr>
          <w:szCs w:val="24"/>
        </w:rPr>
        <w:t xml:space="preserve"> as </w:t>
      </w:r>
      <w:r w:rsidRPr="000A2EA6">
        <w:rPr>
          <w:szCs w:val="24"/>
        </w:rPr>
        <w:t xml:space="preserve">the railroad has to submit the required data only </w:t>
      </w:r>
      <w:r w:rsidR="00FE1030">
        <w:rPr>
          <w:szCs w:val="24"/>
        </w:rPr>
        <w:t>once</w:t>
      </w:r>
      <w:r w:rsidRPr="000A2EA6">
        <w:rPr>
          <w:szCs w:val="24"/>
        </w:rPr>
        <w:t xml:space="preserve">.  If the railroad changes manufacturers or design, the new information </w:t>
      </w:r>
      <w:r w:rsidR="00FF3FB0">
        <w:rPr>
          <w:szCs w:val="24"/>
        </w:rPr>
        <w:t>must</w:t>
      </w:r>
      <w:r w:rsidRPr="000A2EA6">
        <w:rPr>
          <w:szCs w:val="24"/>
        </w:rPr>
        <w:t xml:space="preserve"> be submitted to FRA.</w:t>
      </w:r>
    </w:p>
    <w:p w14:paraId="18BC2609" w14:textId="77777777" w:rsidR="000C6A00" w:rsidRPr="000A2EA6" w:rsidRDefault="000C6A00" w:rsidP="00B10C31">
      <w:pPr>
        <w:widowControl w:val="0"/>
        <w:ind w:left="720"/>
        <w:rPr>
          <w:b/>
          <w:szCs w:val="24"/>
        </w:rPr>
      </w:pPr>
    </w:p>
    <w:p w14:paraId="050BD56E" w14:textId="77777777" w:rsidR="00D50CFE" w:rsidRPr="000A2EA6" w:rsidRDefault="00D50CFE" w:rsidP="00B10C31">
      <w:pPr>
        <w:widowControl w:val="0"/>
        <w:rPr>
          <w:b/>
          <w:szCs w:val="24"/>
        </w:rPr>
      </w:pPr>
      <w:r w:rsidRPr="000A2EA6">
        <w:rPr>
          <w:b/>
          <w:szCs w:val="24"/>
        </w:rPr>
        <w:t>7.</w:t>
      </w:r>
      <w:r w:rsidRPr="000A2EA6">
        <w:rPr>
          <w:b/>
          <w:szCs w:val="24"/>
        </w:rPr>
        <w:tab/>
      </w:r>
      <w:r w:rsidRPr="000A2EA6">
        <w:rPr>
          <w:b/>
          <w:szCs w:val="24"/>
          <w:u w:val="single"/>
        </w:rPr>
        <w:t>Special circumstances</w:t>
      </w:r>
      <w:r w:rsidRPr="00FE1030">
        <w:rPr>
          <w:szCs w:val="24"/>
        </w:rPr>
        <w:t>.</w:t>
      </w:r>
    </w:p>
    <w:p w14:paraId="32078C3E" w14:textId="77777777" w:rsidR="00FB79AA" w:rsidRPr="000A2EA6" w:rsidRDefault="00FB79AA" w:rsidP="00B10C31">
      <w:pPr>
        <w:widowControl w:val="0"/>
        <w:rPr>
          <w:b/>
          <w:szCs w:val="24"/>
        </w:rPr>
      </w:pPr>
    </w:p>
    <w:p w14:paraId="669BF199" w14:textId="77777777" w:rsidR="00FB79AA" w:rsidRPr="000A2EA6" w:rsidRDefault="00FB79AA" w:rsidP="00B10C31">
      <w:pPr>
        <w:widowControl w:val="0"/>
        <w:ind w:left="720"/>
        <w:rPr>
          <w:szCs w:val="24"/>
        </w:rPr>
      </w:pPr>
      <w:r w:rsidRPr="000A2EA6">
        <w:rPr>
          <w:szCs w:val="24"/>
        </w:rPr>
        <w:t xml:space="preserve">Railroads are required to keep detailed test records of marking devices indefinitely or </w:t>
      </w:r>
      <w:r w:rsidR="00FF3FB0">
        <w:rPr>
          <w:szCs w:val="24"/>
        </w:rPr>
        <w:t xml:space="preserve">for </w:t>
      </w:r>
      <w:r w:rsidRPr="000A2EA6">
        <w:rPr>
          <w:szCs w:val="24"/>
        </w:rPr>
        <w:t>as long as the marking device approved by the FRA is being used by the railroad.  These records are essential</w:t>
      </w:r>
      <w:r w:rsidR="00776C06" w:rsidRPr="000A2EA6">
        <w:rPr>
          <w:szCs w:val="24"/>
        </w:rPr>
        <w:t xml:space="preserve">, </w:t>
      </w:r>
      <w:r w:rsidRPr="000A2EA6">
        <w:rPr>
          <w:szCs w:val="24"/>
        </w:rPr>
        <w:t xml:space="preserve">and </w:t>
      </w:r>
      <w:r w:rsidR="00FF3FB0">
        <w:rPr>
          <w:szCs w:val="24"/>
        </w:rPr>
        <w:t xml:space="preserve">they </w:t>
      </w:r>
      <w:r w:rsidRPr="000A2EA6">
        <w:rPr>
          <w:szCs w:val="24"/>
        </w:rPr>
        <w:t>are used by FRA and State inspectors to ensure that the marking devices installed consist of the same type and model of components</w:t>
      </w:r>
      <w:r w:rsidRPr="000A2EA6">
        <w:rPr>
          <w:b/>
          <w:szCs w:val="24"/>
        </w:rPr>
        <w:t xml:space="preserve"> </w:t>
      </w:r>
      <w:r w:rsidRPr="000A2EA6">
        <w:rPr>
          <w:szCs w:val="24"/>
        </w:rPr>
        <w:t>as were used in the sample testing and approved by FRA.</w:t>
      </w:r>
    </w:p>
    <w:p w14:paraId="07907AF0" w14:textId="77777777" w:rsidR="00FB79AA" w:rsidRPr="000A2EA6" w:rsidRDefault="00FB79AA" w:rsidP="00B10C31">
      <w:pPr>
        <w:widowControl w:val="0"/>
        <w:rPr>
          <w:szCs w:val="24"/>
        </w:rPr>
      </w:pPr>
    </w:p>
    <w:p w14:paraId="4CC9026F" w14:textId="77777777" w:rsidR="00FB79AA" w:rsidRPr="000A2EA6" w:rsidRDefault="00FB79AA" w:rsidP="00B10C31">
      <w:pPr>
        <w:widowControl w:val="0"/>
        <w:ind w:left="720"/>
        <w:rPr>
          <w:b/>
          <w:szCs w:val="24"/>
        </w:rPr>
      </w:pPr>
      <w:r w:rsidRPr="000A2EA6">
        <w:rPr>
          <w:szCs w:val="24"/>
          <w:lang w:val="en-CA"/>
        </w:rPr>
        <w:t xml:space="preserve">All other </w:t>
      </w:r>
      <w:r w:rsidRPr="000A2EA6">
        <w:rPr>
          <w:szCs w:val="24"/>
        </w:rPr>
        <w:t>information collection requirements contained in this rule compl</w:t>
      </w:r>
      <w:r w:rsidR="00FF3FB0">
        <w:rPr>
          <w:szCs w:val="24"/>
        </w:rPr>
        <w:t>y</w:t>
      </w:r>
      <w:r w:rsidRPr="000A2EA6">
        <w:rPr>
          <w:szCs w:val="24"/>
        </w:rPr>
        <w:t xml:space="preserve"> with this section.</w:t>
      </w:r>
    </w:p>
    <w:p w14:paraId="566F2D78" w14:textId="77777777" w:rsidR="00FB79AA" w:rsidRPr="000A2EA6" w:rsidRDefault="00FB79AA" w:rsidP="00B10C31">
      <w:pPr>
        <w:widowControl w:val="0"/>
        <w:rPr>
          <w:b/>
          <w:szCs w:val="24"/>
        </w:rPr>
      </w:pPr>
    </w:p>
    <w:p w14:paraId="023049F0" w14:textId="77777777" w:rsidR="006C6B5D" w:rsidRPr="000A2EA6" w:rsidRDefault="006C6B5D" w:rsidP="00B10C31">
      <w:pPr>
        <w:widowControl w:val="0"/>
        <w:ind w:left="720" w:hanging="720"/>
        <w:rPr>
          <w:b/>
          <w:szCs w:val="24"/>
        </w:rPr>
      </w:pPr>
      <w:r w:rsidRPr="000A2EA6">
        <w:rPr>
          <w:b/>
          <w:szCs w:val="24"/>
        </w:rPr>
        <w:t>8.</w:t>
      </w:r>
      <w:r w:rsidRPr="000A2EA6">
        <w:rPr>
          <w:b/>
          <w:szCs w:val="24"/>
        </w:rPr>
        <w:tab/>
      </w:r>
      <w:r w:rsidRPr="000A2EA6">
        <w:rPr>
          <w:b/>
          <w:szCs w:val="24"/>
          <w:u w:val="single"/>
        </w:rPr>
        <w:t>Compliance with</w:t>
      </w:r>
      <w:r w:rsidR="00FF3FB0">
        <w:rPr>
          <w:b/>
          <w:szCs w:val="24"/>
          <w:u w:val="single"/>
        </w:rPr>
        <w:t xml:space="preserve"> Title</w:t>
      </w:r>
      <w:r w:rsidRPr="000A2EA6">
        <w:rPr>
          <w:b/>
          <w:szCs w:val="24"/>
          <w:u w:val="single"/>
        </w:rPr>
        <w:t xml:space="preserve"> 5 C</w:t>
      </w:r>
      <w:r w:rsidR="00FF3FB0">
        <w:rPr>
          <w:b/>
          <w:szCs w:val="24"/>
          <w:u w:val="single"/>
        </w:rPr>
        <w:t xml:space="preserve">ode of </w:t>
      </w:r>
      <w:r w:rsidRPr="000A2EA6">
        <w:rPr>
          <w:b/>
          <w:szCs w:val="24"/>
          <w:u w:val="single"/>
        </w:rPr>
        <w:t>F</w:t>
      </w:r>
      <w:r w:rsidR="00FF3FB0">
        <w:rPr>
          <w:b/>
          <w:szCs w:val="24"/>
          <w:u w:val="single"/>
        </w:rPr>
        <w:t xml:space="preserve">ederal </w:t>
      </w:r>
      <w:r w:rsidRPr="000A2EA6">
        <w:rPr>
          <w:b/>
          <w:szCs w:val="24"/>
          <w:u w:val="single"/>
        </w:rPr>
        <w:t>R</w:t>
      </w:r>
      <w:r w:rsidR="00FF3FB0">
        <w:rPr>
          <w:b/>
          <w:szCs w:val="24"/>
          <w:u w:val="single"/>
        </w:rPr>
        <w:t xml:space="preserve">egulations </w:t>
      </w:r>
      <w:r w:rsidR="00FF3FB0" w:rsidRPr="000A54C5">
        <w:rPr>
          <w:b/>
          <w:szCs w:val="24"/>
          <w:u w:val="single"/>
        </w:rPr>
        <w:t>§</w:t>
      </w:r>
      <w:r w:rsidRPr="000A2EA6">
        <w:rPr>
          <w:b/>
          <w:szCs w:val="24"/>
          <w:u w:val="single"/>
        </w:rPr>
        <w:t xml:space="preserve"> 1320.8</w:t>
      </w:r>
      <w:r w:rsidRPr="00FE1030">
        <w:rPr>
          <w:szCs w:val="24"/>
        </w:rPr>
        <w:t>.</w:t>
      </w:r>
    </w:p>
    <w:p w14:paraId="11911A89" w14:textId="77777777" w:rsidR="006C6B5D" w:rsidRPr="000A2EA6" w:rsidRDefault="006C6B5D" w:rsidP="00B10C31">
      <w:pPr>
        <w:widowControl w:val="0"/>
        <w:rPr>
          <w:szCs w:val="24"/>
        </w:rPr>
      </w:pPr>
    </w:p>
    <w:p w14:paraId="06B3C2E8" w14:textId="77777777" w:rsidR="001B27AC" w:rsidRPr="000A2EA6" w:rsidRDefault="001B27AC" w:rsidP="00B10C31">
      <w:pPr>
        <w:widowControl w:val="0"/>
        <w:ind w:left="720"/>
        <w:rPr>
          <w:szCs w:val="24"/>
        </w:rPr>
      </w:pPr>
      <w:r w:rsidRPr="000A2EA6">
        <w:rPr>
          <w:szCs w:val="24"/>
        </w:rPr>
        <w:t xml:space="preserve">As required by the Paperwork Reduction Act of 1995, FRA published a notice in the </w:t>
      </w:r>
      <w:r w:rsidRPr="00D4654D">
        <w:rPr>
          <w:i/>
          <w:szCs w:val="24"/>
        </w:rPr>
        <w:t>Federal Register</w:t>
      </w:r>
      <w:r w:rsidRPr="000A2EA6">
        <w:rPr>
          <w:szCs w:val="24"/>
        </w:rPr>
        <w:t xml:space="preserve"> on </w:t>
      </w:r>
      <w:r w:rsidR="00E477D2" w:rsidRPr="000A2EA6">
        <w:rPr>
          <w:b/>
          <w:szCs w:val="24"/>
        </w:rPr>
        <w:t xml:space="preserve">August </w:t>
      </w:r>
      <w:r w:rsidR="00F123B6">
        <w:rPr>
          <w:b/>
          <w:szCs w:val="24"/>
        </w:rPr>
        <w:t>21</w:t>
      </w:r>
      <w:r w:rsidR="00E477D2" w:rsidRPr="000A2EA6">
        <w:rPr>
          <w:b/>
          <w:szCs w:val="24"/>
        </w:rPr>
        <w:t>, 2019</w:t>
      </w:r>
      <w:r w:rsidRPr="000A2EA6">
        <w:rPr>
          <w:szCs w:val="24"/>
        </w:rPr>
        <w:t>, soliciting comment on this particular information collection.</w:t>
      </w:r>
      <w:r w:rsidRPr="000A2EA6">
        <w:rPr>
          <w:i/>
          <w:szCs w:val="24"/>
        </w:rPr>
        <w:t xml:space="preserve"> </w:t>
      </w:r>
      <w:r w:rsidRPr="00D4654D">
        <w:rPr>
          <w:i/>
          <w:szCs w:val="24"/>
        </w:rPr>
        <w:t xml:space="preserve"> </w:t>
      </w:r>
      <w:r w:rsidRPr="00D4654D">
        <w:rPr>
          <w:i/>
          <w:szCs w:val="24"/>
          <w:u w:val="single"/>
        </w:rPr>
        <w:t>See</w:t>
      </w:r>
      <w:r w:rsidRPr="000A2EA6">
        <w:rPr>
          <w:szCs w:val="24"/>
        </w:rPr>
        <w:t xml:space="preserve"> </w:t>
      </w:r>
      <w:r w:rsidR="00E477D2" w:rsidRPr="000A2EA6">
        <w:rPr>
          <w:szCs w:val="24"/>
        </w:rPr>
        <w:t>84 FR 43645.</w:t>
      </w:r>
      <w:r w:rsidRPr="000A2EA6">
        <w:rPr>
          <w:i/>
          <w:szCs w:val="24"/>
        </w:rPr>
        <w:t xml:space="preserve">  </w:t>
      </w:r>
      <w:r w:rsidRPr="000A2EA6">
        <w:rPr>
          <w:szCs w:val="24"/>
        </w:rPr>
        <w:t xml:space="preserve">FRA received </w:t>
      </w:r>
      <w:r w:rsidRPr="000A2EA6">
        <w:rPr>
          <w:szCs w:val="24"/>
          <w:u w:val="single"/>
        </w:rPr>
        <w:t>no</w:t>
      </w:r>
      <w:r w:rsidRPr="000A2EA6">
        <w:rPr>
          <w:szCs w:val="24"/>
        </w:rPr>
        <w:t xml:space="preserve"> comments in response to this notice.</w:t>
      </w:r>
    </w:p>
    <w:p w14:paraId="57DAC107" w14:textId="77777777" w:rsidR="003662CB" w:rsidRDefault="003662CB" w:rsidP="00B10C31">
      <w:pPr>
        <w:widowControl w:val="0"/>
        <w:ind w:left="720"/>
        <w:rPr>
          <w:szCs w:val="24"/>
          <w:u w:val="single"/>
        </w:rPr>
      </w:pPr>
    </w:p>
    <w:p w14:paraId="3DC0190A" w14:textId="1810CED0" w:rsidR="00FB79AA" w:rsidRPr="000A2EA6" w:rsidRDefault="00FB79AA" w:rsidP="00B10C31">
      <w:pPr>
        <w:widowControl w:val="0"/>
        <w:ind w:left="720"/>
        <w:rPr>
          <w:szCs w:val="24"/>
        </w:rPr>
      </w:pPr>
      <w:r w:rsidRPr="000A2EA6">
        <w:rPr>
          <w:szCs w:val="24"/>
          <w:u w:val="single"/>
        </w:rPr>
        <w:t>Background</w:t>
      </w:r>
      <w:r w:rsidRPr="000A2EA6">
        <w:rPr>
          <w:szCs w:val="24"/>
        </w:rPr>
        <w:t xml:space="preserve">. </w:t>
      </w:r>
    </w:p>
    <w:p w14:paraId="0D8D5CDE" w14:textId="77777777" w:rsidR="00FB79AA" w:rsidRPr="000A2EA6" w:rsidRDefault="00FB79AA" w:rsidP="00B10C31">
      <w:pPr>
        <w:widowControl w:val="0"/>
        <w:rPr>
          <w:b/>
          <w:szCs w:val="24"/>
        </w:rPr>
      </w:pPr>
    </w:p>
    <w:p w14:paraId="03306806" w14:textId="77777777" w:rsidR="00FB79AA" w:rsidRPr="000A2EA6" w:rsidRDefault="00FB79AA" w:rsidP="00B10C31">
      <w:pPr>
        <w:widowControl w:val="0"/>
        <w:ind w:left="720"/>
        <w:rPr>
          <w:szCs w:val="24"/>
        </w:rPr>
      </w:pPr>
      <w:r w:rsidRPr="000A2EA6">
        <w:rPr>
          <w:szCs w:val="24"/>
        </w:rPr>
        <w:t xml:space="preserve">On November 17, 1976, a Notice of Proposed Rulemaking was published in the </w:t>
      </w:r>
      <w:r w:rsidRPr="00D4654D">
        <w:rPr>
          <w:i/>
          <w:szCs w:val="24"/>
        </w:rPr>
        <w:t>Federal Register</w:t>
      </w:r>
      <w:r w:rsidRPr="000A2EA6">
        <w:rPr>
          <w:szCs w:val="24"/>
        </w:rPr>
        <w:t xml:space="preserve"> (</w:t>
      </w:r>
      <w:r w:rsidRPr="00D4654D">
        <w:rPr>
          <w:szCs w:val="24"/>
        </w:rPr>
        <w:t>41 FR 50701</w:t>
      </w:r>
      <w:r w:rsidRPr="000A2EA6">
        <w:rPr>
          <w:szCs w:val="24"/>
        </w:rPr>
        <w:t>) stating that FRA was considering proposed regulations in response to the provisions of the 1976 Federal Railroad Safety Authorization Act concerning highly visible markers on the rear car of all passenger, commuter, and freight trains.  Interested persons were invited to participate in this rulemaking proceeding by submitting written comments and appearing at a public hearing.</w:t>
      </w:r>
    </w:p>
    <w:p w14:paraId="73136A92" w14:textId="77777777" w:rsidR="00FB79AA" w:rsidRPr="000A2EA6" w:rsidRDefault="00FB79AA" w:rsidP="00B10C31">
      <w:pPr>
        <w:widowControl w:val="0"/>
        <w:rPr>
          <w:szCs w:val="24"/>
        </w:rPr>
      </w:pPr>
    </w:p>
    <w:p w14:paraId="4AEC4C51" w14:textId="77777777" w:rsidR="00FB79AA" w:rsidRPr="000A2EA6" w:rsidRDefault="00FB79AA" w:rsidP="00B10C31">
      <w:pPr>
        <w:widowControl w:val="0"/>
        <w:ind w:left="720"/>
        <w:rPr>
          <w:szCs w:val="24"/>
        </w:rPr>
      </w:pPr>
      <w:r w:rsidRPr="000A2EA6">
        <w:rPr>
          <w:szCs w:val="24"/>
        </w:rPr>
        <w:t>Comments were received from railroads, lighting manufacturers, rail labor groups, and the general public.  All comments were taken into consideration in the formulation of the final regulation.  Significant comments received and any subsequent changes were placed in Docket No. RSRM-1, Notice 2.</w:t>
      </w:r>
    </w:p>
    <w:p w14:paraId="663891C5" w14:textId="77777777" w:rsidR="00FB79AA" w:rsidRPr="000A2EA6" w:rsidRDefault="00FB79AA" w:rsidP="00B10C31">
      <w:pPr>
        <w:widowControl w:val="0"/>
        <w:rPr>
          <w:szCs w:val="24"/>
        </w:rPr>
      </w:pPr>
    </w:p>
    <w:p w14:paraId="233D244F" w14:textId="77777777" w:rsidR="00FB79AA" w:rsidRPr="000A2EA6" w:rsidRDefault="00FB79AA" w:rsidP="00B10C31">
      <w:pPr>
        <w:widowControl w:val="0"/>
        <w:ind w:left="720"/>
        <w:rPr>
          <w:szCs w:val="24"/>
        </w:rPr>
      </w:pPr>
      <w:r w:rsidRPr="000A2EA6">
        <w:rPr>
          <w:szCs w:val="24"/>
        </w:rPr>
        <w:t xml:space="preserve">Shortly after issuance of the final rule, FRA held a public meeting on January 25, 1977, to discuss with interested parties draft testing guidelines and approval procedures for verification of the performance of specific marking devices.  As a result of this meeting and additional study, FRA remained convinced that the original theoretical basis upon which the performance standards were premised was both sound and reasonable.  However, FRA did modify the regulation to allow the approval of any device </w:t>
      </w:r>
      <w:r w:rsidR="00A13D53">
        <w:rPr>
          <w:szCs w:val="24"/>
        </w:rPr>
        <w:t>that</w:t>
      </w:r>
      <w:r w:rsidR="00A13D53" w:rsidRPr="000A2EA6">
        <w:rPr>
          <w:szCs w:val="24"/>
        </w:rPr>
        <w:t xml:space="preserve"> </w:t>
      </w:r>
      <w:r w:rsidRPr="000A2EA6">
        <w:rPr>
          <w:szCs w:val="24"/>
        </w:rPr>
        <w:t>satisfied the prescribed specifications, if tested in accordance with the guidelines established in a new Appendix A to this regulation.</w:t>
      </w:r>
    </w:p>
    <w:p w14:paraId="7BA6BA32" w14:textId="77777777" w:rsidR="001C09F2" w:rsidRPr="000A2EA6" w:rsidRDefault="001C09F2" w:rsidP="00B10C31">
      <w:pPr>
        <w:widowControl w:val="0"/>
        <w:ind w:left="720"/>
        <w:rPr>
          <w:b/>
          <w:szCs w:val="24"/>
        </w:rPr>
      </w:pPr>
    </w:p>
    <w:p w14:paraId="464205A7" w14:textId="77777777" w:rsidR="00FC3767" w:rsidRPr="000A2EA6" w:rsidRDefault="00FC3767" w:rsidP="00B10C31">
      <w:pPr>
        <w:widowControl w:val="0"/>
        <w:ind w:left="720" w:hanging="720"/>
        <w:rPr>
          <w:b/>
          <w:szCs w:val="24"/>
        </w:rPr>
      </w:pPr>
      <w:r w:rsidRPr="000A2EA6">
        <w:rPr>
          <w:b/>
          <w:szCs w:val="24"/>
        </w:rPr>
        <w:t>9.</w:t>
      </w:r>
      <w:r w:rsidRPr="000A2EA6">
        <w:rPr>
          <w:b/>
          <w:szCs w:val="24"/>
        </w:rPr>
        <w:tab/>
      </w:r>
      <w:r w:rsidRPr="000A2EA6">
        <w:rPr>
          <w:b/>
          <w:szCs w:val="24"/>
          <w:u w:val="single"/>
        </w:rPr>
        <w:t>Payments or gifts to respondents</w:t>
      </w:r>
      <w:r w:rsidRPr="00D4654D">
        <w:rPr>
          <w:szCs w:val="24"/>
        </w:rPr>
        <w:t>.</w:t>
      </w:r>
    </w:p>
    <w:p w14:paraId="6DDFAA50" w14:textId="77777777" w:rsidR="00FB79AA" w:rsidRPr="000A2EA6" w:rsidRDefault="00FB79AA" w:rsidP="00B10C31">
      <w:pPr>
        <w:widowControl w:val="0"/>
        <w:ind w:left="720" w:hanging="720"/>
        <w:rPr>
          <w:b/>
          <w:szCs w:val="24"/>
        </w:rPr>
      </w:pPr>
    </w:p>
    <w:p w14:paraId="3895A651" w14:textId="77777777" w:rsidR="00FB79AA" w:rsidRPr="000A2EA6" w:rsidRDefault="00FB79AA" w:rsidP="00B10C31">
      <w:pPr>
        <w:widowControl w:val="0"/>
        <w:ind w:left="720"/>
        <w:rPr>
          <w:b/>
          <w:szCs w:val="24"/>
        </w:rPr>
      </w:pPr>
      <w:r w:rsidRPr="000A2EA6">
        <w:rPr>
          <w:szCs w:val="24"/>
        </w:rPr>
        <w:t>There are no monetary payments or gifts made to respondents associated with the information collection requirements contained in this regulation.</w:t>
      </w:r>
    </w:p>
    <w:p w14:paraId="601A3097" w14:textId="77777777" w:rsidR="00FB79AA" w:rsidRPr="000A2EA6" w:rsidRDefault="00FB79AA" w:rsidP="00B10C31">
      <w:pPr>
        <w:widowControl w:val="0"/>
        <w:rPr>
          <w:b/>
          <w:szCs w:val="24"/>
        </w:rPr>
      </w:pPr>
    </w:p>
    <w:p w14:paraId="67C6EF6A" w14:textId="77777777" w:rsidR="00035EA7" w:rsidRPr="000A2EA6" w:rsidRDefault="00035EA7" w:rsidP="00B10C31">
      <w:pPr>
        <w:widowControl w:val="0"/>
        <w:rPr>
          <w:szCs w:val="24"/>
        </w:rPr>
      </w:pPr>
      <w:r w:rsidRPr="000A2EA6">
        <w:rPr>
          <w:b/>
          <w:szCs w:val="24"/>
        </w:rPr>
        <w:t>10.</w:t>
      </w:r>
      <w:r w:rsidRPr="000A2EA6">
        <w:rPr>
          <w:b/>
          <w:szCs w:val="24"/>
        </w:rPr>
        <w:tab/>
      </w:r>
      <w:r w:rsidRPr="000A2EA6">
        <w:rPr>
          <w:b/>
          <w:szCs w:val="24"/>
          <w:u w:val="single"/>
        </w:rPr>
        <w:t>Assurance of confidentiality</w:t>
      </w:r>
      <w:r w:rsidRPr="00D4654D">
        <w:rPr>
          <w:szCs w:val="24"/>
        </w:rPr>
        <w:t>.</w:t>
      </w:r>
    </w:p>
    <w:p w14:paraId="55DB9830" w14:textId="77777777" w:rsidR="00FB79AA" w:rsidRPr="000A2EA6" w:rsidRDefault="00FB79AA" w:rsidP="00B10C31">
      <w:pPr>
        <w:widowControl w:val="0"/>
        <w:rPr>
          <w:szCs w:val="24"/>
        </w:rPr>
      </w:pPr>
    </w:p>
    <w:p w14:paraId="646A4BBE" w14:textId="77777777" w:rsidR="00FB79AA" w:rsidRPr="000A2EA6" w:rsidRDefault="00FB79AA" w:rsidP="00B10C31">
      <w:pPr>
        <w:widowControl w:val="0"/>
        <w:ind w:left="720"/>
        <w:rPr>
          <w:szCs w:val="24"/>
        </w:rPr>
      </w:pPr>
      <w:r w:rsidRPr="000A2EA6">
        <w:rPr>
          <w:szCs w:val="24"/>
        </w:rPr>
        <w:t>The agency is required to make available documents and information collected in compliance with the regulation to those individuals making formal requests under the Freedom of Information Act.  FRA does not actively solicit or encourage such requests.</w:t>
      </w:r>
    </w:p>
    <w:p w14:paraId="5CE89DD9" w14:textId="77777777" w:rsidR="00FB79AA" w:rsidRPr="000A2EA6" w:rsidRDefault="00FB79AA" w:rsidP="00B10C31">
      <w:pPr>
        <w:widowControl w:val="0"/>
        <w:rPr>
          <w:szCs w:val="24"/>
        </w:rPr>
      </w:pPr>
    </w:p>
    <w:p w14:paraId="62FC8843" w14:textId="77777777" w:rsidR="00FB79AA" w:rsidRPr="000A2EA6" w:rsidRDefault="00FB79AA" w:rsidP="00B10C31">
      <w:pPr>
        <w:widowControl w:val="0"/>
        <w:ind w:left="720"/>
        <w:rPr>
          <w:szCs w:val="24"/>
        </w:rPr>
      </w:pPr>
      <w:r w:rsidRPr="000A2EA6">
        <w:rPr>
          <w:szCs w:val="24"/>
        </w:rPr>
        <w:t>Information collected is not of a confidential nature, and FRA pledges no confidentially.</w:t>
      </w:r>
    </w:p>
    <w:p w14:paraId="0D046AE7" w14:textId="77777777" w:rsidR="001B6F3A" w:rsidRPr="000A2EA6" w:rsidRDefault="001B6F3A" w:rsidP="00B10C31">
      <w:pPr>
        <w:widowControl w:val="0"/>
        <w:ind w:left="720"/>
        <w:rPr>
          <w:b/>
          <w:szCs w:val="24"/>
        </w:rPr>
      </w:pPr>
    </w:p>
    <w:p w14:paraId="7D85DD5B" w14:textId="77777777" w:rsidR="00672A3E" w:rsidRPr="000A2EA6" w:rsidRDefault="00672A3E" w:rsidP="00B10C31">
      <w:pPr>
        <w:widowControl w:val="0"/>
        <w:ind w:left="720" w:hanging="720"/>
        <w:rPr>
          <w:szCs w:val="24"/>
        </w:rPr>
      </w:pPr>
      <w:r w:rsidRPr="000A2EA6">
        <w:rPr>
          <w:b/>
          <w:szCs w:val="24"/>
        </w:rPr>
        <w:t>11.</w:t>
      </w:r>
      <w:r w:rsidRPr="000A2EA6">
        <w:rPr>
          <w:b/>
          <w:szCs w:val="24"/>
        </w:rPr>
        <w:tab/>
      </w:r>
      <w:r w:rsidRPr="000A2EA6">
        <w:rPr>
          <w:b/>
          <w:szCs w:val="24"/>
          <w:u w:val="single"/>
        </w:rPr>
        <w:t>Justification for any questions of a sensitive nature</w:t>
      </w:r>
      <w:r w:rsidRPr="00D4654D">
        <w:rPr>
          <w:szCs w:val="24"/>
        </w:rPr>
        <w:t>.</w:t>
      </w:r>
    </w:p>
    <w:p w14:paraId="1389EA2A" w14:textId="77777777" w:rsidR="00FB79AA" w:rsidRPr="000A2EA6" w:rsidRDefault="00FB79AA" w:rsidP="00B10C31">
      <w:pPr>
        <w:widowControl w:val="0"/>
        <w:rPr>
          <w:b/>
          <w:szCs w:val="24"/>
        </w:rPr>
      </w:pPr>
    </w:p>
    <w:p w14:paraId="2CE91BB6" w14:textId="77777777" w:rsidR="00FB79AA" w:rsidRDefault="00AD1627" w:rsidP="00B10C31">
      <w:pPr>
        <w:widowControl w:val="0"/>
        <w:ind w:left="720"/>
        <w:rPr>
          <w:szCs w:val="24"/>
        </w:rPr>
      </w:pPr>
      <w:r w:rsidRPr="00AD1627">
        <w:rPr>
          <w:szCs w:val="24"/>
        </w:rPr>
        <w:t>There are no questions or information of a sensitive nature or data that would normally be considered private contained in this information collection.</w:t>
      </w:r>
    </w:p>
    <w:p w14:paraId="05D8CF6A" w14:textId="77777777" w:rsidR="00AD1627" w:rsidRPr="000A2EA6" w:rsidRDefault="00AD1627" w:rsidP="00B10C31">
      <w:pPr>
        <w:widowControl w:val="0"/>
        <w:ind w:left="720"/>
        <w:rPr>
          <w:b/>
          <w:szCs w:val="24"/>
        </w:rPr>
      </w:pPr>
    </w:p>
    <w:p w14:paraId="6999D51F" w14:textId="77777777" w:rsidR="002571B4" w:rsidRPr="00A3202B" w:rsidRDefault="002571B4" w:rsidP="00B10C31">
      <w:pPr>
        <w:widowControl w:val="0"/>
        <w:rPr>
          <w:szCs w:val="24"/>
        </w:rPr>
      </w:pPr>
      <w:r w:rsidRPr="000A2EA6">
        <w:rPr>
          <w:b/>
          <w:bCs/>
          <w:szCs w:val="24"/>
        </w:rPr>
        <w:t>12.        </w:t>
      </w:r>
      <w:r w:rsidRPr="000A2EA6">
        <w:rPr>
          <w:b/>
          <w:bCs/>
          <w:szCs w:val="24"/>
          <w:u w:val="single"/>
        </w:rPr>
        <w:t>Estimate of burden hours for information collected</w:t>
      </w:r>
      <w:r w:rsidRPr="00D4654D">
        <w:rPr>
          <w:bCs/>
          <w:szCs w:val="24"/>
        </w:rPr>
        <w:t>.</w:t>
      </w:r>
    </w:p>
    <w:p w14:paraId="4D91E844" w14:textId="77777777" w:rsidR="00FB79AA" w:rsidRPr="000A2EA6" w:rsidRDefault="00FB79AA" w:rsidP="00B10C31">
      <w:pPr>
        <w:widowControl w:val="0"/>
        <w:rPr>
          <w:b/>
          <w:szCs w:val="24"/>
        </w:rPr>
      </w:pPr>
    </w:p>
    <w:p w14:paraId="71886905" w14:textId="77777777" w:rsidR="00FB79AA" w:rsidRDefault="00FB79AA" w:rsidP="00B10C31">
      <w:pPr>
        <w:widowControl w:val="0"/>
        <w:ind w:left="720"/>
        <w:rPr>
          <w:szCs w:val="24"/>
        </w:rPr>
      </w:pPr>
      <w:r w:rsidRPr="000A2EA6">
        <w:rPr>
          <w:szCs w:val="24"/>
        </w:rPr>
        <w:t>The burden is influenced by the number of new railroads (which do not fall under the exemption) that may come into being during the year.  In addition, there may be a few railroads that seek approval of a different marking device to accommodate changes in their operations.</w:t>
      </w:r>
    </w:p>
    <w:p w14:paraId="1931C95F" w14:textId="77777777" w:rsidR="007318CF" w:rsidRPr="000A2EA6" w:rsidRDefault="007318CF" w:rsidP="00B10C31">
      <w:pPr>
        <w:widowControl w:val="0"/>
        <w:ind w:left="720"/>
        <w:rPr>
          <w:szCs w:val="24"/>
        </w:rPr>
      </w:pPr>
    </w:p>
    <w:tbl>
      <w:tblPr>
        <w:tblW w:w="9900" w:type="dxa"/>
        <w:jc w:val="center"/>
        <w:tblLayout w:type="fixed"/>
        <w:tblLook w:val="0000" w:firstRow="0" w:lastRow="0" w:firstColumn="0" w:lastColumn="0" w:noHBand="0" w:noVBand="0"/>
      </w:tblPr>
      <w:tblGrid>
        <w:gridCol w:w="1530"/>
        <w:gridCol w:w="1620"/>
        <w:gridCol w:w="1620"/>
        <w:gridCol w:w="1260"/>
        <w:gridCol w:w="990"/>
        <w:gridCol w:w="1260"/>
        <w:gridCol w:w="1620"/>
      </w:tblGrid>
      <w:tr w:rsidR="003F6E0D" w:rsidRPr="003F6E0D" w14:paraId="1840DA42" w14:textId="77777777" w:rsidTr="003662CB">
        <w:trPr>
          <w:trHeight w:val="561"/>
          <w:jc w:val="center"/>
        </w:trPr>
        <w:tc>
          <w:tcPr>
            <w:tcW w:w="1530" w:type="dxa"/>
            <w:tcBorders>
              <w:top w:val="single" w:sz="6" w:space="0" w:color="auto"/>
              <w:left w:val="single" w:sz="6" w:space="0" w:color="auto"/>
              <w:bottom w:val="single" w:sz="6" w:space="0" w:color="auto"/>
              <w:right w:val="single" w:sz="6" w:space="0" w:color="auto"/>
            </w:tcBorders>
          </w:tcPr>
          <w:p w14:paraId="2607125C" w14:textId="77777777" w:rsidR="003468AB" w:rsidRPr="003F6E0D" w:rsidRDefault="003468AB" w:rsidP="00B10C31">
            <w:pPr>
              <w:autoSpaceDE w:val="0"/>
              <w:autoSpaceDN w:val="0"/>
              <w:adjustRightInd w:val="0"/>
              <w:jc w:val="center"/>
              <w:rPr>
                <w:color w:val="000000"/>
                <w:szCs w:val="24"/>
              </w:rPr>
            </w:pPr>
            <w:r w:rsidRPr="003F6E0D">
              <w:rPr>
                <w:color w:val="000000"/>
                <w:szCs w:val="24"/>
              </w:rPr>
              <w:t>CFR Section</w:t>
            </w:r>
          </w:p>
        </w:tc>
        <w:tc>
          <w:tcPr>
            <w:tcW w:w="1620" w:type="dxa"/>
            <w:tcBorders>
              <w:top w:val="single" w:sz="6" w:space="0" w:color="auto"/>
              <w:left w:val="single" w:sz="6" w:space="0" w:color="auto"/>
              <w:bottom w:val="single" w:sz="6" w:space="0" w:color="auto"/>
              <w:right w:val="single" w:sz="6" w:space="0" w:color="auto"/>
            </w:tcBorders>
          </w:tcPr>
          <w:p w14:paraId="78582CE2" w14:textId="77777777" w:rsidR="003468AB" w:rsidRPr="003F6E0D" w:rsidRDefault="003468AB" w:rsidP="00B10C31">
            <w:pPr>
              <w:autoSpaceDE w:val="0"/>
              <w:autoSpaceDN w:val="0"/>
              <w:adjustRightInd w:val="0"/>
              <w:jc w:val="center"/>
              <w:rPr>
                <w:color w:val="000000"/>
                <w:szCs w:val="24"/>
              </w:rPr>
            </w:pPr>
            <w:r w:rsidRPr="003F6E0D">
              <w:rPr>
                <w:color w:val="000000"/>
                <w:szCs w:val="24"/>
              </w:rPr>
              <w:t xml:space="preserve">Respondent </w:t>
            </w:r>
            <w:r w:rsidR="00C00875" w:rsidRPr="003F6E0D">
              <w:rPr>
                <w:color w:val="000000"/>
                <w:szCs w:val="24"/>
              </w:rPr>
              <w:t>U</w:t>
            </w:r>
            <w:r w:rsidRPr="003F6E0D">
              <w:rPr>
                <w:color w:val="000000"/>
                <w:szCs w:val="24"/>
              </w:rPr>
              <w:t>niverse</w:t>
            </w:r>
          </w:p>
        </w:tc>
        <w:tc>
          <w:tcPr>
            <w:tcW w:w="1620" w:type="dxa"/>
            <w:tcBorders>
              <w:top w:val="single" w:sz="6" w:space="0" w:color="auto"/>
              <w:left w:val="single" w:sz="6" w:space="0" w:color="auto"/>
              <w:bottom w:val="single" w:sz="6" w:space="0" w:color="auto"/>
              <w:right w:val="single" w:sz="6" w:space="0" w:color="auto"/>
            </w:tcBorders>
          </w:tcPr>
          <w:p w14:paraId="69BED5A8" w14:textId="77777777" w:rsidR="003468AB" w:rsidRPr="003F6E0D" w:rsidRDefault="003468AB" w:rsidP="00B10C31">
            <w:pPr>
              <w:autoSpaceDE w:val="0"/>
              <w:autoSpaceDN w:val="0"/>
              <w:adjustRightInd w:val="0"/>
              <w:jc w:val="center"/>
              <w:rPr>
                <w:color w:val="000000"/>
                <w:szCs w:val="24"/>
              </w:rPr>
            </w:pPr>
            <w:r w:rsidRPr="003F6E0D">
              <w:rPr>
                <w:color w:val="000000"/>
                <w:szCs w:val="24"/>
              </w:rPr>
              <w:t xml:space="preserve">Total Annual </w:t>
            </w:r>
            <w:r w:rsidR="00C00875" w:rsidRPr="003F6E0D">
              <w:rPr>
                <w:color w:val="000000"/>
                <w:szCs w:val="24"/>
              </w:rPr>
              <w:t>R</w:t>
            </w:r>
            <w:r w:rsidRPr="003F6E0D">
              <w:rPr>
                <w:color w:val="000000"/>
                <w:szCs w:val="24"/>
              </w:rPr>
              <w:t>esponses</w:t>
            </w:r>
          </w:p>
        </w:tc>
        <w:tc>
          <w:tcPr>
            <w:tcW w:w="1260" w:type="dxa"/>
            <w:tcBorders>
              <w:top w:val="single" w:sz="6" w:space="0" w:color="auto"/>
              <w:left w:val="single" w:sz="6" w:space="0" w:color="auto"/>
              <w:bottom w:val="single" w:sz="6" w:space="0" w:color="auto"/>
              <w:right w:val="single" w:sz="6" w:space="0" w:color="auto"/>
            </w:tcBorders>
          </w:tcPr>
          <w:p w14:paraId="59177C1A" w14:textId="77777777" w:rsidR="003468AB" w:rsidRPr="003F6E0D" w:rsidRDefault="003468AB" w:rsidP="00B10C31">
            <w:pPr>
              <w:autoSpaceDE w:val="0"/>
              <w:autoSpaceDN w:val="0"/>
              <w:adjustRightInd w:val="0"/>
              <w:jc w:val="center"/>
              <w:rPr>
                <w:color w:val="000000"/>
                <w:szCs w:val="24"/>
              </w:rPr>
            </w:pPr>
            <w:r w:rsidRPr="003F6E0D">
              <w:rPr>
                <w:color w:val="000000"/>
                <w:szCs w:val="24"/>
              </w:rPr>
              <w:t xml:space="preserve">Average </w:t>
            </w:r>
            <w:r w:rsidR="00C00875" w:rsidRPr="003F6E0D">
              <w:rPr>
                <w:color w:val="000000"/>
                <w:szCs w:val="24"/>
              </w:rPr>
              <w:t>T</w:t>
            </w:r>
            <w:r w:rsidRPr="003F6E0D">
              <w:rPr>
                <w:color w:val="000000"/>
                <w:szCs w:val="24"/>
              </w:rPr>
              <w:t xml:space="preserve">ime per </w:t>
            </w:r>
            <w:r w:rsidR="00C00875" w:rsidRPr="003F6E0D">
              <w:rPr>
                <w:color w:val="000000"/>
                <w:szCs w:val="24"/>
              </w:rPr>
              <w:t>R</w:t>
            </w:r>
            <w:r w:rsidRPr="003F6E0D">
              <w:rPr>
                <w:color w:val="000000"/>
                <w:szCs w:val="24"/>
              </w:rPr>
              <w:t>esponses</w:t>
            </w:r>
          </w:p>
        </w:tc>
        <w:tc>
          <w:tcPr>
            <w:tcW w:w="990" w:type="dxa"/>
            <w:tcBorders>
              <w:top w:val="single" w:sz="6" w:space="0" w:color="auto"/>
              <w:left w:val="single" w:sz="6" w:space="0" w:color="auto"/>
              <w:bottom w:val="single" w:sz="6" w:space="0" w:color="auto"/>
              <w:right w:val="single" w:sz="6" w:space="0" w:color="auto"/>
            </w:tcBorders>
          </w:tcPr>
          <w:p w14:paraId="7500C4C3" w14:textId="77777777" w:rsidR="003468AB" w:rsidRPr="003F6E0D" w:rsidRDefault="003468AB" w:rsidP="00B10C31">
            <w:pPr>
              <w:autoSpaceDE w:val="0"/>
              <w:autoSpaceDN w:val="0"/>
              <w:adjustRightInd w:val="0"/>
              <w:jc w:val="center"/>
              <w:rPr>
                <w:color w:val="000000"/>
                <w:szCs w:val="24"/>
              </w:rPr>
            </w:pPr>
            <w:r w:rsidRPr="003F6E0D">
              <w:rPr>
                <w:color w:val="000000"/>
                <w:szCs w:val="24"/>
              </w:rPr>
              <w:t xml:space="preserve">Total </w:t>
            </w:r>
            <w:r w:rsidR="00C00875" w:rsidRPr="003F6E0D">
              <w:rPr>
                <w:color w:val="000000"/>
                <w:szCs w:val="24"/>
              </w:rPr>
              <w:t>A</w:t>
            </w:r>
            <w:r w:rsidRPr="003F6E0D">
              <w:rPr>
                <w:color w:val="000000"/>
                <w:szCs w:val="24"/>
              </w:rPr>
              <w:t xml:space="preserve">nnual </w:t>
            </w:r>
            <w:r w:rsidR="00C00875" w:rsidRPr="003F6E0D">
              <w:rPr>
                <w:color w:val="000000"/>
                <w:szCs w:val="24"/>
              </w:rPr>
              <w:t>B</w:t>
            </w:r>
            <w:r w:rsidRPr="003F6E0D">
              <w:rPr>
                <w:color w:val="000000"/>
                <w:szCs w:val="24"/>
              </w:rPr>
              <w:t xml:space="preserve">urden </w:t>
            </w:r>
            <w:r w:rsidR="00C00875" w:rsidRPr="003F6E0D">
              <w:rPr>
                <w:color w:val="000000"/>
                <w:szCs w:val="24"/>
              </w:rPr>
              <w:t>H</w:t>
            </w:r>
            <w:r w:rsidRPr="003F6E0D">
              <w:rPr>
                <w:color w:val="000000"/>
                <w:szCs w:val="24"/>
              </w:rPr>
              <w:t>ours</w:t>
            </w:r>
            <w:r w:rsidR="005711C4" w:rsidRPr="003F6E0D">
              <w:rPr>
                <w:rStyle w:val="FootnoteReference"/>
                <w:color w:val="000000"/>
                <w:szCs w:val="24"/>
              </w:rPr>
              <w:footnoteReference w:id="1"/>
            </w:r>
          </w:p>
        </w:tc>
        <w:tc>
          <w:tcPr>
            <w:tcW w:w="1260" w:type="dxa"/>
            <w:tcBorders>
              <w:top w:val="single" w:sz="6" w:space="0" w:color="auto"/>
              <w:left w:val="single" w:sz="6" w:space="0" w:color="auto"/>
              <w:bottom w:val="single" w:sz="6" w:space="0" w:color="auto"/>
              <w:right w:val="single" w:sz="6" w:space="0" w:color="auto"/>
            </w:tcBorders>
          </w:tcPr>
          <w:p w14:paraId="39896C72" w14:textId="77777777" w:rsidR="003468AB" w:rsidRPr="003F6E0D" w:rsidRDefault="003468AB" w:rsidP="00B10C31">
            <w:pPr>
              <w:autoSpaceDE w:val="0"/>
              <w:autoSpaceDN w:val="0"/>
              <w:adjustRightInd w:val="0"/>
              <w:jc w:val="center"/>
              <w:rPr>
                <w:color w:val="000000"/>
                <w:szCs w:val="24"/>
              </w:rPr>
            </w:pPr>
            <w:r w:rsidRPr="003F6E0D">
              <w:rPr>
                <w:color w:val="000000"/>
                <w:szCs w:val="24"/>
              </w:rPr>
              <w:t>Total Cost Equivalent</w:t>
            </w:r>
          </w:p>
        </w:tc>
        <w:tc>
          <w:tcPr>
            <w:tcW w:w="1620" w:type="dxa"/>
            <w:tcBorders>
              <w:top w:val="single" w:sz="6" w:space="0" w:color="auto"/>
              <w:left w:val="single" w:sz="6" w:space="0" w:color="auto"/>
              <w:bottom w:val="single" w:sz="6" w:space="0" w:color="auto"/>
              <w:right w:val="single" w:sz="6" w:space="0" w:color="auto"/>
            </w:tcBorders>
          </w:tcPr>
          <w:p w14:paraId="681211C6" w14:textId="77777777" w:rsidR="003468AB" w:rsidRPr="003F6E0D" w:rsidRDefault="003468AB" w:rsidP="00B10C31">
            <w:pPr>
              <w:autoSpaceDE w:val="0"/>
              <w:autoSpaceDN w:val="0"/>
              <w:adjustRightInd w:val="0"/>
              <w:jc w:val="center"/>
              <w:rPr>
                <w:color w:val="000000"/>
                <w:szCs w:val="24"/>
              </w:rPr>
            </w:pPr>
            <w:r w:rsidRPr="003F6E0D">
              <w:rPr>
                <w:color w:val="000000"/>
                <w:szCs w:val="24"/>
              </w:rPr>
              <w:t>Wages</w:t>
            </w:r>
            <w:r w:rsidR="00F123B6" w:rsidRPr="003F6E0D">
              <w:rPr>
                <w:rStyle w:val="FootnoteReference"/>
                <w:color w:val="000000"/>
                <w:szCs w:val="24"/>
              </w:rPr>
              <w:footnoteReference w:id="2"/>
            </w:r>
          </w:p>
        </w:tc>
      </w:tr>
      <w:tr w:rsidR="003F6E0D" w:rsidRPr="003F6E0D" w14:paraId="6E4B79C6" w14:textId="77777777" w:rsidTr="003662CB">
        <w:trPr>
          <w:trHeight w:val="841"/>
          <w:jc w:val="center"/>
        </w:trPr>
        <w:tc>
          <w:tcPr>
            <w:tcW w:w="1530" w:type="dxa"/>
            <w:tcBorders>
              <w:top w:val="single" w:sz="6" w:space="0" w:color="auto"/>
              <w:left w:val="single" w:sz="6" w:space="0" w:color="auto"/>
              <w:bottom w:val="single" w:sz="6" w:space="0" w:color="auto"/>
              <w:right w:val="single" w:sz="6" w:space="0" w:color="auto"/>
            </w:tcBorders>
          </w:tcPr>
          <w:p w14:paraId="0B01DD16" w14:textId="77777777" w:rsidR="003468AB" w:rsidRPr="003F6E0D" w:rsidRDefault="003468AB" w:rsidP="00B10C31">
            <w:pPr>
              <w:autoSpaceDE w:val="0"/>
              <w:autoSpaceDN w:val="0"/>
              <w:adjustRightInd w:val="0"/>
              <w:rPr>
                <w:color w:val="000000"/>
                <w:szCs w:val="24"/>
              </w:rPr>
            </w:pPr>
            <w:r w:rsidRPr="003F6E0D">
              <w:rPr>
                <w:color w:val="000000"/>
                <w:szCs w:val="24"/>
              </w:rPr>
              <w:t>221.14 - Marking Devices, and Appendix A</w:t>
            </w:r>
          </w:p>
        </w:tc>
        <w:tc>
          <w:tcPr>
            <w:tcW w:w="1620" w:type="dxa"/>
            <w:tcBorders>
              <w:top w:val="single" w:sz="6" w:space="0" w:color="auto"/>
              <w:left w:val="single" w:sz="6" w:space="0" w:color="auto"/>
              <w:bottom w:val="single" w:sz="6" w:space="0" w:color="auto"/>
              <w:right w:val="single" w:sz="6" w:space="0" w:color="auto"/>
            </w:tcBorders>
          </w:tcPr>
          <w:p w14:paraId="618B56ED" w14:textId="77777777" w:rsidR="003468AB" w:rsidRPr="003F6E0D" w:rsidRDefault="003468AB" w:rsidP="00F123B6">
            <w:pPr>
              <w:autoSpaceDE w:val="0"/>
              <w:autoSpaceDN w:val="0"/>
              <w:adjustRightInd w:val="0"/>
              <w:jc w:val="center"/>
              <w:rPr>
                <w:color w:val="000000"/>
                <w:szCs w:val="24"/>
              </w:rPr>
            </w:pPr>
            <w:r w:rsidRPr="003F6E0D">
              <w:rPr>
                <w:color w:val="000000"/>
                <w:szCs w:val="24"/>
              </w:rPr>
              <w:t>746 railroads + 24 manufacturers</w:t>
            </w:r>
          </w:p>
        </w:tc>
        <w:tc>
          <w:tcPr>
            <w:tcW w:w="1620" w:type="dxa"/>
            <w:tcBorders>
              <w:top w:val="single" w:sz="6" w:space="0" w:color="auto"/>
              <w:left w:val="single" w:sz="6" w:space="0" w:color="auto"/>
              <w:bottom w:val="single" w:sz="6" w:space="0" w:color="auto"/>
              <w:right w:val="single" w:sz="6" w:space="0" w:color="auto"/>
            </w:tcBorders>
          </w:tcPr>
          <w:p w14:paraId="3992BC4E" w14:textId="77777777" w:rsidR="003468AB" w:rsidRPr="003F6E0D" w:rsidRDefault="003468AB" w:rsidP="00F123B6">
            <w:pPr>
              <w:autoSpaceDE w:val="0"/>
              <w:autoSpaceDN w:val="0"/>
              <w:adjustRightInd w:val="0"/>
              <w:jc w:val="center"/>
              <w:rPr>
                <w:color w:val="000000"/>
                <w:szCs w:val="24"/>
              </w:rPr>
            </w:pPr>
            <w:r w:rsidRPr="003F6E0D">
              <w:rPr>
                <w:color w:val="000000"/>
                <w:szCs w:val="24"/>
              </w:rPr>
              <w:t>2 submissions</w:t>
            </w:r>
            <w:r w:rsidR="00851446" w:rsidRPr="003F6E0D">
              <w:rPr>
                <w:color w:val="000000"/>
                <w:szCs w:val="24"/>
              </w:rPr>
              <w:t xml:space="preserve"> </w:t>
            </w:r>
            <w:r w:rsidR="00044E3E" w:rsidRPr="003F6E0D">
              <w:rPr>
                <w:color w:val="000000"/>
                <w:szCs w:val="24"/>
              </w:rPr>
              <w:t>+</w:t>
            </w:r>
            <w:r w:rsidR="005711C4" w:rsidRPr="003F6E0D">
              <w:rPr>
                <w:color w:val="000000"/>
                <w:szCs w:val="24"/>
              </w:rPr>
              <w:t xml:space="preserve"> records</w:t>
            </w:r>
          </w:p>
        </w:tc>
        <w:tc>
          <w:tcPr>
            <w:tcW w:w="1260" w:type="dxa"/>
            <w:tcBorders>
              <w:top w:val="single" w:sz="6" w:space="0" w:color="auto"/>
              <w:left w:val="single" w:sz="6" w:space="0" w:color="auto"/>
              <w:bottom w:val="single" w:sz="6" w:space="0" w:color="auto"/>
              <w:right w:val="single" w:sz="6" w:space="0" w:color="auto"/>
            </w:tcBorders>
          </w:tcPr>
          <w:p w14:paraId="4D4EDFFD" w14:textId="77777777" w:rsidR="003468AB" w:rsidRPr="003F6E0D" w:rsidRDefault="00851446" w:rsidP="00F123B6">
            <w:pPr>
              <w:autoSpaceDE w:val="0"/>
              <w:autoSpaceDN w:val="0"/>
              <w:adjustRightInd w:val="0"/>
              <w:jc w:val="center"/>
              <w:rPr>
                <w:color w:val="000000"/>
                <w:szCs w:val="24"/>
              </w:rPr>
            </w:pPr>
            <w:r w:rsidRPr="003F6E0D">
              <w:rPr>
                <w:color w:val="000000"/>
                <w:szCs w:val="24"/>
              </w:rPr>
              <w:t>1</w:t>
            </w:r>
            <w:r w:rsidR="003468AB" w:rsidRPr="003F6E0D">
              <w:rPr>
                <w:color w:val="000000"/>
                <w:szCs w:val="24"/>
              </w:rPr>
              <w:t xml:space="preserve"> hour</w:t>
            </w:r>
          </w:p>
        </w:tc>
        <w:tc>
          <w:tcPr>
            <w:tcW w:w="990" w:type="dxa"/>
            <w:tcBorders>
              <w:top w:val="single" w:sz="6" w:space="0" w:color="auto"/>
              <w:left w:val="single" w:sz="6" w:space="0" w:color="auto"/>
              <w:bottom w:val="single" w:sz="6" w:space="0" w:color="auto"/>
              <w:right w:val="single" w:sz="6" w:space="0" w:color="auto"/>
            </w:tcBorders>
          </w:tcPr>
          <w:p w14:paraId="65F3DD13" w14:textId="77777777" w:rsidR="003468AB" w:rsidRPr="003F6E0D" w:rsidRDefault="00851446" w:rsidP="00F123B6">
            <w:pPr>
              <w:autoSpaceDE w:val="0"/>
              <w:autoSpaceDN w:val="0"/>
              <w:adjustRightInd w:val="0"/>
              <w:jc w:val="center"/>
              <w:rPr>
                <w:color w:val="000000"/>
                <w:szCs w:val="24"/>
              </w:rPr>
            </w:pPr>
            <w:r w:rsidRPr="003F6E0D">
              <w:rPr>
                <w:color w:val="000000"/>
                <w:szCs w:val="24"/>
              </w:rPr>
              <w:t>2</w:t>
            </w:r>
            <w:r w:rsidR="003468AB" w:rsidRPr="003F6E0D">
              <w:rPr>
                <w:color w:val="000000"/>
                <w:szCs w:val="24"/>
              </w:rPr>
              <w:t xml:space="preserve"> hours</w:t>
            </w:r>
          </w:p>
        </w:tc>
        <w:tc>
          <w:tcPr>
            <w:tcW w:w="1260" w:type="dxa"/>
            <w:tcBorders>
              <w:top w:val="single" w:sz="6" w:space="0" w:color="auto"/>
              <w:left w:val="single" w:sz="6" w:space="0" w:color="auto"/>
              <w:bottom w:val="single" w:sz="6" w:space="0" w:color="auto"/>
              <w:right w:val="single" w:sz="6" w:space="0" w:color="auto"/>
            </w:tcBorders>
          </w:tcPr>
          <w:p w14:paraId="57751EE2" w14:textId="77777777" w:rsidR="003468AB" w:rsidRPr="003F6E0D" w:rsidRDefault="003468AB" w:rsidP="00F123B6">
            <w:pPr>
              <w:autoSpaceDE w:val="0"/>
              <w:autoSpaceDN w:val="0"/>
              <w:adjustRightInd w:val="0"/>
              <w:jc w:val="center"/>
              <w:rPr>
                <w:color w:val="000000"/>
                <w:szCs w:val="24"/>
              </w:rPr>
            </w:pPr>
            <w:r w:rsidRPr="003F6E0D">
              <w:rPr>
                <w:color w:val="000000"/>
                <w:szCs w:val="24"/>
              </w:rPr>
              <w:t>$</w:t>
            </w:r>
            <w:r w:rsidR="00851446" w:rsidRPr="003F6E0D">
              <w:rPr>
                <w:color w:val="000000"/>
                <w:szCs w:val="24"/>
              </w:rPr>
              <w:t>152</w:t>
            </w:r>
          </w:p>
        </w:tc>
        <w:tc>
          <w:tcPr>
            <w:tcW w:w="1620" w:type="dxa"/>
            <w:tcBorders>
              <w:top w:val="single" w:sz="6" w:space="0" w:color="auto"/>
              <w:left w:val="single" w:sz="6" w:space="0" w:color="auto"/>
              <w:bottom w:val="single" w:sz="6" w:space="0" w:color="auto"/>
              <w:right w:val="single" w:sz="6" w:space="0" w:color="auto"/>
            </w:tcBorders>
          </w:tcPr>
          <w:p w14:paraId="432E9D0B" w14:textId="77777777" w:rsidR="003468AB" w:rsidRPr="003F6E0D" w:rsidRDefault="003468AB" w:rsidP="00F123B6">
            <w:pPr>
              <w:autoSpaceDE w:val="0"/>
              <w:autoSpaceDN w:val="0"/>
              <w:adjustRightInd w:val="0"/>
              <w:jc w:val="center"/>
              <w:rPr>
                <w:color w:val="000000"/>
                <w:szCs w:val="24"/>
              </w:rPr>
            </w:pPr>
            <w:r w:rsidRPr="003F6E0D">
              <w:rPr>
                <w:color w:val="000000"/>
                <w:szCs w:val="24"/>
              </w:rPr>
              <w:t>$76</w:t>
            </w:r>
            <w:r w:rsidR="00044E3E" w:rsidRPr="003F6E0D">
              <w:rPr>
                <w:color w:val="000000"/>
                <w:szCs w:val="24"/>
              </w:rPr>
              <w:t xml:space="preserve"> (Professional &amp; administrative employee group category)</w:t>
            </w:r>
          </w:p>
        </w:tc>
      </w:tr>
    </w:tbl>
    <w:p w14:paraId="608B8568" w14:textId="77777777" w:rsidR="007318CF" w:rsidRPr="000A2EA6" w:rsidRDefault="007318CF" w:rsidP="00B10C31">
      <w:pPr>
        <w:widowControl w:val="0"/>
        <w:ind w:left="720"/>
        <w:rPr>
          <w:szCs w:val="24"/>
        </w:rPr>
      </w:pPr>
    </w:p>
    <w:p w14:paraId="6389D6F2" w14:textId="77777777" w:rsidR="00E60649" w:rsidRPr="000A2EA6" w:rsidRDefault="00E60649" w:rsidP="00B10C31">
      <w:pPr>
        <w:widowControl w:val="0"/>
        <w:rPr>
          <w:szCs w:val="24"/>
        </w:rPr>
      </w:pPr>
      <w:r w:rsidRPr="000A2EA6">
        <w:rPr>
          <w:b/>
          <w:szCs w:val="24"/>
        </w:rPr>
        <w:t>13.</w:t>
      </w:r>
      <w:r w:rsidRPr="000A2EA6">
        <w:rPr>
          <w:b/>
          <w:szCs w:val="24"/>
        </w:rPr>
        <w:tab/>
      </w:r>
      <w:r w:rsidRPr="000A2EA6">
        <w:rPr>
          <w:b/>
          <w:szCs w:val="24"/>
          <w:u w:val="single"/>
        </w:rPr>
        <w:t>Estimate of total annual costs to respondents</w:t>
      </w:r>
      <w:r w:rsidRPr="000A2EA6">
        <w:rPr>
          <w:szCs w:val="24"/>
        </w:rPr>
        <w:t>.</w:t>
      </w:r>
    </w:p>
    <w:p w14:paraId="3A07FEE5" w14:textId="77777777" w:rsidR="00FB79AA" w:rsidRPr="000A2EA6" w:rsidRDefault="00FB79AA" w:rsidP="00B10C31">
      <w:pPr>
        <w:widowControl w:val="0"/>
        <w:rPr>
          <w:b/>
          <w:szCs w:val="24"/>
        </w:rPr>
      </w:pPr>
    </w:p>
    <w:p w14:paraId="5FCA7021" w14:textId="77777777" w:rsidR="00FB79AA" w:rsidRPr="000A2EA6" w:rsidRDefault="00FB79AA" w:rsidP="00B10C31">
      <w:pPr>
        <w:widowControl w:val="0"/>
        <w:ind w:left="720"/>
        <w:rPr>
          <w:szCs w:val="24"/>
        </w:rPr>
      </w:pPr>
      <w:r w:rsidRPr="000A2EA6">
        <w:rPr>
          <w:szCs w:val="24"/>
        </w:rPr>
        <w:t xml:space="preserve">There are no continuous annual costs involved in carrier submissions in compliance with this regulation.  The railroad </w:t>
      </w:r>
      <w:r w:rsidR="006975C6">
        <w:rPr>
          <w:szCs w:val="24"/>
        </w:rPr>
        <w:t>must</w:t>
      </w:r>
      <w:r w:rsidR="006975C6" w:rsidRPr="000A2EA6">
        <w:rPr>
          <w:szCs w:val="24"/>
        </w:rPr>
        <w:t xml:space="preserve"> </w:t>
      </w:r>
      <w:r w:rsidRPr="000A2EA6">
        <w:rPr>
          <w:szCs w:val="24"/>
        </w:rPr>
        <w:t xml:space="preserve">only submit once for each marking device that it wishes approved.  Once it is approved, no further submissions are required.  Therefore, the only annual costs are for railroads that come into being during the year or railroads that wish to change devices or gain approval of a different device they now wish to use.  Based on experience over the past three years, </w:t>
      </w:r>
      <w:r w:rsidR="000C110F" w:rsidRPr="000A2EA6">
        <w:rPr>
          <w:szCs w:val="24"/>
        </w:rPr>
        <w:t xml:space="preserve">two </w:t>
      </w:r>
      <w:r w:rsidRPr="000A2EA6">
        <w:rPr>
          <w:szCs w:val="24"/>
        </w:rPr>
        <w:t>railroad</w:t>
      </w:r>
      <w:r w:rsidR="000C110F" w:rsidRPr="000A2EA6">
        <w:rPr>
          <w:szCs w:val="24"/>
        </w:rPr>
        <w:t>s</w:t>
      </w:r>
      <w:r w:rsidRPr="000A2EA6">
        <w:rPr>
          <w:szCs w:val="24"/>
        </w:rPr>
        <w:t xml:space="preserve"> </w:t>
      </w:r>
      <w:r w:rsidR="000C110F" w:rsidRPr="000A2EA6">
        <w:rPr>
          <w:szCs w:val="24"/>
        </w:rPr>
        <w:t>are</w:t>
      </w:r>
      <w:r w:rsidRPr="000A2EA6">
        <w:rPr>
          <w:szCs w:val="24"/>
        </w:rPr>
        <w:t xml:space="preserve"> expected to file a submission annually.</w:t>
      </w:r>
    </w:p>
    <w:p w14:paraId="743C9321" w14:textId="77777777" w:rsidR="00FB79AA" w:rsidRPr="000A2EA6" w:rsidRDefault="00FB79AA" w:rsidP="00B10C31">
      <w:pPr>
        <w:widowControl w:val="0"/>
        <w:rPr>
          <w:szCs w:val="24"/>
        </w:rPr>
      </w:pPr>
    </w:p>
    <w:p w14:paraId="52E53D77" w14:textId="77777777" w:rsidR="000C02B6" w:rsidRPr="000A2EA6" w:rsidRDefault="00FB79AA" w:rsidP="00B10C31">
      <w:pPr>
        <w:widowControl w:val="0"/>
        <w:ind w:left="720"/>
        <w:rPr>
          <w:b/>
          <w:szCs w:val="24"/>
        </w:rPr>
      </w:pPr>
      <w:r w:rsidRPr="000A2EA6">
        <w:rPr>
          <w:szCs w:val="24"/>
        </w:rPr>
        <w:t>There is no additional cost to the railroads outside the burden costs mentioned above.</w:t>
      </w:r>
    </w:p>
    <w:p w14:paraId="3F73EE66" w14:textId="77777777" w:rsidR="000C02B6" w:rsidRPr="000A2EA6" w:rsidRDefault="000C02B6" w:rsidP="00B10C31">
      <w:pPr>
        <w:widowControl w:val="0"/>
        <w:ind w:left="720" w:hanging="720"/>
        <w:rPr>
          <w:b/>
          <w:szCs w:val="24"/>
        </w:rPr>
      </w:pPr>
    </w:p>
    <w:p w14:paraId="5D8D95AC" w14:textId="77777777" w:rsidR="000C02B6" w:rsidRPr="000A2EA6" w:rsidRDefault="000C02B6" w:rsidP="00B10C31">
      <w:pPr>
        <w:widowControl w:val="0"/>
        <w:ind w:left="720" w:hanging="720"/>
        <w:rPr>
          <w:b/>
          <w:szCs w:val="24"/>
        </w:rPr>
      </w:pPr>
      <w:r w:rsidRPr="000A2EA6">
        <w:rPr>
          <w:b/>
          <w:szCs w:val="24"/>
        </w:rPr>
        <w:t>14.</w:t>
      </w:r>
      <w:r w:rsidRPr="000A2EA6">
        <w:rPr>
          <w:b/>
          <w:szCs w:val="24"/>
        </w:rPr>
        <w:tab/>
      </w:r>
      <w:r w:rsidRPr="000A2EA6">
        <w:rPr>
          <w:b/>
          <w:szCs w:val="24"/>
          <w:u w:val="single"/>
        </w:rPr>
        <w:t xml:space="preserve">Estimate of </w:t>
      </w:r>
      <w:r w:rsidR="006975C6">
        <w:rPr>
          <w:b/>
          <w:szCs w:val="24"/>
          <w:u w:val="single"/>
        </w:rPr>
        <w:t>c</w:t>
      </w:r>
      <w:r w:rsidRPr="000A2EA6">
        <w:rPr>
          <w:b/>
          <w:szCs w:val="24"/>
          <w:u w:val="single"/>
        </w:rPr>
        <w:t>ost to Federal Government</w:t>
      </w:r>
      <w:r w:rsidRPr="000A2EA6">
        <w:rPr>
          <w:szCs w:val="24"/>
        </w:rPr>
        <w:t>.</w:t>
      </w:r>
    </w:p>
    <w:p w14:paraId="1BB3C06D" w14:textId="77777777" w:rsidR="00FB79AA" w:rsidRPr="000A2EA6" w:rsidRDefault="00FB79AA" w:rsidP="00B10C31">
      <w:pPr>
        <w:widowControl w:val="0"/>
        <w:rPr>
          <w:b/>
          <w:szCs w:val="24"/>
        </w:rPr>
      </w:pPr>
    </w:p>
    <w:p w14:paraId="59E9E060" w14:textId="0FE036D6" w:rsidR="00FB79AA" w:rsidRDefault="00E477D2" w:rsidP="00C43B12">
      <w:pPr>
        <w:widowControl w:val="0"/>
        <w:ind w:left="720"/>
        <w:rPr>
          <w:szCs w:val="24"/>
        </w:rPr>
      </w:pPr>
      <w:r w:rsidRPr="00E477D2">
        <w:rPr>
          <w:szCs w:val="24"/>
        </w:rPr>
        <w:t>FRA estimates that a</w:t>
      </w:r>
      <w:r w:rsidR="00FB79AA" w:rsidRPr="00E477D2">
        <w:rPr>
          <w:szCs w:val="24"/>
        </w:rPr>
        <w:t xml:space="preserve">pproximately </w:t>
      </w:r>
      <w:r w:rsidR="00C43F34">
        <w:rPr>
          <w:szCs w:val="24"/>
        </w:rPr>
        <w:t>four (4</w:t>
      </w:r>
      <w:r w:rsidR="00FB79AA" w:rsidRPr="00E477D2">
        <w:rPr>
          <w:szCs w:val="24"/>
        </w:rPr>
        <w:t xml:space="preserve">) hours </w:t>
      </w:r>
      <w:r w:rsidR="00E45795">
        <w:rPr>
          <w:szCs w:val="24"/>
        </w:rPr>
        <w:t>(at the GS-14 level</w:t>
      </w:r>
      <w:r w:rsidRPr="00E477D2">
        <w:rPr>
          <w:szCs w:val="24"/>
        </w:rPr>
        <w:t xml:space="preserve">) </w:t>
      </w:r>
      <w:r w:rsidR="00FB79AA" w:rsidRPr="00E477D2">
        <w:rPr>
          <w:szCs w:val="24"/>
        </w:rPr>
        <w:t>are spent processing the respondents</w:t>
      </w:r>
      <w:r w:rsidR="00874E64">
        <w:rPr>
          <w:szCs w:val="24"/>
        </w:rPr>
        <w:t>’</w:t>
      </w:r>
      <w:r w:rsidR="00FB79AA" w:rsidRPr="00E477D2">
        <w:rPr>
          <w:szCs w:val="24"/>
        </w:rPr>
        <w:t xml:space="preserve"> submissions.  This excludes time spent during routine compliance and enforcement activities.  </w:t>
      </w:r>
      <w:r w:rsidR="00E45795" w:rsidRPr="00E45795">
        <w:rPr>
          <w:szCs w:val="24"/>
        </w:rPr>
        <w:t xml:space="preserve">To calculate the government administrative cost, the 2019 Office of Personnel Management wage rates were used.  The average wage (of step 1 through step 10) was used as a midpoint. Wages were considered at the burdened wage rate by multiplying the actual wage rate by an overhead cost of 75 percent (or times 1.75). </w:t>
      </w:r>
      <w:r w:rsidR="00E45795">
        <w:rPr>
          <w:szCs w:val="24"/>
        </w:rPr>
        <w:t xml:space="preserve"> </w:t>
      </w:r>
      <w:r w:rsidR="00FB79AA" w:rsidRPr="00E477D2">
        <w:rPr>
          <w:szCs w:val="24"/>
        </w:rPr>
        <w:t xml:space="preserve">Multiplying </w:t>
      </w:r>
      <w:r w:rsidR="00AD1627">
        <w:rPr>
          <w:szCs w:val="24"/>
        </w:rPr>
        <w:t>four (4) times</w:t>
      </w:r>
      <w:r w:rsidR="00FB79AA" w:rsidRPr="00E477D2">
        <w:rPr>
          <w:szCs w:val="24"/>
        </w:rPr>
        <w:t xml:space="preserve"> $</w:t>
      </w:r>
      <w:r w:rsidR="00C43B12">
        <w:rPr>
          <w:szCs w:val="24"/>
        </w:rPr>
        <w:t>64.58</w:t>
      </w:r>
      <w:r w:rsidR="00AF1DA6">
        <w:rPr>
          <w:szCs w:val="24"/>
        </w:rPr>
        <w:t xml:space="preserve"> </w:t>
      </w:r>
      <w:r w:rsidR="00C43B12">
        <w:rPr>
          <w:szCs w:val="24"/>
        </w:rPr>
        <w:t>per hour times</w:t>
      </w:r>
      <w:r w:rsidR="00E45795">
        <w:rPr>
          <w:szCs w:val="24"/>
        </w:rPr>
        <w:t xml:space="preserve"> 1.75 (</w:t>
      </w:r>
      <w:r w:rsidR="00FD3301">
        <w:rPr>
          <w:szCs w:val="24"/>
        </w:rPr>
        <w:t>75</w:t>
      </w:r>
      <w:r w:rsidR="008866CD">
        <w:rPr>
          <w:szCs w:val="24"/>
        </w:rPr>
        <w:t xml:space="preserve"> percent</w:t>
      </w:r>
      <w:r w:rsidR="00FD3301">
        <w:rPr>
          <w:szCs w:val="24"/>
        </w:rPr>
        <w:t xml:space="preserve"> for overhead</w:t>
      </w:r>
      <w:r w:rsidR="00E45795">
        <w:rPr>
          <w:szCs w:val="24"/>
        </w:rPr>
        <w:t>)</w:t>
      </w:r>
      <w:r w:rsidR="00FD3301">
        <w:rPr>
          <w:szCs w:val="24"/>
        </w:rPr>
        <w:t xml:space="preserve"> equals $</w:t>
      </w:r>
      <w:r w:rsidR="00C43B12">
        <w:rPr>
          <w:szCs w:val="24"/>
        </w:rPr>
        <w:t>452</w:t>
      </w:r>
      <w:r w:rsidR="00FD3301">
        <w:rPr>
          <w:szCs w:val="24"/>
        </w:rPr>
        <w:t xml:space="preserve"> </w:t>
      </w:r>
      <w:r w:rsidR="00FB79AA" w:rsidRPr="00E477D2">
        <w:rPr>
          <w:szCs w:val="24"/>
        </w:rPr>
        <w:t>in annualized costs.</w:t>
      </w:r>
    </w:p>
    <w:p w14:paraId="7C51A75A" w14:textId="77777777" w:rsidR="00FB79AA" w:rsidRPr="000A2EA6" w:rsidRDefault="00FB79AA" w:rsidP="00B10C31">
      <w:pPr>
        <w:widowControl w:val="0"/>
        <w:rPr>
          <w:b/>
          <w:szCs w:val="24"/>
        </w:rPr>
      </w:pPr>
    </w:p>
    <w:p w14:paraId="638E17C9" w14:textId="77777777" w:rsidR="00AC3BD3" w:rsidRPr="000A2EA6" w:rsidRDefault="00AC3BD3" w:rsidP="00B10C31">
      <w:pPr>
        <w:widowControl w:val="0"/>
        <w:ind w:left="720" w:hanging="720"/>
        <w:rPr>
          <w:szCs w:val="24"/>
        </w:rPr>
      </w:pPr>
      <w:r w:rsidRPr="000A2EA6">
        <w:rPr>
          <w:b/>
          <w:szCs w:val="24"/>
        </w:rPr>
        <w:t>15.</w:t>
      </w:r>
      <w:r w:rsidRPr="000A2EA6">
        <w:rPr>
          <w:b/>
          <w:szCs w:val="24"/>
        </w:rPr>
        <w:tab/>
      </w:r>
      <w:r w:rsidRPr="000A2EA6">
        <w:rPr>
          <w:b/>
          <w:szCs w:val="24"/>
          <w:u w:val="single"/>
        </w:rPr>
        <w:t>Explanation of program changes and adjustments</w:t>
      </w:r>
      <w:r w:rsidRPr="000A2EA6">
        <w:rPr>
          <w:szCs w:val="24"/>
        </w:rPr>
        <w:t>.</w:t>
      </w:r>
    </w:p>
    <w:p w14:paraId="5D337008" w14:textId="77777777" w:rsidR="00AC3BD3" w:rsidRPr="000A2EA6" w:rsidRDefault="00AC3BD3" w:rsidP="00B10C31">
      <w:pPr>
        <w:widowControl w:val="0"/>
        <w:rPr>
          <w:szCs w:val="24"/>
        </w:rPr>
      </w:pPr>
    </w:p>
    <w:p w14:paraId="2B052888" w14:textId="77777777" w:rsidR="00E6315B" w:rsidRDefault="00E6315B" w:rsidP="00E6315B">
      <w:pPr>
        <w:ind w:left="720"/>
      </w:pPr>
      <w:bookmarkStart w:id="2" w:name="_Hlk22739946"/>
      <w:r>
        <w:t xml:space="preserve">The burden for this information collection submission has </w:t>
      </w:r>
      <w:r>
        <w:rPr>
          <w:u w:val="single"/>
        </w:rPr>
        <w:t>de</w:t>
      </w:r>
      <w:r w:rsidRPr="006E03F7">
        <w:rPr>
          <w:u w:val="single"/>
        </w:rPr>
        <w:t>creased</w:t>
      </w:r>
      <w:r>
        <w:t xml:space="preserve"> by </w:t>
      </w:r>
      <w:r w:rsidRPr="007E7CCA">
        <w:t>37 hours</w:t>
      </w:r>
      <w:r>
        <w:t xml:space="preserve"> from the last approved submission since the </w:t>
      </w:r>
      <w:r w:rsidRPr="00062A66">
        <w:t>burden associated with the testing of the device is covered by the overal</w:t>
      </w:r>
      <w:r>
        <w:t>l economic cost of the rule. Thus, the</w:t>
      </w:r>
      <w:r w:rsidRPr="00062A66">
        <w:t xml:space="preserve"> PRA</w:t>
      </w:r>
      <w:r>
        <w:t xml:space="preserve"> estimate</w:t>
      </w:r>
      <w:r w:rsidRPr="00062A66">
        <w:t xml:space="preserve"> is strictly for the reporting of the detailed testing of the device and recordkeeping.</w:t>
      </w:r>
    </w:p>
    <w:bookmarkEnd w:id="2"/>
    <w:p w14:paraId="0BA4D80E" w14:textId="77777777" w:rsidR="009F06C9" w:rsidRDefault="009F06C9" w:rsidP="003F6E0D">
      <w:pPr>
        <w:ind w:left="720"/>
      </w:pPr>
    </w:p>
    <w:p w14:paraId="3C9A5780" w14:textId="77777777" w:rsidR="003F6E0D" w:rsidRDefault="003F6E0D" w:rsidP="00B10C31"/>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40"/>
        <w:gridCol w:w="1440"/>
        <w:gridCol w:w="1440"/>
        <w:gridCol w:w="1440"/>
        <w:gridCol w:w="1530"/>
      </w:tblGrid>
      <w:tr w:rsidR="003468AB" w:rsidRPr="003F6E0D" w14:paraId="6E4CB52E" w14:textId="77777777" w:rsidTr="003662CB">
        <w:trPr>
          <w:jc w:val="center"/>
        </w:trPr>
        <w:tc>
          <w:tcPr>
            <w:tcW w:w="1710" w:type="dxa"/>
          </w:tcPr>
          <w:p w14:paraId="081B8B24" w14:textId="77777777" w:rsidR="003468AB" w:rsidRPr="003F6E0D" w:rsidRDefault="003468AB" w:rsidP="00B10C31">
            <w:pPr>
              <w:widowControl w:val="0"/>
              <w:rPr>
                <w:szCs w:val="24"/>
              </w:rPr>
            </w:pPr>
            <w:r w:rsidRPr="003F6E0D">
              <w:rPr>
                <w:szCs w:val="24"/>
              </w:rPr>
              <w:t>CFR Section</w:t>
            </w:r>
          </w:p>
        </w:tc>
        <w:tc>
          <w:tcPr>
            <w:tcW w:w="1440" w:type="dxa"/>
          </w:tcPr>
          <w:p w14:paraId="23B59C0D" w14:textId="77777777" w:rsidR="003468AB" w:rsidRPr="003F6E0D" w:rsidRDefault="003468AB" w:rsidP="00B10C31">
            <w:pPr>
              <w:widowControl w:val="0"/>
              <w:rPr>
                <w:szCs w:val="24"/>
              </w:rPr>
            </w:pPr>
            <w:r w:rsidRPr="003F6E0D">
              <w:rPr>
                <w:szCs w:val="24"/>
              </w:rPr>
              <w:t>Responses &amp; Avg. Time (Previous Submission)</w:t>
            </w:r>
          </w:p>
        </w:tc>
        <w:tc>
          <w:tcPr>
            <w:tcW w:w="1440" w:type="dxa"/>
          </w:tcPr>
          <w:p w14:paraId="09306C80" w14:textId="77777777" w:rsidR="003468AB" w:rsidRPr="003F6E0D" w:rsidRDefault="003468AB" w:rsidP="00B10C31">
            <w:pPr>
              <w:widowControl w:val="0"/>
              <w:rPr>
                <w:szCs w:val="24"/>
              </w:rPr>
            </w:pPr>
            <w:r w:rsidRPr="003F6E0D">
              <w:rPr>
                <w:szCs w:val="24"/>
              </w:rPr>
              <w:t>Responses &amp; Avg. Time (This Submission)</w:t>
            </w:r>
          </w:p>
        </w:tc>
        <w:tc>
          <w:tcPr>
            <w:tcW w:w="1440" w:type="dxa"/>
          </w:tcPr>
          <w:p w14:paraId="21BF32CF" w14:textId="77777777" w:rsidR="003468AB" w:rsidRPr="003F6E0D" w:rsidRDefault="003468AB" w:rsidP="00B10C31">
            <w:pPr>
              <w:widowControl w:val="0"/>
              <w:rPr>
                <w:szCs w:val="24"/>
              </w:rPr>
            </w:pPr>
            <w:r w:rsidRPr="003F6E0D">
              <w:rPr>
                <w:szCs w:val="24"/>
              </w:rPr>
              <w:t>Burden Hours (Previous Submission)</w:t>
            </w:r>
          </w:p>
        </w:tc>
        <w:tc>
          <w:tcPr>
            <w:tcW w:w="1440" w:type="dxa"/>
          </w:tcPr>
          <w:p w14:paraId="3F0CED8A" w14:textId="77777777" w:rsidR="003468AB" w:rsidRPr="003F6E0D" w:rsidRDefault="003468AB" w:rsidP="00B10C31">
            <w:pPr>
              <w:widowControl w:val="0"/>
              <w:rPr>
                <w:szCs w:val="24"/>
              </w:rPr>
            </w:pPr>
            <w:r w:rsidRPr="003F6E0D">
              <w:rPr>
                <w:szCs w:val="24"/>
              </w:rPr>
              <w:t>FRA Burden Hours (This Submission)</w:t>
            </w:r>
          </w:p>
          <w:p w14:paraId="6E01A5C4" w14:textId="77777777" w:rsidR="003468AB" w:rsidRPr="003F6E0D" w:rsidRDefault="003468AB" w:rsidP="00B10C31">
            <w:pPr>
              <w:widowControl w:val="0"/>
              <w:rPr>
                <w:szCs w:val="24"/>
              </w:rPr>
            </w:pPr>
          </w:p>
        </w:tc>
        <w:tc>
          <w:tcPr>
            <w:tcW w:w="1530" w:type="dxa"/>
          </w:tcPr>
          <w:p w14:paraId="504139DA" w14:textId="77777777" w:rsidR="003468AB" w:rsidRPr="003F6E0D" w:rsidRDefault="003468AB" w:rsidP="00B10C31">
            <w:pPr>
              <w:widowControl w:val="0"/>
              <w:rPr>
                <w:szCs w:val="24"/>
              </w:rPr>
            </w:pPr>
            <w:r w:rsidRPr="003F6E0D">
              <w:rPr>
                <w:szCs w:val="24"/>
              </w:rPr>
              <w:t>Difference</w:t>
            </w:r>
          </w:p>
          <w:p w14:paraId="71553E87" w14:textId="77777777" w:rsidR="003468AB" w:rsidRPr="003F6E0D" w:rsidRDefault="003468AB" w:rsidP="00B10C31">
            <w:pPr>
              <w:widowControl w:val="0"/>
              <w:rPr>
                <w:szCs w:val="24"/>
              </w:rPr>
            </w:pPr>
            <w:r w:rsidRPr="003F6E0D">
              <w:rPr>
                <w:szCs w:val="24"/>
              </w:rPr>
              <w:t>(</w:t>
            </w:r>
            <w:r w:rsidR="008866CD" w:rsidRPr="003F6E0D">
              <w:rPr>
                <w:szCs w:val="24"/>
              </w:rPr>
              <w:t>P</w:t>
            </w:r>
            <w:r w:rsidRPr="003F6E0D">
              <w:rPr>
                <w:szCs w:val="24"/>
              </w:rPr>
              <w:t>lus/</w:t>
            </w:r>
            <w:r w:rsidR="008866CD" w:rsidRPr="003F6E0D">
              <w:rPr>
                <w:szCs w:val="24"/>
              </w:rPr>
              <w:t>M</w:t>
            </w:r>
            <w:r w:rsidRPr="003F6E0D">
              <w:rPr>
                <w:szCs w:val="24"/>
              </w:rPr>
              <w:t>inus)</w:t>
            </w:r>
          </w:p>
        </w:tc>
      </w:tr>
      <w:tr w:rsidR="003468AB" w:rsidRPr="003F6E0D" w14:paraId="3D252258" w14:textId="77777777" w:rsidTr="003662CB">
        <w:trPr>
          <w:jc w:val="center"/>
        </w:trPr>
        <w:tc>
          <w:tcPr>
            <w:tcW w:w="1710" w:type="dxa"/>
          </w:tcPr>
          <w:p w14:paraId="0FCF9488" w14:textId="77777777" w:rsidR="003468AB" w:rsidRPr="003F6E0D" w:rsidRDefault="003468AB" w:rsidP="00B10C31">
            <w:pPr>
              <w:widowControl w:val="0"/>
              <w:rPr>
                <w:szCs w:val="24"/>
              </w:rPr>
            </w:pPr>
            <w:r w:rsidRPr="003F6E0D">
              <w:rPr>
                <w:szCs w:val="24"/>
              </w:rPr>
              <w:t>221.14 - Marking Devices, and Appendix A</w:t>
            </w:r>
          </w:p>
        </w:tc>
        <w:tc>
          <w:tcPr>
            <w:tcW w:w="1440" w:type="dxa"/>
          </w:tcPr>
          <w:p w14:paraId="2981F1C3" w14:textId="77777777" w:rsidR="003468AB" w:rsidRPr="003F6E0D" w:rsidRDefault="003468AB" w:rsidP="00B10C31">
            <w:pPr>
              <w:widowControl w:val="0"/>
              <w:rPr>
                <w:szCs w:val="24"/>
              </w:rPr>
            </w:pPr>
            <w:r w:rsidRPr="003F6E0D">
              <w:rPr>
                <w:szCs w:val="24"/>
              </w:rPr>
              <w:t xml:space="preserve">2 requests / submission </w:t>
            </w:r>
          </w:p>
          <w:p w14:paraId="79247CD6" w14:textId="77777777" w:rsidR="003468AB" w:rsidRPr="003F6E0D" w:rsidRDefault="003468AB" w:rsidP="00B10C31">
            <w:pPr>
              <w:widowControl w:val="0"/>
              <w:rPr>
                <w:szCs w:val="24"/>
              </w:rPr>
            </w:pPr>
            <w:r w:rsidRPr="003F6E0D">
              <w:rPr>
                <w:szCs w:val="24"/>
              </w:rPr>
              <w:t>19 hours</w:t>
            </w:r>
          </w:p>
        </w:tc>
        <w:tc>
          <w:tcPr>
            <w:tcW w:w="1440" w:type="dxa"/>
          </w:tcPr>
          <w:p w14:paraId="07D60406" w14:textId="77777777" w:rsidR="003468AB" w:rsidRPr="003F6E0D" w:rsidRDefault="003468AB" w:rsidP="00B10C31">
            <w:pPr>
              <w:widowControl w:val="0"/>
              <w:rPr>
                <w:szCs w:val="24"/>
              </w:rPr>
            </w:pPr>
            <w:r w:rsidRPr="003F6E0D">
              <w:rPr>
                <w:szCs w:val="24"/>
              </w:rPr>
              <w:t xml:space="preserve">2 requests / submission </w:t>
            </w:r>
          </w:p>
          <w:p w14:paraId="38650B69" w14:textId="77777777" w:rsidR="003468AB" w:rsidRPr="003F6E0D" w:rsidRDefault="00851446" w:rsidP="00B10C31">
            <w:pPr>
              <w:widowControl w:val="0"/>
              <w:rPr>
                <w:szCs w:val="24"/>
              </w:rPr>
            </w:pPr>
            <w:r w:rsidRPr="003F6E0D">
              <w:rPr>
                <w:szCs w:val="24"/>
              </w:rPr>
              <w:t>1 hour</w:t>
            </w:r>
            <w:r w:rsidR="003468AB" w:rsidRPr="003F6E0D">
              <w:rPr>
                <w:szCs w:val="24"/>
              </w:rPr>
              <w:t xml:space="preserve"> </w:t>
            </w:r>
          </w:p>
        </w:tc>
        <w:tc>
          <w:tcPr>
            <w:tcW w:w="1440" w:type="dxa"/>
          </w:tcPr>
          <w:p w14:paraId="17737B96" w14:textId="77777777" w:rsidR="003468AB" w:rsidRPr="003F6E0D" w:rsidRDefault="003468AB" w:rsidP="00B10C31">
            <w:pPr>
              <w:widowControl w:val="0"/>
              <w:rPr>
                <w:szCs w:val="24"/>
              </w:rPr>
            </w:pPr>
            <w:r w:rsidRPr="003F6E0D">
              <w:rPr>
                <w:szCs w:val="24"/>
              </w:rPr>
              <w:t>38 hours</w:t>
            </w:r>
          </w:p>
        </w:tc>
        <w:tc>
          <w:tcPr>
            <w:tcW w:w="1440" w:type="dxa"/>
          </w:tcPr>
          <w:p w14:paraId="4458E50F" w14:textId="77777777" w:rsidR="003468AB" w:rsidRPr="003F6E0D" w:rsidRDefault="00851446" w:rsidP="00B10C31">
            <w:pPr>
              <w:widowControl w:val="0"/>
              <w:rPr>
                <w:szCs w:val="24"/>
              </w:rPr>
            </w:pPr>
            <w:r w:rsidRPr="003F6E0D">
              <w:rPr>
                <w:szCs w:val="24"/>
              </w:rPr>
              <w:t>2</w:t>
            </w:r>
            <w:r w:rsidR="003468AB" w:rsidRPr="003F6E0D">
              <w:rPr>
                <w:szCs w:val="24"/>
              </w:rPr>
              <w:t xml:space="preserve"> hours</w:t>
            </w:r>
          </w:p>
        </w:tc>
        <w:tc>
          <w:tcPr>
            <w:tcW w:w="1530" w:type="dxa"/>
          </w:tcPr>
          <w:p w14:paraId="215859CD" w14:textId="77777777" w:rsidR="003468AB" w:rsidRPr="003F6E0D" w:rsidRDefault="005711C4" w:rsidP="00B10C31">
            <w:pPr>
              <w:widowControl w:val="0"/>
              <w:rPr>
                <w:szCs w:val="24"/>
              </w:rPr>
            </w:pPr>
            <w:r w:rsidRPr="003F6E0D">
              <w:rPr>
                <w:szCs w:val="24"/>
              </w:rPr>
              <w:t xml:space="preserve">- </w:t>
            </w:r>
            <w:r w:rsidR="00851446" w:rsidRPr="003F6E0D">
              <w:rPr>
                <w:szCs w:val="24"/>
              </w:rPr>
              <w:t>36</w:t>
            </w:r>
            <w:r w:rsidR="003468AB" w:rsidRPr="003F6E0D">
              <w:rPr>
                <w:szCs w:val="24"/>
              </w:rPr>
              <w:t xml:space="preserve"> hours</w:t>
            </w:r>
          </w:p>
          <w:p w14:paraId="5579CFC9" w14:textId="77777777" w:rsidR="003468AB" w:rsidRPr="003F6E0D" w:rsidRDefault="003468AB" w:rsidP="00B10C31">
            <w:pPr>
              <w:widowControl w:val="0"/>
              <w:rPr>
                <w:szCs w:val="24"/>
              </w:rPr>
            </w:pPr>
            <w:r w:rsidRPr="003F6E0D">
              <w:rPr>
                <w:szCs w:val="24"/>
              </w:rPr>
              <w:t>0 responses</w:t>
            </w:r>
          </w:p>
        </w:tc>
      </w:tr>
      <w:tr w:rsidR="00851446" w:rsidRPr="003F6E0D" w14:paraId="14B8EEB9" w14:textId="77777777" w:rsidTr="003662CB">
        <w:trPr>
          <w:jc w:val="center"/>
        </w:trPr>
        <w:tc>
          <w:tcPr>
            <w:tcW w:w="1710" w:type="dxa"/>
          </w:tcPr>
          <w:p w14:paraId="54A35904" w14:textId="77777777" w:rsidR="00851446" w:rsidRPr="003F6E0D" w:rsidRDefault="00851446" w:rsidP="00851446">
            <w:pPr>
              <w:widowControl w:val="0"/>
              <w:rPr>
                <w:szCs w:val="24"/>
              </w:rPr>
            </w:pPr>
            <w:r w:rsidRPr="003F6E0D">
              <w:rPr>
                <w:szCs w:val="24"/>
              </w:rPr>
              <w:t>Recordkeeping</w:t>
            </w:r>
          </w:p>
        </w:tc>
        <w:tc>
          <w:tcPr>
            <w:tcW w:w="1440" w:type="dxa"/>
          </w:tcPr>
          <w:p w14:paraId="199AE07F" w14:textId="77777777" w:rsidR="00851446" w:rsidRPr="003F6E0D" w:rsidRDefault="00851446" w:rsidP="00851446">
            <w:pPr>
              <w:widowControl w:val="0"/>
              <w:rPr>
                <w:szCs w:val="24"/>
              </w:rPr>
            </w:pPr>
            <w:r w:rsidRPr="003F6E0D">
              <w:rPr>
                <w:szCs w:val="24"/>
              </w:rPr>
              <w:t xml:space="preserve">2 requests / submission </w:t>
            </w:r>
          </w:p>
          <w:p w14:paraId="65A32D25" w14:textId="77777777" w:rsidR="00851446" w:rsidRPr="003F6E0D" w:rsidRDefault="00851446" w:rsidP="00851446">
            <w:pPr>
              <w:widowControl w:val="0"/>
              <w:rPr>
                <w:szCs w:val="24"/>
              </w:rPr>
            </w:pPr>
            <w:r w:rsidRPr="003F6E0D">
              <w:rPr>
                <w:szCs w:val="24"/>
              </w:rPr>
              <w:t>19 hours</w:t>
            </w:r>
          </w:p>
        </w:tc>
        <w:tc>
          <w:tcPr>
            <w:tcW w:w="1440" w:type="dxa"/>
          </w:tcPr>
          <w:p w14:paraId="4007C972" w14:textId="77777777" w:rsidR="00851446" w:rsidRPr="003F6E0D" w:rsidRDefault="005711C4" w:rsidP="00851446">
            <w:pPr>
              <w:widowControl w:val="0"/>
              <w:rPr>
                <w:szCs w:val="24"/>
              </w:rPr>
            </w:pPr>
            <w:r w:rsidRPr="003F6E0D">
              <w:rPr>
                <w:szCs w:val="24"/>
              </w:rPr>
              <w:t>Included under 221.14 and Appendix A</w:t>
            </w:r>
            <w:r w:rsidR="00851446" w:rsidRPr="003F6E0D">
              <w:rPr>
                <w:szCs w:val="24"/>
              </w:rPr>
              <w:t xml:space="preserve"> </w:t>
            </w:r>
          </w:p>
        </w:tc>
        <w:tc>
          <w:tcPr>
            <w:tcW w:w="1440" w:type="dxa"/>
          </w:tcPr>
          <w:p w14:paraId="05C7EE90" w14:textId="77777777" w:rsidR="00851446" w:rsidRPr="003F6E0D" w:rsidRDefault="005711C4" w:rsidP="00851446">
            <w:pPr>
              <w:widowControl w:val="0"/>
              <w:rPr>
                <w:szCs w:val="24"/>
              </w:rPr>
            </w:pPr>
            <w:r w:rsidRPr="003F6E0D">
              <w:rPr>
                <w:szCs w:val="24"/>
              </w:rPr>
              <w:t>1 hour</w:t>
            </w:r>
          </w:p>
        </w:tc>
        <w:tc>
          <w:tcPr>
            <w:tcW w:w="1440" w:type="dxa"/>
          </w:tcPr>
          <w:p w14:paraId="6217BD1D" w14:textId="77777777" w:rsidR="00851446" w:rsidRPr="003F6E0D" w:rsidRDefault="005711C4" w:rsidP="00851446">
            <w:pPr>
              <w:widowControl w:val="0"/>
              <w:rPr>
                <w:szCs w:val="24"/>
              </w:rPr>
            </w:pPr>
            <w:r w:rsidRPr="003F6E0D">
              <w:rPr>
                <w:szCs w:val="24"/>
              </w:rPr>
              <w:t>Included under 221.14 and Appendix A</w:t>
            </w:r>
          </w:p>
        </w:tc>
        <w:tc>
          <w:tcPr>
            <w:tcW w:w="1530" w:type="dxa"/>
          </w:tcPr>
          <w:p w14:paraId="43BEE138" w14:textId="77777777" w:rsidR="00851446" w:rsidRPr="003F6E0D" w:rsidRDefault="005711C4" w:rsidP="00851446">
            <w:pPr>
              <w:widowControl w:val="0"/>
              <w:rPr>
                <w:szCs w:val="24"/>
              </w:rPr>
            </w:pPr>
            <w:r w:rsidRPr="003F6E0D">
              <w:rPr>
                <w:szCs w:val="24"/>
              </w:rPr>
              <w:t>- 1 hour</w:t>
            </w:r>
          </w:p>
          <w:p w14:paraId="0CD2F976" w14:textId="77777777" w:rsidR="00851446" w:rsidRPr="003F6E0D" w:rsidDel="008866CD" w:rsidRDefault="005711C4" w:rsidP="00851446">
            <w:pPr>
              <w:widowControl w:val="0"/>
              <w:rPr>
                <w:szCs w:val="24"/>
              </w:rPr>
            </w:pPr>
            <w:r w:rsidRPr="003F6E0D">
              <w:rPr>
                <w:szCs w:val="24"/>
              </w:rPr>
              <w:t>- 2</w:t>
            </w:r>
            <w:r w:rsidR="00851446" w:rsidRPr="003F6E0D">
              <w:rPr>
                <w:szCs w:val="24"/>
              </w:rPr>
              <w:t xml:space="preserve"> responses</w:t>
            </w:r>
          </w:p>
        </w:tc>
      </w:tr>
    </w:tbl>
    <w:p w14:paraId="5A6AA6DA" w14:textId="5E86CB93" w:rsidR="00AC3BD3" w:rsidRPr="003468AB" w:rsidRDefault="00AC3BD3" w:rsidP="003662CB">
      <w:pPr>
        <w:widowControl w:val="0"/>
      </w:pPr>
    </w:p>
    <w:p w14:paraId="488FEF95" w14:textId="77777777" w:rsidR="00FB79AA" w:rsidRPr="000A2EA6" w:rsidRDefault="00D923A4" w:rsidP="00B10C31">
      <w:pPr>
        <w:widowControl w:val="0"/>
        <w:ind w:left="720" w:hanging="720"/>
        <w:rPr>
          <w:b/>
          <w:szCs w:val="24"/>
        </w:rPr>
      </w:pPr>
      <w:r w:rsidRPr="000A2EA6">
        <w:rPr>
          <w:b/>
          <w:szCs w:val="24"/>
        </w:rPr>
        <w:t>16.</w:t>
      </w:r>
      <w:r w:rsidRPr="000A2EA6">
        <w:rPr>
          <w:b/>
          <w:szCs w:val="24"/>
        </w:rPr>
        <w:tab/>
      </w:r>
      <w:r w:rsidRPr="000A2EA6">
        <w:rPr>
          <w:b/>
          <w:szCs w:val="24"/>
          <w:u w:val="single"/>
        </w:rPr>
        <w:t>Publication of results of data collection</w:t>
      </w:r>
      <w:r w:rsidRPr="0079383B">
        <w:rPr>
          <w:szCs w:val="24"/>
        </w:rPr>
        <w:t>.</w:t>
      </w:r>
    </w:p>
    <w:p w14:paraId="54E700AB" w14:textId="77777777" w:rsidR="00FB79AA" w:rsidRPr="000A2EA6" w:rsidRDefault="00FB79AA" w:rsidP="00B10C31">
      <w:pPr>
        <w:widowControl w:val="0"/>
        <w:rPr>
          <w:szCs w:val="24"/>
        </w:rPr>
      </w:pPr>
    </w:p>
    <w:p w14:paraId="3D117C49" w14:textId="77777777" w:rsidR="00FB79AA" w:rsidRPr="000A2EA6" w:rsidRDefault="00FB79AA" w:rsidP="00B10C31">
      <w:pPr>
        <w:widowControl w:val="0"/>
        <w:ind w:left="720"/>
        <w:rPr>
          <w:b/>
          <w:szCs w:val="24"/>
        </w:rPr>
      </w:pPr>
      <w:r w:rsidRPr="000A2EA6">
        <w:rPr>
          <w:szCs w:val="24"/>
        </w:rPr>
        <w:t>There is no tabulation or publication of submissions.  Primarily, the information is used by specialists of the Office of Safety and field personnel to enforce the regulation.  Persons outside the Office of Safety may use the material for research and development purposes.</w:t>
      </w:r>
    </w:p>
    <w:p w14:paraId="62D9C007" w14:textId="77777777" w:rsidR="00FB79AA" w:rsidRPr="000A2EA6" w:rsidRDefault="00FB79AA" w:rsidP="00B10C31">
      <w:pPr>
        <w:widowControl w:val="0"/>
        <w:rPr>
          <w:b/>
          <w:szCs w:val="24"/>
        </w:rPr>
      </w:pPr>
    </w:p>
    <w:p w14:paraId="56A8BFA2" w14:textId="77777777" w:rsidR="00314EAA" w:rsidRPr="000A2EA6" w:rsidRDefault="00314EAA" w:rsidP="00B10C31">
      <w:pPr>
        <w:widowControl w:val="0"/>
        <w:ind w:left="720" w:hanging="720"/>
        <w:rPr>
          <w:b/>
          <w:szCs w:val="24"/>
        </w:rPr>
      </w:pPr>
      <w:r w:rsidRPr="000A2EA6">
        <w:rPr>
          <w:b/>
          <w:szCs w:val="24"/>
        </w:rPr>
        <w:t>17.</w:t>
      </w:r>
      <w:r w:rsidRPr="000A2EA6">
        <w:rPr>
          <w:b/>
          <w:szCs w:val="24"/>
        </w:rPr>
        <w:tab/>
      </w:r>
      <w:r w:rsidRPr="000A2EA6">
        <w:rPr>
          <w:b/>
          <w:szCs w:val="24"/>
          <w:u w:val="single"/>
        </w:rPr>
        <w:t>Approval for not displaying the expiration date for OMB approval</w:t>
      </w:r>
      <w:r w:rsidRPr="0079383B">
        <w:rPr>
          <w:szCs w:val="24"/>
        </w:rPr>
        <w:t>.</w:t>
      </w:r>
    </w:p>
    <w:p w14:paraId="22CC83B1" w14:textId="77777777" w:rsidR="00FB79AA" w:rsidRPr="000A2EA6" w:rsidRDefault="00FB79AA" w:rsidP="00B10C31">
      <w:pPr>
        <w:widowControl w:val="0"/>
        <w:rPr>
          <w:b/>
          <w:szCs w:val="24"/>
        </w:rPr>
      </w:pPr>
    </w:p>
    <w:p w14:paraId="1AE4EEFA" w14:textId="77777777" w:rsidR="00FB79AA" w:rsidRPr="000A2EA6" w:rsidRDefault="00FB79AA" w:rsidP="00B10C31">
      <w:pPr>
        <w:widowControl w:val="0"/>
        <w:ind w:left="720"/>
        <w:rPr>
          <w:szCs w:val="24"/>
        </w:rPr>
      </w:pPr>
      <w:r w:rsidRPr="000A2EA6">
        <w:rPr>
          <w:szCs w:val="24"/>
        </w:rPr>
        <w:t xml:space="preserve">Once OMB approval is received, FRA will publish the approval number for the information collection requirements </w:t>
      </w:r>
      <w:r w:rsidR="004D4FF6" w:rsidRPr="000A2EA6">
        <w:rPr>
          <w:szCs w:val="24"/>
        </w:rPr>
        <w:t xml:space="preserve">in </w:t>
      </w:r>
      <w:r w:rsidRPr="000A2EA6">
        <w:rPr>
          <w:szCs w:val="24"/>
        </w:rPr>
        <w:t xml:space="preserve">the </w:t>
      </w:r>
      <w:r w:rsidRPr="0079383B">
        <w:rPr>
          <w:i/>
          <w:szCs w:val="24"/>
        </w:rPr>
        <w:t>Federal Register</w:t>
      </w:r>
      <w:r w:rsidRPr="000A2EA6">
        <w:rPr>
          <w:szCs w:val="24"/>
        </w:rPr>
        <w:t>.</w:t>
      </w:r>
    </w:p>
    <w:p w14:paraId="5BB09FD8" w14:textId="77777777" w:rsidR="009D3A40" w:rsidRPr="000A2EA6" w:rsidRDefault="009D3A40" w:rsidP="00B10C31">
      <w:pPr>
        <w:widowControl w:val="0"/>
        <w:ind w:left="720"/>
        <w:rPr>
          <w:b/>
          <w:szCs w:val="24"/>
        </w:rPr>
      </w:pPr>
    </w:p>
    <w:p w14:paraId="21F1160F" w14:textId="77777777" w:rsidR="009D3A40" w:rsidRPr="000A2EA6" w:rsidRDefault="009D3A40" w:rsidP="00B10C31">
      <w:pPr>
        <w:widowControl w:val="0"/>
        <w:ind w:left="720" w:hanging="720"/>
        <w:rPr>
          <w:b/>
          <w:szCs w:val="24"/>
        </w:rPr>
      </w:pPr>
      <w:r w:rsidRPr="000A2EA6">
        <w:rPr>
          <w:b/>
          <w:szCs w:val="24"/>
        </w:rPr>
        <w:t>18.</w:t>
      </w:r>
      <w:r w:rsidRPr="000A2EA6">
        <w:rPr>
          <w:b/>
          <w:szCs w:val="24"/>
        </w:rPr>
        <w:tab/>
      </w:r>
      <w:r w:rsidRPr="000A2EA6">
        <w:rPr>
          <w:b/>
          <w:szCs w:val="24"/>
          <w:u w:val="single"/>
        </w:rPr>
        <w:t>Exception to certification statement</w:t>
      </w:r>
      <w:r w:rsidRPr="0079383B">
        <w:rPr>
          <w:szCs w:val="24"/>
        </w:rPr>
        <w:t>.</w:t>
      </w:r>
    </w:p>
    <w:p w14:paraId="38E80934" w14:textId="77777777" w:rsidR="00FB79AA" w:rsidRPr="000A2EA6" w:rsidRDefault="00FB79AA" w:rsidP="00B10C31">
      <w:pPr>
        <w:widowControl w:val="0"/>
        <w:ind w:left="720" w:hanging="720"/>
        <w:rPr>
          <w:b/>
          <w:szCs w:val="24"/>
        </w:rPr>
      </w:pPr>
      <w:r w:rsidRPr="000A2EA6">
        <w:rPr>
          <w:b/>
          <w:szCs w:val="24"/>
        </w:rPr>
        <w:t xml:space="preserve"> </w:t>
      </w:r>
    </w:p>
    <w:p w14:paraId="38B5DBDE" w14:textId="77777777" w:rsidR="00FB79AA" w:rsidRPr="000A2EA6" w:rsidRDefault="00FB79AA" w:rsidP="00B10C31">
      <w:pPr>
        <w:widowControl w:val="0"/>
        <w:ind w:left="720"/>
        <w:rPr>
          <w:szCs w:val="24"/>
        </w:rPr>
      </w:pPr>
      <w:bookmarkStart w:id="3" w:name="QuickMark_1"/>
      <w:bookmarkEnd w:id="3"/>
      <w:r w:rsidRPr="000A2EA6">
        <w:rPr>
          <w:szCs w:val="24"/>
        </w:rPr>
        <w:t>No exceptions are taken at this time.</w:t>
      </w:r>
    </w:p>
    <w:p w14:paraId="33C0B488" w14:textId="77777777" w:rsidR="00FB79AA" w:rsidRPr="000A2EA6" w:rsidRDefault="00FB79AA" w:rsidP="00B10C31">
      <w:pPr>
        <w:widowControl w:val="0"/>
        <w:rPr>
          <w:szCs w:val="24"/>
        </w:rPr>
      </w:pPr>
    </w:p>
    <w:p w14:paraId="02DA99EE" w14:textId="77777777" w:rsidR="00FB79AA" w:rsidRPr="000A2EA6" w:rsidRDefault="00FB79AA" w:rsidP="00B10C31">
      <w:pPr>
        <w:widowControl w:val="0"/>
        <w:ind w:left="720"/>
        <w:rPr>
          <w:szCs w:val="24"/>
        </w:rPr>
      </w:pPr>
      <w:r w:rsidRPr="000A2EA6">
        <w:rPr>
          <w:szCs w:val="24"/>
          <w:u w:val="single"/>
        </w:rPr>
        <w:t>Meeting Department of Transportation Strategic Goals</w:t>
      </w:r>
    </w:p>
    <w:p w14:paraId="174FEEBE" w14:textId="77777777" w:rsidR="00FB79AA" w:rsidRPr="000A2EA6" w:rsidRDefault="00FB79AA" w:rsidP="00B10C31">
      <w:pPr>
        <w:widowControl w:val="0"/>
        <w:rPr>
          <w:szCs w:val="24"/>
        </w:rPr>
      </w:pPr>
    </w:p>
    <w:p w14:paraId="7086BA1A" w14:textId="77777777" w:rsidR="00FB79AA" w:rsidRPr="000A2EA6" w:rsidRDefault="00FB79AA" w:rsidP="00B10C31">
      <w:pPr>
        <w:widowControl w:val="0"/>
        <w:ind w:left="720"/>
        <w:rPr>
          <w:szCs w:val="24"/>
        </w:rPr>
      </w:pPr>
      <w:r w:rsidRPr="000A2EA6">
        <w:rPr>
          <w:szCs w:val="24"/>
        </w:rPr>
        <w:t>This information collection supports the main DOT strategic goal, namely transportation safety.  Without this collection of information, rail safety throughout the U</w:t>
      </w:r>
      <w:r w:rsidR="00873082">
        <w:rPr>
          <w:szCs w:val="24"/>
        </w:rPr>
        <w:t>nited States</w:t>
      </w:r>
      <w:r w:rsidRPr="000A2EA6">
        <w:rPr>
          <w:szCs w:val="24"/>
        </w:rPr>
        <w:t xml:space="preserve"> might be seriously jeopardized.  Specifically, the number of accidents/incidents and the severity of </w:t>
      </w:r>
      <w:r w:rsidR="00546D3E" w:rsidRPr="000A2EA6">
        <w:rPr>
          <w:szCs w:val="24"/>
        </w:rPr>
        <w:t>corresponding inju</w:t>
      </w:r>
      <w:r w:rsidRPr="000A2EA6">
        <w:rPr>
          <w:szCs w:val="24"/>
        </w:rPr>
        <w:t xml:space="preserve">ries might increase because rear-end marking devices did not meet Federal criteria for visibility and were not approved by FRA before being put into use on passenger, commuter, and freight cars.  Such a lack of visibility could, in turn, result in a greater number of accidents/incidents </w:t>
      </w:r>
      <w:r w:rsidR="00873082">
        <w:rPr>
          <w:szCs w:val="24"/>
        </w:rPr>
        <w:t xml:space="preserve">in which </w:t>
      </w:r>
      <w:r w:rsidRPr="000A2EA6">
        <w:rPr>
          <w:szCs w:val="24"/>
        </w:rPr>
        <w:t xml:space="preserve">train crews, the traveling public, and motorists are seriously injured </w:t>
      </w:r>
      <w:r w:rsidR="00873082">
        <w:rPr>
          <w:szCs w:val="24"/>
        </w:rPr>
        <w:t>or</w:t>
      </w:r>
      <w:r w:rsidRPr="000A2EA6">
        <w:rPr>
          <w:szCs w:val="24"/>
        </w:rPr>
        <w:t xml:space="preserve"> possibly killed. </w:t>
      </w:r>
    </w:p>
    <w:p w14:paraId="7B9E686F" w14:textId="77777777" w:rsidR="00FB79AA" w:rsidRPr="000A2EA6" w:rsidRDefault="00FB79AA" w:rsidP="00B10C31">
      <w:pPr>
        <w:widowControl w:val="0"/>
        <w:rPr>
          <w:szCs w:val="24"/>
        </w:rPr>
      </w:pPr>
    </w:p>
    <w:p w14:paraId="749A147A" w14:textId="0C6B074B" w:rsidR="00FB79AA" w:rsidRPr="000A2EA6" w:rsidRDefault="00FB79AA" w:rsidP="00B5750F">
      <w:pPr>
        <w:widowControl w:val="0"/>
        <w:ind w:left="720"/>
        <w:rPr>
          <w:szCs w:val="24"/>
        </w:rPr>
      </w:pPr>
      <w:r w:rsidRPr="000A2EA6">
        <w:rPr>
          <w:szCs w:val="24"/>
        </w:rPr>
        <w:t xml:space="preserve">The collection of information promotes safety by providing FRA an opportunity to review and monitor all rear end-marking devices (new or modifications of previously approved devices) to ensure that they meet Federal standards for visibility.  Each railroad must furnish a detailed description of the type of device, including the manufacturer, lamp type, luminance description, size of lens, and any auxiliary optics needed.  Each railroad must also furnish a certification that the device has been tested in accordance with current </w:t>
      </w:r>
      <w:r w:rsidR="00DA43E0">
        <w:rPr>
          <w:szCs w:val="24"/>
        </w:rPr>
        <w:t>“</w:t>
      </w:r>
      <w:r w:rsidRPr="000A2EA6">
        <w:rPr>
          <w:szCs w:val="24"/>
        </w:rPr>
        <w:t>Guidelines for Testing of FRA Rear End Marking Devices.</w:t>
      </w:r>
      <w:r w:rsidR="00DA43E0">
        <w:rPr>
          <w:szCs w:val="24"/>
        </w:rPr>
        <w:t>”</w:t>
      </w:r>
      <w:r w:rsidRPr="000A2EA6">
        <w:rPr>
          <w:szCs w:val="24"/>
        </w:rPr>
        <w:t xml:space="preserve"> </w:t>
      </w:r>
    </w:p>
    <w:p w14:paraId="5610888D" w14:textId="77777777" w:rsidR="00FB79AA" w:rsidRPr="000A2EA6" w:rsidRDefault="00FB79AA" w:rsidP="00B10C31">
      <w:pPr>
        <w:widowControl w:val="0"/>
        <w:ind w:left="720"/>
        <w:rPr>
          <w:szCs w:val="24"/>
        </w:rPr>
      </w:pPr>
      <w:r w:rsidRPr="000A2EA6">
        <w:rPr>
          <w:szCs w:val="24"/>
        </w:rPr>
        <w:t>The collection of information, notably the detailed test records, further enhances rail safety by providing a</w:t>
      </w:r>
      <w:r w:rsidR="00D4654D">
        <w:rPr>
          <w:szCs w:val="24"/>
        </w:rPr>
        <w:t xml:space="preserve">n important </w:t>
      </w:r>
      <w:r w:rsidRPr="000A2EA6">
        <w:rPr>
          <w:szCs w:val="24"/>
        </w:rPr>
        <w:t>resource that FRA and other investigating agencies can use in determining the cause(s) of accidents/incidents.  These records provide valuable information</w:t>
      </w:r>
      <w:r w:rsidR="00DA43E0">
        <w:rPr>
          <w:szCs w:val="24"/>
        </w:rPr>
        <w:t>,</w:t>
      </w:r>
      <w:r w:rsidRPr="000A2EA6">
        <w:rPr>
          <w:szCs w:val="24"/>
        </w:rPr>
        <w:t xml:space="preserve"> such as the testing organizations, description of tests, number of samples tested, and the test results.  FRA can check this information to see whether the rear-end marking device met Federal performance standards.  By accurately determining the cause(s) of accidents/incidents, FRA and the railroad industry can take measures to reduce the likelihood of similar events occurring in the future.</w:t>
      </w:r>
    </w:p>
    <w:p w14:paraId="5353695B" w14:textId="77777777" w:rsidR="00FB79AA" w:rsidRPr="000A2EA6" w:rsidRDefault="00FB79AA" w:rsidP="00B10C31">
      <w:pPr>
        <w:widowControl w:val="0"/>
        <w:rPr>
          <w:szCs w:val="24"/>
        </w:rPr>
      </w:pPr>
    </w:p>
    <w:p w14:paraId="41FDA39F" w14:textId="472DC40C" w:rsidR="003F6C0E" w:rsidRPr="000A2EA6" w:rsidRDefault="00FB79AA" w:rsidP="003F6C0E">
      <w:pPr>
        <w:widowControl w:val="0"/>
        <w:ind w:left="720"/>
        <w:rPr>
          <w:szCs w:val="24"/>
        </w:rPr>
      </w:pPr>
      <w:r w:rsidRPr="000A2EA6">
        <w:rPr>
          <w:szCs w:val="24"/>
        </w:rPr>
        <w:t>In summary, this collection of information enhances railroad safety by providing an additional layer of protection through the agency’s close monitoring and full awareness of the type of rear-end marking devices used on passenger, commuter, and freight trains.   It furthers DOT’s goal of promoting public health and safety by working toward the elimination of transportation-related deaths, injuries, and property damage.</w:t>
      </w:r>
    </w:p>
    <w:p w14:paraId="176CFBF3" w14:textId="3AE271A6" w:rsidR="00FB79AA" w:rsidRPr="000A2EA6" w:rsidRDefault="00FB79AA" w:rsidP="00B10C31">
      <w:pPr>
        <w:widowControl w:val="0"/>
        <w:ind w:left="720"/>
        <w:rPr>
          <w:szCs w:val="24"/>
        </w:rPr>
      </w:pPr>
      <w:r w:rsidRPr="000A2EA6">
        <w:rPr>
          <w:szCs w:val="24"/>
        </w:rPr>
        <w:t xml:space="preserve">.  </w:t>
      </w:r>
    </w:p>
    <w:sectPr w:rsidR="00FB79AA" w:rsidRPr="000A2EA6" w:rsidSect="003662CB">
      <w:headerReference w:type="even" r:id="rId10"/>
      <w:headerReference w:type="default" r:id="rId11"/>
      <w:footerReference w:type="even" r:id="rId12"/>
      <w:footerReference w:type="default" r:id="rId13"/>
      <w:type w:val="continuous"/>
      <w:pgSz w:w="12240" w:h="15840"/>
      <w:pgMar w:top="1440" w:right="1080" w:bottom="1440" w:left="1080" w:header="1440" w:footer="61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A8070" w14:textId="77777777" w:rsidR="00D8776A" w:rsidRDefault="00D8776A">
      <w:r>
        <w:separator/>
      </w:r>
    </w:p>
  </w:endnote>
  <w:endnote w:type="continuationSeparator" w:id="0">
    <w:p w14:paraId="1E6B7949" w14:textId="77777777" w:rsidR="00D8776A" w:rsidRDefault="00D8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260088"/>
      <w:docPartObj>
        <w:docPartGallery w:val="Page Numbers (Bottom of Page)"/>
        <w:docPartUnique/>
      </w:docPartObj>
    </w:sdtPr>
    <w:sdtEndPr>
      <w:rPr>
        <w:noProof/>
      </w:rPr>
    </w:sdtEndPr>
    <w:sdtContent>
      <w:p w14:paraId="232A218F" w14:textId="50B93F7B" w:rsidR="00CA784D" w:rsidRDefault="00CA784D">
        <w:pPr>
          <w:pStyle w:val="Footer"/>
          <w:jc w:val="center"/>
        </w:pPr>
        <w:r>
          <w:fldChar w:fldCharType="begin"/>
        </w:r>
        <w:r>
          <w:instrText xml:space="preserve"> PAGE   \* MERGEFORMAT </w:instrText>
        </w:r>
        <w:r>
          <w:fldChar w:fldCharType="separate"/>
        </w:r>
        <w:r w:rsidR="00734D44">
          <w:rPr>
            <w:noProof/>
          </w:rPr>
          <w:t>2</w:t>
        </w:r>
        <w:r>
          <w:rPr>
            <w:noProof/>
          </w:rPr>
          <w:fldChar w:fldCharType="end"/>
        </w:r>
      </w:p>
    </w:sdtContent>
  </w:sdt>
  <w:p w14:paraId="22562758" w14:textId="77777777" w:rsidR="004D4EA2" w:rsidRDefault="004D4EA2">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005383"/>
      <w:docPartObj>
        <w:docPartGallery w:val="Page Numbers (Bottom of Page)"/>
        <w:docPartUnique/>
      </w:docPartObj>
    </w:sdtPr>
    <w:sdtEndPr>
      <w:rPr>
        <w:noProof/>
      </w:rPr>
    </w:sdtEndPr>
    <w:sdtContent>
      <w:p w14:paraId="76F72271" w14:textId="4C34C9A5" w:rsidR="00CA784D" w:rsidRDefault="00CA784D">
        <w:pPr>
          <w:pStyle w:val="Footer"/>
          <w:jc w:val="center"/>
        </w:pPr>
        <w:r>
          <w:fldChar w:fldCharType="begin"/>
        </w:r>
        <w:r>
          <w:instrText xml:space="preserve"> PAGE   \* MERGEFORMAT </w:instrText>
        </w:r>
        <w:r>
          <w:fldChar w:fldCharType="separate"/>
        </w:r>
        <w:r w:rsidR="00E45795">
          <w:rPr>
            <w:noProof/>
          </w:rPr>
          <w:t>5</w:t>
        </w:r>
        <w:r>
          <w:rPr>
            <w:noProof/>
          </w:rPr>
          <w:fldChar w:fldCharType="end"/>
        </w:r>
      </w:p>
    </w:sdtContent>
  </w:sdt>
  <w:p w14:paraId="01F143DD" w14:textId="77777777" w:rsidR="004D4EA2" w:rsidRDefault="004D4EA2">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AFC82" w14:textId="77777777" w:rsidR="00D8776A" w:rsidRDefault="00D8776A">
      <w:r>
        <w:separator/>
      </w:r>
    </w:p>
  </w:footnote>
  <w:footnote w:type="continuationSeparator" w:id="0">
    <w:p w14:paraId="56027610" w14:textId="77777777" w:rsidR="00D8776A" w:rsidRDefault="00D8776A">
      <w:r>
        <w:continuationSeparator/>
      </w:r>
    </w:p>
  </w:footnote>
  <w:footnote w:id="1">
    <w:p w14:paraId="3F8E0D6B" w14:textId="011E3727" w:rsidR="005711C4" w:rsidRDefault="005711C4">
      <w:pPr>
        <w:pStyle w:val="FootnoteText"/>
      </w:pPr>
      <w:r>
        <w:rPr>
          <w:rStyle w:val="FootnoteReference"/>
        </w:rPr>
        <w:footnoteRef/>
      </w:r>
      <w:r>
        <w:t xml:space="preserve"> The </w:t>
      </w:r>
      <w:r w:rsidR="00977366">
        <w:t xml:space="preserve">estimated </w:t>
      </w:r>
      <w:r>
        <w:t xml:space="preserve">annual burden hours include </w:t>
      </w:r>
      <w:r w:rsidR="00F31547">
        <w:t>recordkeeping</w:t>
      </w:r>
      <w:r>
        <w:t>.</w:t>
      </w:r>
    </w:p>
  </w:footnote>
  <w:footnote w:id="2">
    <w:p w14:paraId="47A585D5" w14:textId="77777777" w:rsidR="00F123B6" w:rsidRDefault="00F123B6" w:rsidP="00F123B6">
      <w:pPr>
        <w:pStyle w:val="FootnoteText"/>
      </w:pPr>
      <w:r>
        <w:rPr>
          <w:rStyle w:val="FootnoteReference"/>
        </w:rPr>
        <w:footnoteRef/>
      </w:r>
      <w:r>
        <w:t xml:space="preserve"> T</w:t>
      </w:r>
      <w:r w:rsidRPr="001B0B27">
        <w:t xml:space="preserve">he </w:t>
      </w:r>
      <w:r>
        <w:t xml:space="preserve">hourly wage rate is obtained </w:t>
      </w:r>
      <w:r w:rsidRPr="001B0B27">
        <w:t xml:space="preserve">from the Surface Transportation Board’s Full Year Wage A&amp;B data series using the appropriate employee group hourly wage rate </w:t>
      </w:r>
      <w:r>
        <w:t xml:space="preserve">(plus the </w:t>
      </w:r>
      <w:r w:rsidRPr="001B0B27">
        <w:t>75</w:t>
      </w:r>
      <w:r>
        <w:t>-percent overhead).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9F1F" w14:textId="77777777" w:rsidR="004D4EA2" w:rsidRDefault="004D4EA2">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D16CA" w14:textId="77777777" w:rsidR="004D4EA2" w:rsidRDefault="004D4EA2">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011440"/>
    <w:multiLevelType w:val="hybridMultilevel"/>
    <w:tmpl w:val="AFE80536"/>
    <w:lvl w:ilvl="0" w:tplc="E8DCCFF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DBB"/>
    <w:rsid w:val="00011C68"/>
    <w:rsid w:val="000230C5"/>
    <w:rsid w:val="00035EA7"/>
    <w:rsid w:val="00044E3E"/>
    <w:rsid w:val="00046490"/>
    <w:rsid w:val="0005721A"/>
    <w:rsid w:val="00082051"/>
    <w:rsid w:val="00082874"/>
    <w:rsid w:val="000846C7"/>
    <w:rsid w:val="0008675D"/>
    <w:rsid w:val="00092208"/>
    <w:rsid w:val="000931A9"/>
    <w:rsid w:val="00094D3C"/>
    <w:rsid w:val="000A2EA6"/>
    <w:rsid w:val="000A4AF7"/>
    <w:rsid w:val="000A588E"/>
    <w:rsid w:val="000B3B03"/>
    <w:rsid w:val="000B74A1"/>
    <w:rsid w:val="000C02B6"/>
    <w:rsid w:val="000C110F"/>
    <w:rsid w:val="000C6A00"/>
    <w:rsid w:val="000E541C"/>
    <w:rsid w:val="001053A2"/>
    <w:rsid w:val="00150415"/>
    <w:rsid w:val="00161D3A"/>
    <w:rsid w:val="00172500"/>
    <w:rsid w:val="001845B9"/>
    <w:rsid w:val="001941E2"/>
    <w:rsid w:val="001B27AC"/>
    <w:rsid w:val="001B6F3A"/>
    <w:rsid w:val="001C09F2"/>
    <w:rsid w:val="001C2F4B"/>
    <w:rsid w:val="001C6565"/>
    <w:rsid w:val="001E22D7"/>
    <w:rsid w:val="001E4E90"/>
    <w:rsid w:val="00202ED9"/>
    <w:rsid w:val="00234E49"/>
    <w:rsid w:val="00236A57"/>
    <w:rsid w:val="002571B4"/>
    <w:rsid w:val="00267E8D"/>
    <w:rsid w:val="00292CB3"/>
    <w:rsid w:val="002B0CA9"/>
    <w:rsid w:val="002D3965"/>
    <w:rsid w:val="002D647D"/>
    <w:rsid w:val="002E4B9F"/>
    <w:rsid w:val="002E5079"/>
    <w:rsid w:val="00310C5B"/>
    <w:rsid w:val="00313D55"/>
    <w:rsid w:val="00314EAA"/>
    <w:rsid w:val="003444CD"/>
    <w:rsid w:val="003468AB"/>
    <w:rsid w:val="0035112D"/>
    <w:rsid w:val="003662CB"/>
    <w:rsid w:val="00386DE1"/>
    <w:rsid w:val="00387BA3"/>
    <w:rsid w:val="003A1105"/>
    <w:rsid w:val="003B471A"/>
    <w:rsid w:val="003C0B26"/>
    <w:rsid w:val="003D0771"/>
    <w:rsid w:val="003F47C6"/>
    <w:rsid w:val="003F6C0E"/>
    <w:rsid w:val="003F6E0D"/>
    <w:rsid w:val="004144E7"/>
    <w:rsid w:val="00424E82"/>
    <w:rsid w:val="00427C51"/>
    <w:rsid w:val="00437FF0"/>
    <w:rsid w:val="004661E5"/>
    <w:rsid w:val="00475D47"/>
    <w:rsid w:val="004A6178"/>
    <w:rsid w:val="004D4EA2"/>
    <w:rsid w:val="004D4FF6"/>
    <w:rsid w:val="004E38BF"/>
    <w:rsid w:val="004F1117"/>
    <w:rsid w:val="004F60A7"/>
    <w:rsid w:val="005034F0"/>
    <w:rsid w:val="00527A08"/>
    <w:rsid w:val="00532FFC"/>
    <w:rsid w:val="005344DE"/>
    <w:rsid w:val="00546AC1"/>
    <w:rsid w:val="00546D3E"/>
    <w:rsid w:val="00570EEB"/>
    <w:rsid w:val="005711C4"/>
    <w:rsid w:val="005768EB"/>
    <w:rsid w:val="005A41C1"/>
    <w:rsid w:val="005A6C1A"/>
    <w:rsid w:val="005A6E66"/>
    <w:rsid w:val="005C0A2B"/>
    <w:rsid w:val="005D390A"/>
    <w:rsid w:val="005E2777"/>
    <w:rsid w:val="005E4208"/>
    <w:rsid w:val="005E5458"/>
    <w:rsid w:val="00610F85"/>
    <w:rsid w:val="00613364"/>
    <w:rsid w:val="006227D7"/>
    <w:rsid w:val="00625455"/>
    <w:rsid w:val="006400F9"/>
    <w:rsid w:val="00672A3E"/>
    <w:rsid w:val="00672E43"/>
    <w:rsid w:val="006868CF"/>
    <w:rsid w:val="006975C6"/>
    <w:rsid w:val="006B5B06"/>
    <w:rsid w:val="006C09E9"/>
    <w:rsid w:val="006C6B5D"/>
    <w:rsid w:val="006D1793"/>
    <w:rsid w:val="006D5AAA"/>
    <w:rsid w:val="006E206C"/>
    <w:rsid w:val="006F6258"/>
    <w:rsid w:val="00715B30"/>
    <w:rsid w:val="00727403"/>
    <w:rsid w:val="007318CF"/>
    <w:rsid w:val="00734D44"/>
    <w:rsid w:val="00741852"/>
    <w:rsid w:val="00753EA9"/>
    <w:rsid w:val="00774127"/>
    <w:rsid w:val="00776C06"/>
    <w:rsid w:val="00782C8E"/>
    <w:rsid w:val="00783A35"/>
    <w:rsid w:val="0079383B"/>
    <w:rsid w:val="00796A89"/>
    <w:rsid w:val="00796FB7"/>
    <w:rsid w:val="007A39F4"/>
    <w:rsid w:val="007A48DA"/>
    <w:rsid w:val="007A546A"/>
    <w:rsid w:val="007C0C4C"/>
    <w:rsid w:val="007C40B2"/>
    <w:rsid w:val="008227FA"/>
    <w:rsid w:val="00851446"/>
    <w:rsid w:val="00860535"/>
    <w:rsid w:val="00873082"/>
    <w:rsid w:val="00874E64"/>
    <w:rsid w:val="00884154"/>
    <w:rsid w:val="008866CD"/>
    <w:rsid w:val="008A5114"/>
    <w:rsid w:val="008B1D35"/>
    <w:rsid w:val="008D3170"/>
    <w:rsid w:val="008D4BAB"/>
    <w:rsid w:val="008D70DD"/>
    <w:rsid w:val="00901E2D"/>
    <w:rsid w:val="00930654"/>
    <w:rsid w:val="00941069"/>
    <w:rsid w:val="009441DA"/>
    <w:rsid w:val="00950886"/>
    <w:rsid w:val="0095675F"/>
    <w:rsid w:val="00957DF2"/>
    <w:rsid w:val="0097002D"/>
    <w:rsid w:val="00977366"/>
    <w:rsid w:val="00994AFF"/>
    <w:rsid w:val="00996793"/>
    <w:rsid w:val="009D262E"/>
    <w:rsid w:val="009D3A40"/>
    <w:rsid w:val="009F06C9"/>
    <w:rsid w:val="009F09DF"/>
    <w:rsid w:val="00A05C1F"/>
    <w:rsid w:val="00A13D53"/>
    <w:rsid w:val="00A266C0"/>
    <w:rsid w:val="00A3202B"/>
    <w:rsid w:val="00A350C7"/>
    <w:rsid w:val="00A4136A"/>
    <w:rsid w:val="00A441FA"/>
    <w:rsid w:val="00A74E2A"/>
    <w:rsid w:val="00A75564"/>
    <w:rsid w:val="00A97BEA"/>
    <w:rsid w:val="00AB5E4C"/>
    <w:rsid w:val="00AC3BD3"/>
    <w:rsid w:val="00AC6EAD"/>
    <w:rsid w:val="00AD1627"/>
    <w:rsid w:val="00AD7AEB"/>
    <w:rsid w:val="00AF1DA6"/>
    <w:rsid w:val="00B009A5"/>
    <w:rsid w:val="00B03AD7"/>
    <w:rsid w:val="00B10C31"/>
    <w:rsid w:val="00B5229F"/>
    <w:rsid w:val="00B5750F"/>
    <w:rsid w:val="00B651DE"/>
    <w:rsid w:val="00B73061"/>
    <w:rsid w:val="00B81F67"/>
    <w:rsid w:val="00B90903"/>
    <w:rsid w:val="00BC03CF"/>
    <w:rsid w:val="00BC59F4"/>
    <w:rsid w:val="00BC5F1B"/>
    <w:rsid w:val="00C00474"/>
    <w:rsid w:val="00C00875"/>
    <w:rsid w:val="00C05AFA"/>
    <w:rsid w:val="00C07B3A"/>
    <w:rsid w:val="00C143EA"/>
    <w:rsid w:val="00C27D87"/>
    <w:rsid w:val="00C43B12"/>
    <w:rsid w:val="00C43F34"/>
    <w:rsid w:val="00C52F12"/>
    <w:rsid w:val="00C616D6"/>
    <w:rsid w:val="00C67216"/>
    <w:rsid w:val="00C730B4"/>
    <w:rsid w:val="00C84591"/>
    <w:rsid w:val="00C91096"/>
    <w:rsid w:val="00CA784D"/>
    <w:rsid w:val="00CB1D00"/>
    <w:rsid w:val="00CC2135"/>
    <w:rsid w:val="00CC3F2B"/>
    <w:rsid w:val="00CD675F"/>
    <w:rsid w:val="00CE6F17"/>
    <w:rsid w:val="00CF4417"/>
    <w:rsid w:val="00D26495"/>
    <w:rsid w:val="00D344EA"/>
    <w:rsid w:val="00D41796"/>
    <w:rsid w:val="00D4654D"/>
    <w:rsid w:val="00D50CFE"/>
    <w:rsid w:val="00D53DBB"/>
    <w:rsid w:val="00D6070C"/>
    <w:rsid w:val="00D63B35"/>
    <w:rsid w:val="00D736EE"/>
    <w:rsid w:val="00D84F9C"/>
    <w:rsid w:val="00D8776A"/>
    <w:rsid w:val="00D923A4"/>
    <w:rsid w:val="00DA43E0"/>
    <w:rsid w:val="00DB7DDE"/>
    <w:rsid w:val="00DC480A"/>
    <w:rsid w:val="00DD2B43"/>
    <w:rsid w:val="00DD6F3C"/>
    <w:rsid w:val="00DF1FD2"/>
    <w:rsid w:val="00E02038"/>
    <w:rsid w:val="00E27CF7"/>
    <w:rsid w:val="00E306E3"/>
    <w:rsid w:val="00E368DD"/>
    <w:rsid w:val="00E45795"/>
    <w:rsid w:val="00E477D2"/>
    <w:rsid w:val="00E50030"/>
    <w:rsid w:val="00E5630C"/>
    <w:rsid w:val="00E60649"/>
    <w:rsid w:val="00E6315B"/>
    <w:rsid w:val="00E70A1D"/>
    <w:rsid w:val="00E9268A"/>
    <w:rsid w:val="00E95213"/>
    <w:rsid w:val="00E973EF"/>
    <w:rsid w:val="00EE1DD6"/>
    <w:rsid w:val="00EF2373"/>
    <w:rsid w:val="00EF27C9"/>
    <w:rsid w:val="00F04636"/>
    <w:rsid w:val="00F123B6"/>
    <w:rsid w:val="00F25607"/>
    <w:rsid w:val="00F3084A"/>
    <w:rsid w:val="00F31547"/>
    <w:rsid w:val="00F369E8"/>
    <w:rsid w:val="00F415D7"/>
    <w:rsid w:val="00F55746"/>
    <w:rsid w:val="00F56C53"/>
    <w:rsid w:val="00F57216"/>
    <w:rsid w:val="00F85B64"/>
    <w:rsid w:val="00FA6D37"/>
    <w:rsid w:val="00FB02DA"/>
    <w:rsid w:val="00FB4888"/>
    <w:rsid w:val="00FB79AA"/>
    <w:rsid w:val="00FC04BE"/>
    <w:rsid w:val="00FC3767"/>
    <w:rsid w:val="00FD134E"/>
    <w:rsid w:val="00FD2D5C"/>
    <w:rsid w:val="00FD3301"/>
    <w:rsid w:val="00FE1030"/>
    <w:rsid w:val="00FE2ECC"/>
    <w:rsid w:val="00FF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C37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3061"/>
    <w:pPr>
      <w:tabs>
        <w:tab w:val="center" w:pos="4320"/>
        <w:tab w:val="right" w:pos="8640"/>
      </w:tabs>
    </w:pPr>
  </w:style>
  <w:style w:type="character" w:styleId="PageNumber">
    <w:name w:val="page number"/>
    <w:basedOn w:val="DefaultParagraphFont"/>
    <w:rsid w:val="00B73061"/>
  </w:style>
  <w:style w:type="paragraph" w:styleId="ListParagraph">
    <w:name w:val="List Paragraph"/>
    <w:basedOn w:val="Normal"/>
    <w:uiPriority w:val="34"/>
    <w:qFormat/>
    <w:rsid w:val="001C2F4B"/>
    <w:pPr>
      <w:ind w:left="720"/>
    </w:pPr>
  </w:style>
  <w:style w:type="paragraph" w:styleId="FootnoteText">
    <w:name w:val="footnote text"/>
    <w:basedOn w:val="Normal"/>
    <w:link w:val="FootnoteTextChar"/>
    <w:rsid w:val="007318CF"/>
    <w:rPr>
      <w:sz w:val="20"/>
    </w:rPr>
  </w:style>
  <w:style w:type="character" w:customStyle="1" w:styleId="FootnoteTextChar">
    <w:name w:val="Footnote Text Char"/>
    <w:basedOn w:val="DefaultParagraphFont"/>
    <w:link w:val="FootnoteText"/>
    <w:rsid w:val="007318CF"/>
  </w:style>
  <w:style w:type="character" w:styleId="FootnoteReference">
    <w:name w:val="footnote reference"/>
    <w:basedOn w:val="DefaultParagraphFont"/>
    <w:rsid w:val="007318CF"/>
    <w:rPr>
      <w:vertAlign w:val="superscript"/>
    </w:rPr>
  </w:style>
  <w:style w:type="paragraph" w:styleId="BalloonText">
    <w:name w:val="Balloon Text"/>
    <w:basedOn w:val="Normal"/>
    <w:link w:val="BalloonTextChar"/>
    <w:rsid w:val="00B10C31"/>
    <w:rPr>
      <w:rFonts w:ascii="Segoe UI" w:hAnsi="Segoe UI" w:cs="Segoe UI"/>
      <w:sz w:val="18"/>
      <w:szCs w:val="18"/>
    </w:rPr>
  </w:style>
  <w:style w:type="character" w:customStyle="1" w:styleId="BalloonTextChar">
    <w:name w:val="Balloon Text Char"/>
    <w:basedOn w:val="DefaultParagraphFont"/>
    <w:link w:val="BalloonText"/>
    <w:rsid w:val="00B10C31"/>
    <w:rPr>
      <w:rFonts w:ascii="Segoe UI" w:hAnsi="Segoe UI" w:cs="Segoe UI"/>
      <w:sz w:val="18"/>
      <w:szCs w:val="18"/>
    </w:rPr>
  </w:style>
  <w:style w:type="character" w:styleId="CommentReference">
    <w:name w:val="annotation reference"/>
    <w:basedOn w:val="DefaultParagraphFont"/>
    <w:rsid w:val="00C05AFA"/>
    <w:rPr>
      <w:sz w:val="16"/>
      <w:szCs w:val="16"/>
    </w:rPr>
  </w:style>
  <w:style w:type="paragraph" w:styleId="CommentText">
    <w:name w:val="annotation text"/>
    <w:basedOn w:val="Normal"/>
    <w:link w:val="CommentTextChar"/>
    <w:rsid w:val="00C05AFA"/>
    <w:rPr>
      <w:sz w:val="20"/>
    </w:rPr>
  </w:style>
  <w:style w:type="character" w:customStyle="1" w:styleId="CommentTextChar">
    <w:name w:val="Comment Text Char"/>
    <w:basedOn w:val="DefaultParagraphFont"/>
    <w:link w:val="CommentText"/>
    <w:rsid w:val="00C05AFA"/>
  </w:style>
  <w:style w:type="paragraph" w:styleId="CommentSubject">
    <w:name w:val="annotation subject"/>
    <w:basedOn w:val="CommentText"/>
    <w:next w:val="CommentText"/>
    <w:link w:val="CommentSubjectChar"/>
    <w:rsid w:val="00C05AFA"/>
    <w:rPr>
      <w:b/>
      <w:bCs/>
    </w:rPr>
  </w:style>
  <w:style w:type="character" w:customStyle="1" w:styleId="CommentSubjectChar">
    <w:name w:val="Comment Subject Char"/>
    <w:basedOn w:val="CommentTextChar"/>
    <w:link w:val="CommentSubject"/>
    <w:rsid w:val="00C05AFA"/>
    <w:rPr>
      <w:b/>
      <w:bCs/>
    </w:rPr>
  </w:style>
  <w:style w:type="paragraph" w:styleId="Header">
    <w:name w:val="header"/>
    <w:basedOn w:val="Normal"/>
    <w:link w:val="HeaderChar"/>
    <w:rsid w:val="00CA784D"/>
    <w:pPr>
      <w:tabs>
        <w:tab w:val="center" w:pos="4680"/>
        <w:tab w:val="right" w:pos="9360"/>
      </w:tabs>
    </w:pPr>
  </w:style>
  <w:style w:type="character" w:customStyle="1" w:styleId="HeaderChar">
    <w:name w:val="Header Char"/>
    <w:basedOn w:val="DefaultParagraphFont"/>
    <w:link w:val="Header"/>
    <w:rsid w:val="00CA784D"/>
    <w:rPr>
      <w:sz w:val="24"/>
    </w:rPr>
  </w:style>
  <w:style w:type="character" w:customStyle="1" w:styleId="FooterChar">
    <w:name w:val="Footer Char"/>
    <w:basedOn w:val="DefaultParagraphFont"/>
    <w:link w:val="Footer"/>
    <w:uiPriority w:val="99"/>
    <w:rsid w:val="00CA784D"/>
    <w:rPr>
      <w:sz w:val="24"/>
    </w:rPr>
  </w:style>
  <w:style w:type="character" w:styleId="Hyperlink">
    <w:name w:val="Hyperlink"/>
    <w:basedOn w:val="DefaultParagraphFont"/>
    <w:rsid w:val="00E02038"/>
    <w:rPr>
      <w:color w:val="0563C1" w:themeColor="hyperlink"/>
      <w:u w:val="single"/>
    </w:rPr>
  </w:style>
  <w:style w:type="character" w:customStyle="1" w:styleId="UnresolvedMention1">
    <w:name w:val="Unresolved Mention1"/>
    <w:basedOn w:val="DefaultParagraphFont"/>
    <w:uiPriority w:val="99"/>
    <w:semiHidden/>
    <w:unhideWhenUsed/>
    <w:rsid w:val="009D262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3061"/>
    <w:pPr>
      <w:tabs>
        <w:tab w:val="center" w:pos="4320"/>
        <w:tab w:val="right" w:pos="8640"/>
      </w:tabs>
    </w:pPr>
  </w:style>
  <w:style w:type="character" w:styleId="PageNumber">
    <w:name w:val="page number"/>
    <w:basedOn w:val="DefaultParagraphFont"/>
    <w:rsid w:val="00B73061"/>
  </w:style>
  <w:style w:type="paragraph" w:styleId="ListParagraph">
    <w:name w:val="List Paragraph"/>
    <w:basedOn w:val="Normal"/>
    <w:uiPriority w:val="34"/>
    <w:qFormat/>
    <w:rsid w:val="001C2F4B"/>
    <w:pPr>
      <w:ind w:left="720"/>
    </w:pPr>
  </w:style>
  <w:style w:type="paragraph" w:styleId="FootnoteText">
    <w:name w:val="footnote text"/>
    <w:basedOn w:val="Normal"/>
    <w:link w:val="FootnoteTextChar"/>
    <w:rsid w:val="007318CF"/>
    <w:rPr>
      <w:sz w:val="20"/>
    </w:rPr>
  </w:style>
  <w:style w:type="character" w:customStyle="1" w:styleId="FootnoteTextChar">
    <w:name w:val="Footnote Text Char"/>
    <w:basedOn w:val="DefaultParagraphFont"/>
    <w:link w:val="FootnoteText"/>
    <w:rsid w:val="007318CF"/>
  </w:style>
  <w:style w:type="character" w:styleId="FootnoteReference">
    <w:name w:val="footnote reference"/>
    <w:basedOn w:val="DefaultParagraphFont"/>
    <w:rsid w:val="007318CF"/>
    <w:rPr>
      <w:vertAlign w:val="superscript"/>
    </w:rPr>
  </w:style>
  <w:style w:type="paragraph" w:styleId="BalloonText">
    <w:name w:val="Balloon Text"/>
    <w:basedOn w:val="Normal"/>
    <w:link w:val="BalloonTextChar"/>
    <w:rsid w:val="00B10C31"/>
    <w:rPr>
      <w:rFonts w:ascii="Segoe UI" w:hAnsi="Segoe UI" w:cs="Segoe UI"/>
      <w:sz w:val="18"/>
      <w:szCs w:val="18"/>
    </w:rPr>
  </w:style>
  <w:style w:type="character" w:customStyle="1" w:styleId="BalloonTextChar">
    <w:name w:val="Balloon Text Char"/>
    <w:basedOn w:val="DefaultParagraphFont"/>
    <w:link w:val="BalloonText"/>
    <w:rsid w:val="00B10C31"/>
    <w:rPr>
      <w:rFonts w:ascii="Segoe UI" w:hAnsi="Segoe UI" w:cs="Segoe UI"/>
      <w:sz w:val="18"/>
      <w:szCs w:val="18"/>
    </w:rPr>
  </w:style>
  <w:style w:type="character" w:styleId="CommentReference">
    <w:name w:val="annotation reference"/>
    <w:basedOn w:val="DefaultParagraphFont"/>
    <w:rsid w:val="00C05AFA"/>
    <w:rPr>
      <w:sz w:val="16"/>
      <w:szCs w:val="16"/>
    </w:rPr>
  </w:style>
  <w:style w:type="paragraph" w:styleId="CommentText">
    <w:name w:val="annotation text"/>
    <w:basedOn w:val="Normal"/>
    <w:link w:val="CommentTextChar"/>
    <w:rsid w:val="00C05AFA"/>
    <w:rPr>
      <w:sz w:val="20"/>
    </w:rPr>
  </w:style>
  <w:style w:type="character" w:customStyle="1" w:styleId="CommentTextChar">
    <w:name w:val="Comment Text Char"/>
    <w:basedOn w:val="DefaultParagraphFont"/>
    <w:link w:val="CommentText"/>
    <w:rsid w:val="00C05AFA"/>
  </w:style>
  <w:style w:type="paragraph" w:styleId="CommentSubject">
    <w:name w:val="annotation subject"/>
    <w:basedOn w:val="CommentText"/>
    <w:next w:val="CommentText"/>
    <w:link w:val="CommentSubjectChar"/>
    <w:rsid w:val="00C05AFA"/>
    <w:rPr>
      <w:b/>
      <w:bCs/>
    </w:rPr>
  </w:style>
  <w:style w:type="character" w:customStyle="1" w:styleId="CommentSubjectChar">
    <w:name w:val="Comment Subject Char"/>
    <w:basedOn w:val="CommentTextChar"/>
    <w:link w:val="CommentSubject"/>
    <w:rsid w:val="00C05AFA"/>
    <w:rPr>
      <w:b/>
      <w:bCs/>
    </w:rPr>
  </w:style>
  <w:style w:type="paragraph" w:styleId="Header">
    <w:name w:val="header"/>
    <w:basedOn w:val="Normal"/>
    <w:link w:val="HeaderChar"/>
    <w:rsid w:val="00CA784D"/>
    <w:pPr>
      <w:tabs>
        <w:tab w:val="center" w:pos="4680"/>
        <w:tab w:val="right" w:pos="9360"/>
      </w:tabs>
    </w:pPr>
  </w:style>
  <w:style w:type="character" w:customStyle="1" w:styleId="HeaderChar">
    <w:name w:val="Header Char"/>
    <w:basedOn w:val="DefaultParagraphFont"/>
    <w:link w:val="Header"/>
    <w:rsid w:val="00CA784D"/>
    <w:rPr>
      <w:sz w:val="24"/>
    </w:rPr>
  </w:style>
  <w:style w:type="character" w:customStyle="1" w:styleId="FooterChar">
    <w:name w:val="Footer Char"/>
    <w:basedOn w:val="DefaultParagraphFont"/>
    <w:link w:val="Footer"/>
    <w:uiPriority w:val="99"/>
    <w:rsid w:val="00CA784D"/>
    <w:rPr>
      <w:sz w:val="24"/>
    </w:rPr>
  </w:style>
  <w:style w:type="character" w:styleId="Hyperlink">
    <w:name w:val="Hyperlink"/>
    <w:basedOn w:val="DefaultParagraphFont"/>
    <w:rsid w:val="00E02038"/>
    <w:rPr>
      <w:color w:val="0563C1" w:themeColor="hyperlink"/>
      <w:u w:val="single"/>
    </w:rPr>
  </w:style>
  <w:style w:type="character" w:customStyle="1" w:styleId="UnresolvedMention1">
    <w:name w:val="Unresolved Mention1"/>
    <w:basedOn w:val="DefaultParagraphFont"/>
    <w:uiPriority w:val="99"/>
    <w:semiHidden/>
    <w:unhideWhenUsed/>
    <w:rsid w:val="009D26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ra.dot.gov/eLib/details/L206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40A5A-1792-4DB8-9787-319E4849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Toone, Kim (FRA)</dc:creator>
  <cp:keywords/>
  <dc:description/>
  <cp:lastModifiedBy>SYSTEM</cp:lastModifiedBy>
  <cp:revision>2</cp:revision>
  <cp:lastPrinted>2010-06-04T20:55:00Z</cp:lastPrinted>
  <dcterms:created xsi:type="dcterms:W3CDTF">2019-10-28T16:55:00Z</dcterms:created>
  <dcterms:modified xsi:type="dcterms:W3CDTF">2019-10-28T16:55:00Z</dcterms:modified>
</cp:coreProperties>
</file>