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10026" w14:textId="77777777" w:rsidR="009E13B1" w:rsidRPr="00D5138D" w:rsidRDefault="009E13B1" w:rsidP="00C957F6">
      <w:pPr>
        <w:pStyle w:val="Heading1"/>
        <w:jc w:val="center"/>
        <w:rPr>
          <w:rFonts w:ascii="Times New Roman" w:hAnsi="Times New Roman"/>
        </w:rPr>
      </w:pPr>
      <w:bookmarkStart w:id="0" w:name="_GoBack"/>
      <w:bookmarkEnd w:id="0"/>
      <w:r w:rsidRPr="00D5138D">
        <w:rPr>
          <w:rFonts w:ascii="Times New Roman" w:hAnsi="Times New Roman"/>
        </w:rPr>
        <w:t>Supporting Statement for Paperwork Reduction Act Submissions</w:t>
      </w:r>
    </w:p>
    <w:p w14:paraId="1F4F8E32" w14:textId="77777777" w:rsidR="00903A6C" w:rsidRPr="00D5138D" w:rsidRDefault="00903A6C" w:rsidP="00903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D5138D">
        <w:rPr>
          <w:b/>
          <w:sz w:val="24"/>
          <w:szCs w:val="24"/>
        </w:rPr>
        <w:t>Electronic Line of Credit Control System (eLOCCS) System Access Authorization Form Collection</w:t>
      </w:r>
    </w:p>
    <w:p w14:paraId="4A0EC637" w14:textId="77777777" w:rsidR="00167E53" w:rsidRPr="00D5138D" w:rsidRDefault="00167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D5138D">
        <w:rPr>
          <w:b/>
          <w:sz w:val="24"/>
          <w:szCs w:val="24"/>
        </w:rPr>
        <w:t xml:space="preserve">(OMB# </w:t>
      </w:r>
      <w:r w:rsidR="00903A6C" w:rsidRPr="00D5138D">
        <w:rPr>
          <w:b/>
          <w:sz w:val="24"/>
          <w:szCs w:val="24"/>
        </w:rPr>
        <w:t>2535-0102</w:t>
      </w:r>
      <w:r w:rsidRPr="00D5138D">
        <w:rPr>
          <w:b/>
          <w:sz w:val="24"/>
          <w:szCs w:val="24"/>
        </w:rPr>
        <w:t>)</w:t>
      </w:r>
    </w:p>
    <w:p w14:paraId="33D712B5" w14:textId="77777777" w:rsidR="009E13B1" w:rsidRPr="00D5138D" w:rsidRDefault="009E13B1" w:rsidP="006C7FAE">
      <w:pPr>
        <w:rPr>
          <w:b/>
          <w:sz w:val="24"/>
          <w:szCs w:val="24"/>
        </w:rPr>
      </w:pPr>
    </w:p>
    <w:p w14:paraId="5CF584B7" w14:textId="77777777" w:rsidR="009E13B1" w:rsidRPr="00D5138D" w:rsidRDefault="009E13B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D5138D">
        <w:rPr>
          <w:rFonts w:ascii="Helvetica" w:hAnsi="Helvetica"/>
          <w:b/>
          <w:sz w:val="24"/>
          <w:szCs w:val="24"/>
        </w:rPr>
        <w:t xml:space="preserve">A. </w:t>
      </w:r>
      <w:r w:rsidRPr="00D5138D">
        <w:rPr>
          <w:rFonts w:ascii="Helvetica" w:hAnsi="Helvetica"/>
          <w:b/>
          <w:sz w:val="24"/>
          <w:szCs w:val="24"/>
        </w:rPr>
        <w:tab/>
        <w:t>Justification</w:t>
      </w:r>
    </w:p>
    <w:p w14:paraId="51F14DF3" w14:textId="77777777" w:rsidR="009E13B1" w:rsidRPr="00D5138D" w:rsidRDefault="009E1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14:paraId="31484B94" w14:textId="77777777" w:rsidR="00A067A3" w:rsidRPr="00D5138D" w:rsidRDefault="009E13B1">
      <w:pPr>
        <w:keepLines/>
        <w:tabs>
          <w:tab w:val="left" w:pos="360"/>
        </w:tabs>
        <w:spacing w:after="80"/>
        <w:ind w:left="360" w:hanging="360"/>
        <w:rPr>
          <w:sz w:val="24"/>
          <w:szCs w:val="24"/>
        </w:rPr>
      </w:pPr>
      <w:r w:rsidRPr="00D5138D">
        <w:rPr>
          <w:sz w:val="24"/>
          <w:szCs w:val="24"/>
        </w:rPr>
        <w:t>1.</w:t>
      </w:r>
      <w:r w:rsidRPr="00D5138D">
        <w:rPr>
          <w:sz w:val="24"/>
          <w:szCs w:val="24"/>
        </w:rPr>
        <w:tab/>
      </w:r>
      <w:r w:rsidR="00A067A3" w:rsidRPr="00D5138D">
        <w:rPr>
          <w:sz w:val="24"/>
          <w:szCs w:val="24"/>
        </w:rPr>
        <w:t>This information collection is necessary to establish grantee access to the eLOCCS payment system.  This provides Grant recipients the ability to receive payments.  The attached copy of 2 CFR 200.305 prescribes the basic standard and methods under which a Federal agency will make payments to grantees.</w:t>
      </w:r>
    </w:p>
    <w:p w14:paraId="3D88409C" w14:textId="77777777" w:rsidR="009E13B1" w:rsidRPr="00D5138D" w:rsidRDefault="009E13B1">
      <w:pPr>
        <w:tabs>
          <w:tab w:val="left" w:pos="360"/>
        </w:tabs>
        <w:ind w:left="360" w:hanging="360"/>
        <w:rPr>
          <w:sz w:val="24"/>
          <w:szCs w:val="24"/>
        </w:rPr>
      </w:pPr>
    </w:p>
    <w:p w14:paraId="2F238454" w14:textId="77777777" w:rsidR="00A067A3" w:rsidRPr="00D5138D" w:rsidRDefault="009E13B1" w:rsidP="00A067A3">
      <w:pPr>
        <w:keepLines/>
        <w:tabs>
          <w:tab w:val="left" w:pos="360"/>
        </w:tabs>
        <w:spacing w:after="80"/>
        <w:ind w:left="360" w:hanging="360"/>
        <w:rPr>
          <w:sz w:val="24"/>
          <w:szCs w:val="24"/>
        </w:rPr>
      </w:pPr>
      <w:r w:rsidRPr="00D5138D">
        <w:rPr>
          <w:sz w:val="24"/>
          <w:szCs w:val="24"/>
        </w:rPr>
        <w:t>2.</w:t>
      </w:r>
      <w:r w:rsidRPr="00D5138D">
        <w:rPr>
          <w:sz w:val="24"/>
          <w:szCs w:val="24"/>
        </w:rPr>
        <w:tab/>
      </w:r>
      <w:r w:rsidR="00A067A3" w:rsidRPr="00D5138D">
        <w:rPr>
          <w:sz w:val="24"/>
          <w:szCs w:val="24"/>
        </w:rPr>
        <w:t>Grant recipients provide information for the applicable HUD program with all the necessary information.  They process this request for payment through the Electronic Line of Credit Control System (eLOCCS System.)  Respondents submit payment requests directly to HUD.  The information that is submitted is used to establish access to the eLOCCS system.  This information is also used as an internal control feature that’s instituted to support and safeguard Federal funds, as well as provide a service to the recipients.</w:t>
      </w:r>
    </w:p>
    <w:p w14:paraId="00985453" w14:textId="77777777" w:rsidR="009E13B1" w:rsidRPr="00D5138D" w:rsidRDefault="009E13B1">
      <w:pPr>
        <w:keepLines/>
        <w:tabs>
          <w:tab w:val="left" w:pos="360"/>
          <w:tab w:val="left" w:pos="720"/>
        </w:tabs>
        <w:ind w:left="360"/>
        <w:rPr>
          <w:sz w:val="24"/>
          <w:szCs w:val="24"/>
        </w:rPr>
      </w:pPr>
    </w:p>
    <w:p w14:paraId="6EE7A467" w14:textId="77777777" w:rsidR="009E13B1" w:rsidRPr="00D5138D" w:rsidRDefault="009E13B1">
      <w:pPr>
        <w:keepLines/>
        <w:tabs>
          <w:tab w:val="left" w:pos="360"/>
        </w:tabs>
        <w:spacing w:after="80"/>
        <w:ind w:left="360" w:hanging="360"/>
        <w:rPr>
          <w:sz w:val="24"/>
          <w:szCs w:val="24"/>
        </w:rPr>
      </w:pPr>
      <w:r w:rsidRPr="00D5138D">
        <w:rPr>
          <w:sz w:val="24"/>
          <w:szCs w:val="24"/>
        </w:rPr>
        <w:t>3.</w:t>
      </w:r>
      <w:r w:rsidRPr="00D5138D">
        <w:rPr>
          <w:sz w:val="24"/>
          <w:szCs w:val="24"/>
        </w:rPr>
        <w:tab/>
      </w:r>
      <w:r w:rsidR="00A64A42" w:rsidRPr="00D5138D">
        <w:rPr>
          <w:sz w:val="24"/>
          <w:szCs w:val="24"/>
        </w:rPr>
        <w:t xml:space="preserve">eLOCCS provides a fast, reliable method for recipients to obtain Federal funding.  This technology method allows the recipient to know before the end of the call whether their request will be paid, who to call if there is a problem, or if the request was not processed by the system.  All requests processed by the system are paid by ACH within 48 hours.  A link to the LOCCS Program Area Codes is on the instructions page of the HUD-27054E form.  </w:t>
      </w:r>
    </w:p>
    <w:p w14:paraId="479B02B9" w14:textId="77777777" w:rsidR="009E13B1" w:rsidRPr="00D5138D" w:rsidRDefault="009E13B1">
      <w:pPr>
        <w:tabs>
          <w:tab w:val="left" w:pos="360"/>
        </w:tabs>
        <w:ind w:left="360" w:hanging="360"/>
        <w:rPr>
          <w:sz w:val="24"/>
          <w:szCs w:val="24"/>
        </w:rPr>
      </w:pPr>
    </w:p>
    <w:p w14:paraId="20C4499A" w14:textId="77777777" w:rsidR="009E13B1" w:rsidRPr="00D5138D" w:rsidRDefault="009E13B1">
      <w:pPr>
        <w:keepLines/>
        <w:tabs>
          <w:tab w:val="left" w:pos="360"/>
        </w:tabs>
        <w:spacing w:after="80"/>
        <w:ind w:left="360" w:hanging="360"/>
        <w:rPr>
          <w:sz w:val="24"/>
          <w:szCs w:val="24"/>
        </w:rPr>
      </w:pPr>
      <w:r w:rsidRPr="00D5138D">
        <w:rPr>
          <w:sz w:val="24"/>
          <w:szCs w:val="24"/>
        </w:rPr>
        <w:t>4.</w:t>
      </w:r>
      <w:r w:rsidRPr="00D5138D">
        <w:rPr>
          <w:sz w:val="24"/>
          <w:szCs w:val="24"/>
        </w:rPr>
        <w:tab/>
      </w:r>
      <w:r w:rsidR="00A64A42" w:rsidRPr="00D5138D">
        <w:rPr>
          <w:sz w:val="24"/>
          <w:szCs w:val="24"/>
        </w:rPr>
        <w:t>Each request for funds distribution is unique.  Only the identifying elements are duplicated to establish access.</w:t>
      </w:r>
      <w:r w:rsidR="00C957F6" w:rsidRPr="00D5138D">
        <w:rPr>
          <w:sz w:val="24"/>
          <w:szCs w:val="24"/>
        </w:rPr>
        <w:t xml:space="preserve"> Similar information already available cannot be used or modified for use for the purposes described in Item 2 above, because this access form serves as an access agreement between HUD and the grantee. </w:t>
      </w:r>
    </w:p>
    <w:p w14:paraId="25485CFB" w14:textId="77777777" w:rsidR="009E13B1" w:rsidRPr="00D5138D" w:rsidRDefault="009E13B1">
      <w:pPr>
        <w:keepLines/>
        <w:tabs>
          <w:tab w:val="left" w:pos="360"/>
          <w:tab w:val="left" w:pos="720"/>
        </w:tabs>
        <w:ind w:left="360"/>
        <w:rPr>
          <w:sz w:val="24"/>
          <w:szCs w:val="24"/>
        </w:rPr>
      </w:pPr>
    </w:p>
    <w:p w14:paraId="6423E053" w14:textId="77777777" w:rsidR="009E13B1" w:rsidRPr="00D5138D" w:rsidRDefault="009E13B1">
      <w:pPr>
        <w:keepLines/>
        <w:tabs>
          <w:tab w:val="left" w:pos="360"/>
        </w:tabs>
        <w:spacing w:after="80"/>
        <w:ind w:left="360" w:hanging="360"/>
        <w:rPr>
          <w:sz w:val="24"/>
          <w:szCs w:val="24"/>
        </w:rPr>
      </w:pPr>
      <w:r w:rsidRPr="00D5138D">
        <w:rPr>
          <w:sz w:val="24"/>
          <w:szCs w:val="24"/>
        </w:rPr>
        <w:t>5.</w:t>
      </w:r>
      <w:r w:rsidRPr="00D5138D">
        <w:rPr>
          <w:sz w:val="24"/>
          <w:szCs w:val="24"/>
        </w:rPr>
        <w:tab/>
      </w:r>
      <w:r w:rsidR="00A64A42" w:rsidRPr="00D5138D">
        <w:rPr>
          <w:sz w:val="24"/>
          <w:szCs w:val="24"/>
        </w:rPr>
        <w:t>There is no impact to small entities.</w:t>
      </w:r>
      <w:r w:rsidR="00497DCD" w:rsidRPr="00D5138D">
        <w:rPr>
          <w:sz w:val="24"/>
          <w:szCs w:val="24"/>
        </w:rPr>
        <w:t xml:space="preserve"> In addition, the HUD-27054E form is only two pages and takes a few minutes to complete, therefore there is minimal burden for entities of any size. </w:t>
      </w:r>
    </w:p>
    <w:p w14:paraId="4F61B382" w14:textId="77777777" w:rsidR="009E13B1" w:rsidRPr="00D5138D" w:rsidRDefault="009E13B1">
      <w:pPr>
        <w:tabs>
          <w:tab w:val="left" w:pos="360"/>
        </w:tabs>
        <w:ind w:left="360" w:hanging="360"/>
        <w:rPr>
          <w:sz w:val="24"/>
          <w:szCs w:val="24"/>
        </w:rPr>
      </w:pPr>
    </w:p>
    <w:p w14:paraId="72305685" w14:textId="77777777" w:rsidR="009E13B1" w:rsidRPr="00D5138D" w:rsidRDefault="009E13B1">
      <w:pPr>
        <w:keepLines/>
        <w:tabs>
          <w:tab w:val="left" w:pos="360"/>
        </w:tabs>
        <w:spacing w:after="80"/>
        <w:ind w:left="360" w:hanging="360"/>
        <w:rPr>
          <w:sz w:val="24"/>
          <w:szCs w:val="24"/>
        </w:rPr>
      </w:pPr>
      <w:r w:rsidRPr="00D5138D">
        <w:rPr>
          <w:sz w:val="24"/>
          <w:szCs w:val="24"/>
        </w:rPr>
        <w:t>6.</w:t>
      </w:r>
      <w:r w:rsidRPr="00D5138D">
        <w:rPr>
          <w:sz w:val="24"/>
          <w:szCs w:val="24"/>
        </w:rPr>
        <w:tab/>
      </w:r>
      <w:r w:rsidR="00A64A42" w:rsidRPr="00D5138D">
        <w:rPr>
          <w:sz w:val="24"/>
          <w:szCs w:val="24"/>
        </w:rPr>
        <w:t xml:space="preserve">The collection </w:t>
      </w:r>
      <w:r w:rsidR="00154BD8" w:rsidRPr="00D5138D">
        <w:rPr>
          <w:sz w:val="24"/>
          <w:szCs w:val="24"/>
        </w:rPr>
        <w:t xml:space="preserve">of the eLOCCS access form </w:t>
      </w:r>
      <w:r w:rsidR="00A64A42" w:rsidRPr="00D5138D">
        <w:rPr>
          <w:sz w:val="24"/>
          <w:szCs w:val="24"/>
        </w:rPr>
        <w:t>allows for grantees to be granted access to the eLOCCS system so that they can</w:t>
      </w:r>
      <w:r w:rsidR="00154BD8" w:rsidRPr="00D5138D">
        <w:rPr>
          <w:sz w:val="24"/>
          <w:szCs w:val="24"/>
        </w:rPr>
        <w:t xml:space="preserve"> receive funds</w:t>
      </w:r>
      <w:r w:rsidR="00A64A42" w:rsidRPr="00D5138D">
        <w:rPr>
          <w:sz w:val="24"/>
          <w:szCs w:val="24"/>
        </w:rPr>
        <w:t xml:space="preserve">.  </w:t>
      </w:r>
      <w:r w:rsidR="00154BD8" w:rsidRPr="00D5138D">
        <w:rPr>
          <w:sz w:val="24"/>
          <w:szCs w:val="24"/>
        </w:rPr>
        <w:t>They cannot receive funds</w:t>
      </w:r>
      <w:r w:rsidR="00A64A42" w:rsidRPr="00D5138D">
        <w:rPr>
          <w:sz w:val="24"/>
          <w:szCs w:val="24"/>
        </w:rPr>
        <w:t xml:space="preserve"> without </w:t>
      </w:r>
      <w:r w:rsidR="00154BD8" w:rsidRPr="00D5138D">
        <w:rPr>
          <w:sz w:val="24"/>
          <w:szCs w:val="24"/>
        </w:rPr>
        <w:t>eLOCCS access.</w:t>
      </w:r>
      <w:r w:rsidR="00E33D78" w:rsidRPr="00D5138D">
        <w:rPr>
          <w:sz w:val="24"/>
          <w:szCs w:val="24"/>
        </w:rPr>
        <w:t xml:space="preserve"> Not completing the form will cause delays.</w:t>
      </w:r>
      <w:r w:rsidR="00B11008" w:rsidRPr="00D5138D">
        <w:rPr>
          <w:sz w:val="24"/>
          <w:szCs w:val="24"/>
        </w:rPr>
        <w:t xml:space="preserve"> Lastly, HUD-27054E serves as an access agreement, therefore it must be completed prior to the grantee receiving access.</w:t>
      </w:r>
    </w:p>
    <w:p w14:paraId="4374136B" w14:textId="77777777" w:rsidR="009E13B1" w:rsidRPr="00D5138D" w:rsidRDefault="009E13B1">
      <w:pPr>
        <w:keepLines/>
        <w:tabs>
          <w:tab w:val="left" w:pos="360"/>
          <w:tab w:val="left" w:pos="720"/>
        </w:tabs>
        <w:ind w:left="360"/>
        <w:rPr>
          <w:sz w:val="24"/>
          <w:szCs w:val="24"/>
        </w:rPr>
      </w:pPr>
    </w:p>
    <w:p w14:paraId="5719C750" w14:textId="77777777" w:rsidR="00154BD8" w:rsidRPr="00D5138D" w:rsidRDefault="009E13B1" w:rsidP="00154BD8">
      <w:pPr>
        <w:numPr>
          <w:ilvl w:val="0"/>
          <w:numId w:val="13"/>
        </w:numPr>
        <w:tabs>
          <w:tab w:val="left" w:pos="360"/>
        </w:tabs>
        <w:rPr>
          <w:sz w:val="24"/>
          <w:szCs w:val="24"/>
        </w:rPr>
      </w:pPr>
      <w:r w:rsidRPr="00D5138D">
        <w:rPr>
          <w:sz w:val="24"/>
          <w:szCs w:val="24"/>
        </w:rPr>
        <w:t xml:space="preserve">Explain any special circumstances that would cause an information collection to be conducted in a manner: </w:t>
      </w:r>
      <w:r w:rsidR="00154BD8" w:rsidRPr="00D5138D">
        <w:rPr>
          <w:sz w:val="24"/>
          <w:szCs w:val="24"/>
        </w:rPr>
        <w:t>There are no special circumstances that apply to this information collection.</w:t>
      </w:r>
      <w:r w:rsidR="0000207A">
        <w:rPr>
          <w:sz w:val="24"/>
          <w:szCs w:val="24"/>
        </w:rPr>
        <w:br/>
      </w:r>
    </w:p>
    <w:p w14:paraId="130020EE" w14:textId="77777777" w:rsidR="009E13B1" w:rsidRPr="00D5138D" w:rsidRDefault="009E13B1">
      <w:pPr>
        <w:numPr>
          <w:ilvl w:val="0"/>
          <w:numId w:val="14"/>
        </w:numPr>
        <w:tabs>
          <w:tab w:val="left" w:pos="600"/>
        </w:tabs>
        <w:rPr>
          <w:sz w:val="24"/>
          <w:szCs w:val="24"/>
        </w:rPr>
      </w:pPr>
      <w:r w:rsidRPr="00D5138D">
        <w:rPr>
          <w:sz w:val="24"/>
          <w:szCs w:val="24"/>
        </w:rPr>
        <w:t xml:space="preserve">requiring respondents to report information to the agency more than quarterly; </w:t>
      </w:r>
      <w:r w:rsidR="00154BD8" w:rsidRPr="00D5138D">
        <w:rPr>
          <w:b/>
          <w:sz w:val="24"/>
          <w:szCs w:val="24"/>
        </w:rPr>
        <w:t>N/A</w:t>
      </w:r>
    </w:p>
    <w:p w14:paraId="06FC0E46" w14:textId="77777777" w:rsidR="009E13B1" w:rsidRPr="00633DAF" w:rsidRDefault="009E13B1">
      <w:pPr>
        <w:numPr>
          <w:ilvl w:val="0"/>
          <w:numId w:val="14"/>
        </w:numPr>
        <w:tabs>
          <w:tab w:val="left" w:pos="600"/>
        </w:tabs>
        <w:rPr>
          <w:sz w:val="24"/>
          <w:szCs w:val="24"/>
        </w:rPr>
      </w:pPr>
      <w:r w:rsidRPr="00E33D78">
        <w:rPr>
          <w:sz w:val="24"/>
          <w:szCs w:val="24"/>
        </w:rPr>
        <w:lastRenderedPageBreak/>
        <w:t xml:space="preserve">requiring respondents to prepare a written response to a collection of information in fewer than 30 days </w:t>
      </w:r>
      <w:r w:rsidRPr="00633DAF">
        <w:rPr>
          <w:sz w:val="24"/>
          <w:szCs w:val="24"/>
        </w:rPr>
        <w:t xml:space="preserve">after receipt of </w:t>
      </w:r>
      <w:r w:rsidR="00AC13C3" w:rsidRPr="00633DAF">
        <w:rPr>
          <w:sz w:val="24"/>
          <w:szCs w:val="24"/>
        </w:rPr>
        <w:t xml:space="preserve">it; </w:t>
      </w:r>
      <w:r w:rsidR="00AC13C3" w:rsidRPr="00AC13C3">
        <w:rPr>
          <w:b/>
          <w:bCs/>
          <w:sz w:val="24"/>
          <w:szCs w:val="24"/>
        </w:rPr>
        <w:t>N</w:t>
      </w:r>
      <w:r w:rsidR="00154BD8" w:rsidRPr="00AC13C3">
        <w:rPr>
          <w:b/>
          <w:bCs/>
          <w:sz w:val="24"/>
          <w:szCs w:val="24"/>
        </w:rPr>
        <w:t>/</w:t>
      </w:r>
      <w:r w:rsidR="00154BD8" w:rsidRPr="00633DAF">
        <w:rPr>
          <w:b/>
          <w:sz w:val="24"/>
          <w:szCs w:val="24"/>
        </w:rPr>
        <w:t>A</w:t>
      </w:r>
      <w:r w:rsidR="00E35AE7">
        <w:rPr>
          <w:b/>
          <w:sz w:val="24"/>
          <w:szCs w:val="24"/>
        </w:rPr>
        <w:br/>
      </w:r>
    </w:p>
    <w:p w14:paraId="0EBC55AB" w14:textId="77777777" w:rsidR="009E13B1" w:rsidRPr="00633DAF" w:rsidRDefault="009E13B1">
      <w:pPr>
        <w:numPr>
          <w:ilvl w:val="0"/>
          <w:numId w:val="14"/>
        </w:numPr>
        <w:tabs>
          <w:tab w:val="left" w:pos="600"/>
        </w:tabs>
        <w:rPr>
          <w:sz w:val="24"/>
          <w:szCs w:val="24"/>
        </w:rPr>
      </w:pPr>
      <w:r w:rsidRPr="00633DAF">
        <w:rPr>
          <w:sz w:val="24"/>
          <w:szCs w:val="24"/>
        </w:rPr>
        <w:t xml:space="preserve">requiring respondents to submit more than an original and two copies of any </w:t>
      </w:r>
      <w:r w:rsidR="00AC13C3" w:rsidRPr="00633DAF">
        <w:rPr>
          <w:sz w:val="24"/>
          <w:szCs w:val="24"/>
        </w:rPr>
        <w:t xml:space="preserve">document; </w:t>
      </w:r>
      <w:r w:rsidR="00AC13C3" w:rsidRPr="00AC13C3">
        <w:rPr>
          <w:b/>
          <w:bCs/>
          <w:sz w:val="24"/>
          <w:szCs w:val="24"/>
        </w:rPr>
        <w:t>N</w:t>
      </w:r>
      <w:r w:rsidR="00154BD8" w:rsidRPr="00AC13C3">
        <w:rPr>
          <w:b/>
          <w:bCs/>
          <w:sz w:val="24"/>
          <w:szCs w:val="24"/>
        </w:rPr>
        <w:t>/A</w:t>
      </w:r>
      <w:r w:rsidR="00E35AE7">
        <w:rPr>
          <w:b/>
          <w:bCs/>
          <w:sz w:val="24"/>
          <w:szCs w:val="24"/>
        </w:rPr>
        <w:br/>
      </w:r>
    </w:p>
    <w:p w14:paraId="6A2F4A79" w14:textId="77777777" w:rsidR="009E13B1" w:rsidRPr="00633DAF" w:rsidRDefault="009E13B1">
      <w:pPr>
        <w:numPr>
          <w:ilvl w:val="0"/>
          <w:numId w:val="14"/>
        </w:numPr>
        <w:tabs>
          <w:tab w:val="left" w:pos="600"/>
        </w:tabs>
        <w:rPr>
          <w:sz w:val="24"/>
          <w:szCs w:val="24"/>
        </w:rPr>
      </w:pPr>
      <w:r w:rsidRPr="00633DAF">
        <w:rPr>
          <w:sz w:val="24"/>
          <w:szCs w:val="24"/>
        </w:rPr>
        <w:t xml:space="preserve">requiring respondents to retain records other than health, medical, government contract, grant-in-aid, or tax records for more than three </w:t>
      </w:r>
      <w:r w:rsidR="00AC13C3" w:rsidRPr="00633DAF">
        <w:rPr>
          <w:sz w:val="24"/>
          <w:szCs w:val="24"/>
        </w:rPr>
        <w:t xml:space="preserve">years; </w:t>
      </w:r>
      <w:r w:rsidR="00AC13C3" w:rsidRPr="00AC13C3">
        <w:rPr>
          <w:b/>
          <w:bCs/>
          <w:sz w:val="24"/>
          <w:szCs w:val="24"/>
        </w:rPr>
        <w:t>N</w:t>
      </w:r>
      <w:r w:rsidR="00154BD8" w:rsidRPr="00AC13C3">
        <w:rPr>
          <w:b/>
          <w:bCs/>
          <w:sz w:val="24"/>
          <w:szCs w:val="24"/>
        </w:rPr>
        <w:t>/A</w:t>
      </w:r>
      <w:r w:rsidR="00E35AE7">
        <w:rPr>
          <w:b/>
          <w:bCs/>
          <w:sz w:val="24"/>
          <w:szCs w:val="24"/>
        </w:rPr>
        <w:br/>
      </w:r>
    </w:p>
    <w:p w14:paraId="3348FD7E" w14:textId="77777777" w:rsidR="009E13B1" w:rsidRPr="00633DAF" w:rsidRDefault="009E13B1">
      <w:pPr>
        <w:numPr>
          <w:ilvl w:val="0"/>
          <w:numId w:val="14"/>
        </w:numPr>
        <w:tabs>
          <w:tab w:val="left" w:pos="600"/>
        </w:tabs>
        <w:rPr>
          <w:sz w:val="24"/>
          <w:szCs w:val="24"/>
        </w:rPr>
      </w:pPr>
      <w:r w:rsidRPr="00633DAF">
        <w:rPr>
          <w:sz w:val="24"/>
          <w:szCs w:val="24"/>
        </w:rPr>
        <w:t xml:space="preserve">in connection with a statistical survey, that is not designed to produce valid and reliable results than can be generalized to the universe of </w:t>
      </w:r>
      <w:r w:rsidR="00AC13C3" w:rsidRPr="00633DAF">
        <w:rPr>
          <w:sz w:val="24"/>
          <w:szCs w:val="24"/>
        </w:rPr>
        <w:t xml:space="preserve">study; </w:t>
      </w:r>
      <w:r w:rsidR="00AC13C3" w:rsidRPr="00AC13C3">
        <w:rPr>
          <w:b/>
          <w:bCs/>
          <w:sz w:val="24"/>
          <w:szCs w:val="24"/>
        </w:rPr>
        <w:t>N</w:t>
      </w:r>
      <w:r w:rsidR="00154BD8" w:rsidRPr="00AC13C3">
        <w:rPr>
          <w:b/>
          <w:bCs/>
          <w:sz w:val="24"/>
          <w:szCs w:val="24"/>
        </w:rPr>
        <w:t>/A</w:t>
      </w:r>
      <w:r w:rsidR="00E35AE7">
        <w:rPr>
          <w:b/>
          <w:bCs/>
          <w:sz w:val="24"/>
          <w:szCs w:val="24"/>
        </w:rPr>
        <w:br/>
      </w:r>
    </w:p>
    <w:p w14:paraId="12319614" w14:textId="77777777" w:rsidR="009E13B1" w:rsidRPr="00633DAF" w:rsidRDefault="009E13B1">
      <w:pPr>
        <w:numPr>
          <w:ilvl w:val="0"/>
          <w:numId w:val="14"/>
        </w:numPr>
        <w:tabs>
          <w:tab w:val="left" w:pos="600"/>
        </w:tabs>
        <w:rPr>
          <w:sz w:val="24"/>
          <w:szCs w:val="24"/>
        </w:rPr>
      </w:pPr>
      <w:r w:rsidRPr="00633DAF">
        <w:rPr>
          <w:sz w:val="24"/>
          <w:szCs w:val="24"/>
        </w:rPr>
        <w:t xml:space="preserve">requiring the use of a statistical data classification that has not been reviewed and approved by </w:t>
      </w:r>
      <w:r w:rsidR="00AC13C3" w:rsidRPr="00633DAF">
        <w:rPr>
          <w:sz w:val="24"/>
          <w:szCs w:val="24"/>
        </w:rPr>
        <w:t xml:space="preserve">OMB; </w:t>
      </w:r>
      <w:r w:rsidR="00AC13C3" w:rsidRPr="00AC13C3">
        <w:rPr>
          <w:b/>
          <w:bCs/>
          <w:sz w:val="24"/>
          <w:szCs w:val="24"/>
        </w:rPr>
        <w:t>N</w:t>
      </w:r>
      <w:r w:rsidR="00DC0187" w:rsidRPr="00AC13C3">
        <w:rPr>
          <w:b/>
          <w:bCs/>
          <w:sz w:val="24"/>
          <w:szCs w:val="24"/>
        </w:rPr>
        <w:t>/A</w:t>
      </w:r>
      <w:r w:rsidR="00E35AE7">
        <w:rPr>
          <w:b/>
          <w:bCs/>
          <w:sz w:val="24"/>
          <w:szCs w:val="24"/>
        </w:rPr>
        <w:br/>
      </w:r>
    </w:p>
    <w:p w14:paraId="135745CD" w14:textId="77777777" w:rsidR="009E13B1" w:rsidRPr="00633DAF" w:rsidRDefault="009E13B1">
      <w:pPr>
        <w:numPr>
          <w:ilvl w:val="0"/>
          <w:numId w:val="14"/>
        </w:numPr>
        <w:tabs>
          <w:tab w:val="left" w:pos="600"/>
        </w:tabs>
        <w:rPr>
          <w:sz w:val="24"/>
          <w:szCs w:val="24"/>
        </w:rPr>
      </w:pPr>
      <w:r w:rsidRPr="00633DAF">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DC0187" w:rsidRPr="00633DAF">
        <w:rPr>
          <w:sz w:val="24"/>
          <w:szCs w:val="24"/>
        </w:rPr>
        <w:t xml:space="preserve"> </w:t>
      </w:r>
      <w:r w:rsidR="00DC0187" w:rsidRPr="00633DAF">
        <w:rPr>
          <w:b/>
          <w:sz w:val="24"/>
          <w:szCs w:val="24"/>
        </w:rPr>
        <w:t>N/A</w:t>
      </w:r>
      <w:r w:rsidR="00E35AE7">
        <w:rPr>
          <w:b/>
          <w:sz w:val="24"/>
          <w:szCs w:val="24"/>
        </w:rPr>
        <w:br/>
      </w:r>
    </w:p>
    <w:p w14:paraId="161D765C" w14:textId="77777777" w:rsidR="009E13B1" w:rsidRPr="00633DAF" w:rsidRDefault="009E13B1">
      <w:pPr>
        <w:keepLines/>
        <w:numPr>
          <w:ilvl w:val="0"/>
          <w:numId w:val="14"/>
        </w:numPr>
        <w:tabs>
          <w:tab w:val="left" w:pos="600"/>
        </w:tabs>
        <w:spacing w:after="80"/>
        <w:rPr>
          <w:sz w:val="24"/>
          <w:szCs w:val="24"/>
        </w:rPr>
      </w:pPr>
      <w:r w:rsidRPr="00633DAF">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DC0187" w:rsidRPr="00633DAF">
        <w:rPr>
          <w:sz w:val="24"/>
          <w:szCs w:val="24"/>
        </w:rPr>
        <w:t xml:space="preserve"> </w:t>
      </w:r>
      <w:r w:rsidR="00DC0187" w:rsidRPr="00633DAF">
        <w:rPr>
          <w:b/>
          <w:sz w:val="24"/>
          <w:szCs w:val="24"/>
        </w:rPr>
        <w:t>N/A</w:t>
      </w:r>
    </w:p>
    <w:p w14:paraId="03525355" w14:textId="77777777" w:rsidR="009E13B1" w:rsidRPr="00E33D78" w:rsidRDefault="009E13B1">
      <w:pPr>
        <w:tabs>
          <w:tab w:val="left" w:pos="360"/>
        </w:tabs>
        <w:ind w:left="360" w:hanging="360"/>
        <w:rPr>
          <w:sz w:val="24"/>
          <w:szCs w:val="24"/>
        </w:rPr>
      </w:pPr>
    </w:p>
    <w:p w14:paraId="0853A84B" w14:textId="77777777" w:rsidR="009E13B1" w:rsidRPr="002A113F" w:rsidRDefault="009E13B1" w:rsidP="00DC0187">
      <w:pPr>
        <w:tabs>
          <w:tab w:val="left" w:pos="360"/>
        </w:tabs>
        <w:ind w:left="360" w:hanging="360"/>
        <w:rPr>
          <w:sz w:val="24"/>
          <w:szCs w:val="24"/>
        </w:rPr>
      </w:pPr>
      <w:r w:rsidRPr="002A113F">
        <w:rPr>
          <w:sz w:val="24"/>
          <w:szCs w:val="24"/>
        </w:rPr>
        <w:t xml:space="preserve"> 8.</w:t>
      </w:r>
      <w:r w:rsidRPr="002A113F">
        <w:rPr>
          <w:sz w:val="24"/>
          <w:szCs w:val="24"/>
        </w:rPr>
        <w:tab/>
      </w:r>
      <w:r w:rsidR="00DC0187" w:rsidRPr="002A113F">
        <w:rPr>
          <w:sz w:val="24"/>
          <w:szCs w:val="24"/>
        </w:rPr>
        <w:t xml:space="preserve">A notice requesting public comments for 60 days was published in the Federal Register on </w:t>
      </w:r>
      <w:r w:rsidR="00A82F0F">
        <w:rPr>
          <w:sz w:val="24"/>
          <w:szCs w:val="24"/>
        </w:rPr>
        <w:t>August 2, 2019</w:t>
      </w:r>
      <w:r w:rsidR="00DC0187" w:rsidRPr="002A113F">
        <w:rPr>
          <w:sz w:val="24"/>
          <w:szCs w:val="24"/>
        </w:rPr>
        <w:t xml:space="preserve">, Volume </w:t>
      </w:r>
      <w:r w:rsidR="00CC4E90">
        <w:rPr>
          <w:sz w:val="24"/>
          <w:szCs w:val="24"/>
        </w:rPr>
        <w:t>84</w:t>
      </w:r>
      <w:r w:rsidR="00DC0187" w:rsidRPr="002A113F">
        <w:rPr>
          <w:sz w:val="24"/>
          <w:szCs w:val="24"/>
        </w:rPr>
        <w:t>,</w:t>
      </w:r>
      <w:r w:rsidR="00CC4E90">
        <w:rPr>
          <w:sz w:val="24"/>
          <w:szCs w:val="24"/>
        </w:rPr>
        <w:t xml:space="preserve"> Number 149, Page 37908</w:t>
      </w:r>
      <w:r w:rsidR="00DC0187" w:rsidRPr="002A113F">
        <w:rPr>
          <w:sz w:val="24"/>
          <w:szCs w:val="24"/>
        </w:rPr>
        <w:t>.  No comments were received.</w:t>
      </w:r>
      <w:r w:rsidR="00DC0187" w:rsidRPr="002A113F">
        <w:rPr>
          <w:sz w:val="24"/>
          <w:szCs w:val="24"/>
        </w:rPr>
        <w:br/>
      </w:r>
    </w:p>
    <w:p w14:paraId="0C6BF282" w14:textId="77777777" w:rsidR="009E13B1" w:rsidRPr="002A113F" w:rsidRDefault="009E13B1">
      <w:pPr>
        <w:keepLines/>
        <w:tabs>
          <w:tab w:val="left" w:pos="360"/>
        </w:tabs>
        <w:spacing w:after="80"/>
        <w:ind w:left="360" w:hanging="360"/>
        <w:rPr>
          <w:sz w:val="24"/>
          <w:szCs w:val="24"/>
        </w:rPr>
      </w:pPr>
      <w:r w:rsidRPr="002A113F">
        <w:rPr>
          <w:sz w:val="24"/>
          <w:szCs w:val="24"/>
        </w:rPr>
        <w:t>9.</w:t>
      </w:r>
      <w:r w:rsidRPr="002A113F">
        <w:rPr>
          <w:sz w:val="24"/>
          <w:szCs w:val="24"/>
        </w:rPr>
        <w:tab/>
      </w:r>
      <w:r w:rsidR="00165E0E" w:rsidRPr="002A113F">
        <w:rPr>
          <w:sz w:val="24"/>
          <w:szCs w:val="24"/>
        </w:rPr>
        <w:t>No payment or gift is provided</w:t>
      </w:r>
      <w:r w:rsidR="00251FBB" w:rsidRPr="002A113F">
        <w:rPr>
          <w:sz w:val="24"/>
          <w:szCs w:val="24"/>
        </w:rPr>
        <w:t xml:space="preserve"> to respondents by completing the HUD-27054E form alone.</w:t>
      </w:r>
    </w:p>
    <w:p w14:paraId="2443249C" w14:textId="77777777" w:rsidR="009E13B1" w:rsidRPr="002A113F" w:rsidRDefault="009E13B1">
      <w:pPr>
        <w:tabs>
          <w:tab w:val="left" w:pos="360"/>
        </w:tabs>
        <w:ind w:left="360" w:hanging="360"/>
        <w:rPr>
          <w:sz w:val="24"/>
          <w:szCs w:val="24"/>
        </w:rPr>
      </w:pPr>
    </w:p>
    <w:p w14:paraId="3EE03284" w14:textId="6EE4506A" w:rsidR="009E13B1" w:rsidRDefault="009E13B1">
      <w:pPr>
        <w:keepLines/>
        <w:tabs>
          <w:tab w:val="left" w:pos="360"/>
        </w:tabs>
        <w:spacing w:after="80"/>
        <w:ind w:left="360" w:hanging="360"/>
        <w:rPr>
          <w:sz w:val="24"/>
          <w:szCs w:val="24"/>
        </w:rPr>
      </w:pPr>
      <w:r w:rsidRPr="002A113F">
        <w:rPr>
          <w:sz w:val="24"/>
          <w:szCs w:val="24"/>
        </w:rPr>
        <w:t>10.</w:t>
      </w:r>
      <w:r w:rsidR="00165E0E" w:rsidRPr="002A113F">
        <w:rPr>
          <w:sz w:val="24"/>
          <w:szCs w:val="24"/>
        </w:rPr>
        <w:t xml:space="preserve"> A Privacy Act Statement is included on </w:t>
      </w:r>
      <w:r w:rsidR="00DA5D69">
        <w:rPr>
          <w:sz w:val="24"/>
          <w:szCs w:val="24"/>
        </w:rPr>
        <w:t>the i</w:t>
      </w:r>
      <w:r w:rsidR="00165E0E" w:rsidRPr="002A113F">
        <w:rPr>
          <w:sz w:val="24"/>
          <w:szCs w:val="24"/>
        </w:rPr>
        <w:t>nformation collection instrument to assure confidentiality in collecting this information.  This payment system will require that the latest security features be installed to deter fraudulent payments.  Only a limited number of authorized officials will have access to the system for updating purposes.</w:t>
      </w:r>
    </w:p>
    <w:p w14:paraId="47EDD2A4" w14:textId="09B6B938" w:rsidR="00DA5D69" w:rsidRDefault="00DA5D69">
      <w:pPr>
        <w:keepLines/>
        <w:tabs>
          <w:tab w:val="left" w:pos="360"/>
        </w:tabs>
        <w:spacing w:after="80"/>
        <w:ind w:left="360" w:hanging="360"/>
        <w:rPr>
          <w:sz w:val="24"/>
          <w:szCs w:val="24"/>
        </w:rPr>
      </w:pPr>
    </w:p>
    <w:p w14:paraId="41EC5270" w14:textId="6A35366D" w:rsidR="00DA5D69" w:rsidRPr="002A113F" w:rsidRDefault="00DA5D69">
      <w:pPr>
        <w:keepLines/>
        <w:tabs>
          <w:tab w:val="left" w:pos="360"/>
        </w:tabs>
        <w:spacing w:after="80"/>
        <w:ind w:left="360" w:hanging="360"/>
        <w:rPr>
          <w:sz w:val="24"/>
          <w:szCs w:val="24"/>
        </w:rPr>
      </w:pPr>
      <w:r>
        <w:rPr>
          <w:sz w:val="24"/>
          <w:szCs w:val="24"/>
        </w:rPr>
        <w:tab/>
      </w:r>
      <w:r w:rsidRPr="00DA5D69">
        <w:rPr>
          <w:sz w:val="24"/>
          <w:szCs w:val="24"/>
        </w:rPr>
        <w:t>The forms comply with the Privacy Act.  The information collected contains no personal or organizational identifiers. Assurance of confidentiality is neither provided nor needed for any of these information collections. Personal identifiable information is covered under the Privacy Act of 1974 (U.S.C. 552)</w:t>
      </w:r>
    </w:p>
    <w:p w14:paraId="39FECD97" w14:textId="77777777" w:rsidR="009E13B1" w:rsidRPr="002A113F" w:rsidRDefault="009E13B1">
      <w:pPr>
        <w:tabs>
          <w:tab w:val="left" w:pos="360"/>
        </w:tabs>
        <w:ind w:left="360" w:hanging="360"/>
        <w:rPr>
          <w:sz w:val="24"/>
          <w:szCs w:val="24"/>
        </w:rPr>
      </w:pPr>
    </w:p>
    <w:p w14:paraId="7F21F950" w14:textId="77777777" w:rsidR="009E13B1" w:rsidRPr="002A113F" w:rsidRDefault="009E13B1">
      <w:pPr>
        <w:keepLines/>
        <w:tabs>
          <w:tab w:val="left" w:pos="360"/>
        </w:tabs>
        <w:spacing w:after="80"/>
        <w:ind w:left="360" w:hanging="360"/>
        <w:rPr>
          <w:sz w:val="24"/>
          <w:szCs w:val="24"/>
        </w:rPr>
      </w:pPr>
      <w:r w:rsidRPr="002A113F">
        <w:rPr>
          <w:sz w:val="24"/>
          <w:szCs w:val="24"/>
        </w:rPr>
        <w:t>11.</w:t>
      </w:r>
      <w:r w:rsidRPr="002A113F">
        <w:rPr>
          <w:sz w:val="24"/>
          <w:szCs w:val="24"/>
        </w:rPr>
        <w:tab/>
      </w:r>
      <w:r w:rsidR="00165E0E" w:rsidRPr="002A113F">
        <w:rPr>
          <w:sz w:val="24"/>
          <w:szCs w:val="24"/>
        </w:rPr>
        <w:t>The collection does not contain information of a sensitive nature about behavior or attitudes, religious beliefs, or private matters.</w:t>
      </w:r>
      <w:r w:rsidR="00251FBB" w:rsidRPr="002A113F">
        <w:rPr>
          <w:sz w:val="24"/>
          <w:szCs w:val="24"/>
        </w:rPr>
        <w:t xml:space="preserve"> This type of information is not necessary for the grantee to receive access to eLOCCS.</w:t>
      </w:r>
    </w:p>
    <w:p w14:paraId="55665BA3" w14:textId="77777777" w:rsidR="009E13B1" w:rsidRPr="002A113F" w:rsidRDefault="00B96082">
      <w:pPr>
        <w:tabs>
          <w:tab w:val="left" w:pos="360"/>
        </w:tabs>
        <w:ind w:left="360" w:hanging="360"/>
        <w:rPr>
          <w:sz w:val="24"/>
          <w:szCs w:val="24"/>
        </w:rPr>
      </w:pPr>
      <w:r>
        <w:rPr>
          <w:sz w:val="24"/>
          <w:szCs w:val="24"/>
        </w:rPr>
        <w:br w:type="column"/>
      </w:r>
    </w:p>
    <w:p w14:paraId="52D65381" w14:textId="77777777" w:rsidR="00167E53" w:rsidRDefault="009E13B1" w:rsidP="00B96082">
      <w:pPr>
        <w:tabs>
          <w:tab w:val="left" w:pos="360"/>
        </w:tabs>
        <w:ind w:left="360" w:hanging="360"/>
        <w:rPr>
          <w:sz w:val="24"/>
          <w:szCs w:val="24"/>
        </w:rPr>
      </w:pPr>
      <w:r w:rsidRPr="002A113F">
        <w:rPr>
          <w:sz w:val="24"/>
          <w:szCs w:val="24"/>
        </w:rPr>
        <w:t>12.</w:t>
      </w:r>
      <w:r w:rsidR="00165E0E" w:rsidRPr="002A113F">
        <w:rPr>
          <w:sz w:val="24"/>
          <w:szCs w:val="24"/>
        </w:rPr>
        <w:t>Estimate</w:t>
      </w:r>
      <w:r w:rsidRPr="002A113F">
        <w:rPr>
          <w:sz w:val="24"/>
          <w:szCs w:val="24"/>
        </w:rPr>
        <w:t xml:space="preserve"> of the hour burden of the collection of information</w:t>
      </w:r>
      <w:r w:rsidR="00536868">
        <w:rPr>
          <w:sz w:val="24"/>
          <w:szCs w:val="24"/>
        </w:rPr>
        <w:t xml:space="preserve"> </w:t>
      </w:r>
      <w:r w:rsidR="00C125CB">
        <w:rPr>
          <w:sz w:val="24"/>
          <w:szCs w:val="24"/>
        </w:rPr>
        <w:t>from</w:t>
      </w:r>
      <w:r w:rsidR="00536868">
        <w:rPr>
          <w:sz w:val="24"/>
          <w:szCs w:val="24"/>
        </w:rPr>
        <w:t xml:space="preserve"> the respondents</w:t>
      </w:r>
      <w:r w:rsidRPr="002A113F">
        <w:rPr>
          <w:sz w:val="24"/>
          <w:szCs w:val="24"/>
        </w:rPr>
        <w:t xml:space="preserve">: </w:t>
      </w:r>
    </w:p>
    <w:p w14:paraId="034E6D29" w14:textId="77777777" w:rsidR="00B96082" w:rsidRPr="002A113F" w:rsidRDefault="00B96082" w:rsidP="00B96082">
      <w:pPr>
        <w:tabs>
          <w:tab w:val="left" w:pos="360"/>
        </w:tabs>
        <w:ind w:left="360" w:hanging="360"/>
        <w:rPr>
          <w:sz w:val="24"/>
          <w:szCs w:val="24"/>
        </w:rPr>
      </w:pPr>
    </w:p>
    <w:p w14:paraId="72BE6395" w14:textId="77777777" w:rsidR="00165E0E" w:rsidRPr="002A113F" w:rsidRDefault="00165E0E" w:rsidP="00165E0E">
      <w:pPr>
        <w:ind w:firstLine="720"/>
        <w:rPr>
          <w:sz w:val="24"/>
          <w:szCs w:val="24"/>
        </w:rPr>
      </w:pPr>
      <w:r w:rsidRPr="002A113F">
        <w:rPr>
          <w:sz w:val="24"/>
          <w:szCs w:val="24"/>
        </w:rPr>
        <w:t>Average Annual Usage</w:t>
      </w:r>
    </w:p>
    <w:p w14:paraId="0CFF32FC" w14:textId="77777777" w:rsidR="00165E0E" w:rsidRPr="002A113F" w:rsidRDefault="00165E0E" w:rsidP="00165E0E">
      <w:pPr>
        <w:ind w:firstLine="720"/>
      </w:pPr>
      <w:r w:rsidRPr="002A113F">
        <w:tab/>
        <w:t xml:space="preserve"> </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3"/>
        <w:gridCol w:w="1373"/>
        <w:gridCol w:w="1184"/>
        <w:gridCol w:w="1148"/>
        <w:gridCol w:w="1066"/>
        <w:gridCol w:w="901"/>
        <w:gridCol w:w="1066"/>
        <w:gridCol w:w="1721"/>
      </w:tblGrid>
      <w:tr w:rsidR="00165E0E" w:rsidRPr="002A113F" w14:paraId="61DA4F6A" w14:textId="77777777" w:rsidTr="0090663D">
        <w:tc>
          <w:tcPr>
            <w:tcW w:w="1323" w:type="dxa"/>
            <w:tcMar>
              <w:top w:w="0" w:type="dxa"/>
              <w:left w:w="108" w:type="dxa"/>
              <w:bottom w:w="0" w:type="dxa"/>
              <w:right w:w="108" w:type="dxa"/>
            </w:tcMar>
            <w:hideMark/>
          </w:tcPr>
          <w:p w14:paraId="3553AEA9" w14:textId="77777777" w:rsidR="00165E0E" w:rsidRPr="002A113F" w:rsidRDefault="00165E0E" w:rsidP="0090663D">
            <w:pPr>
              <w:jc w:val="center"/>
              <w:rPr>
                <w:rFonts w:eastAsia="Calibri"/>
                <w:b/>
                <w:sz w:val="18"/>
                <w:szCs w:val="18"/>
              </w:rPr>
            </w:pPr>
            <w:r w:rsidRPr="002A113F">
              <w:rPr>
                <w:b/>
                <w:sz w:val="18"/>
                <w:szCs w:val="18"/>
              </w:rPr>
              <w:t>Information Collection</w:t>
            </w:r>
          </w:p>
        </w:tc>
        <w:tc>
          <w:tcPr>
            <w:tcW w:w="1373" w:type="dxa"/>
            <w:tcMar>
              <w:top w:w="0" w:type="dxa"/>
              <w:left w:w="108" w:type="dxa"/>
              <w:bottom w:w="0" w:type="dxa"/>
              <w:right w:w="108" w:type="dxa"/>
            </w:tcMar>
            <w:hideMark/>
          </w:tcPr>
          <w:p w14:paraId="66605D50" w14:textId="77777777" w:rsidR="00165E0E" w:rsidRPr="002A113F" w:rsidRDefault="00165E0E" w:rsidP="0090663D">
            <w:pPr>
              <w:jc w:val="center"/>
              <w:rPr>
                <w:rFonts w:eastAsia="Calibri"/>
                <w:b/>
                <w:sz w:val="18"/>
                <w:szCs w:val="18"/>
              </w:rPr>
            </w:pPr>
            <w:r w:rsidRPr="002A113F">
              <w:rPr>
                <w:b/>
                <w:sz w:val="18"/>
                <w:szCs w:val="18"/>
              </w:rPr>
              <w:t>Number of Respondents</w:t>
            </w:r>
          </w:p>
        </w:tc>
        <w:tc>
          <w:tcPr>
            <w:tcW w:w="1184" w:type="dxa"/>
            <w:tcMar>
              <w:top w:w="0" w:type="dxa"/>
              <w:left w:w="108" w:type="dxa"/>
              <w:bottom w:w="0" w:type="dxa"/>
              <w:right w:w="108" w:type="dxa"/>
            </w:tcMar>
            <w:hideMark/>
          </w:tcPr>
          <w:p w14:paraId="19E8B0B0" w14:textId="77777777" w:rsidR="00165E0E" w:rsidRPr="002A113F" w:rsidRDefault="00165E0E" w:rsidP="0090663D">
            <w:pPr>
              <w:jc w:val="center"/>
              <w:rPr>
                <w:rFonts w:eastAsia="Calibri"/>
                <w:b/>
                <w:sz w:val="18"/>
                <w:szCs w:val="18"/>
              </w:rPr>
            </w:pPr>
            <w:r w:rsidRPr="002A113F">
              <w:rPr>
                <w:b/>
                <w:sz w:val="18"/>
                <w:szCs w:val="18"/>
              </w:rPr>
              <w:t>Frequency of Response</w:t>
            </w:r>
          </w:p>
        </w:tc>
        <w:tc>
          <w:tcPr>
            <w:tcW w:w="1148" w:type="dxa"/>
            <w:tcMar>
              <w:top w:w="0" w:type="dxa"/>
              <w:left w:w="108" w:type="dxa"/>
              <w:bottom w:w="0" w:type="dxa"/>
              <w:right w:w="108" w:type="dxa"/>
            </w:tcMar>
            <w:hideMark/>
          </w:tcPr>
          <w:p w14:paraId="0ECF15A0" w14:textId="77777777" w:rsidR="00165E0E" w:rsidRPr="002A113F" w:rsidRDefault="00165E0E" w:rsidP="0090663D">
            <w:pPr>
              <w:jc w:val="center"/>
              <w:rPr>
                <w:rFonts w:eastAsia="Calibri"/>
                <w:b/>
                <w:sz w:val="18"/>
                <w:szCs w:val="18"/>
              </w:rPr>
            </w:pPr>
            <w:r w:rsidRPr="002A113F">
              <w:rPr>
                <w:b/>
                <w:sz w:val="18"/>
                <w:szCs w:val="18"/>
              </w:rPr>
              <w:t>Responses</w:t>
            </w:r>
          </w:p>
          <w:p w14:paraId="397D4BC1" w14:textId="77777777" w:rsidR="00165E0E" w:rsidRPr="002A113F" w:rsidRDefault="00165E0E" w:rsidP="0090663D">
            <w:pPr>
              <w:jc w:val="center"/>
              <w:rPr>
                <w:rFonts w:eastAsia="Calibri"/>
                <w:b/>
                <w:sz w:val="18"/>
                <w:szCs w:val="18"/>
              </w:rPr>
            </w:pPr>
            <w:r w:rsidRPr="002A113F">
              <w:rPr>
                <w:b/>
                <w:sz w:val="18"/>
                <w:szCs w:val="18"/>
              </w:rPr>
              <w:t>Per Annum</w:t>
            </w:r>
          </w:p>
        </w:tc>
        <w:tc>
          <w:tcPr>
            <w:tcW w:w="1066" w:type="dxa"/>
            <w:tcMar>
              <w:top w:w="0" w:type="dxa"/>
              <w:left w:w="108" w:type="dxa"/>
              <w:bottom w:w="0" w:type="dxa"/>
              <w:right w:w="108" w:type="dxa"/>
            </w:tcMar>
            <w:hideMark/>
          </w:tcPr>
          <w:p w14:paraId="16D00089" w14:textId="77777777" w:rsidR="00165E0E" w:rsidRPr="002A113F" w:rsidRDefault="00165E0E" w:rsidP="0090663D">
            <w:pPr>
              <w:jc w:val="center"/>
              <w:rPr>
                <w:rFonts w:eastAsia="Calibri"/>
                <w:b/>
                <w:sz w:val="18"/>
                <w:szCs w:val="18"/>
              </w:rPr>
            </w:pPr>
            <w:r w:rsidRPr="002A113F">
              <w:rPr>
                <w:b/>
                <w:sz w:val="18"/>
                <w:szCs w:val="18"/>
              </w:rPr>
              <w:t>Burden Hour Per Response</w:t>
            </w:r>
          </w:p>
        </w:tc>
        <w:tc>
          <w:tcPr>
            <w:tcW w:w="901" w:type="dxa"/>
            <w:tcMar>
              <w:top w:w="0" w:type="dxa"/>
              <w:left w:w="108" w:type="dxa"/>
              <w:bottom w:w="0" w:type="dxa"/>
              <w:right w:w="108" w:type="dxa"/>
            </w:tcMar>
            <w:hideMark/>
          </w:tcPr>
          <w:p w14:paraId="44B13DF1" w14:textId="77777777" w:rsidR="00165E0E" w:rsidRPr="002A113F" w:rsidRDefault="00165E0E" w:rsidP="0090663D">
            <w:pPr>
              <w:jc w:val="center"/>
              <w:rPr>
                <w:rFonts w:eastAsia="Calibri"/>
                <w:b/>
                <w:sz w:val="18"/>
                <w:szCs w:val="18"/>
              </w:rPr>
            </w:pPr>
            <w:r w:rsidRPr="002A113F">
              <w:rPr>
                <w:b/>
                <w:sz w:val="18"/>
                <w:szCs w:val="18"/>
              </w:rPr>
              <w:t>Annual Burden Hours</w:t>
            </w:r>
          </w:p>
        </w:tc>
        <w:tc>
          <w:tcPr>
            <w:tcW w:w="1066" w:type="dxa"/>
            <w:tcMar>
              <w:top w:w="0" w:type="dxa"/>
              <w:left w:w="108" w:type="dxa"/>
              <w:bottom w:w="0" w:type="dxa"/>
              <w:right w:w="108" w:type="dxa"/>
            </w:tcMar>
            <w:hideMark/>
          </w:tcPr>
          <w:p w14:paraId="5EA22CE7" w14:textId="77777777" w:rsidR="00165E0E" w:rsidRPr="002A113F" w:rsidRDefault="00165E0E" w:rsidP="0090663D">
            <w:pPr>
              <w:jc w:val="center"/>
              <w:rPr>
                <w:rFonts w:eastAsia="Calibri"/>
                <w:b/>
                <w:sz w:val="18"/>
                <w:szCs w:val="18"/>
              </w:rPr>
            </w:pPr>
            <w:r w:rsidRPr="002A113F">
              <w:rPr>
                <w:b/>
                <w:sz w:val="18"/>
                <w:szCs w:val="18"/>
              </w:rPr>
              <w:t>Hourly Cost Per Response</w:t>
            </w:r>
          </w:p>
        </w:tc>
        <w:tc>
          <w:tcPr>
            <w:tcW w:w="1721" w:type="dxa"/>
            <w:tcMar>
              <w:top w:w="0" w:type="dxa"/>
              <w:left w:w="108" w:type="dxa"/>
              <w:bottom w:w="0" w:type="dxa"/>
              <w:right w:w="108" w:type="dxa"/>
            </w:tcMar>
          </w:tcPr>
          <w:p w14:paraId="0EA17868" w14:textId="77777777" w:rsidR="00165E0E" w:rsidRPr="002A113F" w:rsidRDefault="00165E0E" w:rsidP="0090663D">
            <w:pPr>
              <w:jc w:val="center"/>
              <w:rPr>
                <w:rFonts w:eastAsia="Calibri"/>
                <w:b/>
                <w:sz w:val="18"/>
                <w:szCs w:val="18"/>
              </w:rPr>
            </w:pPr>
            <w:r w:rsidRPr="002A113F">
              <w:rPr>
                <w:b/>
                <w:sz w:val="18"/>
                <w:szCs w:val="18"/>
              </w:rPr>
              <w:t>Annual Cost</w:t>
            </w:r>
          </w:p>
          <w:p w14:paraId="6394E321" w14:textId="77777777" w:rsidR="00165E0E" w:rsidRPr="002A113F" w:rsidRDefault="00165E0E" w:rsidP="0090663D">
            <w:pPr>
              <w:jc w:val="center"/>
              <w:rPr>
                <w:rFonts w:eastAsia="Calibri"/>
                <w:b/>
                <w:sz w:val="18"/>
                <w:szCs w:val="18"/>
              </w:rPr>
            </w:pPr>
          </w:p>
        </w:tc>
      </w:tr>
      <w:tr w:rsidR="00165E0E" w:rsidRPr="002A113F" w14:paraId="50176962" w14:textId="77777777" w:rsidTr="00251FBB">
        <w:trPr>
          <w:trHeight w:val="70"/>
        </w:trPr>
        <w:tc>
          <w:tcPr>
            <w:tcW w:w="1323" w:type="dxa"/>
            <w:tcMar>
              <w:top w:w="0" w:type="dxa"/>
              <w:left w:w="108" w:type="dxa"/>
              <w:bottom w:w="0" w:type="dxa"/>
              <w:right w:w="108" w:type="dxa"/>
            </w:tcMar>
            <w:hideMark/>
          </w:tcPr>
          <w:p w14:paraId="0F257AF7" w14:textId="77777777" w:rsidR="00165E0E" w:rsidRPr="002A113F" w:rsidRDefault="00165E0E" w:rsidP="0090663D">
            <w:pPr>
              <w:rPr>
                <w:b/>
                <w:bCs/>
                <w:sz w:val="18"/>
                <w:szCs w:val="18"/>
              </w:rPr>
            </w:pPr>
            <w:r w:rsidRPr="002A113F">
              <w:rPr>
                <w:b/>
                <w:bCs/>
                <w:sz w:val="18"/>
                <w:szCs w:val="18"/>
              </w:rPr>
              <w:t>HUD-27054E</w:t>
            </w:r>
          </w:p>
        </w:tc>
        <w:tc>
          <w:tcPr>
            <w:tcW w:w="1373" w:type="dxa"/>
            <w:tcMar>
              <w:top w:w="0" w:type="dxa"/>
              <w:left w:w="108" w:type="dxa"/>
              <w:bottom w:w="0" w:type="dxa"/>
              <w:right w:w="108" w:type="dxa"/>
            </w:tcMar>
            <w:hideMark/>
          </w:tcPr>
          <w:p w14:paraId="2BEB06F6" w14:textId="77777777" w:rsidR="00165E0E" w:rsidRPr="002A113F" w:rsidRDefault="00165E0E" w:rsidP="0090663D">
            <w:pPr>
              <w:jc w:val="center"/>
              <w:rPr>
                <w:b/>
                <w:bCs/>
                <w:sz w:val="18"/>
                <w:szCs w:val="18"/>
              </w:rPr>
            </w:pPr>
            <w:r w:rsidRPr="002A113F">
              <w:rPr>
                <w:b/>
                <w:bCs/>
                <w:sz w:val="18"/>
                <w:szCs w:val="18"/>
              </w:rPr>
              <w:t>2,420</w:t>
            </w:r>
            <w:r w:rsidR="00F240E3">
              <w:rPr>
                <w:b/>
                <w:bCs/>
                <w:sz w:val="18"/>
                <w:szCs w:val="18"/>
              </w:rPr>
              <w:t>.00</w:t>
            </w:r>
          </w:p>
        </w:tc>
        <w:tc>
          <w:tcPr>
            <w:tcW w:w="1184" w:type="dxa"/>
            <w:tcMar>
              <w:top w:w="0" w:type="dxa"/>
              <w:left w:w="108" w:type="dxa"/>
              <w:bottom w:w="0" w:type="dxa"/>
              <w:right w:w="108" w:type="dxa"/>
            </w:tcMar>
            <w:hideMark/>
          </w:tcPr>
          <w:p w14:paraId="7276CBCE" w14:textId="77777777" w:rsidR="00165E0E" w:rsidRPr="002A113F" w:rsidRDefault="00165E0E" w:rsidP="0090663D">
            <w:pPr>
              <w:jc w:val="center"/>
              <w:rPr>
                <w:rFonts w:eastAsia="Calibri"/>
                <w:b/>
                <w:bCs/>
                <w:sz w:val="18"/>
                <w:szCs w:val="18"/>
              </w:rPr>
            </w:pPr>
            <w:r w:rsidRPr="002A113F">
              <w:rPr>
                <w:rFonts w:eastAsia="Calibri"/>
                <w:b/>
                <w:bCs/>
                <w:sz w:val="18"/>
                <w:szCs w:val="18"/>
              </w:rPr>
              <w:t>1</w:t>
            </w:r>
            <w:r w:rsidR="00F240E3">
              <w:rPr>
                <w:rFonts w:eastAsia="Calibri"/>
                <w:b/>
                <w:bCs/>
                <w:sz w:val="18"/>
                <w:szCs w:val="18"/>
              </w:rPr>
              <w:t>.00</w:t>
            </w:r>
          </w:p>
        </w:tc>
        <w:tc>
          <w:tcPr>
            <w:tcW w:w="1148" w:type="dxa"/>
            <w:tcMar>
              <w:top w:w="0" w:type="dxa"/>
              <w:left w:w="108" w:type="dxa"/>
              <w:bottom w:w="0" w:type="dxa"/>
              <w:right w:w="108" w:type="dxa"/>
            </w:tcMar>
            <w:hideMark/>
          </w:tcPr>
          <w:p w14:paraId="52757FC4" w14:textId="77777777" w:rsidR="00165E0E" w:rsidRPr="002A113F" w:rsidRDefault="00165E0E" w:rsidP="0090663D">
            <w:pPr>
              <w:jc w:val="center"/>
              <w:rPr>
                <w:rFonts w:eastAsia="Calibri"/>
                <w:b/>
                <w:bCs/>
                <w:sz w:val="18"/>
                <w:szCs w:val="18"/>
              </w:rPr>
            </w:pPr>
            <w:r w:rsidRPr="002A113F">
              <w:rPr>
                <w:rFonts w:eastAsia="Calibri"/>
                <w:b/>
                <w:bCs/>
                <w:sz w:val="18"/>
                <w:szCs w:val="18"/>
              </w:rPr>
              <w:t>2,420</w:t>
            </w:r>
            <w:r w:rsidR="00BA2F62">
              <w:rPr>
                <w:rFonts w:eastAsia="Calibri"/>
                <w:b/>
                <w:bCs/>
                <w:sz w:val="18"/>
                <w:szCs w:val="18"/>
              </w:rPr>
              <w:t>.00</w:t>
            </w:r>
          </w:p>
        </w:tc>
        <w:tc>
          <w:tcPr>
            <w:tcW w:w="1066" w:type="dxa"/>
            <w:tcMar>
              <w:top w:w="0" w:type="dxa"/>
              <w:left w:w="108" w:type="dxa"/>
              <w:bottom w:w="0" w:type="dxa"/>
              <w:right w:w="108" w:type="dxa"/>
            </w:tcMar>
            <w:hideMark/>
          </w:tcPr>
          <w:p w14:paraId="00B36BA2" w14:textId="77777777" w:rsidR="00165E0E" w:rsidRPr="002A113F" w:rsidRDefault="00165E0E" w:rsidP="0090663D">
            <w:pPr>
              <w:jc w:val="center"/>
              <w:rPr>
                <w:rFonts w:eastAsia="Calibri"/>
                <w:b/>
                <w:bCs/>
                <w:sz w:val="18"/>
                <w:szCs w:val="18"/>
              </w:rPr>
            </w:pPr>
            <w:r w:rsidRPr="002A113F">
              <w:rPr>
                <w:rFonts w:eastAsia="Calibri"/>
                <w:b/>
                <w:bCs/>
                <w:sz w:val="18"/>
                <w:szCs w:val="18"/>
              </w:rPr>
              <w:t>0.17</w:t>
            </w:r>
          </w:p>
        </w:tc>
        <w:tc>
          <w:tcPr>
            <w:tcW w:w="901" w:type="dxa"/>
            <w:tcMar>
              <w:top w:w="0" w:type="dxa"/>
              <w:left w:w="108" w:type="dxa"/>
              <w:bottom w:w="0" w:type="dxa"/>
              <w:right w:w="108" w:type="dxa"/>
            </w:tcMar>
            <w:hideMark/>
          </w:tcPr>
          <w:p w14:paraId="7E34C8C4" w14:textId="77777777" w:rsidR="00165E0E" w:rsidRPr="002A113F" w:rsidRDefault="00165E0E" w:rsidP="0090663D">
            <w:pPr>
              <w:jc w:val="center"/>
              <w:rPr>
                <w:rFonts w:eastAsia="Calibri"/>
                <w:b/>
                <w:bCs/>
                <w:sz w:val="18"/>
                <w:szCs w:val="18"/>
              </w:rPr>
            </w:pPr>
            <w:r w:rsidRPr="002A113F">
              <w:rPr>
                <w:rFonts w:eastAsia="Calibri"/>
                <w:b/>
                <w:bCs/>
                <w:sz w:val="18"/>
                <w:szCs w:val="18"/>
              </w:rPr>
              <w:t>411.40</w:t>
            </w:r>
          </w:p>
        </w:tc>
        <w:tc>
          <w:tcPr>
            <w:tcW w:w="1066" w:type="dxa"/>
            <w:tcMar>
              <w:top w:w="0" w:type="dxa"/>
              <w:left w:w="108" w:type="dxa"/>
              <w:bottom w:w="0" w:type="dxa"/>
              <w:right w:w="108" w:type="dxa"/>
            </w:tcMar>
            <w:hideMark/>
          </w:tcPr>
          <w:p w14:paraId="4A06F9C5" w14:textId="77777777" w:rsidR="00165E0E" w:rsidRPr="002A113F" w:rsidRDefault="00165E0E" w:rsidP="0090663D">
            <w:pPr>
              <w:jc w:val="right"/>
              <w:rPr>
                <w:rFonts w:eastAsia="Calibri"/>
                <w:b/>
                <w:bCs/>
                <w:sz w:val="18"/>
                <w:szCs w:val="18"/>
              </w:rPr>
            </w:pPr>
            <w:r w:rsidRPr="002A113F">
              <w:rPr>
                <w:rFonts w:eastAsia="Calibri"/>
                <w:b/>
                <w:bCs/>
                <w:sz w:val="18"/>
                <w:szCs w:val="18"/>
              </w:rPr>
              <w:t>$</w:t>
            </w:r>
            <w:r w:rsidR="007D11F7">
              <w:rPr>
                <w:rFonts w:eastAsia="Calibri"/>
                <w:b/>
                <w:bCs/>
                <w:sz w:val="18"/>
                <w:szCs w:val="18"/>
              </w:rPr>
              <w:t>24.29</w:t>
            </w:r>
          </w:p>
        </w:tc>
        <w:tc>
          <w:tcPr>
            <w:tcW w:w="1721" w:type="dxa"/>
            <w:tcMar>
              <w:top w:w="0" w:type="dxa"/>
              <w:left w:w="108" w:type="dxa"/>
              <w:bottom w:w="0" w:type="dxa"/>
              <w:right w:w="108" w:type="dxa"/>
            </w:tcMar>
            <w:hideMark/>
          </w:tcPr>
          <w:p w14:paraId="08A8D59C" w14:textId="77777777" w:rsidR="00165E0E" w:rsidRPr="002A113F" w:rsidRDefault="00165E0E" w:rsidP="0090663D">
            <w:pPr>
              <w:jc w:val="right"/>
              <w:rPr>
                <w:rFonts w:eastAsia="Calibri"/>
                <w:b/>
                <w:bCs/>
                <w:sz w:val="18"/>
                <w:szCs w:val="18"/>
              </w:rPr>
            </w:pPr>
            <w:r w:rsidRPr="002A113F">
              <w:rPr>
                <w:rFonts w:eastAsia="Calibri"/>
                <w:b/>
                <w:bCs/>
                <w:sz w:val="18"/>
                <w:szCs w:val="18"/>
              </w:rPr>
              <w:t>$</w:t>
            </w:r>
            <w:r w:rsidR="006E1D3A">
              <w:rPr>
                <w:rFonts w:eastAsia="Calibri"/>
                <w:b/>
                <w:bCs/>
                <w:sz w:val="18"/>
                <w:szCs w:val="18"/>
              </w:rPr>
              <w:t>9,992.91</w:t>
            </w:r>
          </w:p>
        </w:tc>
      </w:tr>
      <w:tr w:rsidR="00FD21BD" w:rsidRPr="002A113F" w14:paraId="1476B198" w14:textId="77777777" w:rsidTr="0090663D">
        <w:tc>
          <w:tcPr>
            <w:tcW w:w="1323" w:type="dxa"/>
            <w:tcMar>
              <w:top w:w="0" w:type="dxa"/>
              <w:left w:w="108" w:type="dxa"/>
              <w:bottom w:w="0" w:type="dxa"/>
              <w:right w:w="108" w:type="dxa"/>
            </w:tcMar>
            <w:hideMark/>
          </w:tcPr>
          <w:p w14:paraId="2D32B8C8" w14:textId="77777777" w:rsidR="00FD21BD" w:rsidRPr="002A113F" w:rsidRDefault="00FD21BD" w:rsidP="00FD21BD">
            <w:pPr>
              <w:rPr>
                <w:b/>
                <w:bCs/>
                <w:sz w:val="18"/>
                <w:szCs w:val="18"/>
              </w:rPr>
            </w:pPr>
            <w:r w:rsidRPr="002A113F">
              <w:rPr>
                <w:b/>
                <w:bCs/>
                <w:sz w:val="18"/>
                <w:szCs w:val="18"/>
              </w:rPr>
              <w:t>Total</w:t>
            </w:r>
          </w:p>
        </w:tc>
        <w:tc>
          <w:tcPr>
            <w:tcW w:w="1373" w:type="dxa"/>
            <w:tcMar>
              <w:top w:w="0" w:type="dxa"/>
              <w:left w:w="108" w:type="dxa"/>
              <w:bottom w:w="0" w:type="dxa"/>
              <w:right w:w="108" w:type="dxa"/>
            </w:tcMar>
          </w:tcPr>
          <w:p w14:paraId="0DE7A4E1" w14:textId="77777777" w:rsidR="00FD21BD" w:rsidRPr="002A113F" w:rsidRDefault="00FD21BD" w:rsidP="00FD21BD">
            <w:pPr>
              <w:jc w:val="center"/>
              <w:rPr>
                <w:b/>
                <w:bCs/>
                <w:sz w:val="18"/>
                <w:szCs w:val="18"/>
              </w:rPr>
            </w:pPr>
            <w:r w:rsidRPr="002A113F">
              <w:rPr>
                <w:b/>
                <w:bCs/>
                <w:sz w:val="18"/>
                <w:szCs w:val="18"/>
              </w:rPr>
              <w:t>……………..</w:t>
            </w:r>
          </w:p>
        </w:tc>
        <w:tc>
          <w:tcPr>
            <w:tcW w:w="1184" w:type="dxa"/>
            <w:tcMar>
              <w:top w:w="0" w:type="dxa"/>
              <w:left w:w="108" w:type="dxa"/>
              <w:bottom w:w="0" w:type="dxa"/>
              <w:right w:w="108" w:type="dxa"/>
            </w:tcMar>
          </w:tcPr>
          <w:p w14:paraId="0AAD0583" w14:textId="77777777" w:rsidR="00FD21BD" w:rsidRPr="002A113F" w:rsidRDefault="00FD21BD" w:rsidP="00FD21BD">
            <w:pPr>
              <w:jc w:val="center"/>
              <w:rPr>
                <w:rFonts w:eastAsia="Calibri"/>
                <w:b/>
                <w:bCs/>
                <w:sz w:val="18"/>
                <w:szCs w:val="18"/>
              </w:rPr>
            </w:pPr>
            <w:r w:rsidRPr="002A113F">
              <w:rPr>
                <w:rFonts w:eastAsia="Calibri"/>
                <w:b/>
                <w:bCs/>
                <w:sz w:val="18"/>
                <w:szCs w:val="18"/>
              </w:rPr>
              <w:t>…………..</w:t>
            </w:r>
          </w:p>
        </w:tc>
        <w:tc>
          <w:tcPr>
            <w:tcW w:w="1148" w:type="dxa"/>
            <w:tcMar>
              <w:top w:w="0" w:type="dxa"/>
              <w:left w:w="108" w:type="dxa"/>
              <w:bottom w:w="0" w:type="dxa"/>
              <w:right w:w="108" w:type="dxa"/>
            </w:tcMar>
          </w:tcPr>
          <w:p w14:paraId="2AB927CA" w14:textId="77777777" w:rsidR="00FD21BD" w:rsidRPr="002A113F" w:rsidRDefault="00FD21BD" w:rsidP="00FD21BD">
            <w:pPr>
              <w:jc w:val="center"/>
              <w:rPr>
                <w:rFonts w:eastAsia="Calibri"/>
                <w:b/>
                <w:bCs/>
                <w:sz w:val="18"/>
                <w:szCs w:val="18"/>
              </w:rPr>
            </w:pPr>
            <w:r w:rsidRPr="002A113F">
              <w:rPr>
                <w:rFonts w:eastAsia="Calibri"/>
                <w:b/>
                <w:bCs/>
                <w:sz w:val="18"/>
                <w:szCs w:val="18"/>
              </w:rPr>
              <w:t>……………</w:t>
            </w:r>
          </w:p>
        </w:tc>
        <w:tc>
          <w:tcPr>
            <w:tcW w:w="1066" w:type="dxa"/>
            <w:tcMar>
              <w:top w:w="0" w:type="dxa"/>
              <w:left w:w="108" w:type="dxa"/>
              <w:bottom w:w="0" w:type="dxa"/>
              <w:right w:w="108" w:type="dxa"/>
            </w:tcMar>
          </w:tcPr>
          <w:p w14:paraId="1C3848E0" w14:textId="77777777" w:rsidR="00FD21BD" w:rsidRPr="002A113F" w:rsidRDefault="00FD21BD" w:rsidP="00FD21BD">
            <w:pPr>
              <w:jc w:val="center"/>
              <w:rPr>
                <w:rFonts w:eastAsia="Calibri"/>
                <w:b/>
                <w:bCs/>
                <w:sz w:val="18"/>
                <w:szCs w:val="18"/>
              </w:rPr>
            </w:pPr>
            <w:r w:rsidRPr="002A113F">
              <w:rPr>
                <w:rFonts w:eastAsia="Calibri"/>
                <w:b/>
                <w:bCs/>
                <w:sz w:val="18"/>
                <w:szCs w:val="18"/>
              </w:rPr>
              <w:t>…………..</w:t>
            </w:r>
          </w:p>
        </w:tc>
        <w:tc>
          <w:tcPr>
            <w:tcW w:w="901" w:type="dxa"/>
            <w:tcMar>
              <w:top w:w="0" w:type="dxa"/>
              <w:left w:w="108" w:type="dxa"/>
              <w:bottom w:w="0" w:type="dxa"/>
              <w:right w:w="108" w:type="dxa"/>
            </w:tcMar>
            <w:hideMark/>
          </w:tcPr>
          <w:p w14:paraId="365080B5" w14:textId="77777777" w:rsidR="00FD21BD" w:rsidRPr="002A113F" w:rsidRDefault="00FD21BD" w:rsidP="00FD21BD">
            <w:pPr>
              <w:jc w:val="center"/>
              <w:rPr>
                <w:rFonts w:eastAsia="Calibri"/>
                <w:b/>
                <w:bCs/>
                <w:sz w:val="18"/>
                <w:szCs w:val="18"/>
              </w:rPr>
            </w:pPr>
            <w:r w:rsidRPr="002A113F">
              <w:rPr>
                <w:rFonts w:eastAsia="Calibri"/>
                <w:b/>
                <w:bCs/>
                <w:sz w:val="18"/>
                <w:szCs w:val="18"/>
              </w:rPr>
              <w:t>411.40</w:t>
            </w:r>
          </w:p>
        </w:tc>
        <w:tc>
          <w:tcPr>
            <w:tcW w:w="1066" w:type="dxa"/>
            <w:tcMar>
              <w:top w:w="0" w:type="dxa"/>
              <w:left w:w="108" w:type="dxa"/>
              <w:bottom w:w="0" w:type="dxa"/>
              <w:right w:w="108" w:type="dxa"/>
            </w:tcMar>
            <w:hideMark/>
          </w:tcPr>
          <w:p w14:paraId="49667698" w14:textId="77777777" w:rsidR="00FD21BD" w:rsidRPr="002A113F" w:rsidRDefault="00FD21BD" w:rsidP="00FD21BD">
            <w:pPr>
              <w:jc w:val="right"/>
              <w:rPr>
                <w:rFonts w:eastAsia="Calibri"/>
                <w:b/>
                <w:bCs/>
                <w:sz w:val="18"/>
                <w:szCs w:val="18"/>
              </w:rPr>
            </w:pPr>
            <w:r w:rsidRPr="002A113F">
              <w:rPr>
                <w:rFonts w:eastAsia="Calibri"/>
                <w:b/>
                <w:bCs/>
                <w:sz w:val="18"/>
                <w:szCs w:val="18"/>
              </w:rPr>
              <w:t>$</w:t>
            </w:r>
            <w:r w:rsidR="007D11F7">
              <w:rPr>
                <w:rFonts w:eastAsia="Calibri"/>
                <w:b/>
                <w:bCs/>
                <w:sz w:val="18"/>
                <w:szCs w:val="18"/>
              </w:rPr>
              <w:t>24.29</w:t>
            </w:r>
          </w:p>
        </w:tc>
        <w:tc>
          <w:tcPr>
            <w:tcW w:w="1721" w:type="dxa"/>
            <w:tcMar>
              <w:top w:w="0" w:type="dxa"/>
              <w:left w:w="108" w:type="dxa"/>
              <w:bottom w:w="0" w:type="dxa"/>
              <w:right w:w="108" w:type="dxa"/>
            </w:tcMar>
            <w:hideMark/>
          </w:tcPr>
          <w:p w14:paraId="7AE0930F" w14:textId="77777777" w:rsidR="00FD21BD" w:rsidRPr="002A113F" w:rsidRDefault="006E1D3A" w:rsidP="00FD21BD">
            <w:pPr>
              <w:jc w:val="right"/>
              <w:rPr>
                <w:rFonts w:eastAsia="Calibri"/>
                <w:b/>
                <w:bCs/>
                <w:sz w:val="18"/>
                <w:szCs w:val="18"/>
              </w:rPr>
            </w:pPr>
            <w:r w:rsidRPr="002A113F">
              <w:rPr>
                <w:rFonts w:eastAsia="Calibri"/>
                <w:b/>
                <w:bCs/>
                <w:sz w:val="18"/>
                <w:szCs w:val="18"/>
              </w:rPr>
              <w:t>$</w:t>
            </w:r>
            <w:r>
              <w:rPr>
                <w:rFonts w:eastAsia="Calibri"/>
                <w:b/>
                <w:bCs/>
                <w:sz w:val="18"/>
                <w:szCs w:val="18"/>
              </w:rPr>
              <w:t>9,992.91</w:t>
            </w:r>
          </w:p>
        </w:tc>
      </w:tr>
    </w:tbl>
    <w:p w14:paraId="2887D389" w14:textId="77777777" w:rsidR="00165E0E" w:rsidRDefault="00165E0E" w:rsidP="00167E53">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14:paraId="7DCAF4E6" w14:textId="77777777" w:rsidR="002126BD" w:rsidRDefault="002126BD" w:rsidP="00167E53">
      <w:pPr>
        <w:keepLines/>
        <w:tabs>
          <w:tab w:val="left" w:pos="360"/>
          <w:tab w:val="left" w:pos="720"/>
          <w:tab w:val="center" w:pos="1680"/>
          <w:tab w:val="center" w:pos="3120"/>
          <w:tab w:val="center" w:pos="4560"/>
          <w:tab w:val="center" w:pos="6000"/>
          <w:tab w:val="center" w:pos="7440"/>
          <w:tab w:val="center" w:pos="8880"/>
        </w:tabs>
        <w:ind w:left="840"/>
        <w:rPr>
          <w:sz w:val="24"/>
          <w:szCs w:val="24"/>
        </w:rPr>
      </w:pPr>
      <w:r w:rsidRPr="002126BD">
        <w:rPr>
          <w:sz w:val="24"/>
          <w:szCs w:val="24"/>
        </w:rPr>
        <w:t xml:space="preserve">The annual burden is calculated at the hourly rate of a nonprofit Executive Director position who would complete the form. This data is taken from payscale.com at </w:t>
      </w:r>
      <w:hyperlink r:id="rId9" w:history="1">
        <w:r w:rsidRPr="00FE21CC">
          <w:rPr>
            <w:rStyle w:val="Hyperlink"/>
            <w:sz w:val="24"/>
            <w:szCs w:val="24"/>
          </w:rPr>
          <w:t>https://www.payscale.com/research/US/Job=Executive_Director/Salary</w:t>
        </w:r>
      </w:hyperlink>
      <w:r w:rsidR="00F60805">
        <w:rPr>
          <w:sz w:val="24"/>
          <w:szCs w:val="24"/>
        </w:rPr>
        <w:t>, which as of July 18, 2019, shows an hourly rate of $24.29.</w:t>
      </w:r>
    </w:p>
    <w:p w14:paraId="6E221C5B" w14:textId="77777777" w:rsidR="002126BD" w:rsidRPr="002A113F" w:rsidRDefault="002126BD" w:rsidP="00167E53">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14:paraId="2DA6B231" w14:textId="77777777" w:rsidR="00165E0E" w:rsidRPr="002A113F" w:rsidRDefault="00165E0E" w:rsidP="00165E0E">
      <w:pPr>
        <w:rPr>
          <w:sz w:val="24"/>
          <w:szCs w:val="24"/>
        </w:rPr>
      </w:pPr>
      <w:r w:rsidRPr="002A113F">
        <w:rPr>
          <w:sz w:val="24"/>
          <w:szCs w:val="24"/>
        </w:rPr>
        <w:t>13.  There are no additional cost associated with this collection.</w:t>
      </w:r>
    </w:p>
    <w:p w14:paraId="6F0EC143" w14:textId="77777777" w:rsidR="00165E0E" w:rsidRPr="002A113F" w:rsidRDefault="00165E0E" w:rsidP="00165E0E">
      <w:pPr>
        <w:rPr>
          <w:sz w:val="24"/>
          <w:szCs w:val="24"/>
        </w:rPr>
      </w:pPr>
    </w:p>
    <w:p w14:paraId="241921C6" w14:textId="77777777" w:rsidR="00165E0E" w:rsidRPr="002A113F" w:rsidRDefault="00165E0E" w:rsidP="00165E0E">
      <w:pPr>
        <w:rPr>
          <w:sz w:val="24"/>
          <w:szCs w:val="24"/>
        </w:rPr>
      </w:pPr>
      <w:r w:rsidRPr="002A113F">
        <w:rPr>
          <w:sz w:val="24"/>
          <w:szCs w:val="24"/>
        </w:rPr>
        <w:t xml:space="preserve">14.  Estimate of the total annual cost burden to respondents or record keepers resulting from the collection of information: </w:t>
      </w:r>
    </w:p>
    <w:p w14:paraId="73317B46" w14:textId="77777777" w:rsidR="00165E0E" w:rsidRPr="002A113F" w:rsidRDefault="00165E0E" w:rsidP="00165E0E">
      <w:pPr>
        <w:rPr>
          <w:noProof/>
          <w:sz w:val="24"/>
          <w:szCs w:val="24"/>
        </w:rPr>
      </w:pPr>
    </w:p>
    <w:p w14:paraId="4C531E2C" w14:textId="77777777" w:rsidR="00251FBB" w:rsidRPr="002A113F" w:rsidRDefault="00251FBB" w:rsidP="00251FBB">
      <w:pPr>
        <w:ind w:firstLine="720"/>
        <w:rPr>
          <w:sz w:val="24"/>
          <w:szCs w:val="24"/>
        </w:rPr>
      </w:pPr>
      <w:r w:rsidRPr="002A113F">
        <w:rPr>
          <w:sz w:val="24"/>
          <w:szCs w:val="24"/>
        </w:rPr>
        <w:t>Average Annual Usage</w:t>
      </w:r>
    </w:p>
    <w:p w14:paraId="2BB94DA2" w14:textId="77777777" w:rsidR="00251FBB" w:rsidRPr="002A113F" w:rsidRDefault="00251FBB" w:rsidP="00251FBB">
      <w:pPr>
        <w:ind w:firstLine="720"/>
      </w:pPr>
      <w:r w:rsidRPr="002A113F">
        <w:tab/>
        <w:t xml:space="preserve"> </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3"/>
        <w:gridCol w:w="1373"/>
        <w:gridCol w:w="1184"/>
        <w:gridCol w:w="1148"/>
        <w:gridCol w:w="1066"/>
        <w:gridCol w:w="901"/>
        <w:gridCol w:w="1066"/>
        <w:gridCol w:w="1721"/>
      </w:tblGrid>
      <w:tr w:rsidR="00251FBB" w:rsidRPr="002A113F" w14:paraId="543C6A97" w14:textId="77777777" w:rsidTr="00713379">
        <w:tc>
          <w:tcPr>
            <w:tcW w:w="1323" w:type="dxa"/>
            <w:tcMar>
              <w:top w:w="0" w:type="dxa"/>
              <w:left w:w="108" w:type="dxa"/>
              <w:bottom w:w="0" w:type="dxa"/>
              <w:right w:w="108" w:type="dxa"/>
            </w:tcMar>
            <w:hideMark/>
          </w:tcPr>
          <w:p w14:paraId="7EE41CE9" w14:textId="77777777" w:rsidR="00251FBB" w:rsidRPr="002A113F" w:rsidRDefault="00251FBB" w:rsidP="00713379">
            <w:pPr>
              <w:jc w:val="center"/>
              <w:rPr>
                <w:rFonts w:eastAsia="Calibri"/>
                <w:b/>
                <w:sz w:val="18"/>
                <w:szCs w:val="18"/>
              </w:rPr>
            </w:pPr>
            <w:r w:rsidRPr="002A113F">
              <w:rPr>
                <w:b/>
                <w:sz w:val="18"/>
                <w:szCs w:val="18"/>
              </w:rPr>
              <w:t>Information Collection</w:t>
            </w:r>
          </w:p>
        </w:tc>
        <w:tc>
          <w:tcPr>
            <w:tcW w:w="1373" w:type="dxa"/>
            <w:tcMar>
              <w:top w:w="0" w:type="dxa"/>
              <w:left w:w="108" w:type="dxa"/>
              <w:bottom w:w="0" w:type="dxa"/>
              <w:right w:w="108" w:type="dxa"/>
            </w:tcMar>
            <w:hideMark/>
          </w:tcPr>
          <w:p w14:paraId="1036076A" w14:textId="77777777" w:rsidR="00251FBB" w:rsidRPr="002A113F" w:rsidRDefault="00251FBB" w:rsidP="00713379">
            <w:pPr>
              <w:jc w:val="center"/>
              <w:rPr>
                <w:rFonts w:eastAsia="Calibri"/>
                <w:b/>
                <w:sz w:val="18"/>
                <w:szCs w:val="18"/>
              </w:rPr>
            </w:pPr>
            <w:r w:rsidRPr="002A113F">
              <w:rPr>
                <w:b/>
                <w:sz w:val="18"/>
                <w:szCs w:val="18"/>
              </w:rPr>
              <w:t>Number of Respondents</w:t>
            </w:r>
          </w:p>
        </w:tc>
        <w:tc>
          <w:tcPr>
            <w:tcW w:w="1184" w:type="dxa"/>
            <w:tcMar>
              <w:top w:w="0" w:type="dxa"/>
              <w:left w:w="108" w:type="dxa"/>
              <w:bottom w:w="0" w:type="dxa"/>
              <w:right w:w="108" w:type="dxa"/>
            </w:tcMar>
            <w:hideMark/>
          </w:tcPr>
          <w:p w14:paraId="03C72F39" w14:textId="77777777" w:rsidR="00251FBB" w:rsidRPr="002A113F" w:rsidRDefault="00251FBB" w:rsidP="00713379">
            <w:pPr>
              <w:jc w:val="center"/>
              <w:rPr>
                <w:rFonts w:eastAsia="Calibri"/>
                <w:b/>
                <w:sz w:val="18"/>
                <w:szCs w:val="18"/>
              </w:rPr>
            </w:pPr>
            <w:r w:rsidRPr="002A113F">
              <w:rPr>
                <w:b/>
                <w:sz w:val="18"/>
                <w:szCs w:val="18"/>
              </w:rPr>
              <w:t>Frequency of Response</w:t>
            </w:r>
          </w:p>
        </w:tc>
        <w:tc>
          <w:tcPr>
            <w:tcW w:w="1148" w:type="dxa"/>
            <w:tcMar>
              <w:top w:w="0" w:type="dxa"/>
              <w:left w:w="108" w:type="dxa"/>
              <w:bottom w:w="0" w:type="dxa"/>
              <w:right w:w="108" w:type="dxa"/>
            </w:tcMar>
            <w:hideMark/>
          </w:tcPr>
          <w:p w14:paraId="0B6B5CA6" w14:textId="77777777" w:rsidR="00251FBB" w:rsidRPr="002A113F" w:rsidRDefault="00251FBB" w:rsidP="00713379">
            <w:pPr>
              <w:jc w:val="center"/>
              <w:rPr>
                <w:rFonts w:eastAsia="Calibri"/>
                <w:b/>
                <w:sz w:val="18"/>
                <w:szCs w:val="18"/>
              </w:rPr>
            </w:pPr>
            <w:r w:rsidRPr="002A113F">
              <w:rPr>
                <w:b/>
                <w:sz w:val="18"/>
                <w:szCs w:val="18"/>
              </w:rPr>
              <w:t>Responses</w:t>
            </w:r>
          </w:p>
          <w:p w14:paraId="30CE15F6" w14:textId="77777777" w:rsidR="00251FBB" w:rsidRPr="002A113F" w:rsidRDefault="00251FBB" w:rsidP="00713379">
            <w:pPr>
              <w:jc w:val="center"/>
              <w:rPr>
                <w:rFonts w:eastAsia="Calibri"/>
                <w:b/>
                <w:sz w:val="18"/>
                <w:szCs w:val="18"/>
              </w:rPr>
            </w:pPr>
            <w:r w:rsidRPr="002A113F">
              <w:rPr>
                <w:b/>
                <w:sz w:val="18"/>
                <w:szCs w:val="18"/>
              </w:rPr>
              <w:t>Per Annum</w:t>
            </w:r>
          </w:p>
        </w:tc>
        <w:tc>
          <w:tcPr>
            <w:tcW w:w="1066" w:type="dxa"/>
            <w:tcMar>
              <w:top w:w="0" w:type="dxa"/>
              <w:left w:w="108" w:type="dxa"/>
              <w:bottom w:w="0" w:type="dxa"/>
              <w:right w:w="108" w:type="dxa"/>
            </w:tcMar>
            <w:hideMark/>
          </w:tcPr>
          <w:p w14:paraId="6D2D470C" w14:textId="77777777" w:rsidR="00251FBB" w:rsidRPr="002A113F" w:rsidRDefault="00251FBB" w:rsidP="00713379">
            <w:pPr>
              <w:jc w:val="center"/>
              <w:rPr>
                <w:rFonts w:eastAsia="Calibri"/>
                <w:b/>
                <w:sz w:val="18"/>
                <w:szCs w:val="18"/>
              </w:rPr>
            </w:pPr>
            <w:r w:rsidRPr="002A113F">
              <w:rPr>
                <w:b/>
                <w:sz w:val="18"/>
                <w:szCs w:val="18"/>
              </w:rPr>
              <w:t>Burden Hour Per Response</w:t>
            </w:r>
          </w:p>
        </w:tc>
        <w:tc>
          <w:tcPr>
            <w:tcW w:w="901" w:type="dxa"/>
            <w:tcMar>
              <w:top w:w="0" w:type="dxa"/>
              <w:left w:w="108" w:type="dxa"/>
              <w:bottom w:w="0" w:type="dxa"/>
              <w:right w:w="108" w:type="dxa"/>
            </w:tcMar>
            <w:hideMark/>
          </w:tcPr>
          <w:p w14:paraId="7D0B788A" w14:textId="77777777" w:rsidR="00251FBB" w:rsidRPr="002A113F" w:rsidRDefault="00251FBB" w:rsidP="00713379">
            <w:pPr>
              <w:jc w:val="center"/>
              <w:rPr>
                <w:rFonts w:eastAsia="Calibri"/>
                <w:b/>
                <w:sz w:val="18"/>
                <w:szCs w:val="18"/>
              </w:rPr>
            </w:pPr>
            <w:r w:rsidRPr="002A113F">
              <w:rPr>
                <w:b/>
                <w:sz w:val="18"/>
                <w:szCs w:val="18"/>
              </w:rPr>
              <w:t>Annual Burden Hours</w:t>
            </w:r>
          </w:p>
        </w:tc>
        <w:tc>
          <w:tcPr>
            <w:tcW w:w="1066" w:type="dxa"/>
            <w:tcMar>
              <w:top w:w="0" w:type="dxa"/>
              <w:left w:w="108" w:type="dxa"/>
              <w:bottom w:w="0" w:type="dxa"/>
              <w:right w:w="108" w:type="dxa"/>
            </w:tcMar>
            <w:hideMark/>
          </w:tcPr>
          <w:p w14:paraId="3C1C369A" w14:textId="77777777" w:rsidR="00251FBB" w:rsidRPr="002A113F" w:rsidRDefault="00251FBB" w:rsidP="00713379">
            <w:pPr>
              <w:jc w:val="center"/>
              <w:rPr>
                <w:rFonts w:eastAsia="Calibri"/>
                <w:b/>
                <w:sz w:val="18"/>
                <w:szCs w:val="18"/>
              </w:rPr>
            </w:pPr>
            <w:r w:rsidRPr="002A113F">
              <w:rPr>
                <w:b/>
                <w:sz w:val="18"/>
                <w:szCs w:val="18"/>
              </w:rPr>
              <w:t>Hourly Cost Per Response</w:t>
            </w:r>
          </w:p>
        </w:tc>
        <w:tc>
          <w:tcPr>
            <w:tcW w:w="1721" w:type="dxa"/>
            <w:tcMar>
              <w:top w:w="0" w:type="dxa"/>
              <w:left w:w="108" w:type="dxa"/>
              <w:bottom w:w="0" w:type="dxa"/>
              <w:right w:w="108" w:type="dxa"/>
            </w:tcMar>
          </w:tcPr>
          <w:p w14:paraId="21677E26" w14:textId="77777777" w:rsidR="00251FBB" w:rsidRPr="002A113F" w:rsidRDefault="00251FBB" w:rsidP="00713379">
            <w:pPr>
              <w:jc w:val="center"/>
              <w:rPr>
                <w:rFonts w:eastAsia="Calibri"/>
                <w:b/>
                <w:sz w:val="18"/>
                <w:szCs w:val="18"/>
              </w:rPr>
            </w:pPr>
            <w:r w:rsidRPr="002A113F">
              <w:rPr>
                <w:b/>
                <w:sz w:val="18"/>
                <w:szCs w:val="18"/>
              </w:rPr>
              <w:t>Annual Cost</w:t>
            </w:r>
          </w:p>
          <w:p w14:paraId="1A5F473B" w14:textId="77777777" w:rsidR="00251FBB" w:rsidRPr="002A113F" w:rsidRDefault="00251FBB" w:rsidP="00713379">
            <w:pPr>
              <w:jc w:val="center"/>
              <w:rPr>
                <w:rFonts w:eastAsia="Calibri"/>
                <w:b/>
                <w:sz w:val="18"/>
                <w:szCs w:val="18"/>
              </w:rPr>
            </w:pPr>
          </w:p>
        </w:tc>
      </w:tr>
      <w:tr w:rsidR="00251FBB" w:rsidRPr="002A113F" w14:paraId="4C5212A8" w14:textId="77777777" w:rsidTr="00713379">
        <w:trPr>
          <w:trHeight w:val="70"/>
        </w:trPr>
        <w:tc>
          <w:tcPr>
            <w:tcW w:w="1323" w:type="dxa"/>
            <w:tcMar>
              <w:top w:w="0" w:type="dxa"/>
              <w:left w:w="108" w:type="dxa"/>
              <w:bottom w:w="0" w:type="dxa"/>
              <w:right w:w="108" w:type="dxa"/>
            </w:tcMar>
            <w:hideMark/>
          </w:tcPr>
          <w:p w14:paraId="2CD1F9A0" w14:textId="77777777" w:rsidR="00251FBB" w:rsidRPr="002A113F" w:rsidRDefault="00251FBB" w:rsidP="00713379">
            <w:pPr>
              <w:rPr>
                <w:b/>
                <w:bCs/>
                <w:sz w:val="18"/>
                <w:szCs w:val="18"/>
              </w:rPr>
            </w:pPr>
            <w:r w:rsidRPr="002A113F">
              <w:rPr>
                <w:b/>
                <w:bCs/>
                <w:sz w:val="18"/>
                <w:szCs w:val="18"/>
              </w:rPr>
              <w:t>HUD-27054E</w:t>
            </w:r>
          </w:p>
        </w:tc>
        <w:tc>
          <w:tcPr>
            <w:tcW w:w="1373" w:type="dxa"/>
            <w:tcMar>
              <w:top w:w="0" w:type="dxa"/>
              <w:left w:w="108" w:type="dxa"/>
              <w:bottom w:w="0" w:type="dxa"/>
              <w:right w:w="108" w:type="dxa"/>
            </w:tcMar>
            <w:hideMark/>
          </w:tcPr>
          <w:p w14:paraId="0E622FA4" w14:textId="77777777" w:rsidR="00251FBB" w:rsidRPr="002A113F" w:rsidRDefault="00251FBB" w:rsidP="00713379">
            <w:pPr>
              <w:jc w:val="center"/>
              <w:rPr>
                <w:b/>
                <w:bCs/>
                <w:sz w:val="18"/>
                <w:szCs w:val="18"/>
              </w:rPr>
            </w:pPr>
            <w:r w:rsidRPr="002A113F">
              <w:rPr>
                <w:b/>
                <w:bCs/>
                <w:sz w:val="18"/>
                <w:szCs w:val="18"/>
              </w:rPr>
              <w:t>2,420</w:t>
            </w:r>
            <w:r w:rsidR="00496014">
              <w:rPr>
                <w:b/>
                <w:bCs/>
                <w:sz w:val="18"/>
                <w:szCs w:val="18"/>
              </w:rPr>
              <w:t>.00</w:t>
            </w:r>
          </w:p>
        </w:tc>
        <w:tc>
          <w:tcPr>
            <w:tcW w:w="1184" w:type="dxa"/>
            <w:tcMar>
              <w:top w:w="0" w:type="dxa"/>
              <w:left w:w="108" w:type="dxa"/>
              <w:bottom w:w="0" w:type="dxa"/>
              <w:right w:w="108" w:type="dxa"/>
            </w:tcMar>
            <w:hideMark/>
          </w:tcPr>
          <w:p w14:paraId="67CA691D" w14:textId="77777777" w:rsidR="00251FBB" w:rsidRPr="002A113F" w:rsidRDefault="00251FBB" w:rsidP="00713379">
            <w:pPr>
              <w:jc w:val="center"/>
              <w:rPr>
                <w:rFonts w:eastAsia="Calibri"/>
                <w:b/>
                <w:bCs/>
                <w:sz w:val="18"/>
                <w:szCs w:val="18"/>
              </w:rPr>
            </w:pPr>
            <w:r w:rsidRPr="002A113F">
              <w:rPr>
                <w:rFonts w:eastAsia="Calibri"/>
                <w:b/>
                <w:bCs/>
                <w:sz w:val="18"/>
                <w:szCs w:val="18"/>
              </w:rPr>
              <w:t>1</w:t>
            </w:r>
            <w:r w:rsidR="00496014">
              <w:rPr>
                <w:rFonts w:eastAsia="Calibri"/>
                <w:b/>
                <w:bCs/>
                <w:sz w:val="18"/>
                <w:szCs w:val="18"/>
              </w:rPr>
              <w:t>.00</w:t>
            </w:r>
          </w:p>
        </w:tc>
        <w:tc>
          <w:tcPr>
            <w:tcW w:w="1148" w:type="dxa"/>
            <w:tcMar>
              <w:top w:w="0" w:type="dxa"/>
              <w:left w:w="108" w:type="dxa"/>
              <w:bottom w:w="0" w:type="dxa"/>
              <w:right w:w="108" w:type="dxa"/>
            </w:tcMar>
            <w:hideMark/>
          </w:tcPr>
          <w:p w14:paraId="5B2F62C3" w14:textId="77777777" w:rsidR="00251FBB" w:rsidRPr="002A113F" w:rsidRDefault="00251FBB" w:rsidP="00713379">
            <w:pPr>
              <w:jc w:val="center"/>
              <w:rPr>
                <w:rFonts w:eastAsia="Calibri"/>
                <w:b/>
                <w:bCs/>
                <w:sz w:val="18"/>
                <w:szCs w:val="18"/>
              </w:rPr>
            </w:pPr>
            <w:r w:rsidRPr="002A113F">
              <w:rPr>
                <w:rFonts w:eastAsia="Calibri"/>
                <w:b/>
                <w:bCs/>
                <w:sz w:val="18"/>
                <w:szCs w:val="18"/>
              </w:rPr>
              <w:t>2,420</w:t>
            </w:r>
            <w:r w:rsidR="00496014">
              <w:rPr>
                <w:rFonts w:eastAsia="Calibri"/>
                <w:b/>
                <w:bCs/>
                <w:sz w:val="18"/>
                <w:szCs w:val="18"/>
              </w:rPr>
              <w:t>.00</w:t>
            </w:r>
          </w:p>
        </w:tc>
        <w:tc>
          <w:tcPr>
            <w:tcW w:w="1066" w:type="dxa"/>
            <w:tcMar>
              <w:top w:w="0" w:type="dxa"/>
              <w:left w:w="108" w:type="dxa"/>
              <w:bottom w:w="0" w:type="dxa"/>
              <w:right w:w="108" w:type="dxa"/>
            </w:tcMar>
            <w:hideMark/>
          </w:tcPr>
          <w:p w14:paraId="43ECBBE4" w14:textId="77777777" w:rsidR="00251FBB" w:rsidRPr="002A113F" w:rsidRDefault="00251FBB" w:rsidP="00713379">
            <w:pPr>
              <w:jc w:val="center"/>
              <w:rPr>
                <w:rFonts w:eastAsia="Calibri"/>
                <w:b/>
                <w:bCs/>
                <w:sz w:val="18"/>
                <w:szCs w:val="18"/>
              </w:rPr>
            </w:pPr>
            <w:r w:rsidRPr="002A113F">
              <w:rPr>
                <w:rFonts w:eastAsia="Calibri"/>
                <w:b/>
                <w:bCs/>
                <w:sz w:val="18"/>
                <w:szCs w:val="18"/>
              </w:rPr>
              <w:t>0.17</w:t>
            </w:r>
          </w:p>
        </w:tc>
        <w:tc>
          <w:tcPr>
            <w:tcW w:w="901" w:type="dxa"/>
            <w:tcMar>
              <w:top w:w="0" w:type="dxa"/>
              <w:left w:w="108" w:type="dxa"/>
              <w:bottom w:w="0" w:type="dxa"/>
              <w:right w:w="108" w:type="dxa"/>
            </w:tcMar>
            <w:hideMark/>
          </w:tcPr>
          <w:p w14:paraId="6BF0E6A1" w14:textId="77777777" w:rsidR="00251FBB" w:rsidRPr="002A113F" w:rsidRDefault="00251FBB" w:rsidP="00713379">
            <w:pPr>
              <w:jc w:val="center"/>
              <w:rPr>
                <w:rFonts w:eastAsia="Calibri"/>
                <w:b/>
                <w:bCs/>
                <w:sz w:val="18"/>
                <w:szCs w:val="18"/>
              </w:rPr>
            </w:pPr>
            <w:r w:rsidRPr="002A113F">
              <w:rPr>
                <w:rFonts w:eastAsia="Calibri"/>
                <w:b/>
                <w:bCs/>
                <w:sz w:val="18"/>
                <w:szCs w:val="18"/>
              </w:rPr>
              <w:t>411.40</w:t>
            </w:r>
          </w:p>
        </w:tc>
        <w:tc>
          <w:tcPr>
            <w:tcW w:w="1066" w:type="dxa"/>
            <w:tcMar>
              <w:top w:w="0" w:type="dxa"/>
              <w:left w:w="108" w:type="dxa"/>
              <w:bottom w:w="0" w:type="dxa"/>
              <w:right w:w="108" w:type="dxa"/>
            </w:tcMar>
            <w:hideMark/>
          </w:tcPr>
          <w:p w14:paraId="13CC8F4C" w14:textId="77777777" w:rsidR="00251FBB" w:rsidRPr="002A113F" w:rsidRDefault="00251FBB" w:rsidP="00713379">
            <w:pPr>
              <w:jc w:val="right"/>
              <w:rPr>
                <w:rFonts w:eastAsia="Calibri"/>
                <w:b/>
                <w:bCs/>
                <w:sz w:val="18"/>
                <w:szCs w:val="18"/>
              </w:rPr>
            </w:pPr>
            <w:r w:rsidRPr="002A113F">
              <w:rPr>
                <w:rFonts w:eastAsia="Calibri"/>
                <w:b/>
                <w:bCs/>
                <w:sz w:val="18"/>
                <w:szCs w:val="18"/>
              </w:rPr>
              <w:t>$61.77</w:t>
            </w:r>
          </w:p>
        </w:tc>
        <w:tc>
          <w:tcPr>
            <w:tcW w:w="1721" w:type="dxa"/>
            <w:tcMar>
              <w:top w:w="0" w:type="dxa"/>
              <w:left w:w="108" w:type="dxa"/>
              <w:bottom w:w="0" w:type="dxa"/>
              <w:right w:w="108" w:type="dxa"/>
            </w:tcMar>
            <w:hideMark/>
          </w:tcPr>
          <w:p w14:paraId="29A22429" w14:textId="14EEE88B" w:rsidR="00251FBB" w:rsidRPr="002A113F" w:rsidRDefault="00251FBB" w:rsidP="00713379">
            <w:pPr>
              <w:jc w:val="right"/>
              <w:rPr>
                <w:rFonts w:eastAsia="Calibri"/>
                <w:b/>
                <w:bCs/>
                <w:sz w:val="18"/>
                <w:szCs w:val="18"/>
              </w:rPr>
            </w:pPr>
            <w:r w:rsidRPr="002A113F">
              <w:rPr>
                <w:rFonts w:eastAsia="Calibri"/>
                <w:b/>
                <w:bCs/>
                <w:sz w:val="18"/>
                <w:szCs w:val="18"/>
              </w:rPr>
              <w:t>$25,412</w:t>
            </w:r>
            <w:r w:rsidR="00140FCB">
              <w:rPr>
                <w:rFonts w:eastAsia="Calibri"/>
                <w:b/>
                <w:bCs/>
                <w:sz w:val="18"/>
                <w:szCs w:val="18"/>
              </w:rPr>
              <w:t>.</w:t>
            </w:r>
            <w:r w:rsidR="00536E56">
              <w:rPr>
                <w:rFonts w:eastAsia="Calibri"/>
                <w:b/>
                <w:bCs/>
                <w:sz w:val="18"/>
                <w:szCs w:val="18"/>
              </w:rPr>
              <w:t>18</w:t>
            </w:r>
          </w:p>
        </w:tc>
      </w:tr>
      <w:tr w:rsidR="00251FBB" w:rsidRPr="002A113F" w14:paraId="40894DFF" w14:textId="77777777" w:rsidTr="00713379">
        <w:tc>
          <w:tcPr>
            <w:tcW w:w="1323" w:type="dxa"/>
            <w:tcMar>
              <w:top w:w="0" w:type="dxa"/>
              <w:left w:w="108" w:type="dxa"/>
              <w:bottom w:w="0" w:type="dxa"/>
              <w:right w:w="108" w:type="dxa"/>
            </w:tcMar>
            <w:hideMark/>
          </w:tcPr>
          <w:p w14:paraId="03A2A81A" w14:textId="77777777" w:rsidR="00251FBB" w:rsidRPr="002A113F" w:rsidRDefault="00251FBB" w:rsidP="00713379">
            <w:pPr>
              <w:rPr>
                <w:b/>
                <w:bCs/>
                <w:sz w:val="18"/>
                <w:szCs w:val="18"/>
              </w:rPr>
            </w:pPr>
            <w:r w:rsidRPr="002A113F">
              <w:rPr>
                <w:b/>
                <w:bCs/>
                <w:sz w:val="18"/>
                <w:szCs w:val="18"/>
              </w:rPr>
              <w:t>Total</w:t>
            </w:r>
          </w:p>
        </w:tc>
        <w:tc>
          <w:tcPr>
            <w:tcW w:w="1373" w:type="dxa"/>
            <w:tcMar>
              <w:top w:w="0" w:type="dxa"/>
              <w:left w:w="108" w:type="dxa"/>
              <w:bottom w:w="0" w:type="dxa"/>
              <w:right w:w="108" w:type="dxa"/>
            </w:tcMar>
          </w:tcPr>
          <w:p w14:paraId="1217A498" w14:textId="77777777" w:rsidR="00251FBB" w:rsidRPr="002A113F" w:rsidRDefault="00251FBB" w:rsidP="00713379">
            <w:pPr>
              <w:jc w:val="center"/>
              <w:rPr>
                <w:b/>
                <w:bCs/>
                <w:sz w:val="18"/>
                <w:szCs w:val="18"/>
              </w:rPr>
            </w:pPr>
            <w:r w:rsidRPr="002A113F">
              <w:rPr>
                <w:b/>
                <w:bCs/>
                <w:sz w:val="18"/>
                <w:szCs w:val="18"/>
              </w:rPr>
              <w:t>……………..</w:t>
            </w:r>
          </w:p>
        </w:tc>
        <w:tc>
          <w:tcPr>
            <w:tcW w:w="1184" w:type="dxa"/>
            <w:tcMar>
              <w:top w:w="0" w:type="dxa"/>
              <w:left w:w="108" w:type="dxa"/>
              <w:bottom w:w="0" w:type="dxa"/>
              <w:right w:w="108" w:type="dxa"/>
            </w:tcMar>
          </w:tcPr>
          <w:p w14:paraId="30122912" w14:textId="77777777" w:rsidR="00251FBB" w:rsidRPr="002A113F" w:rsidRDefault="00251FBB" w:rsidP="00713379">
            <w:pPr>
              <w:jc w:val="center"/>
              <w:rPr>
                <w:rFonts w:eastAsia="Calibri"/>
                <w:b/>
                <w:bCs/>
                <w:sz w:val="18"/>
                <w:szCs w:val="18"/>
              </w:rPr>
            </w:pPr>
            <w:r w:rsidRPr="002A113F">
              <w:rPr>
                <w:rFonts w:eastAsia="Calibri"/>
                <w:b/>
                <w:bCs/>
                <w:sz w:val="18"/>
                <w:szCs w:val="18"/>
              </w:rPr>
              <w:t>…………..</w:t>
            </w:r>
          </w:p>
        </w:tc>
        <w:tc>
          <w:tcPr>
            <w:tcW w:w="1148" w:type="dxa"/>
            <w:tcMar>
              <w:top w:w="0" w:type="dxa"/>
              <w:left w:w="108" w:type="dxa"/>
              <w:bottom w:w="0" w:type="dxa"/>
              <w:right w:w="108" w:type="dxa"/>
            </w:tcMar>
          </w:tcPr>
          <w:p w14:paraId="43BE66D0" w14:textId="77777777" w:rsidR="00251FBB" w:rsidRPr="002A113F" w:rsidRDefault="00251FBB" w:rsidP="00713379">
            <w:pPr>
              <w:jc w:val="center"/>
              <w:rPr>
                <w:rFonts w:eastAsia="Calibri"/>
                <w:b/>
                <w:bCs/>
                <w:sz w:val="18"/>
                <w:szCs w:val="18"/>
              </w:rPr>
            </w:pPr>
            <w:r w:rsidRPr="002A113F">
              <w:rPr>
                <w:rFonts w:eastAsia="Calibri"/>
                <w:b/>
                <w:bCs/>
                <w:sz w:val="18"/>
                <w:szCs w:val="18"/>
              </w:rPr>
              <w:t>……………</w:t>
            </w:r>
          </w:p>
        </w:tc>
        <w:tc>
          <w:tcPr>
            <w:tcW w:w="1066" w:type="dxa"/>
            <w:tcMar>
              <w:top w:w="0" w:type="dxa"/>
              <w:left w:w="108" w:type="dxa"/>
              <w:bottom w:w="0" w:type="dxa"/>
              <w:right w:w="108" w:type="dxa"/>
            </w:tcMar>
          </w:tcPr>
          <w:p w14:paraId="7A7B1A24" w14:textId="03326F1D" w:rsidR="00251FBB" w:rsidRPr="002A113F" w:rsidRDefault="00536E56" w:rsidP="00713379">
            <w:pPr>
              <w:jc w:val="center"/>
              <w:rPr>
                <w:rFonts w:eastAsia="Calibri"/>
                <w:b/>
                <w:bCs/>
                <w:sz w:val="18"/>
                <w:szCs w:val="18"/>
              </w:rPr>
            </w:pPr>
            <w:r>
              <w:rPr>
                <w:rFonts w:eastAsia="Calibri"/>
                <w:b/>
                <w:bCs/>
                <w:sz w:val="18"/>
                <w:szCs w:val="18"/>
              </w:rPr>
              <w:t>0.17</w:t>
            </w:r>
          </w:p>
        </w:tc>
        <w:tc>
          <w:tcPr>
            <w:tcW w:w="901" w:type="dxa"/>
            <w:tcMar>
              <w:top w:w="0" w:type="dxa"/>
              <w:left w:w="108" w:type="dxa"/>
              <w:bottom w:w="0" w:type="dxa"/>
              <w:right w:w="108" w:type="dxa"/>
            </w:tcMar>
            <w:hideMark/>
          </w:tcPr>
          <w:p w14:paraId="5FA6DC73" w14:textId="77777777" w:rsidR="00251FBB" w:rsidRPr="002A113F" w:rsidRDefault="00251FBB" w:rsidP="00713379">
            <w:pPr>
              <w:jc w:val="center"/>
              <w:rPr>
                <w:rFonts w:eastAsia="Calibri"/>
                <w:b/>
                <w:bCs/>
                <w:sz w:val="18"/>
                <w:szCs w:val="18"/>
              </w:rPr>
            </w:pPr>
            <w:r w:rsidRPr="002A113F">
              <w:rPr>
                <w:rFonts w:eastAsia="Calibri"/>
                <w:b/>
                <w:bCs/>
                <w:sz w:val="18"/>
                <w:szCs w:val="18"/>
              </w:rPr>
              <w:t>411.40</w:t>
            </w:r>
          </w:p>
        </w:tc>
        <w:tc>
          <w:tcPr>
            <w:tcW w:w="1066" w:type="dxa"/>
            <w:tcMar>
              <w:top w:w="0" w:type="dxa"/>
              <w:left w:w="108" w:type="dxa"/>
              <w:bottom w:w="0" w:type="dxa"/>
              <w:right w:w="108" w:type="dxa"/>
            </w:tcMar>
            <w:hideMark/>
          </w:tcPr>
          <w:p w14:paraId="1F640DE8" w14:textId="77777777" w:rsidR="00251FBB" w:rsidRPr="002A113F" w:rsidRDefault="00251FBB" w:rsidP="00713379">
            <w:pPr>
              <w:jc w:val="right"/>
              <w:rPr>
                <w:rFonts w:eastAsia="Calibri"/>
                <w:b/>
                <w:bCs/>
                <w:sz w:val="18"/>
                <w:szCs w:val="18"/>
              </w:rPr>
            </w:pPr>
            <w:r w:rsidRPr="002A113F">
              <w:rPr>
                <w:rFonts w:eastAsia="Calibri"/>
                <w:b/>
                <w:bCs/>
                <w:sz w:val="18"/>
                <w:szCs w:val="18"/>
              </w:rPr>
              <w:t>$61.77</w:t>
            </w:r>
          </w:p>
        </w:tc>
        <w:tc>
          <w:tcPr>
            <w:tcW w:w="1721" w:type="dxa"/>
            <w:tcMar>
              <w:top w:w="0" w:type="dxa"/>
              <w:left w:w="108" w:type="dxa"/>
              <w:bottom w:w="0" w:type="dxa"/>
              <w:right w:w="108" w:type="dxa"/>
            </w:tcMar>
            <w:hideMark/>
          </w:tcPr>
          <w:p w14:paraId="5C7646DC" w14:textId="505DCF77" w:rsidR="00251FBB" w:rsidRPr="002A113F" w:rsidRDefault="00251FBB" w:rsidP="00713379">
            <w:pPr>
              <w:jc w:val="right"/>
              <w:rPr>
                <w:rFonts w:eastAsia="Calibri"/>
                <w:b/>
                <w:bCs/>
                <w:sz w:val="18"/>
                <w:szCs w:val="18"/>
              </w:rPr>
            </w:pPr>
            <w:r w:rsidRPr="002A113F">
              <w:rPr>
                <w:rFonts w:eastAsia="Calibri"/>
                <w:b/>
                <w:bCs/>
                <w:sz w:val="18"/>
                <w:szCs w:val="18"/>
              </w:rPr>
              <w:t>$25,412</w:t>
            </w:r>
            <w:r w:rsidR="00140FCB">
              <w:rPr>
                <w:rFonts w:eastAsia="Calibri"/>
                <w:b/>
                <w:bCs/>
                <w:sz w:val="18"/>
                <w:szCs w:val="18"/>
              </w:rPr>
              <w:t>.</w:t>
            </w:r>
            <w:r w:rsidR="00536E56">
              <w:rPr>
                <w:rFonts w:eastAsia="Calibri"/>
                <w:b/>
                <w:bCs/>
                <w:sz w:val="18"/>
                <w:szCs w:val="18"/>
              </w:rPr>
              <w:t>18</w:t>
            </w:r>
          </w:p>
        </w:tc>
      </w:tr>
    </w:tbl>
    <w:p w14:paraId="6E8214F0" w14:textId="77777777" w:rsidR="00251FBB" w:rsidRPr="00165E0E" w:rsidRDefault="00251FBB" w:rsidP="00251FBB">
      <w:pPr>
        <w:rPr>
          <w:color w:val="0000FF"/>
          <w:sz w:val="24"/>
          <w:szCs w:val="24"/>
        </w:rPr>
      </w:pPr>
    </w:p>
    <w:p w14:paraId="0F6A2B35" w14:textId="77777777" w:rsidR="00251FBB" w:rsidRPr="00165E0E" w:rsidRDefault="00251FBB" w:rsidP="00165E0E">
      <w:pPr>
        <w:rPr>
          <w:noProof/>
          <w:color w:val="0000FF"/>
          <w:sz w:val="24"/>
          <w:szCs w:val="24"/>
        </w:rPr>
      </w:pPr>
    </w:p>
    <w:p w14:paraId="77085902" w14:textId="77777777" w:rsidR="00FD21BD" w:rsidRPr="002A113F" w:rsidRDefault="00165E0E" w:rsidP="00165E0E">
      <w:pPr>
        <w:rPr>
          <w:noProof/>
          <w:sz w:val="24"/>
          <w:szCs w:val="24"/>
        </w:rPr>
      </w:pPr>
      <w:r w:rsidRPr="002A113F">
        <w:rPr>
          <w:noProof/>
          <w:sz w:val="24"/>
          <w:szCs w:val="24"/>
        </w:rPr>
        <w:tab/>
        <w:t>2420 responses x .17 burden hour per response x $</w:t>
      </w:r>
      <w:r w:rsidR="00F6237E" w:rsidRPr="002A113F">
        <w:rPr>
          <w:noProof/>
          <w:sz w:val="24"/>
          <w:szCs w:val="24"/>
        </w:rPr>
        <w:t>61</w:t>
      </w:r>
      <w:r w:rsidRPr="002A113F">
        <w:rPr>
          <w:noProof/>
          <w:sz w:val="24"/>
          <w:szCs w:val="24"/>
        </w:rPr>
        <w:t>.</w:t>
      </w:r>
      <w:r w:rsidR="00F6237E" w:rsidRPr="002A113F">
        <w:rPr>
          <w:noProof/>
          <w:sz w:val="24"/>
          <w:szCs w:val="24"/>
        </w:rPr>
        <w:t>77</w:t>
      </w:r>
      <w:r w:rsidRPr="002A113F">
        <w:rPr>
          <w:noProof/>
          <w:sz w:val="24"/>
          <w:szCs w:val="24"/>
        </w:rPr>
        <w:t xml:space="preserve"> p/hr</w:t>
      </w:r>
      <w:r w:rsidR="00F240E3">
        <w:rPr>
          <w:noProof/>
          <w:sz w:val="24"/>
          <w:szCs w:val="24"/>
        </w:rPr>
        <w:t xml:space="preserve"> </w:t>
      </w:r>
      <w:r w:rsidRPr="002A113F">
        <w:rPr>
          <w:noProof/>
          <w:sz w:val="24"/>
          <w:szCs w:val="24"/>
        </w:rPr>
        <w:t xml:space="preserve">(GS-13 Step </w:t>
      </w:r>
      <w:r w:rsidR="00FD21BD" w:rsidRPr="002A113F">
        <w:rPr>
          <w:noProof/>
          <w:sz w:val="24"/>
          <w:szCs w:val="24"/>
        </w:rPr>
        <w:t xml:space="preserve">10, Washington DC </w:t>
      </w:r>
    </w:p>
    <w:p w14:paraId="164B89E1" w14:textId="6DA17C9B" w:rsidR="00165E0E" w:rsidRPr="002A113F" w:rsidRDefault="00FD21BD" w:rsidP="00FD21BD">
      <w:pPr>
        <w:ind w:firstLine="720"/>
        <w:rPr>
          <w:noProof/>
          <w:sz w:val="24"/>
          <w:szCs w:val="24"/>
        </w:rPr>
      </w:pPr>
      <w:r w:rsidRPr="002A113F">
        <w:rPr>
          <w:noProof/>
          <w:sz w:val="24"/>
          <w:szCs w:val="24"/>
        </w:rPr>
        <w:t>Locality</w:t>
      </w:r>
      <w:r w:rsidR="003044C5">
        <w:rPr>
          <w:noProof/>
          <w:sz w:val="24"/>
          <w:szCs w:val="24"/>
        </w:rPr>
        <w:t xml:space="preserve"> as of </w:t>
      </w:r>
      <w:r w:rsidR="0052468A">
        <w:rPr>
          <w:noProof/>
          <w:sz w:val="24"/>
          <w:szCs w:val="24"/>
        </w:rPr>
        <w:t xml:space="preserve">July </w:t>
      </w:r>
      <w:r w:rsidR="003044C5">
        <w:rPr>
          <w:noProof/>
          <w:sz w:val="24"/>
          <w:szCs w:val="24"/>
        </w:rPr>
        <w:t>18</w:t>
      </w:r>
      <w:r w:rsidR="0052468A">
        <w:rPr>
          <w:noProof/>
          <w:sz w:val="24"/>
          <w:szCs w:val="24"/>
        </w:rPr>
        <w:t xml:space="preserve">, </w:t>
      </w:r>
      <w:r w:rsidR="003044C5">
        <w:rPr>
          <w:noProof/>
          <w:sz w:val="24"/>
          <w:szCs w:val="24"/>
        </w:rPr>
        <w:t>2019</w:t>
      </w:r>
      <w:r w:rsidR="00165E0E" w:rsidRPr="002A113F">
        <w:rPr>
          <w:noProof/>
          <w:sz w:val="24"/>
          <w:szCs w:val="24"/>
        </w:rPr>
        <w:t>)  = $</w:t>
      </w:r>
      <w:r w:rsidR="00F6237E" w:rsidRPr="002A113F">
        <w:rPr>
          <w:noProof/>
          <w:sz w:val="24"/>
          <w:szCs w:val="24"/>
        </w:rPr>
        <w:t>25,412</w:t>
      </w:r>
      <w:r w:rsidR="000F71F6">
        <w:rPr>
          <w:noProof/>
          <w:sz w:val="24"/>
          <w:szCs w:val="24"/>
        </w:rPr>
        <w:t>.</w:t>
      </w:r>
      <w:r w:rsidR="00536E56">
        <w:rPr>
          <w:noProof/>
          <w:sz w:val="24"/>
          <w:szCs w:val="24"/>
        </w:rPr>
        <w:t>18</w:t>
      </w:r>
      <w:r w:rsidR="000F71F6">
        <w:rPr>
          <w:noProof/>
          <w:sz w:val="24"/>
          <w:szCs w:val="24"/>
        </w:rPr>
        <w:t>.</w:t>
      </w:r>
    </w:p>
    <w:p w14:paraId="6AF542CB" w14:textId="77777777" w:rsidR="00165E0E" w:rsidRPr="002A113F" w:rsidRDefault="00165E0E" w:rsidP="00165E0E">
      <w:pPr>
        <w:rPr>
          <w:noProof/>
          <w:sz w:val="24"/>
          <w:szCs w:val="24"/>
        </w:rPr>
      </w:pPr>
    </w:p>
    <w:p w14:paraId="2689EBDF" w14:textId="77777777" w:rsidR="00536E56" w:rsidRDefault="00165E0E" w:rsidP="00165E0E">
      <w:pPr>
        <w:rPr>
          <w:noProof/>
          <w:sz w:val="24"/>
          <w:szCs w:val="24"/>
        </w:rPr>
      </w:pPr>
      <w:r w:rsidRPr="002A113F">
        <w:rPr>
          <w:sz w:val="24"/>
          <w:szCs w:val="24"/>
        </w:rPr>
        <w:t xml:space="preserve">15. This is an extension of a currently approved </w:t>
      </w:r>
      <w:r w:rsidRPr="002A113F">
        <w:rPr>
          <w:noProof/>
          <w:sz w:val="24"/>
          <w:szCs w:val="24"/>
        </w:rPr>
        <w:t xml:space="preserve">collection.  </w:t>
      </w:r>
      <w:r w:rsidR="00897660" w:rsidRPr="002A113F">
        <w:rPr>
          <w:noProof/>
          <w:sz w:val="24"/>
          <w:szCs w:val="24"/>
        </w:rPr>
        <w:t>There were no modifications made</w:t>
      </w:r>
    </w:p>
    <w:p w14:paraId="5E105F94" w14:textId="1C5E9357" w:rsidR="00165E0E" w:rsidRPr="002A113F" w:rsidRDefault="00536E56" w:rsidP="00536E56">
      <w:pPr>
        <w:rPr>
          <w:rStyle w:val="CommentReference"/>
          <w:sz w:val="24"/>
          <w:szCs w:val="24"/>
        </w:rPr>
      </w:pPr>
      <w:r>
        <w:rPr>
          <w:noProof/>
          <w:sz w:val="24"/>
          <w:szCs w:val="24"/>
        </w:rPr>
        <w:t xml:space="preserve">      </w:t>
      </w:r>
      <w:r w:rsidR="00897660" w:rsidRPr="002A113F">
        <w:rPr>
          <w:noProof/>
          <w:sz w:val="24"/>
          <w:szCs w:val="24"/>
        </w:rPr>
        <w:t xml:space="preserve"> to HUD-27054E.</w:t>
      </w:r>
    </w:p>
    <w:p w14:paraId="352F9818" w14:textId="77777777" w:rsidR="00165E0E" w:rsidRPr="002A113F" w:rsidRDefault="00165E0E" w:rsidP="00165E0E">
      <w:pPr>
        <w:rPr>
          <w:noProof/>
          <w:sz w:val="24"/>
          <w:szCs w:val="24"/>
        </w:rPr>
      </w:pPr>
    </w:p>
    <w:p w14:paraId="7DEA96B3" w14:textId="77777777" w:rsidR="00165E0E" w:rsidRPr="002A113F" w:rsidRDefault="00165E0E" w:rsidP="00165E0E">
      <w:pPr>
        <w:rPr>
          <w:noProof/>
          <w:sz w:val="24"/>
          <w:szCs w:val="24"/>
        </w:rPr>
      </w:pPr>
      <w:r w:rsidRPr="002A113F">
        <w:rPr>
          <w:noProof/>
          <w:sz w:val="24"/>
          <w:szCs w:val="24"/>
        </w:rPr>
        <w:t>16.  Results will not be published.</w:t>
      </w:r>
    </w:p>
    <w:p w14:paraId="2BA443E5" w14:textId="77777777" w:rsidR="00165E0E" w:rsidRPr="002A113F" w:rsidRDefault="00165E0E" w:rsidP="00165E0E">
      <w:pPr>
        <w:rPr>
          <w:noProof/>
          <w:sz w:val="24"/>
          <w:szCs w:val="24"/>
        </w:rPr>
      </w:pPr>
    </w:p>
    <w:p w14:paraId="57CD6D33" w14:textId="77777777" w:rsidR="00165E0E" w:rsidRPr="002A113F" w:rsidRDefault="00165E0E" w:rsidP="00165E0E">
      <w:pPr>
        <w:rPr>
          <w:noProof/>
          <w:sz w:val="24"/>
          <w:szCs w:val="24"/>
        </w:rPr>
      </w:pPr>
      <w:r w:rsidRPr="002A113F">
        <w:rPr>
          <w:noProof/>
          <w:sz w:val="24"/>
          <w:szCs w:val="24"/>
        </w:rPr>
        <w:t>17.  No exceptions are requested.</w:t>
      </w:r>
    </w:p>
    <w:p w14:paraId="7EE32287" w14:textId="77777777" w:rsidR="00165E0E" w:rsidRPr="002A113F" w:rsidRDefault="00165E0E" w:rsidP="00165E0E">
      <w:pPr>
        <w:rPr>
          <w:noProof/>
          <w:sz w:val="24"/>
          <w:szCs w:val="24"/>
        </w:rPr>
      </w:pPr>
    </w:p>
    <w:p w14:paraId="6AB08F8C" w14:textId="77777777" w:rsidR="00165E0E" w:rsidRPr="002A113F" w:rsidRDefault="00165E0E" w:rsidP="00165E0E">
      <w:pPr>
        <w:rPr>
          <w:noProof/>
          <w:sz w:val="24"/>
          <w:szCs w:val="24"/>
        </w:rPr>
      </w:pPr>
      <w:r w:rsidRPr="002A113F">
        <w:rPr>
          <w:noProof/>
          <w:sz w:val="24"/>
          <w:szCs w:val="24"/>
        </w:rPr>
        <w:t>18.  No exceptions.</w:t>
      </w:r>
    </w:p>
    <w:p w14:paraId="127FED77" w14:textId="77777777" w:rsidR="009E13B1" w:rsidRPr="002A113F" w:rsidRDefault="009E13B1">
      <w:pPr>
        <w:keepLines/>
        <w:tabs>
          <w:tab w:val="left" w:pos="360"/>
          <w:tab w:val="left" w:pos="720"/>
        </w:tabs>
        <w:ind w:left="360"/>
        <w:rPr>
          <w:sz w:val="24"/>
          <w:szCs w:val="24"/>
        </w:rPr>
      </w:pPr>
    </w:p>
    <w:p w14:paraId="50C5AE85" w14:textId="77777777" w:rsidR="009E13B1" w:rsidRPr="002A113F" w:rsidRDefault="009E13B1">
      <w:pPr>
        <w:tabs>
          <w:tab w:val="left" w:pos="360"/>
          <w:tab w:val="left" w:pos="720"/>
        </w:tabs>
        <w:rPr>
          <w:sz w:val="24"/>
          <w:szCs w:val="24"/>
        </w:rPr>
      </w:pPr>
    </w:p>
    <w:p w14:paraId="4AC4F850" w14:textId="77777777" w:rsidR="009E13B1" w:rsidRPr="002A113F" w:rsidRDefault="009E13B1" w:rsidP="00167E53">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2A113F">
        <w:rPr>
          <w:rFonts w:ascii="Helvetica" w:hAnsi="Helvetica"/>
          <w:b/>
          <w:sz w:val="24"/>
          <w:szCs w:val="24"/>
        </w:rPr>
        <w:t xml:space="preserve">B. </w:t>
      </w:r>
      <w:r w:rsidRPr="002A113F">
        <w:rPr>
          <w:rFonts w:ascii="Helvetica" w:hAnsi="Helvetica"/>
          <w:b/>
          <w:sz w:val="24"/>
          <w:szCs w:val="24"/>
        </w:rPr>
        <w:tab/>
        <w:t>Collections of Information Employing Statistical Methods</w:t>
      </w:r>
    </w:p>
    <w:p w14:paraId="0176E04B" w14:textId="77777777" w:rsidR="00D97621" w:rsidRPr="002A113F" w:rsidRDefault="00D97621" w:rsidP="00167E53">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14:paraId="48875ECF" w14:textId="77777777" w:rsidR="00D97621" w:rsidRPr="002A113F" w:rsidRDefault="00D97621" w:rsidP="00167E53">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A113F">
        <w:rPr>
          <w:rFonts w:ascii="Helvetica" w:hAnsi="Helvetica"/>
          <w:b/>
          <w:sz w:val="24"/>
          <w:szCs w:val="24"/>
        </w:rPr>
        <w:t>N/A</w:t>
      </w:r>
    </w:p>
    <w:sectPr w:rsidR="00D97621" w:rsidRPr="002A113F" w:rsidSect="006C7FAE">
      <w:headerReference w:type="default" r:id="rId10"/>
      <w:pgSz w:w="12240" w:h="15840"/>
      <w:pgMar w:top="1440" w:right="1440" w:bottom="1440" w:left="900" w:header="480" w:footer="480" w:gutter="0"/>
      <w:cols w:space="480" w:equalWidth="0">
        <w:col w:w="1008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7EFAB" w14:textId="77777777" w:rsidR="00B84E5F" w:rsidRDefault="00B84E5F">
      <w:r>
        <w:separator/>
      </w:r>
    </w:p>
  </w:endnote>
  <w:endnote w:type="continuationSeparator" w:id="0">
    <w:p w14:paraId="01B00DE3" w14:textId="77777777" w:rsidR="00B84E5F" w:rsidRDefault="00B8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7485B" w14:textId="77777777" w:rsidR="00B84E5F" w:rsidRDefault="00B84E5F">
      <w:r>
        <w:separator/>
      </w:r>
    </w:p>
  </w:footnote>
  <w:footnote w:type="continuationSeparator" w:id="0">
    <w:p w14:paraId="49D35460" w14:textId="77777777" w:rsidR="00B84E5F" w:rsidRDefault="00B84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24F" w14:textId="77777777" w:rsidR="009E13B1" w:rsidRDefault="009E13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40"/>
    <w:rsid w:val="00001C26"/>
    <w:rsid w:val="0000207A"/>
    <w:rsid w:val="000650AC"/>
    <w:rsid w:val="000A1639"/>
    <w:rsid w:val="000E00A8"/>
    <w:rsid w:val="000E2A89"/>
    <w:rsid w:val="000F71F6"/>
    <w:rsid w:val="00140FCB"/>
    <w:rsid w:val="00154BD8"/>
    <w:rsid w:val="00165E0E"/>
    <w:rsid w:val="00167E53"/>
    <w:rsid w:val="001A6B44"/>
    <w:rsid w:val="002126BD"/>
    <w:rsid w:val="00251FBB"/>
    <w:rsid w:val="002A113F"/>
    <w:rsid w:val="002F6CE8"/>
    <w:rsid w:val="003044C5"/>
    <w:rsid w:val="003227DA"/>
    <w:rsid w:val="00356745"/>
    <w:rsid w:val="00360090"/>
    <w:rsid w:val="00387812"/>
    <w:rsid w:val="003C215F"/>
    <w:rsid w:val="00411DAF"/>
    <w:rsid w:val="00450591"/>
    <w:rsid w:val="00496014"/>
    <w:rsid w:val="00497DCD"/>
    <w:rsid w:val="0052468A"/>
    <w:rsid w:val="00536868"/>
    <w:rsid w:val="00536E56"/>
    <w:rsid w:val="005728E5"/>
    <w:rsid w:val="00633DAF"/>
    <w:rsid w:val="00676B49"/>
    <w:rsid w:val="0068439B"/>
    <w:rsid w:val="006B7674"/>
    <w:rsid w:val="006C7FAE"/>
    <w:rsid w:val="006D7B9F"/>
    <w:rsid w:val="006E1D3A"/>
    <w:rsid w:val="00713379"/>
    <w:rsid w:val="007D11F7"/>
    <w:rsid w:val="00867F02"/>
    <w:rsid w:val="00897660"/>
    <w:rsid w:val="008B397E"/>
    <w:rsid w:val="00903A6C"/>
    <w:rsid w:val="0090663D"/>
    <w:rsid w:val="009E0C3E"/>
    <w:rsid w:val="009E13B1"/>
    <w:rsid w:val="00A067A3"/>
    <w:rsid w:val="00A17073"/>
    <w:rsid w:val="00A46564"/>
    <w:rsid w:val="00A64A42"/>
    <w:rsid w:val="00A82F0F"/>
    <w:rsid w:val="00AC13C3"/>
    <w:rsid w:val="00AE2236"/>
    <w:rsid w:val="00B01940"/>
    <w:rsid w:val="00B04BA6"/>
    <w:rsid w:val="00B11008"/>
    <w:rsid w:val="00B3608A"/>
    <w:rsid w:val="00B84E5F"/>
    <w:rsid w:val="00B96082"/>
    <w:rsid w:val="00BA2F62"/>
    <w:rsid w:val="00BC10AF"/>
    <w:rsid w:val="00C125CB"/>
    <w:rsid w:val="00C957F6"/>
    <w:rsid w:val="00CC4E90"/>
    <w:rsid w:val="00CE1567"/>
    <w:rsid w:val="00D5138D"/>
    <w:rsid w:val="00D97621"/>
    <w:rsid w:val="00DA5D69"/>
    <w:rsid w:val="00DC0187"/>
    <w:rsid w:val="00E33D78"/>
    <w:rsid w:val="00E35AE7"/>
    <w:rsid w:val="00F240E3"/>
    <w:rsid w:val="00F27C8F"/>
    <w:rsid w:val="00F37CE6"/>
    <w:rsid w:val="00F60805"/>
    <w:rsid w:val="00F6237E"/>
    <w:rsid w:val="00FD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E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E223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165E0E"/>
    <w:rPr>
      <w:sz w:val="16"/>
      <w:szCs w:val="16"/>
    </w:rPr>
  </w:style>
  <w:style w:type="table" w:styleId="TableGrid">
    <w:name w:val="Table Grid"/>
    <w:basedOn w:val="TableNormal"/>
    <w:rsid w:val="0016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E2236"/>
    <w:rPr>
      <w:rFonts w:ascii="Calibri Light" w:eastAsia="Times New Roman" w:hAnsi="Calibri Light" w:cs="Times New Roman"/>
      <w:b/>
      <w:bCs/>
      <w:kern w:val="32"/>
      <w:sz w:val="32"/>
      <w:szCs w:val="32"/>
    </w:rPr>
  </w:style>
  <w:style w:type="character" w:styleId="Hyperlink">
    <w:name w:val="Hyperlink"/>
    <w:uiPriority w:val="99"/>
    <w:unhideWhenUsed/>
    <w:rsid w:val="002126BD"/>
    <w:rPr>
      <w:color w:val="0563C1"/>
      <w:u w:val="single"/>
    </w:rPr>
  </w:style>
  <w:style w:type="character" w:customStyle="1" w:styleId="UnresolvedMention">
    <w:name w:val="Unresolved Mention"/>
    <w:uiPriority w:val="99"/>
    <w:semiHidden/>
    <w:unhideWhenUsed/>
    <w:rsid w:val="002126BD"/>
    <w:rPr>
      <w:color w:val="605E5C"/>
      <w:shd w:val="clear" w:color="auto" w:fill="E1DFDD"/>
    </w:rPr>
  </w:style>
  <w:style w:type="character" w:styleId="FollowedHyperlink">
    <w:name w:val="FollowedHyperlink"/>
    <w:uiPriority w:val="99"/>
    <w:semiHidden/>
    <w:unhideWhenUsed/>
    <w:rsid w:val="00B96082"/>
    <w:rPr>
      <w:color w:val="954F72"/>
      <w:u w:val="single"/>
    </w:rPr>
  </w:style>
  <w:style w:type="paragraph" w:styleId="CommentText">
    <w:name w:val="annotation text"/>
    <w:basedOn w:val="Normal"/>
    <w:link w:val="CommentTextChar"/>
    <w:uiPriority w:val="99"/>
    <w:semiHidden/>
    <w:unhideWhenUsed/>
    <w:rsid w:val="00A46564"/>
  </w:style>
  <w:style w:type="character" w:customStyle="1" w:styleId="CommentTextChar">
    <w:name w:val="Comment Text Char"/>
    <w:basedOn w:val="DefaultParagraphFont"/>
    <w:link w:val="CommentText"/>
    <w:uiPriority w:val="99"/>
    <w:semiHidden/>
    <w:rsid w:val="00A46564"/>
  </w:style>
  <w:style w:type="paragraph" w:styleId="CommentSubject">
    <w:name w:val="annotation subject"/>
    <w:basedOn w:val="CommentText"/>
    <w:next w:val="CommentText"/>
    <w:link w:val="CommentSubjectChar"/>
    <w:uiPriority w:val="99"/>
    <w:semiHidden/>
    <w:unhideWhenUsed/>
    <w:rsid w:val="00A46564"/>
    <w:rPr>
      <w:b/>
      <w:bCs/>
    </w:rPr>
  </w:style>
  <w:style w:type="character" w:customStyle="1" w:styleId="CommentSubjectChar">
    <w:name w:val="Comment Subject Char"/>
    <w:link w:val="CommentSubject"/>
    <w:uiPriority w:val="99"/>
    <w:semiHidden/>
    <w:rsid w:val="00A465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E223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165E0E"/>
    <w:rPr>
      <w:sz w:val="16"/>
      <w:szCs w:val="16"/>
    </w:rPr>
  </w:style>
  <w:style w:type="table" w:styleId="TableGrid">
    <w:name w:val="Table Grid"/>
    <w:basedOn w:val="TableNormal"/>
    <w:rsid w:val="0016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E2236"/>
    <w:rPr>
      <w:rFonts w:ascii="Calibri Light" w:eastAsia="Times New Roman" w:hAnsi="Calibri Light" w:cs="Times New Roman"/>
      <w:b/>
      <w:bCs/>
      <w:kern w:val="32"/>
      <w:sz w:val="32"/>
      <w:szCs w:val="32"/>
    </w:rPr>
  </w:style>
  <w:style w:type="character" w:styleId="Hyperlink">
    <w:name w:val="Hyperlink"/>
    <w:uiPriority w:val="99"/>
    <w:unhideWhenUsed/>
    <w:rsid w:val="002126BD"/>
    <w:rPr>
      <w:color w:val="0563C1"/>
      <w:u w:val="single"/>
    </w:rPr>
  </w:style>
  <w:style w:type="character" w:customStyle="1" w:styleId="UnresolvedMention">
    <w:name w:val="Unresolved Mention"/>
    <w:uiPriority w:val="99"/>
    <w:semiHidden/>
    <w:unhideWhenUsed/>
    <w:rsid w:val="002126BD"/>
    <w:rPr>
      <w:color w:val="605E5C"/>
      <w:shd w:val="clear" w:color="auto" w:fill="E1DFDD"/>
    </w:rPr>
  </w:style>
  <w:style w:type="character" w:styleId="FollowedHyperlink">
    <w:name w:val="FollowedHyperlink"/>
    <w:uiPriority w:val="99"/>
    <w:semiHidden/>
    <w:unhideWhenUsed/>
    <w:rsid w:val="00B96082"/>
    <w:rPr>
      <w:color w:val="954F72"/>
      <w:u w:val="single"/>
    </w:rPr>
  </w:style>
  <w:style w:type="paragraph" w:styleId="CommentText">
    <w:name w:val="annotation text"/>
    <w:basedOn w:val="Normal"/>
    <w:link w:val="CommentTextChar"/>
    <w:uiPriority w:val="99"/>
    <w:semiHidden/>
    <w:unhideWhenUsed/>
    <w:rsid w:val="00A46564"/>
  </w:style>
  <w:style w:type="character" w:customStyle="1" w:styleId="CommentTextChar">
    <w:name w:val="Comment Text Char"/>
    <w:basedOn w:val="DefaultParagraphFont"/>
    <w:link w:val="CommentText"/>
    <w:uiPriority w:val="99"/>
    <w:semiHidden/>
    <w:rsid w:val="00A46564"/>
  </w:style>
  <w:style w:type="paragraph" w:styleId="CommentSubject">
    <w:name w:val="annotation subject"/>
    <w:basedOn w:val="CommentText"/>
    <w:next w:val="CommentText"/>
    <w:link w:val="CommentSubjectChar"/>
    <w:uiPriority w:val="99"/>
    <w:semiHidden/>
    <w:unhideWhenUsed/>
    <w:rsid w:val="00A46564"/>
    <w:rPr>
      <w:b/>
      <w:bCs/>
    </w:rPr>
  </w:style>
  <w:style w:type="character" w:customStyle="1" w:styleId="CommentSubjectChar">
    <w:name w:val="Comment Subject Char"/>
    <w:link w:val="CommentSubject"/>
    <w:uiPriority w:val="99"/>
    <w:semiHidden/>
    <w:rsid w:val="00A46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131635392">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ayscale.com/research/US/Job=Executive_Director/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176BE-480C-49A9-B9EF-2EA8439E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6660</CharactersWithSpaces>
  <SharedDoc>false</SharedDoc>
  <HLinks>
    <vt:vector size="6" baseType="variant">
      <vt:variant>
        <vt:i4>3276827</vt:i4>
      </vt:variant>
      <vt:variant>
        <vt:i4>0</vt:i4>
      </vt:variant>
      <vt:variant>
        <vt:i4>0</vt:i4>
      </vt:variant>
      <vt:variant>
        <vt:i4>5</vt:i4>
      </vt:variant>
      <vt:variant>
        <vt:lpwstr>https://www.payscale.com/research/US/Job=Executive_Director/Salary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SYSTEM</cp:lastModifiedBy>
  <cp:revision>2</cp:revision>
  <cp:lastPrinted>2019-10-21T16:51:00Z</cp:lastPrinted>
  <dcterms:created xsi:type="dcterms:W3CDTF">2019-10-30T15:50:00Z</dcterms:created>
  <dcterms:modified xsi:type="dcterms:W3CDTF">2019-10-30T15:50:00Z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