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B082E" w14:textId="77777777" w:rsidR="009F2E75" w:rsidRDefault="009F2E75" w:rsidP="007D5D4D">
      <w:pPr>
        <w:spacing w:after="120"/>
        <w:jc w:val="center"/>
        <w:rPr>
          <w:b/>
        </w:rPr>
      </w:pPr>
      <w:bookmarkStart w:id="0" w:name="_GoBack"/>
      <w:bookmarkEnd w:id="0"/>
    </w:p>
    <w:p w14:paraId="6905A174" w14:textId="77777777" w:rsidR="00D641D3" w:rsidRPr="009F2E75" w:rsidRDefault="003E4B34" w:rsidP="007D5D4D">
      <w:pPr>
        <w:spacing w:after="120"/>
        <w:jc w:val="center"/>
        <w:rPr>
          <w:b/>
        </w:rPr>
      </w:pPr>
      <w:r w:rsidRPr="009F2E75">
        <w:rPr>
          <w:b/>
        </w:rPr>
        <w:t>SUPPORTING STATEMENT</w:t>
      </w:r>
    </w:p>
    <w:p w14:paraId="30B94A04" w14:textId="77777777" w:rsidR="003E4B34" w:rsidRPr="00975241" w:rsidRDefault="003E4B34" w:rsidP="007D5D4D">
      <w:pPr>
        <w:pStyle w:val="ListParagraph"/>
        <w:numPr>
          <w:ilvl w:val="0"/>
          <w:numId w:val="1"/>
        </w:numPr>
        <w:spacing w:after="120"/>
        <w:ind w:left="360"/>
        <w:rPr>
          <w:b/>
        </w:rPr>
      </w:pPr>
      <w:r w:rsidRPr="00975241">
        <w:rPr>
          <w:b/>
          <w:u w:val="single"/>
        </w:rPr>
        <w:t>Justification</w:t>
      </w:r>
      <w:r w:rsidRPr="00975241">
        <w:rPr>
          <w:b/>
        </w:rPr>
        <w:t>:</w:t>
      </w:r>
    </w:p>
    <w:p w14:paraId="4F595691" w14:textId="0CE8D607" w:rsidR="00A674D6" w:rsidRDefault="00A674D6" w:rsidP="007D5D4D">
      <w:pPr>
        <w:pStyle w:val="ListParagraph"/>
        <w:spacing w:after="120"/>
      </w:pPr>
    </w:p>
    <w:p w14:paraId="625D3F2F" w14:textId="33545832" w:rsidR="004162E3" w:rsidRPr="00D21F67" w:rsidRDefault="004162E3" w:rsidP="004162E3">
      <w:pPr>
        <w:pStyle w:val="ListParagraph"/>
      </w:pPr>
      <w:r w:rsidRPr="00D21F67">
        <w:t>The Commission is requesting the Office of Management and Budget (OMB)</w:t>
      </w:r>
      <w:r w:rsidR="00596652">
        <w:t>’s</w:t>
      </w:r>
      <w:r w:rsidRPr="00D21F67">
        <w:t xml:space="preserve"> approval of this new information collection in order to obtain the full three-year clearance.</w:t>
      </w:r>
    </w:p>
    <w:p w14:paraId="22C213DE" w14:textId="77777777" w:rsidR="004162E3" w:rsidRPr="007C0FD4" w:rsidRDefault="004162E3" w:rsidP="00D21F67">
      <w:pPr>
        <w:spacing w:after="120"/>
      </w:pPr>
    </w:p>
    <w:p w14:paraId="315ACDB8" w14:textId="4827CCD4" w:rsidR="00A71667" w:rsidRDefault="00B87D1A" w:rsidP="0018501B">
      <w:pPr>
        <w:pStyle w:val="ListParagraph"/>
        <w:numPr>
          <w:ilvl w:val="0"/>
          <w:numId w:val="2"/>
        </w:numPr>
        <w:spacing w:after="120"/>
        <w:ind w:left="720"/>
      </w:pPr>
      <w:r>
        <w:rPr>
          <w:i/>
        </w:rPr>
        <w:t xml:space="preserve">Circumstances that make the collection necessary. </w:t>
      </w:r>
      <w:bookmarkStart w:id="1" w:name="_Hlk12610362"/>
      <w:r w:rsidR="00A7249A">
        <w:t>T</w:t>
      </w:r>
      <w:r w:rsidR="00A71667">
        <w:t xml:space="preserve">he Commission released </w:t>
      </w:r>
      <w:r w:rsidR="005C0AEF">
        <w:t>a Report and</w:t>
      </w:r>
      <w:r w:rsidR="00A7249A">
        <w:t xml:space="preserve"> Order,</w:t>
      </w:r>
      <w:r w:rsidR="005C0AEF">
        <w:rPr>
          <w:rStyle w:val="FootnoteReference"/>
        </w:rPr>
        <w:footnoteReference w:id="1"/>
      </w:r>
      <w:r w:rsidR="005C0AEF">
        <w:t xml:space="preserve"> where it </w:t>
      </w:r>
      <w:r w:rsidR="00A71667">
        <w:t>established competitive bidding as a toll free number assignment method and called for an</w:t>
      </w:r>
      <w:r w:rsidR="007D2F80">
        <w:t xml:space="preserve"> </w:t>
      </w:r>
      <w:r w:rsidR="00A71667">
        <w:t xml:space="preserve">auction for select numbers in </w:t>
      </w:r>
      <w:r w:rsidR="0018501B">
        <w:t xml:space="preserve">the </w:t>
      </w:r>
      <w:r w:rsidR="00A71667">
        <w:t>toll free code 833</w:t>
      </w:r>
      <w:r w:rsidR="00596652">
        <w:t xml:space="preserve"> as an experiment in assigning numbers via competitive bidding</w:t>
      </w:r>
      <w:r w:rsidR="006731A3">
        <w:t xml:space="preserve"> (the 833 Auction)</w:t>
      </w:r>
      <w:r w:rsidR="007D2F80">
        <w:t>.</w:t>
      </w:r>
      <w:r w:rsidR="000826CB">
        <w:t xml:space="preserve"> The resulting information collection will be outlined in two parts</w:t>
      </w:r>
      <w:r w:rsidR="009E66B7">
        <w:t>, explained</w:t>
      </w:r>
      <w:r w:rsidR="000826CB">
        <w:t xml:space="preserve"> below</w:t>
      </w:r>
      <w:r w:rsidR="009E66B7">
        <w:t>—</w:t>
      </w:r>
      <w:r w:rsidR="000826CB">
        <w:t xml:space="preserve">one for </w:t>
      </w:r>
      <w:r w:rsidR="009E66B7">
        <w:t xml:space="preserve">a </w:t>
      </w:r>
      <w:r w:rsidR="000826CB">
        <w:t>Letter of Authorization (LOA), and the other for the post-auction secondary market</w:t>
      </w:r>
      <w:r w:rsidR="009E66B7">
        <w:t xml:space="preserve"> </w:t>
      </w:r>
      <w:r w:rsidR="000826CB">
        <w:t>information collection</w:t>
      </w:r>
      <w:r w:rsidR="00A03DD3">
        <w:t xml:space="preserve">, </w:t>
      </w:r>
      <w:r w:rsidR="00043312">
        <w:t>to be submitted via form FCC-5633.</w:t>
      </w:r>
      <w:r w:rsidR="007D2F80">
        <w:t xml:space="preserve"> </w:t>
      </w:r>
    </w:p>
    <w:bookmarkEnd w:id="1"/>
    <w:p w14:paraId="0D91CB9C" w14:textId="77777777" w:rsidR="0018501B" w:rsidRDefault="0018501B" w:rsidP="0018501B">
      <w:pPr>
        <w:pStyle w:val="ListParagraph"/>
        <w:spacing w:after="120"/>
      </w:pPr>
    </w:p>
    <w:p w14:paraId="7547B76B" w14:textId="72E1921A" w:rsidR="0018501B" w:rsidRDefault="000826CB" w:rsidP="004D654B">
      <w:pPr>
        <w:spacing w:after="120"/>
        <w:ind w:left="720"/>
      </w:pPr>
      <w:r w:rsidRPr="004D654B">
        <w:rPr>
          <w:u w:val="single"/>
        </w:rPr>
        <w:t>LOA collection</w:t>
      </w:r>
      <w:r>
        <w:t xml:space="preserve">. </w:t>
      </w:r>
      <w:r w:rsidR="00DA672C">
        <w:t>Potential subscribers may participate directly in the 833 Auction; however, any potential subscribers who are assigned a number via the 833 Auction must work with a Responsible Organization (RespOrg)</w:t>
      </w:r>
      <w:r w:rsidR="00DA672C">
        <w:rPr>
          <w:rStyle w:val="FootnoteReference"/>
        </w:rPr>
        <w:footnoteReference w:id="2"/>
      </w:r>
      <w:r w:rsidR="00DA672C">
        <w:t xml:space="preserve"> after the auction to register and administer the toll free number, pursuant to our rules.</w:t>
      </w:r>
      <w:r w:rsidR="00DA672C">
        <w:rPr>
          <w:rStyle w:val="FootnoteReference"/>
        </w:rPr>
        <w:footnoteReference w:id="3"/>
      </w:r>
      <w:r w:rsidR="00DA672C">
        <w:t xml:space="preserve"> </w:t>
      </w:r>
      <w:r w:rsidR="000F5D0A">
        <w:t xml:space="preserve"> </w:t>
      </w:r>
      <w:r w:rsidR="00C173EE">
        <w:t>We  require a RespOrg to acquire a</w:t>
      </w:r>
      <w:r w:rsidR="001A146D">
        <w:t xml:space="preserve">n </w:t>
      </w:r>
      <w:r w:rsidR="00C173EE">
        <w:t xml:space="preserve">LOA </w:t>
      </w:r>
      <w:r w:rsidR="000F5D0A">
        <w:t>fr</w:t>
      </w:r>
      <w:r w:rsidR="00226BF1">
        <w:t>om</w:t>
      </w:r>
      <w:r w:rsidR="000F5D0A">
        <w:t xml:space="preserve"> the subscriber</w:t>
      </w:r>
      <w:r w:rsidR="00596652">
        <w:t xml:space="preserve"> on whose behalf it manages records in the Toll Free Database</w:t>
      </w:r>
      <w:r w:rsidR="000F5D0A">
        <w:t>.</w:t>
      </w:r>
      <w:r w:rsidR="003B02AE">
        <w:t xml:space="preserve"> </w:t>
      </w:r>
      <w:r w:rsidR="00DA672C">
        <w:t xml:space="preserve"> </w:t>
      </w:r>
      <w:r w:rsidR="004D654B">
        <w:t xml:space="preserve">The information collection is a minimal collection and provides Somos practical utility in its verification process.  </w:t>
      </w:r>
    </w:p>
    <w:p w14:paraId="5B98A8DE" w14:textId="77777777" w:rsidR="000F5D0A" w:rsidRDefault="000F5D0A" w:rsidP="000F5D0A">
      <w:pPr>
        <w:pStyle w:val="ListParagraph"/>
        <w:spacing w:after="120"/>
        <w:ind w:left="1080"/>
      </w:pPr>
    </w:p>
    <w:p w14:paraId="3670D183" w14:textId="1C0A58E2" w:rsidR="00A71667" w:rsidRPr="00775917" w:rsidRDefault="000826CB" w:rsidP="004D654B">
      <w:pPr>
        <w:spacing w:after="120"/>
        <w:ind w:left="720"/>
      </w:pPr>
      <w:bookmarkStart w:id="2" w:name="_Hlk12611287"/>
      <w:r w:rsidRPr="004D654B">
        <w:rPr>
          <w:u w:val="single"/>
        </w:rPr>
        <w:t>Secondary market collection</w:t>
      </w:r>
      <w:r>
        <w:t xml:space="preserve">.  </w:t>
      </w:r>
      <w:r w:rsidR="00775917">
        <w:t xml:space="preserve">A key component to the effectiveness of the auction is the adoption of a post-auction </w:t>
      </w:r>
      <w:r w:rsidR="00775917" w:rsidRPr="00AF30AC">
        <w:t>secondary market</w:t>
      </w:r>
      <w:r w:rsidR="00775917">
        <w:t xml:space="preserve"> for the sale of the rights to use numbers</w:t>
      </w:r>
      <w:r w:rsidR="006E2451">
        <w:t xml:space="preserve"> </w:t>
      </w:r>
      <w:r w:rsidR="00D71F0F">
        <w:t>assigned in the 833 Auction</w:t>
      </w:r>
      <w:r w:rsidR="00775917">
        <w:t>.</w:t>
      </w:r>
      <w:bookmarkEnd w:id="2"/>
      <w:r w:rsidR="00FB5885">
        <w:t xml:space="preserve"> </w:t>
      </w:r>
      <w:r w:rsidR="00775917">
        <w:t xml:space="preserve">This was made possible in the </w:t>
      </w:r>
      <w:r w:rsidR="00775917" w:rsidRPr="000F5D0A">
        <w:rPr>
          <w:i/>
        </w:rPr>
        <w:t xml:space="preserve">Report and Order </w:t>
      </w:r>
      <w:r w:rsidR="00775917">
        <w:t>by the Commission a</w:t>
      </w:r>
      <w:r w:rsidR="004A4D0E" w:rsidRPr="009F2E75">
        <w:t>dopt</w:t>
      </w:r>
      <w:r w:rsidR="00775917">
        <w:t xml:space="preserve">ing an </w:t>
      </w:r>
      <w:r w:rsidR="004A4D0E" w:rsidRPr="009F2E75">
        <w:t>exception to the rules prohibiting the brokering, hoarding, and warehousing of toll free numbers</w:t>
      </w:r>
      <w:r w:rsidR="00775917">
        <w:t>.</w:t>
      </w:r>
      <w:r w:rsidR="007D2F80">
        <w:rPr>
          <w:rStyle w:val="FootnoteReference"/>
        </w:rPr>
        <w:footnoteReference w:id="4"/>
      </w:r>
      <w:r w:rsidR="00775917">
        <w:t xml:space="preserve"> </w:t>
      </w:r>
      <w:r w:rsidR="00387E0E">
        <w:t xml:space="preserve">As stated in the </w:t>
      </w:r>
      <w:r w:rsidR="00387E0E" w:rsidRPr="000F5D0A">
        <w:rPr>
          <w:i/>
        </w:rPr>
        <w:t>Report and Order</w:t>
      </w:r>
      <w:r w:rsidR="00387E0E">
        <w:t>, t</w:t>
      </w:r>
      <w:r w:rsidR="00FB5885">
        <w:t xml:space="preserve">o evaluate the operation of this </w:t>
      </w:r>
      <w:r w:rsidR="00D50C0C">
        <w:t>s</w:t>
      </w:r>
      <w:r w:rsidR="00FB5885">
        <w:t xml:space="preserve">econdary </w:t>
      </w:r>
      <w:r w:rsidR="00D50C0C">
        <w:t>m</w:t>
      </w:r>
      <w:r w:rsidR="00FB5885">
        <w:t>arket</w:t>
      </w:r>
      <w:r w:rsidR="00DB5410">
        <w:t xml:space="preserve">, </w:t>
      </w:r>
      <w:r w:rsidR="00FB5885">
        <w:t xml:space="preserve">the Commission has directed </w:t>
      </w:r>
      <w:r w:rsidR="00A75FD9">
        <w:t>Somos</w:t>
      </w:r>
      <w:r w:rsidR="004A4D0E" w:rsidRPr="009F2E75">
        <w:t xml:space="preserve"> </w:t>
      </w:r>
      <w:r w:rsidR="00FB5885">
        <w:t xml:space="preserve">to collect and maintain data concerning </w:t>
      </w:r>
      <w:r w:rsidR="00D50C0C">
        <w:t xml:space="preserve">post-auction secondary market </w:t>
      </w:r>
      <w:r w:rsidR="00FB5885">
        <w:t>transactions, which will be made available to the Commission.</w:t>
      </w:r>
      <w:r w:rsidR="000F5D0A">
        <w:t xml:space="preserve"> </w:t>
      </w:r>
      <w:r w:rsidR="00387E0E">
        <w:t xml:space="preserve">RespOrgs will </w:t>
      </w:r>
      <w:r w:rsidR="00596652">
        <w:t>promote</w:t>
      </w:r>
      <w:r w:rsidR="00387E0E">
        <w:t xml:space="preserve"> the collection of data through a required submission of subscriber information to Somos</w:t>
      </w:r>
      <w:r w:rsidR="00596652">
        <w:t xml:space="preserve"> </w:t>
      </w:r>
      <w:r w:rsidR="006E2451">
        <w:t>after they have received knowledge that</w:t>
      </w:r>
      <w:r w:rsidR="00596652">
        <w:t xml:space="preserve"> a transaction </w:t>
      </w:r>
      <w:r w:rsidR="006E2451">
        <w:t>has occurred</w:t>
      </w:r>
      <w:r w:rsidR="00387E0E">
        <w:t>.</w:t>
      </w:r>
      <w:r w:rsidR="004D654B">
        <w:t xml:space="preserve"> The information collection has been designed to be minimal while still providing the Commission practical utility in evaluating the auction process.</w:t>
      </w:r>
    </w:p>
    <w:p w14:paraId="21226B34" w14:textId="77777777" w:rsidR="00A71667" w:rsidRDefault="00A71667" w:rsidP="007D5D4D">
      <w:pPr>
        <w:pStyle w:val="ListParagraph"/>
        <w:spacing w:after="120"/>
        <w:ind w:left="630"/>
      </w:pPr>
    </w:p>
    <w:p w14:paraId="507567C0" w14:textId="426168F6" w:rsidR="004D654B" w:rsidRDefault="004D654B" w:rsidP="00EF3814">
      <w:pPr>
        <w:pStyle w:val="ListParagraph"/>
        <w:spacing w:after="120"/>
      </w:pPr>
    </w:p>
    <w:p w14:paraId="2E046F3F" w14:textId="28226246" w:rsidR="005C0AEF" w:rsidRDefault="00C06038" w:rsidP="00C06038">
      <w:pPr>
        <w:pStyle w:val="ListParagraph"/>
        <w:tabs>
          <w:tab w:val="left" w:pos="6317"/>
        </w:tabs>
        <w:spacing w:after="120"/>
      </w:pPr>
      <w:r>
        <w:tab/>
      </w:r>
    </w:p>
    <w:p w14:paraId="5596BDF0" w14:textId="051B4964" w:rsidR="004D654B" w:rsidRDefault="004162E3" w:rsidP="004D654B">
      <w:pPr>
        <w:pStyle w:val="ListParagraph"/>
        <w:spacing w:after="120"/>
        <w:rPr>
          <w:b/>
        </w:rPr>
      </w:pPr>
      <w:r>
        <w:rPr>
          <w:b/>
          <w:u w:val="single"/>
        </w:rPr>
        <w:lastRenderedPageBreak/>
        <w:t xml:space="preserve">New Information </w:t>
      </w:r>
      <w:r w:rsidR="00C60567" w:rsidRPr="00B213D8">
        <w:rPr>
          <w:b/>
          <w:u w:val="single"/>
        </w:rPr>
        <w:t>Collection</w:t>
      </w:r>
      <w:r w:rsidR="00C60567">
        <w:rPr>
          <w:b/>
          <w:u w:val="single"/>
        </w:rPr>
        <w:t xml:space="preserve"> </w:t>
      </w:r>
      <w:r w:rsidR="004D654B">
        <w:rPr>
          <w:b/>
          <w:u w:val="single"/>
        </w:rPr>
        <w:t>Requirements</w:t>
      </w:r>
      <w:r w:rsidR="004D654B">
        <w:rPr>
          <w:b/>
        </w:rPr>
        <w:t>:</w:t>
      </w:r>
    </w:p>
    <w:p w14:paraId="3E08E9CE" w14:textId="77777777" w:rsidR="004D654B" w:rsidRDefault="004D654B" w:rsidP="004D654B">
      <w:pPr>
        <w:pStyle w:val="ListParagraph"/>
        <w:spacing w:after="120"/>
        <w:rPr>
          <w:u w:val="single"/>
        </w:rPr>
      </w:pPr>
    </w:p>
    <w:p w14:paraId="0A1308E1" w14:textId="6D19FAB1" w:rsidR="004D654B" w:rsidRDefault="004D654B" w:rsidP="004D654B">
      <w:pPr>
        <w:pStyle w:val="ListParagraph"/>
        <w:numPr>
          <w:ilvl w:val="0"/>
          <w:numId w:val="6"/>
        </w:numPr>
        <w:spacing w:after="120"/>
      </w:pPr>
      <w:r w:rsidRPr="004D654B">
        <w:rPr>
          <w:u w:val="single"/>
        </w:rPr>
        <w:t>LOA</w:t>
      </w:r>
    </w:p>
    <w:p w14:paraId="7CBFF4EE" w14:textId="06C86991" w:rsidR="004D654B" w:rsidRDefault="004D654B" w:rsidP="004D654B">
      <w:pPr>
        <w:pStyle w:val="ListParagraph"/>
        <w:numPr>
          <w:ilvl w:val="0"/>
          <w:numId w:val="4"/>
        </w:numPr>
        <w:spacing w:after="120"/>
        <w:ind w:left="1440"/>
      </w:pPr>
      <w:r>
        <w:t xml:space="preserve">Authorization that the subscriber </w:t>
      </w:r>
      <w:r w:rsidR="00D71F0F">
        <w:t xml:space="preserve">has selected </w:t>
      </w:r>
      <w:r>
        <w:t>the RespOrg to manage the toll free number</w:t>
      </w:r>
      <w:r w:rsidR="006E2451">
        <w:t xml:space="preserve"> assigned in the auction</w:t>
      </w:r>
      <w:r>
        <w:t>.</w:t>
      </w:r>
    </w:p>
    <w:p w14:paraId="03DAE489" w14:textId="77777777" w:rsidR="004D654B" w:rsidRDefault="004D654B" w:rsidP="004D654B">
      <w:pPr>
        <w:pStyle w:val="ListParagraph"/>
        <w:numPr>
          <w:ilvl w:val="0"/>
          <w:numId w:val="4"/>
        </w:numPr>
        <w:spacing w:after="120"/>
        <w:ind w:left="1440"/>
      </w:pPr>
      <w:r>
        <w:t>The 833 toll free number to be bid upon.</w:t>
      </w:r>
    </w:p>
    <w:p w14:paraId="131EAD7B" w14:textId="77777777" w:rsidR="004D654B" w:rsidRDefault="004D654B" w:rsidP="004D654B">
      <w:pPr>
        <w:pStyle w:val="ListParagraph"/>
        <w:numPr>
          <w:ilvl w:val="0"/>
          <w:numId w:val="4"/>
        </w:numPr>
        <w:spacing w:after="120"/>
        <w:ind w:left="1440"/>
      </w:pPr>
      <w:r>
        <w:t>Name of the RespOrg.</w:t>
      </w:r>
    </w:p>
    <w:p w14:paraId="3C627052" w14:textId="77777777" w:rsidR="004D654B" w:rsidRDefault="004D654B" w:rsidP="004D654B">
      <w:pPr>
        <w:pStyle w:val="ListParagraph"/>
        <w:numPr>
          <w:ilvl w:val="0"/>
          <w:numId w:val="4"/>
        </w:numPr>
        <w:spacing w:after="120"/>
        <w:ind w:left="1440"/>
      </w:pPr>
      <w:r>
        <w:t>Contact person for the RespOrg</w:t>
      </w:r>
    </w:p>
    <w:p w14:paraId="12322341" w14:textId="77777777" w:rsidR="004D654B" w:rsidRDefault="004D654B" w:rsidP="004D654B">
      <w:pPr>
        <w:pStyle w:val="ListParagraph"/>
        <w:numPr>
          <w:ilvl w:val="0"/>
          <w:numId w:val="4"/>
        </w:numPr>
        <w:spacing w:after="120"/>
        <w:ind w:left="1440"/>
      </w:pPr>
      <w:r>
        <w:t>Telephone number for the RespOrg contact.</w:t>
      </w:r>
    </w:p>
    <w:p w14:paraId="26794553" w14:textId="77777777" w:rsidR="004D654B" w:rsidRDefault="004D654B" w:rsidP="004D654B">
      <w:pPr>
        <w:pStyle w:val="ListParagraph"/>
        <w:numPr>
          <w:ilvl w:val="0"/>
          <w:numId w:val="4"/>
        </w:numPr>
        <w:spacing w:after="120"/>
        <w:ind w:left="1440"/>
      </w:pPr>
      <w:r>
        <w:t>Electronic mail (e-mail) address for the RespOrg contact.</w:t>
      </w:r>
    </w:p>
    <w:p w14:paraId="42A94878" w14:textId="3F597CA3" w:rsidR="004D654B" w:rsidRDefault="004D654B" w:rsidP="004D654B">
      <w:pPr>
        <w:pStyle w:val="ListParagraph"/>
        <w:numPr>
          <w:ilvl w:val="0"/>
          <w:numId w:val="4"/>
        </w:numPr>
        <w:spacing w:after="120"/>
        <w:ind w:left="1440"/>
      </w:pPr>
      <w:r>
        <w:t>Name of the subscriber.</w:t>
      </w:r>
    </w:p>
    <w:p w14:paraId="5A0D9784" w14:textId="670F536D" w:rsidR="004D654B" w:rsidRDefault="004D654B" w:rsidP="004D654B">
      <w:pPr>
        <w:pStyle w:val="ListParagraph"/>
        <w:numPr>
          <w:ilvl w:val="0"/>
          <w:numId w:val="4"/>
        </w:numPr>
        <w:spacing w:after="120"/>
        <w:ind w:left="1440"/>
      </w:pPr>
      <w:r>
        <w:t>Address for the subscriber.</w:t>
      </w:r>
    </w:p>
    <w:p w14:paraId="166D361D" w14:textId="5200711C" w:rsidR="004D654B" w:rsidRDefault="004D654B" w:rsidP="004D654B">
      <w:pPr>
        <w:pStyle w:val="ListParagraph"/>
        <w:numPr>
          <w:ilvl w:val="0"/>
          <w:numId w:val="4"/>
        </w:numPr>
        <w:spacing w:after="120"/>
        <w:ind w:left="1440"/>
      </w:pPr>
      <w:r>
        <w:t>Authorized contact person for the subscriber.</w:t>
      </w:r>
    </w:p>
    <w:p w14:paraId="7954CABF" w14:textId="77777777" w:rsidR="004D654B" w:rsidRDefault="004D654B" w:rsidP="004D654B">
      <w:pPr>
        <w:pStyle w:val="ListParagraph"/>
        <w:numPr>
          <w:ilvl w:val="0"/>
          <w:numId w:val="4"/>
        </w:numPr>
        <w:spacing w:after="120"/>
        <w:ind w:left="1440"/>
      </w:pPr>
      <w:r>
        <w:t>Title for contact person.</w:t>
      </w:r>
    </w:p>
    <w:p w14:paraId="5D87447D" w14:textId="66A77996" w:rsidR="004D654B" w:rsidRDefault="004D654B" w:rsidP="004D654B">
      <w:pPr>
        <w:pStyle w:val="ListParagraph"/>
        <w:numPr>
          <w:ilvl w:val="0"/>
          <w:numId w:val="4"/>
        </w:numPr>
        <w:spacing w:after="120"/>
        <w:ind w:left="1440"/>
      </w:pPr>
      <w:r>
        <w:t>Telephone number for the contact person.</w:t>
      </w:r>
    </w:p>
    <w:p w14:paraId="7DF94769" w14:textId="77777777" w:rsidR="004D654B" w:rsidRPr="004D654B" w:rsidRDefault="004D654B" w:rsidP="004D654B">
      <w:pPr>
        <w:pStyle w:val="ListParagraph"/>
        <w:spacing w:after="120"/>
        <w:ind w:left="1080"/>
      </w:pPr>
    </w:p>
    <w:p w14:paraId="41F056AB" w14:textId="5F358E63" w:rsidR="004D654B" w:rsidRPr="004D654B" w:rsidRDefault="004D654B" w:rsidP="004D654B">
      <w:pPr>
        <w:pStyle w:val="ListParagraph"/>
        <w:numPr>
          <w:ilvl w:val="0"/>
          <w:numId w:val="6"/>
        </w:numPr>
        <w:spacing w:after="120"/>
      </w:pPr>
      <w:r>
        <w:rPr>
          <w:u w:val="single"/>
        </w:rPr>
        <w:t>Secondary Market</w:t>
      </w:r>
    </w:p>
    <w:p w14:paraId="639DC9BE" w14:textId="77777777" w:rsidR="004D654B" w:rsidRDefault="004D654B" w:rsidP="004D654B">
      <w:pPr>
        <w:pStyle w:val="ListParagraph"/>
        <w:numPr>
          <w:ilvl w:val="0"/>
          <w:numId w:val="7"/>
        </w:numPr>
        <w:spacing w:after="120"/>
        <w:ind w:left="1440"/>
      </w:pPr>
      <w:r>
        <w:t>The names of parties.</w:t>
      </w:r>
    </w:p>
    <w:p w14:paraId="375162F4" w14:textId="77777777" w:rsidR="004D654B" w:rsidRDefault="004D654B" w:rsidP="004D654B">
      <w:pPr>
        <w:pStyle w:val="ListParagraph"/>
        <w:numPr>
          <w:ilvl w:val="0"/>
          <w:numId w:val="7"/>
        </w:numPr>
        <w:spacing w:after="120"/>
        <w:ind w:left="1440"/>
      </w:pPr>
      <w:r>
        <w:t>The addresses of parties.</w:t>
      </w:r>
    </w:p>
    <w:p w14:paraId="484DF7D1" w14:textId="77777777" w:rsidR="004D654B" w:rsidRDefault="004D654B" w:rsidP="004D654B">
      <w:pPr>
        <w:pStyle w:val="ListParagraph"/>
        <w:numPr>
          <w:ilvl w:val="0"/>
          <w:numId w:val="7"/>
        </w:numPr>
        <w:spacing w:after="120"/>
        <w:ind w:left="1440"/>
      </w:pPr>
      <w:r>
        <w:t>The e-mail addresses of parties.</w:t>
      </w:r>
    </w:p>
    <w:p w14:paraId="4DEED6E1" w14:textId="599680F4" w:rsidR="004D654B" w:rsidRPr="004D654B" w:rsidRDefault="004D654B" w:rsidP="004D654B">
      <w:pPr>
        <w:pStyle w:val="ListParagraph"/>
        <w:numPr>
          <w:ilvl w:val="0"/>
          <w:numId w:val="7"/>
        </w:numPr>
        <w:spacing w:after="120"/>
        <w:ind w:left="1440"/>
      </w:pPr>
      <w:r>
        <w:t>The telephone numbers of parties.</w:t>
      </w:r>
    </w:p>
    <w:p w14:paraId="519AA03A" w14:textId="6375E445" w:rsidR="00EF3814" w:rsidRDefault="00EF3814" w:rsidP="00EF3814">
      <w:pPr>
        <w:pStyle w:val="ListParagraph"/>
        <w:spacing w:after="120"/>
      </w:pPr>
    </w:p>
    <w:p w14:paraId="46654FAD" w14:textId="37AE7498" w:rsidR="004162E3" w:rsidRDefault="004162E3" w:rsidP="004162E3">
      <w:pPr>
        <w:pStyle w:val="ListParagraph"/>
      </w:pPr>
    </w:p>
    <w:p w14:paraId="1402424C" w14:textId="7B8630F8" w:rsidR="004162E3" w:rsidRDefault="004162E3" w:rsidP="004162E3">
      <w:pPr>
        <w:pStyle w:val="ListParagraph"/>
        <w:spacing w:after="120"/>
      </w:pPr>
      <w:r>
        <w:t>T</w:t>
      </w:r>
      <w:r w:rsidRPr="009F2E75">
        <w:t xml:space="preserve">he Commission </w:t>
      </w:r>
      <w:r w:rsidR="003D4FDC">
        <w:t xml:space="preserve">will determine if a </w:t>
      </w:r>
      <w:r w:rsidRPr="009F2E75">
        <w:t>system of records notice (SORN) and a privacy impact assessment (PIA) to cover the personally identifiable information that may be collected, used, and stored as part of the information collection requirements</w:t>
      </w:r>
      <w:r w:rsidR="003D4FDC">
        <w:t>, are necessary</w:t>
      </w:r>
      <w:r w:rsidRPr="009F2E75">
        <w:t>.</w:t>
      </w:r>
    </w:p>
    <w:p w14:paraId="3ABBAF67" w14:textId="63A4359C" w:rsidR="004162E3" w:rsidRDefault="004162E3" w:rsidP="004162E3">
      <w:pPr>
        <w:pStyle w:val="ListParagraph"/>
      </w:pPr>
    </w:p>
    <w:p w14:paraId="3CC318CD" w14:textId="0B06FA9F" w:rsidR="004162E3" w:rsidRDefault="00C60567" w:rsidP="00EF3814">
      <w:pPr>
        <w:pStyle w:val="ListParagraph"/>
        <w:spacing w:after="120"/>
      </w:pPr>
      <w:r w:rsidRPr="00B213D8">
        <w:t>Statutory authority for this information collection is contained</w:t>
      </w:r>
      <w:r w:rsidR="00B213D8">
        <w:t xml:space="preserve"> in</w:t>
      </w:r>
      <w:r w:rsidRPr="00B213D8">
        <w:t xml:space="preserve"> </w:t>
      </w:r>
      <w:r w:rsidR="00BE66CB" w:rsidRPr="00B213D8">
        <w:t>47 U.S.C.</w:t>
      </w:r>
      <w:r w:rsidR="00C33F8D" w:rsidRPr="00B213D8">
        <w:t xml:space="preserve"> §</w:t>
      </w:r>
      <w:r w:rsidR="00BE66CB" w:rsidRPr="00B213D8">
        <w:t xml:space="preserve"> 251</w:t>
      </w:r>
      <w:r w:rsidR="00D71F0F">
        <w:t>(</w:t>
      </w:r>
      <w:r w:rsidR="00BE66CB" w:rsidRPr="00B213D8">
        <w:t>e</w:t>
      </w:r>
      <w:r w:rsidR="00D71F0F">
        <w:t>)</w:t>
      </w:r>
      <w:r w:rsidR="00BE66CB" w:rsidRPr="00B213D8">
        <w:t>(1).</w:t>
      </w:r>
    </w:p>
    <w:p w14:paraId="54695F4E" w14:textId="77777777" w:rsidR="00BE66CB" w:rsidRPr="009F2E75" w:rsidRDefault="00BE66CB" w:rsidP="00EF3814">
      <w:pPr>
        <w:pStyle w:val="ListParagraph"/>
        <w:spacing w:after="120"/>
      </w:pPr>
    </w:p>
    <w:p w14:paraId="49E1BD8F" w14:textId="5CD4132E" w:rsidR="00D21F67" w:rsidRPr="00D21F67" w:rsidRDefault="00356733" w:rsidP="00D21F67">
      <w:pPr>
        <w:pStyle w:val="ListParagraph"/>
        <w:numPr>
          <w:ilvl w:val="0"/>
          <w:numId w:val="2"/>
        </w:numPr>
        <w:spacing w:after="120"/>
        <w:ind w:left="720"/>
      </w:pPr>
      <w:r>
        <w:rPr>
          <w:i/>
        </w:rPr>
        <w:t xml:space="preserve">Use of </w:t>
      </w:r>
      <w:r w:rsidRPr="00356733">
        <w:rPr>
          <w:i/>
        </w:rPr>
        <w:t>Information</w:t>
      </w:r>
      <w:r>
        <w:t xml:space="preserve">. </w:t>
      </w:r>
      <w:r w:rsidR="00390DA8" w:rsidRPr="00390DA8">
        <w:rPr>
          <w:szCs w:val="24"/>
        </w:rPr>
        <w:t xml:space="preserve">The Commission will use the </w:t>
      </w:r>
      <w:r w:rsidR="000F094D">
        <w:rPr>
          <w:szCs w:val="24"/>
        </w:rPr>
        <w:t xml:space="preserve">LOA </w:t>
      </w:r>
      <w:r w:rsidR="00390DA8" w:rsidRPr="00390DA8">
        <w:rPr>
          <w:szCs w:val="24"/>
        </w:rPr>
        <w:t xml:space="preserve">information </w:t>
      </w:r>
      <w:r w:rsidR="000F094D">
        <w:rPr>
          <w:szCs w:val="24"/>
        </w:rPr>
        <w:t>collection</w:t>
      </w:r>
      <w:r w:rsidR="00390DA8" w:rsidRPr="00390DA8">
        <w:rPr>
          <w:szCs w:val="24"/>
        </w:rPr>
        <w:t xml:space="preserve"> to </w:t>
      </w:r>
      <w:r w:rsidR="00390DA8">
        <w:rPr>
          <w:szCs w:val="24"/>
        </w:rPr>
        <w:t xml:space="preserve">verify the relationship between a RespOrg </w:t>
      </w:r>
      <w:r w:rsidR="00AB2038">
        <w:rPr>
          <w:szCs w:val="24"/>
        </w:rPr>
        <w:t>and a</w:t>
      </w:r>
      <w:r w:rsidR="00390DA8">
        <w:rPr>
          <w:szCs w:val="24"/>
        </w:rPr>
        <w:t xml:space="preserve"> subscriber</w:t>
      </w:r>
      <w:r w:rsidR="000F094D">
        <w:rPr>
          <w:szCs w:val="24"/>
        </w:rPr>
        <w:t xml:space="preserve"> </w:t>
      </w:r>
      <w:r w:rsidR="00D71F0F">
        <w:rPr>
          <w:szCs w:val="24"/>
        </w:rPr>
        <w:t>as required by Commission rules</w:t>
      </w:r>
      <w:r w:rsidR="000F094D">
        <w:rPr>
          <w:szCs w:val="24"/>
        </w:rPr>
        <w:t>.</w:t>
      </w:r>
      <w:r w:rsidR="00390DA8">
        <w:rPr>
          <w:szCs w:val="24"/>
        </w:rPr>
        <w:t xml:space="preserve"> </w:t>
      </w:r>
      <w:r w:rsidR="000F094D">
        <w:rPr>
          <w:szCs w:val="24"/>
        </w:rPr>
        <w:t xml:space="preserve"> The </w:t>
      </w:r>
      <w:r w:rsidR="00D71F0F">
        <w:rPr>
          <w:szCs w:val="24"/>
        </w:rPr>
        <w:t xml:space="preserve">secondary market </w:t>
      </w:r>
      <w:r w:rsidR="000F094D">
        <w:rPr>
          <w:szCs w:val="24"/>
        </w:rPr>
        <w:t xml:space="preserve">information collection will be used </w:t>
      </w:r>
      <w:r w:rsidR="000F094D">
        <w:t xml:space="preserve">to evaluate the efficiency of its operation for current and future toll free number assignment. </w:t>
      </w:r>
    </w:p>
    <w:p w14:paraId="3A796C5C" w14:textId="77777777" w:rsidR="00D21F67" w:rsidRPr="00D21F67" w:rsidRDefault="00D21F67" w:rsidP="00D21F67">
      <w:pPr>
        <w:pStyle w:val="ListParagraph"/>
        <w:spacing w:after="120"/>
      </w:pPr>
    </w:p>
    <w:p w14:paraId="6BF53F0B" w14:textId="3E2FC693" w:rsidR="00C27A84" w:rsidRDefault="00A75FD9" w:rsidP="00D21F67">
      <w:pPr>
        <w:pStyle w:val="ListParagraph"/>
        <w:numPr>
          <w:ilvl w:val="0"/>
          <w:numId w:val="2"/>
        </w:numPr>
        <w:spacing w:after="120"/>
        <w:ind w:left="720"/>
      </w:pPr>
      <w:r w:rsidRPr="00D21F67">
        <w:rPr>
          <w:i/>
        </w:rPr>
        <w:t>Technological collection techniques</w:t>
      </w:r>
      <w:r w:rsidRPr="00A75FD9">
        <w:t>.</w:t>
      </w:r>
      <w:r w:rsidR="00F83491">
        <w:t xml:space="preserve"> To reduce any burden created by this </w:t>
      </w:r>
      <w:r w:rsidR="00AB75C9">
        <w:t>information collection</w:t>
      </w:r>
      <w:r w:rsidR="00F83491">
        <w:t xml:space="preserve">, the Commission will use </w:t>
      </w:r>
      <w:r w:rsidR="00AB75C9">
        <w:t xml:space="preserve">electronic means of </w:t>
      </w:r>
      <w:r w:rsidR="00F83491">
        <w:t xml:space="preserve">data </w:t>
      </w:r>
      <w:r w:rsidR="00AB75C9">
        <w:t xml:space="preserve">collection, via a website portal maintained by </w:t>
      </w:r>
      <w:r w:rsidR="00F83491">
        <w:t xml:space="preserve">a third party. </w:t>
      </w:r>
      <w:r w:rsidR="00AB75C9">
        <w:t xml:space="preserve">The information will either be directly input into </w:t>
      </w:r>
      <w:r w:rsidR="00F83491">
        <w:t>the third parties</w:t>
      </w:r>
      <w:r w:rsidR="00AB75C9">
        <w:t>’ web</w:t>
      </w:r>
      <w:r w:rsidR="00B50FEE">
        <w:t>site</w:t>
      </w:r>
      <w:r w:rsidR="00AB75C9">
        <w:t xml:space="preserve"> or uploaded via digitized document. </w:t>
      </w:r>
    </w:p>
    <w:p w14:paraId="48CF21DF" w14:textId="77777777" w:rsidR="00D21F67" w:rsidRDefault="00D21F67" w:rsidP="00D21F67">
      <w:pPr>
        <w:pStyle w:val="ListParagraph"/>
        <w:spacing w:after="120"/>
        <w:ind w:left="1080"/>
      </w:pPr>
    </w:p>
    <w:p w14:paraId="6A371018" w14:textId="1F6FE619" w:rsidR="00070BDC" w:rsidRDefault="00A75FD9" w:rsidP="00070BDC">
      <w:pPr>
        <w:pStyle w:val="ListParagraph"/>
        <w:numPr>
          <w:ilvl w:val="0"/>
          <w:numId w:val="2"/>
        </w:numPr>
        <w:spacing w:after="120"/>
        <w:ind w:left="720"/>
      </w:pPr>
      <w:r w:rsidRPr="0064403E">
        <w:rPr>
          <w:i/>
        </w:rPr>
        <w:t>Efforts to identify duplication.</w:t>
      </w:r>
      <w:r w:rsidR="00327ED2">
        <w:rPr>
          <w:i/>
        </w:rPr>
        <w:t xml:space="preserve"> </w:t>
      </w:r>
      <w:r w:rsidR="00DF07E2">
        <w:t>T</w:t>
      </w:r>
      <w:r w:rsidR="003E4B34" w:rsidRPr="009F2E75">
        <w:t>he requested data is not intended to duplicate data in other reports, and this data is not currently available in any other reports submitted to the Commission.</w:t>
      </w:r>
    </w:p>
    <w:p w14:paraId="609F90C1" w14:textId="77777777" w:rsidR="00070BDC" w:rsidRPr="00070BDC" w:rsidRDefault="00070BDC" w:rsidP="00070BDC">
      <w:pPr>
        <w:pStyle w:val="ListParagraph"/>
        <w:spacing w:after="120"/>
      </w:pPr>
    </w:p>
    <w:p w14:paraId="24DDDB0B" w14:textId="2E327195" w:rsidR="00070BDC" w:rsidRDefault="00A75FD9" w:rsidP="00070BDC">
      <w:pPr>
        <w:pStyle w:val="ListParagraph"/>
        <w:numPr>
          <w:ilvl w:val="0"/>
          <w:numId w:val="2"/>
        </w:numPr>
        <w:spacing w:after="120"/>
        <w:ind w:left="720"/>
      </w:pPr>
      <w:r w:rsidRPr="00070BDC">
        <w:rPr>
          <w:i/>
        </w:rPr>
        <w:t xml:space="preserve">Impact on small entities. </w:t>
      </w:r>
      <w:r w:rsidR="00327ED2" w:rsidRPr="00070BDC">
        <w:rPr>
          <w:i/>
        </w:rPr>
        <w:t xml:space="preserve"> </w:t>
      </w:r>
      <w:r w:rsidR="00070BDC" w:rsidRPr="00070BDC">
        <w:rPr>
          <w:szCs w:val="24"/>
        </w:rPr>
        <w:t xml:space="preserve">The collection of information may affect small entities as well as large entities. The </w:t>
      </w:r>
      <w:r w:rsidR="00070BDC">
        <w:rPr>
          <w:szCs w:val="24"/>
        </w:rPr>
        <w:t xml:space="preserve">LOA and post-auction secondary market transactions </w:t>
      </w:r>
      <w:r w:rsidR="00070BDC" w:rsidRPr="00070BDC">
        <w:rPr>
          <w:szCs w:val="24"/>
        </w:rPr>
        <w:t>may impact small entities; however, the impact will not be substantial</w:t>
      </w:r>
      <w:r w:rsidR="00DF07E2">
        <w:rPr>
          <w:szCs w:val="24"/>
        </w:rPr>
        <w:t>;</w:t>
      </w:r>
      <w:r w:rsidR="00070BDC" w:rsidRPr="00070BDC">
        <w:rPr>
          <w:szCs w:val="24"/>
        </w:rPr>
        <w:t xml:space="preserve"> nor will it affect a significant number of small entities. The process has been designed to limit the burden as much as possible on small entities.  </w:t>
      </w:r>
    </w:p>
    <w:p w14:paraId="7934F3C9" w14:textId="77777777" w:rsidR="004A4D0E" w:rsidRPr="009F2E75" w:rsidRDefault="004A4D0E" w:rsidP="007D5D4D">
      <w:pPr>
        <w:pStyle w:val="ListParagraph"/>
        <w:spacing w:after="120"/>
        <w:ind w:left="1440"/>
      </w:pPr>
    </w:p>
    <w:p w14:paraId="7F794D6B" w14:textId="5F0CCD97" w:rsidR="003E4B34" w:rsidRPr="009F2E75" w:rsidRDefault="00582013" w:rsidP="00287925">
      <w:pPr>
        <w:pStyle w:val="ListParagraph"/>
        <w:numPr>
          <w:ilvl w:val="0"/>
          <w:numId w:val="2"/>
        </w:numPr>
        <w:spacing w:after="120"/>
        <w:ind w:left="720"/>
      </w:pPr>
      <w:r>
        <w:rPr>
          <w:i/>
        </w:rPr>
        <w:t>Consequences if information is not collected</w:t>
      </w:r>
      <w:r w:rsidR="0070767F">
        <w:rPr>
          <w:i/>
        </w:rPr>
        <w:t xml:space="preserve"> or conducted less frequently</w:t>
      </w:r>
      <w:r>
        <w:rPr>
          <w:i/>
        </w:rPr>
        <w:t>.</w:t>
      </w:r>
      <w:r w:rsidR="00287925">
        <w:rPr>
          <w:i/>
        </w:rPr>
        <w:t xml:space="preserve"> </w:t>
      </w:r>
      <w:r w:rsidR="00035A2F">
        <w:t xml:space="preserve">The information collection for the LOA is necessary to properly evaluate the relationship between </w:t>
      </w:r>
      <w:r w:rsidR="00E7567F">
        <w:t xml:space="preserve">a RespOrg </w:t>
      </w:r>
      <w:r w:rsidR="00616A50">
        <w:t xml:space="preserve">and a </w:t>
      </w:r>
      <w:r w:rsidR="00E7567F">
        <w:t>subscriber</w:t>
      </w:r>
      <w:r w:rsidR="00616A50">
        <w:t xml:space="preserve">. </w:t>
      </w:r>
      <w:r w:rsidR="00035A2F">
        <w:t xml:space="preserve">Without this data, </w:t>
      </w:r>
      <w:r w:rsidR="00616A50">
        <w:t xml:space="preserve">the Commission </w:t>
      </w:r>
      <w:r w:rsidR="00035A2F">
        <w:t xml:space="preserve">would be unable to determine if the </w:t>
      </w:r>
      <w:r w:rsidR="00596652">
        <w:t xml:space="preserve">subscriber to a toll free number assigned in the auction </w:t>
      </w:r>
      <w:r w:rsidR="00AA7EF0">
        <w:t xml:space="preserve">has </w:t>
      </w:r>
      <w:r w:rsidR="00D71F0F">
        <w:t xml:space="preserve">selected </w:t>
      </w:r>
      <w:r w:rsidR="00596652">
        <w:t xml:space="preserve">a RespOrg to reserve that number in the </w:t>
      </w:r>
      <w:r w:rsidR="00596652">
        <w:lastRenderedPageBreak/>
        <w:t xml:space="preserve">Toll Free Database, </w:t>
      </w:r>
      <w:r w:rsidR="00D71F0F">
        <w:t>as required by Commission rules</w:t>
      </w:r>
      <w:r w:rsidR="00070BDC">
        <w:t xml:space="preserve">. </w:t>
      </w:r>
      <w:r w:rsidR="003E4B34" w:rsidRPr="009F2E75">
        <w:t>Th</w:t>
      </w:r>
      <w:r w:rsidR="00035A2F">
        <w:t>e</w:t>
      </w:r>
      <w:r w:rsidR="003E4B34" w:rsidRPr="009F2E75">
        <w:t xml:space="preserve"> information collection </w:t>
      </w:r>
      <w:r w:rsidR="00035A2F">
        <w:t xml:space="preserve">for the post-auction secondary market </w:t>
      </w:r>
      <w:r w:rsidR="003E4B34" w:rsidRPr="009F2E75">
        <w:t xml:space="preserve">is </w:t>
      </w:r>
      <w:r>
        <w:t>necessary to properly evaluate the operation of the secondary market for toll free numbers</w:t>
      </w:r>
      <w:r w:rsidR="00596652">
        <w:t xml:space="preserve"> assigned in the auction</w:t>
      </w:r>
      <w:r>
        <w:t xml:space="preserve">. Without this data, the Commission </w:t>
      </w:r>
      <w:r w:rsidR="00816F2A">
        <w:t xml:space="preserve">cannot evaluate the secondary market’s viability </w:t>
      </w:r>
      <w:r w:rsidR="00444CCA">
        <w:t>for</w:t>
      </w:r>
      <w:r w:rsidR="00816F2A">
        <w:t xml:space="preserve"> the </w:t>
      </w:r>
      <w:r w:rsidR="009E66B7">
        <w:t>toll free number</w:t>
      </w:r>
      <w:r w:rsidR="00596652">
        <w:t>s assigned in the</w:t>
      </w:r>
      <w:r w:rsidR="009E66B7">
        <w:t xml:space="preserve"> </w:t>
      </w:r>
      <w:r w:rsidR="00816F2A">
        <w:t>auction</w:t>
      </w:r>
      <w:r w:rsidR="00900978">
        <w:t xml:space="preserve">. </w:t>
      </w:r>
      <w:r w:rsidR="0040409F" w:rsidRPr="0040409F">
        <w:t>Because both information collections will occur one time (or one time per transaction), the consequences if the information is collected less frequently are the same as if the information is not collected at all</w:t>
      </w:r>
      <w:r w:rsidR="00C27337">
        <w:t>.</w:t>
      </w:r>
    </w:p>
    <w:p w14:paraId="6B9BF52F" w14:textId="77777777" w:rsidR="004A4D0E" w:rsidRPr="009F2E75" w:rsidRDefault="004A4D0E" w:rsidP="007D5D4D">
      <w:pPr>
        <w:pStyle w:val="ListParagraph"/>
        <w:spacing w:after="120"/>
        <w:ind w:left="1440"/>
      </w:pPr>
    </w:p>
    <w:p w14:paraId="5919FAE4" w14:textId="48D832FA" w:rsidR="003E4B34" w:rsidRPr="009F2E75" w:rsidRDefault="003B2DA2" w:rsidP="007D5D4D">
      <w:pPr>
        <w:pStyle w:val="ListParagraph"/>
        <w:numPr>
          <w:ilvl w:val="0"/>
          <w:numId w:val="2"/>
        </w:numPr>
        <w:spacing w:after="120"/>
        <w:ind w:left="720"/>
      </w:pPr>
      <w:r>
        <w:rPr>
          <w:i/>
        </w:rPr>
        <w:t>Special Circumstances</w:t>
      </w:r>
      <w:r>
        <w:t>.</w:t>
      </w:r>
      <w:r>
        <w:rPr>
          <w:i/>
        </w:rPr>
        <w:t xml:space="preserve"> </w:t>
      </w:r>
      <w:r w:rsidR="00327ED2">
        <w:rPr>
          <w:i/>
        </w:rPr>
        <w:t xml:space="preserve"> </w:t>
      </w:r>
      <w:r>
        <w:t>T</w:t>
      </w:r>
      <w:r w:rsidR="003E4B34" w:rsidRPr="009F2E75">
        <w:t xml:space="preserve">here are no special circumstances associated with </w:t>
      </w:r>
      <w:r w:rsidR="006C6F6D">
        <w:t xml:space="preserve">the </w:t>
      </w:r>
      <w:r w:rsidR="009A1780">
        <w:t>information collection</w:t>
      </w:r>
      <w:r w:rsidR="002312CB">
        <w:t>.</w:t>
      </w:r>
    </w:p>
    <w:p w14:paraId="54BAEF8B" w14:textId="77777777" w:rsidR="004A4D0E" w:rsidRPr="009F2E75" w:rsidRDefault="004A4D0E" w:rsidP="007D5D4D">
      <w:pPr>
        <w:pStyle w:val="ListParagraph"/>
        <w:spacing w:after="120"/>
        <w:ind w:left="1440"/>
      </w:pPr>
    </w:p>
    <w:p w14:paraId="31DC505C" w14:textId="4056F781" w:rsidR="003B2DA2" w:rsidRPr="003B2DA2" w:rsidRDefault="003B2DA2" w:rsidP="007D5D4D">
      <w:pPr>
        <w:pStyle w:val="ListParagraph"/>
        <w:numPr>
          <w:ilvl w:val="0"/>
          <w:numId w:val="2"/>
        </w:numPr>
        <w:spacing w:after="120"/>
        <w:ind w:left="720"/>
      </w:pPr>
      <w:r>
        <w:rPr>
          <w:i/>
        </w:rPr>
        <w:t>Federal Register notice; efforts to consult with persons outside the Commission.</w:t>
      </w:r>
      <w:r w:rsidR="00327ED2">
        <w:rPr>
          <w:i/>
        </w:rPr>
        <w:t xml:space="preserve"> </w:t>
      </w:r>
      <w:r>
        <w:rPr>
          <w:i/>
        </w:rPr>
        <w:t xml:space="preserve"> </w:t>
      </w:r>
      <w:r w:rsidR="003E4B34" w:rsidRPr="009F2E75">
        <w:t xml:space="preserve">The Commission published a 60 Day Notice in the Federal Register on </w:t>
      </w:r>
      <w:r w:rsidR="00C27337">
        <w:t>August 7, 2019</w:t>
      </w:r>
      <w:r w:rsidR="003E4B34" w:rsidRPr="009F2E75">
        <w:t xml:space="preserve"> [</w:t>
      </w:r>
      <w:r w:rsidR="00C27337">
        <w:t>84</w:t>
      </w:r>
      <w:r w:rsidR="003E4B34" w:rsidRPr="009F2E75">
        <w:t xml:space="preserve"> FR </w:t>
      </w:r>
      <w:r w:rsidR="00F55422">
        <w:t>38629</w:t>
      </w:r>
      <w:r w:rsidR="003E4B34" w:rsidRPr="009F2E75">
        <w:t xml:space="preserve">] as required by 5 CFR </w:t>
      </w:r>
      <w:r w:rsidR="00C35DD4">
        <w:t xml:space="preserve">§ </w:t>
      </w:r>
      <w:r w:rsidR="003E4B34" w:rsidRPr="009F2E75">
        <w:t xml:space="preserve">1320.8(d). </w:t>
      </w:r>
    </w:p>
    <w:p w14:paraId="6C039A88" w14:textId="77777777" w:rsidR="003B2DA2" w:rsidRDefault="003B2DA2" w:rsidP="007D5D4D">
      <w:pPr>
        <w:pStyle w:val="ListParagraph"/>
        <w:spacing w:after="120"/>
      </w:pPr>
    </w:p>
    <w:p w14:paraId="35E278E8" w14:textId="0D7B9BDC" w:rsidR="003B2DA2" w:rsidRDefault="003B2DA2" w:rsidP="007D5D4D">
      <w:pPr>
        <w:pStyle w:val="ListParagraph"/>
        <w:numPr>
          <w:ilvl w:val="0"/>
          <w:numId w:val="2"/>
        </w:numPr>
        <w:spacing w:after="120"/>
        <w:ind w:left="720"/>
      </w:pPr>
      <w:r>
        <w:rPr>
          <w:i/>
        </w:rPr>
        <w:t>Payments or gifts to respondents</w:t>
      </w:r>
      <w:r w:rsidR="00327ED2">
        <w:rPr>
          <w:i/>
        </w:rPr>
        <w:t>.</w:t>
      </w:r>
      <w:r>
        <w:rPr>
          <w:i/>
        </w:rPr>
        <w:t xml:space="preserve"> </w:t>
      </w:r>
      <w:r w:rsidR="00381020" w:rsidRPr="009F2E75">
        <w:t>The Commission does no</w:t>
      </w:r>
      <w:r>
        <w:t>t</w:t>
      </w:r>
      <w:r w:rsidR="00381020" w:rsidRPr="009F2E75">
        <w:t xml:space="preserve"> anticipate providing any payment or gift to respondents with th</w:t>
      </w:r>
      <w:r w:rsidR="00570E7F">
        <w:t>e</w:t>
      </w:r>
      <w:r w:rsidR="00381020" w:rsidRPr="009F2E75">
        <w:t xml:space="preserve"> collection of information</w:t>
      </w:r>
      <w:r w:rsidR="00570E7F">
        <w:t>.</w:t>
      </w:r>
    </w:p>
    <w:p w14:paraId="4C451FF1" w14:textId="77777777" w:rsidR="003B2DA2" w:rsidRDefault="003B2DA2" w:rsidP="007D5D4D">
      <w:pPr>
        <w:pStyle w:val="ListParagraph"/>
        <w:spacing w:after="120"/>
      </w:pPr>
    </w:p>
    <w:p w14:paraId="6B07AD5A" w14:textId="3BBAD497" w:rsidR="00570E7F" w:rsidRDefault="00E32944" w:rsidP="007D5D4D">
      <w:pPr>
        <w:pStyle w:val="ListParagraph"/>
        <w:numPr>
          <w:ilvl w:val="0"/>
          <w:numId w:val="2"/>
        </w:numPr>
        <w:spacing w:after="120"/>
        <w:ind w:left="720"/>
      </w:pPr>
      <w:r w:rsidRPr="00AB066A">
        <w:rPr>
          <w:i/>
        </w:rPr>
        <w:t xml:space="preserve">Assurances of confidentiality. </w:t>
      </w:r>
      <w:r w:rsidR="00327ED2">
        <w:rPr>
          <w:i/>
        </w:rPr>
        <w:t xml:space="preserve"> </w:t>
      </w:r>
      <w:r w:rsidR="00381020" w:rsidRPr="009F2E75">
        <w:t>The</w:t>
      </w:r>
      <w:r>
        <w:t>re is no assurance of confidentiality provided to non-individual respondents concerning th</w:t>
      </w:r>
      <w:r w:rsidR="00570E7F">
        <w:t>e</w:t>
      </w:r>
      <w:r>
        <w:t xml:space="preserve"> </w:t>
      </w:r>
      <w:r w:rsidR="0051507C">
        <w:t>c</w:t>
      </w:r>
      <w:r>
        <w:t>ollection</w:t>
      </w:r>
      <w:r w:rsidR="0051507C">
        <w:t xml:space="preserve"> of information</w:t>
      </w:r>
      <w:r w:rsidR="00616A50">
        <w:t>.</w:t>
      </w:r>
      <w:r w:rsidR="0051507C">
        <w:t xml:space="preserve"> </w:t>
      </w:r>
      <w:r w:rsidR="00AB066A">
        <w:t xml:space="preserve">For individuals, the Privacy Act, </w:t>
      </w:r>
      <w:bookmarkStart w:id="4" w:name="_Hlk13051358"/>
      <w:r w:rsidR="00AB066A">
        <w:t>5 U.S.C. § 552a</w:t>
      </w:r>
      <w:bookmarkEnd w:id="4"/>
      <w:r w:rsidR="00AB066A">
        <w:t xml:space="preserve"> is the statutory authority for confidentiality and applies to this information collection. Moreover, all respondents—individuals and non-individuals—may request materials or information submitted to </w:t>
      </w:r>
      <w:r w:rsidR="00616A50">
        <w:t xml:space="preserve">the Commission via a third party </w:t>
      </w:r>
      <w:r w:rsidR="00AB066A">
        <w:t xml:space="preserve">be withheld from public inspection under </w:t>
      </w:r>
      <w:bookmarkStart w:id="5" w:name="_Hlk13051389"/>
      <w:r w:rsidR="00AB066A">
        <w:t xml:space="preserve">47 CFR § 0.459 </w:t>
      </w:r>
      <w:bookmarkEnd w:id="5"/>
      <w:r w:rsidR="00AB066A">
        <w:t xml:space="preserve">of the Commission’s rules. </w:t>
      </w:r>
    </w:p>
    <w:p w14:paraId="209245CA" w14:textId="77777777" w:rsidR="00570E7F" w:rsidRDefault="00570E7F" w:rsidP="00570E7F">
      <w:pPr>
        <w:pStyle w:val="ListParagraph"/>
      </w:pPr>
    </w:p>
    <w:p w14:paraId="2F720843" w14:textId="63AE051C" w:rsidR="00381020" w:rsidRPr="009F2E75" w:rsidRDefault="00AB066A" w:rsidP="00570E7F">
      <w:pPr>
        <w:pStyle w:val="ListParagraph"/>
        <w:spacing w:after="120"/>
      </w:pPr>
      <w:r>
        <w:t>Additionally, a</w:t>
      </w:r>
      <w:r w:rsidR="00044A7E" w:rsidRPr="009F2E75">
        <w:t>s noted in question 1, t</w:t>
      </w:r>
      <w:r w:rsidR="004A4D0E" w:rsidRPr="009F2E75">
        <w:t>he Commission</w:t>
      </w:r>
      <w:r w:rsidR="003D4FDC">
        <w:t xml:space="preserve"> will determine if a </w:t>
      </w:r>
      <w:r w:rsidR="004A4D0E" w:rsidRPr="009F2E75">
        <w:t>SORN and PIA to cover the personally identifiable information that may be collected, used, and stored as part of the information collection requirements</w:t>
      </w:r>
      <w:r w:rsidR="003D4FDC">
        <w:t>, are necessary.</w:t>
      </w:r>
    </w:p>
    <w:p w14:paraId="44B3ABCF" w14:textId="77777777" w:rsidR="004A4D0E" w:rsidRPr="009F2E75" w:rsidRDefault="004A4D0E" w:rsidP="007D5D4D">
      <w:pPr>
        <w:pStyle w:val="ListParagraph"/>
        <w:spacing w:after="120"/>
        <w:ind w:left="1440"/>
      </w:pPr>
    </w:p>
    <w:p w14:paraId="6BBC31FB" w14:textId="386621FC" w:rsidR="007D5D4D" w:rsidRPr="009F2E75" w:rsidRDefault="00AB066A" w:rsidP="007D5D4D">
      <w:pPr>
        <w:pStyle w:val="ListParagraph"/>
        <w:numPr>
          <w:ilvl w:val="0"/>
          <w:numId w:val="2"/>
        </w:numPr>
        <w:spacing w:after="120"/>
        <w:ind w:left="720"/>
      </w:pPr>
      <w:r>
        <w:rPr>
          <w:i/>
        </w:rPr>
        <w:t xml:space="preserve">Questions of a sensitive nature. </w:t>
      </w:r>
      <w:r w:rsidR="00327ED2">
        <w:rPr>
          <w:i/>
        </w:rPr>
        <w:t xml:space="preserve"> </w:t>
      </w:r>
      <w:r w:rsidR="00381020" w:rsidRPr="009F2E75">
        <w:t>Th</w:t>
      </w:r>
      <w:r w:rsidR="0051507C">
        <w:t xml:space="preserve">e collection of </w:t>
      </w:r>
      <w:r w:rsidR="00381020" w:rsidRPr="009F2E75">
        <w:t>information</w:t>
      </w:r>
      <w:r w:rsidR="00570E7F">
        <w:t xml:space="preserve"> </w:t>
      </w:r>
      <w:r w:rsidR="00381020" w:rsidRPr="009F2E75">
        <w:t>do</w:t>
      </w:r>
      <w:r w:rsidR="00616A50">
        <w:t>es</w:t>
      </w:r>
      <w:r w:rsidR="00381020" w:rsidRPr="009F2E75">
        <w:t xml:space="preserve"> not address any matters of a sensitive nature.</w:t>
      </w:r>
      <w:r w:rsidR="004A4D0E" w:rsidRPr="009F2E75">
        <w:t xml:space="preserve"> </w:t>
      </w:r>
      <w:r w:rsidR="00044A7E" w:rsidRPr="009F2E75">
        <w:t>As noted in question 1, t</w:t>
      </w:r>
      <w:r w:rsidR="004A4D0E" w:rsidRPr="009F2E75">
        <w:t xml:space="preserve">he Commission </w:t>
      </w:r>
      <w:r w:rsidR="003D4FDC">
        <w:t xml:space="preserve">will determine if a </w:t>
      </w:r>
      <w:r w:rsidR="004A4D0E" w:rsidRPr="009F2E75">
        <w:t>SORN and a PIA to cover the personally identifiable information that may be collected, used, and stored as part of the information collection requirements</w:t>
      </w:r>
      <w:r w:rsidR="003D4FDC">
        <w:t>, are necessary.</w:t>
      </w:r>
    </w:p>
    <w:p w14:paraId="627CED39" w14:textId="77777777" w:rsidR="007D5D4D" w:rsidRPr="007D5D4D" w:rsidRDefault="007D5D4D" w:rsidP="007D5D4D">
      <w:pPr>
        <w:pStyle w:val="ListParagraph"/>
        <w:spacing w:after="120"/>
      </w:pPr>
    </w:p>
    <w:p w14:paraId="11636469" w14:textId="279A428C" w:rsidR="00570E7F" w:rsidRDefault="00D0029C" w:rsidP="007D5D4D">
      <w:pPr>
        <w:pStyle w:val="ListParagraph"/>
        <w:numPr>
          <w:ilvl w:val="0"/>
          <w:numId w:val="2"/>
        </w:numPr>
        <w:spacing w:after="120"/>
        <w:ind w:left="720"/>
      </w:pPr>
      <w:r>
        <w:rPr>
          <w:i/>
        </w:rPr>
        <w:t>Estimates of the hour burden of the collection to respondents.</w:t>
      </w:r>
    </w:p>
    <w:p w14:paraId="34937CC5" w14:textId="77777777" w:rsidR="00556321" w:rsidRDefault="00556321" w:rsidP="00556321">
      <w:pPr>
        <w:pStyle w:val="ListParagraph"/>
      </w:pPr>
    </w:p>
    <w:p w14:paraId="4B9912D9" w14:textId="6227D1D7" w:rsidR="00381020" w:rsidRDefault="00381020" w:rsidP="00570E7F">
      <w:pPr>
        <w:pStyle w:val="ListParagraph"/>
        <w:numPr>
          <w:ilvl w:val="1"/>
          <w:numId w:val="2"/>
        </w:numPr>
        <w:spacing w:after="120"/>
        <w:ind w:left="1080"/>
      </w:pPr>
      <w:r w:rsidRPr="009F2E75">
        <w:t>The following represents the estimated number of burden hours</w:t>
      </w:r>
      <w:r w:rsidR="00570E7F">
        <w:t xml:space="preserve"> for the LOA information collection</w:t>
      </w:r>
      <w:r w:rsidRPr="009F2E75">
        <w:t>:</w:t>
      </w:r>
    </w:p>
    <w:p w14:paraId="2CA9FD5F" w14:textId="1069FE4E" w:rsidR="00570E7F" w:rsidRDefault="00570E7F" w:rsidP="00570E7F">
      <w:pPr>
        <w:pStyle w:val="ListParagraph"/>
        <w:spacing w:after="120"/>
        <w:ind w:left="1080"/>
      </w:pPr>
    </w:p>
    <w:p w14:paraId="38DFB212" w14:textId="20A7BCD6" w:rsidR="00570E7F" w:rsidRPr="009F2E75" w:rsidRDefault="00570E7F" w:rsidP="00570E7F">
      <w:pPr>
        <w:pStyle w:val="ListParagraph"/>
        <w:spacing w:after="120"/>
        <w:ind w:left="1080"/>
      </w:pPr>
      <w:r w:rsidRPr="009F2E75">
        <w:rPr>
          <w:u w:val="single"/>
        </w:rPr>
        <w:t>Number of respondents</w:t>
      </w:r>
      <w:r w:rsidRPr="009F2E75">
        <w:t xml:space="preserve">:  </w:t>
      </w:r>
      <w:r>
        <w:t>20</w:t>
      </w:r>
    </w:p>
    <w:p w14:paraId="78BF2584" w14:textId="77777777" w:rsidR="00570E7F" w:rsidRPr="009F2E75" w:rsidRDefault="00570E7F" w:rsidP="00570E7F">
      <w:pPr>
        <w:pStyle w:val="ListParagraph"/>
        <w:spacing w:after="120"/>
        <w:ind w:left="1440"/>
      </w:pPr>
    </w:p>
    <w:p w14:paraId="580F3602" w14:textId="246313CE" w:rsidR="00570E7F" w:rsidRDefault="00570E7F" w:rsidP="00570E7F">
      <w:pPr>
        <w:pStyle w:val="ListParagraph"/>
        <w:spacing w:after="120"/>
        <w:ind w:left="1080"/>
      </w:pPr>
      <w:r w:rsidRPr="009F2E75">
        <w:t xml:space="preserve">The </w:t>
      </w:r>
      <w:r w:rsidR="00DA7978">
        <w:t xml:space="preserve">LOA </w:t>
      </w:r>
      <w:r w:rsidRPr="009F2E75">
        <w:t>requirements</w:t>
      </w:r>
      <w:r w:rsidR="00371CBF">
        <w:t xml:space="preserve"> only</w:t>
      </w:r>
      <w:r w:rsidRPr="009F2E75">
        <w:t xml:space="preserve"> apply to </w:t>
      </w:r>
      <w:r>
        <w:t xml:space="preserve">RespOrgs </w:t>
      </w:r>
      <w:r w:rsidR="00DA165B">
        <w:t xml:space="preserve">acting </w:t>
      </w:r>
      <w:r w:rsidR="00DA04A3">
        <w:t>on behalf of subscribers</w:t>
      </w:r>
      <w:r w:rsidR="009E66B7">
        <w:t xml:space="preserve"> </w:t>
      </w:r>
      <w:r w:rsidR="00DA04A3">
        <w:t>and th</w:t>
      </w:r>
      <w:r w:rsidR="00371CBF">
        <w:t>e</w:t>
      </w:r>
      <w:r w:rsidR="00DA04A3">
        <w:t xml:space="preserve"> subscribers</w:t>
      </w:r>
      <w:r w:rsidR="00371CBF">
        <w:t xml:space="preserve"> that have authorized th</w:t>
      </w:r>
      <w:r w:rsidR="008146EE">
        <w:t>ose</w:t>
      </w:r>
      <w:r w:rsidR="00371CBF">
        <w:t xml:space="preserve"> RespOrgs to </w:t>
      </w:r>
      <w:r w:rsidR="00DA165B">
        <w:t>act</w:t>
      </w:r>
      <w:r w:rsidR="00371CBF">
        <w:t xml:space="preserve"> on their behalves</w:t>
      </w:r>
      <w:r w:rsidR="00DA04A3">
        <w:t xml:space="preserve">. </w:t>
      </w:r>
    </w:p>
    <w:p w14:paraId="5A97CAB5" w14:textId="77777777" w:rsidR="00570E7F" w:rsidRDefault="00570E7F" w:rsidP="00570E7F">
      <w:pPr>
        <w:pStyle w:val="ListParagraph"/>
        <w:spacing w:after="120"/>
        <w:ind w:left="1080"/>
      </w:pPr>
    </w:p>
    <w:p w14:paraId="0C4875BF" w14:textId="02DA7DE3" w:rsidR="00570E7F" w:rsidRDefault="00570E7F" w:rsidP="00570E7F">
      <w:pPr>
        <w:pStyle w:val="ListParagraph"/>
        <w:spacing w:after="120"/>
        <w:ind w:left="1080"/>
      </w:pPr>
      <w:r w:rsidRPr="009F2E75">
        <w:t xml:space="preserve">Based </w:t>
      </w:r>
      <w:r>
        <w:t xml:space="preserve">upon information the </w:t>
      </w:r>
      <w:r w:rsidRPr="009F2E75">
        <w:t xml:space="preserve">Commission </w:t>
      </w:r>
      <w:r>
        <w:t>received from Somos concerning interest in the approximately 17,000 mutually exclusive numbers up for auction, Somos expects some 200 potential bidders in the auction</w:t>
      </w:r>
      <w:r w:rsidR="008146EE">
        <w:t>,</w:t>
      </w:r>
      <w:r>
        <w:t xml:space="preserve"> and </w:t>
      </w:r>
      <w:r w:rsidR="00DA04A3">
        <w:t>estimates that 2</w:t>
      </w:r>
      <w:r>
        <w:t xml:space="preserve">0 </w:t>
      </w:r>
      <w:r w:rsidR="00DA04A3">
        <w:t>LOAs will be necessary</w:t>
      </w:r>
      <w:r w:rsidR="000241B5">
        <w:t xml:space="preserve"> for continued administration</w:t>
      </w:r>
      <w:r w:rsidR="00DA04A3">
        <w:t>.</w:t>
      </w:r>
    </w:p>
    <w:p w14:paraId="52D9DAC1" w14:textId="77777777" w:rsidR="00570E7F" w:rsidRDefault="00570E7F" w:rsidP="00570E7F">
      <w:pPr>
        <w:pStyle w:val="ListParagraph"/>
        <w:spacing w:after="120"/>
        <w:ind w:left="1080"/>
        <w:rPr>
          <w:u w:val="single"/>
        </w:rPr>
      </w:pPr>
    </w:p>
    <w:p w14:paraId="0AAA0B10" w14:textId="770C5ECD" w:rsidR="00570E7F" w:rsidRDefault="00570E7F" w:rsidP="00570E7F">
      <w:pPr>
        <w:pStyle w:val="ListParagraph"/>
        <w:spacing w:after="120"/>
        <w:ind w:left="1080"/>
      </w:pPr>
      <w:r w:rsidRPr="00605B52">
        <w:rPr>
          <w:u w:val="single"/>
        </w:rPr>
        <w:t>Frequency of response</w:t>
      </w:r>
      <w:r w:rsidRPr="009F2E75">
        <w:t xml:space="preserve">: </w:t>
      </w:r>
      <w:r w:rsidRPr="00CA3FCA">
        <w:t xml:space="preserve">One-time reporting requirement. </w:t>
      </w:r>
      <w:r>
        <w:t xml:space="preserve">Parties to </w:t>
      </w:r>
      <w:r w:rsidR="00DA04A3">
        <w:t>LOA</w:t>
      </w:r>
      <w:r w:rsidR="00816F2A">
        <w:t>s</w:t>
      </w:r>
      <w:r w:rsidR="00DA04A3">
        <w:t xml:space="preserve"> mu</w:t>
      </w:r>
      <w:r w:rsidRPr="009F2E75">
        <w:t xml:space="preserve">st complete </w:t>
      </w:r>
      <w:r w:rsidR="000D5035">
        <w:t>a one-time reporting requirement</w:t>
      </w:r>
      <w:r w:rsidR="0002233E">
        <w:t>.</w:t>
      </w:r>
      <w:r w:rsidR="00C96781">
        <w:t xml:space="preserve"> </w:t>
      </w:r>
    </w:p>
    <w:p w14:paraId="38771C56" w14:textId="77777777" w:rsidR="00570E7F" w:rsidRDefault="00570E7F" w:rsidP="00570E7F">
      <w:pPr>
        <w:pStyle w:val="ListParagraph"/>
        <w:spacing w:after="120"/>
        <w:ind w:left="1080"/>
        <w:rPr>
          <w:u w:val="single"/>
        </w:rPr>
      </w:pPr>
    </w:p>
    <w:p w14:paraId="4C86D992" w14:textId="7C58F651" w:rsidR="00570E7F" w:rsidRDefault="00570E7F" w:rsidP="00570E7F">
      <w:pPr>
        <w:pStyle w:val="ListParagraph"/>
        <w:spacing w:after="120"/>
        <w:ind w:left="1080"/>
      </w:pPr>
      <w:r w:rsidRPr="00605B52">
        <w:rPr>
          <w:u w:val="single"/>
        </w:rPr>
        <w:t>Total number of responses annually</w:t>
      </w:r>
      <w:r w:rsidRPr="009F2E75">
        <w:t xml:space="preserve">: </w:t>
      </w:r>
      <w:r w:rsidR="00DA04A3" w:rsidRPr="00DA04A3">
        <w:rPr>
          <w:b/>
        </w:rPr>
        <w:t>2</w:t>
      </w:r>
      <w:r w:rsidRPr="00605B52">
        <w:rPr>
          <w:b/>
        </w:rPr>
        <w:t>0</w:t>
      </w:r>
    </w:p>
    <w:p w14:paraId="6C559712" w14:textId="77777777" w:rsidR="00570E7F" w:rsidRDefault="00570E7F" w:rsidP="00570E7F">
      <w:pPr>
        <w:pStyle w:val="ListParagraph"/>
        <w:spacing w:after="120"/>
        <w:ind w:left="1080"/>
      </w:pPr>
    </w:p>
    <w:p w14:paraId="2A916FFF" w14:textId="77777777" w:rsidR="00570E7F" w:rsidRDefault="00570E7F" w:rsidP="00570E7F">
      <w:pPr>
        <w:pStyle w:val="ListParagraph"/>
        <w:spacing w:after="120"/>
        <w:ind w:left="1080"/>
      </w:pPr>
      <w:r w:rsidRPr="009F2E75">
        <w:t>The number of responses equals the number of respondents.</w:t>
      </w:r>
    </w:p>
    <w:p w14:paraId="28825730" w14:textId="77777777" w:rsidR="00570E7F" w:rsidRDefault="00570E7F" w:rsidP="00570E7F">
      <w:pPr>
        <w:pStyle w:val="ListParagraph"/>
        <w:spacing w:after="120"/>
        <w:ind w:left="1080"/>
        <w:rPr>
          <w:u w:val="single"/>
        </w:rPr>
      </w:pPr>
    </w:p>
    <w:p w14:paraId="2B57A634" w14:textId="77777777" w:rsidR="00570E7F" w:rsidRDefault="00570E7F" w:rsidP="00570E7F">
      <w:pPr>
        <w:pStyle w:val="ListParagraph"/>
        <w:spacing w:after="120"/>
        <w:ind w:left="1080"/>
      </w:pPr>
      <w:r w:rsidRPr="00605B52">
        <w:rPr>
          <w:u w:val="single"/>
        </w:rPr>
        <w:t>Estimated time per response</w:t>
      </w:r>
      <w:r w:rsidRPr="009F2E75">
        <w:t xml:space="preserve">: </w:t>
      </w:r>
      <w:r w:rsidRPr="00605B52">
        <w:rPr>
          <w:b/>
        </w:rPr>
        <w:t xml:space="preserve">10 minutes </w:t>
      </w:r>
      <w:r>
        <w:rPr>
          <w:b/>
        </w:rPr>
        <w:t xml:space="preserve">/ 0.166 hour </w:t>
      </w:r>
      <w:r w:rsidRPr="00605B52">
        <w:rPr>
          <w:b/>
        </w:rPr>
        <w:t>per year.</w:t>
      </w:r>
    </w:p>
    <w:p w14:paraId="5C8FE398" w14:textId="77777777" w:rsidR="00570E7F" w:rsidRDefault="00570E7F" w:rsidP="00570E7F">
      <w:pPr>
        <w:pStyle w:val="ListParagraph"/>
        <w:spacing w:after="120"/>
        <w:ind w:left="1080"/>
      </w:pPr>
    </w:p>
    <w:p w14:paraId="171B1BBB" w14:textId="77777777" w:rsidR="00570E7F" w:rsidRDefault="00570E7F" w:rsidP="00570E7F">
      <w:pPr>
        <w:pStyle w:val="ListParagraph"/>
        <w:spacing w:after="120"/>
        <w:ind w:left="1080"/>
      </w:pPr>
      <w:r w:rsidRPr="009F2E75">
        <w:t>We note that the hourly burden on respondents may vary widely, due to differences in size and organizational complexity of operating subsidiaries, as well as the amount of information that must be updated and how frequently (as explained above, information must only be provided if it changes after the initial filing). Therefore, we estimate approximately 1</w:t>
      </w:r>
      <w:r>
        <w:t>0 minutes or 0.166</w:t>
      </w:r>
      <w:r w:rsidRPr="009F2E75">
        <w:t xml:space="preserve"> hour per year per </w:t>
      </w:r>
      <w:r>
        <w:t>respondent.</w:t>
      </w:r>
    </w:p>
    <w:p w14:paraId="0603A2CA" w14:textId="77777777" w:rsidR="00570E7F" w:rsidRDefault="00570E7F" w:rsidP="00570E7F">
      <w:pPr>
        <w:pStyle w:val="ListParagraph"/>
        <w:spacing w:after="120"/>
        <w:ind w:left="1080"/>
      </w:pPr>
    </w:p>
    <w:p w14:paraId="5488C84B" w14:textId="467132B5" w:rsidR="00570E7F" w:rsidRDefault="00570E7F" w:rsidP="00570E7F">
      <w:pPr>
        <w:pStyle w:val="ListParagraph"/>
        <w:spacing w:after="120"/>
        <w:ind w:left="1080"/>
      </w:pPr>
      <w:r>
        <w:rPr>
          <w:u w:val="single"/>
        </w:rPr>
        <w:t>Total Annual Hourly Burden</w:t>
      </w:r>
      <w:r>
        <w:t xml:space="preserve">: </w:t>
      </w:r>
      <w:r w:rsidR="000D5035">
        <w:rPr>
          <w:b/>
        </w:rPr>
        <w:t>3.5 hours</w:t>
      </w:r>
      <w:r w:rsidR="000D5035">
        <w:t xml:space="preserve"> </w:t>
      </w:r>
      <w:r>
        <w:t xml:space="preserve">(1 response/year x </w:t>
      </w:r>
      <w:r w:rsidR="000D5035">
        <w:t>2</w:t>
      </w:r>
      <w:r>
        <w:t>0 respondents x 10 minutes or 0.166 hour)</w:t>
      </w:r>
      <w:r w:rsidR="000D5035">
        <w:t>.</w:t>
      </w:r>
    </w:p>
    <w:p w14:paraId="1E78C5D5" w14:textId="77777777" w:rsidR="00570E7F" w:rsidRDefault="00570E7F" w:rsidP="00570E7F">
      <w:pPr>
        <w:pStyle w:val="ListParagraph"/>
        <w:spacing w:after="120"/>
        <w:ind w:left="1080"/>
      </w:pPr>
    </w:p>
    <w:p w14:paraId="1A4A3507" w14:textId="521F120A" w:rsidR="00570E7F" w:rsidRPr="00F73D17" w:rsidRDefault="00570E7F" w:rsidP="00570E7F">
      <w:pPr>
        <w:pStyle w:val="ListParagraph"/>
        <w:spacing w:after="120"/>
        <w:ind w:left="1080"/>
        <w:rPr>
          <w:b/>
        </w:rPr>
      </w:pPr>
      <w:r>
        <w:rPr>
          <w:u w:val="single"/>
        </w:rPr>
        <w:t>Total estimate of “in-house” cost to respondents</w:t>
      </w:r>
      <w:r>
        <w:t xml:space="preserve">: </w:t>
      </w:r>
      <w:r>
        <w:rPr>
          <w:b/>
        </w:rPr>
        <w:t>$</w:t>
      </w:r>
      <w:r w:rsidR="00DA04A3">
        <w:rPr>
          <w:b/>
        </w:rPr>
        <w:t>189</w:t>
      </w:r>
    </w:p>
    <w:p w14:paraId="2BE10D4F" w14:textId="77777777" w:rsidR="00570E7F" w:rsidRDefault="00570E7F" w:rsidP="00570E7F">
      <w:pPr>
        <w:pStyle w:val="ListParagraph"/>
        <w:spacing w:after="120"/>
        <w:ind w:left="1080"/>
      </w:pPr>
    </w:p>
    <w:p w14:paraId="73C85947" w14:textId="6B08A707" w:rsidR="00570E7F" w:rsidRDefault="00570E7F" w:rsidP="00570E7F">
      <w:pPr>
        <w:pStyle w:val="ListParagraph"/>
        <w:spacing w:after="120"/>
        <w:ind w:left="1080"/>
      </w:pPr>
      <w:r>
        <w:t>It is difficult to provide a sound estimate of respondents’ costs without conducting a survey. However, assuming respondents use mid-level personnel comparable in pay to the Federal government, we estimate an average respondent’s cost to be $54 per hour:</w:t>
      </w:r>
      <w:r>
        <w:rPr>
          <w:rStyle w:val="FootnoteReference"/>
        </w:rPr>
        <w:footnoteReference w:id="5"/>
      </w:r>
      <w:r>
        <w:t xml:space="preserve"> (</w:t>
      </w:r>
      <w:r w:rsidR="00DA04A3">
        <w:t>3</w:t>
      </w:r>
      <w:r>
        <w:t>.5 hours x $54/hour = $</w:t>
      </w:r>
      <w:r w:rsidR="00DA04A3">
        <w:t>189</w:t>
      </w:r>
      <w:r>
        <w:t>).</w:t>
      </w:r>
    </w:p>
    <w:p w14:paraId="33D88CE7" w14:textId="77777777" w:rsidR="00570E7F" w:rsidRDefault="00570E7F" w:rsidP="00570E7F">
      <w:pPr>
        <w:pStyle w:val="ListParagraph"/>
        <w:spacing w:after="120"/>
        <w:ind w:left="1080"/>
      </w:pPr>
    </w:p>
    <w:p w14:paraId="4CE291D6" w14:textId="54B734E7" w:rsidR="00570E7F" w:rsidRPr="009F2E75" w:rsidRDefault="00570E7F" w:rsidP="00570E7F">
      <w:pPr>
        <w:pStyle w:val="ListParagraph"/>
        <w:numPr>
          <w:ilvl w:val="1"/>
          <w:numId w:val="2"/>
        </w:numPr>
        <w:spacing w:after="120"/>
        <w:ind w:left="1080"/>
      </w:pPr>
      <w:r>
        <w:t>The following represents the estimated number of burden hours for the post-auction secondary market transactions</w:t>
      </w:r>
      <w:r w:rsidR="001D268C">
        <w:t xml:space="preserve"> information collection</w:t>
      </w:r>
      <w:r>
        <w:t>:</w:t>
      </w:r>
    </w:p>
    <w:p w14:paraId="4A74DC02" w14:textId="77777777" w:rsidR="00381020" w:rsidRPr="009F2E75" w:rsidRDefault="00381020" w:rsidP="007D5D4D">
      <w:pPr>
        <w:pStyle w:val="ListParagraph"/>
        <w:spacing w:after="120"/>
        <w:ind w:left="1440"/>
      </w:pPr>
    </w:p>
    <w:p w14:paraId="00291604" w14:textId="5537ACF6" w:rsidR="00381020" w:rsidRPr="009F2E75" w:rsidRDefault="00381020" w:rsidP="007D5D4D">
      <w:pPr>
        <w:pStyle w:val="ListParagraph"/>
        <w:spacing w:after="120"/>
        <w:ind w:left="1080"/>
      </w:pPr>
      <w:r w:rsidRPr="009F2E75">
        <w:rPr>
          <w:u w:val="single"/>
        </w:rPr>
        <w:t>Number of respondents</w:t>
      </w:r>
      <w:r w:rsidRPr="009F2E75">
        <w:t xml:space="preserve">:  </w:t>
      </w:r>
      <w:r w:rsidR="00DA04A3">
        <w:t>1</w:t>
      </w:r>
      <w:r w:rsidR="00287925">
        <w:t>,</w:t>
      </w:r>
      <w:r w:rsidR="00DA04A3">
        <w:t>200</w:t>
      </w:r>
    </w:p>
    <w:p w14:paraId="433E5066" w14:textId="77777777" w:rsidR="00381020" w:rsidRPr="009F2E75" w:rsidRDefault="00381020" w:rsidP="007D5D4D">
      <w:pPr>
        <w:pStyle w:val="ListParagraph"/>
        <w:spacing w:after="120"/>
        <w:ind w:left="1440"/>
      </w:pPr>
    </w:p>
    <w:p w14:paraId="3B1823AB" w14:textId="509283D2" w:rsidR="00605B52" w:rsidRDefault="00381020" w:rsidP="007D5D4D">
      <w:pPr>
        <w:pStyle w:val="ListParagraph"/>
        <w:spacing w:after="120"/>
        <w:ind w:left="1080"/>
      </w:pPr>
      <w:r w:rsidRPr="009F2E75">
        <w:t xml:space="preserve">The registration requirements apply to </w:t>
      </w:r>
      <w:r w:rsidR="00DF5101">
        <w:t>the</w:t>
      </w:r>
      <w:r w:rsidR="006E3316">
        <w:t xml:space="preserve"> parties to </w:t>
      </w:r>
      <w:r w:rsidR="00AB2038">
        <w:t xml:space="preserve">a </w:t>
      </w:r>
      <w:r w:rsidR="006E3316">
        <w:t xml:space="preserve">post-auction secondary market transaction (i.e., the toll free subscriber who </w:t>
      </w:r>
      <w:r w:rsidR="00AB2038">
        <w:t>was assigned a number</w:t>
      </w:r>
      <w:r w:rsidR="006E3316">
        <w:t xml:space="preserve"> in the auction and the </w:t>
      </w:r>
      <w:r w:rsidR="00D0029C">
        <w:t>part</w:t>
      </w:r>
      <w:r w:rsidR="00AB2038">
        <w:t>y</w:t>
      </w:r>
      <w:r w:rsidR="006E3316">
        <w:t xml:space="preserve"> purchasing the 833 toll free number on the p</w:t>
      </w:r>
      <w:r w:rsidR="00D0029C">
        <w:t>ost-auction secondary market</w:t>
      </w:r>
      <w:r w:rsidR="006E3316">
        <w:t>). RespOrgs are required to submit the information to Somos, on the parties’ behalf, within 60 days of</w:t>
      </w:r>
      <w:r w:rsidR="00AB2038">
        <w:t xml:space="preserve"> their knowledge of</w:t>
      </w:r>
      <w:r w:rsidR="006E3316">
        <w:t xml:space="preserve"> the transaction.  </w:t>
      </w:r>
    </w:p>
    <w:p w14:paraId="00FAD56B" w14:textId="77777777" w:rsidR="00605B52" w:rsidRDefault="00605B52" w:rsidP="007D5D4D">
      <w:pPr>
        <w:pStyle w:val="ListParagraph"/>
        <w:spacing w:after="120"/>
        <w:ind w:left="1080"/>
      </w:pPr>
    </w:p>
    <w:p w14:paraId="4C2EA2F4" w14:textId="0D68FFD8" w:rsidR="00605B52" w:rsidRDefault="00381020" w:rsidP="007D5D4D">
      <w:pPr>
        <w:pStyle w:val="ListParagraph"/>
        <w:spacing w:after="120"/>
        <w:ind w:left="1080"/>
      </w:pPr>
      <w:r w:rsidRPr="009F2E75">
        <w:t xml:space="preserve">Based </w:t>
      </w:r>
      <w:r w:rsidR="00605B52">
        <w:t xml:space="preserve">upon information the </w:t>
      </w:r>
      <w:r w:rsidRPr="009F2E75">
        <w:t xml:space="preserve">Commission </w:t>
      </w:r>
      <w:r w:rsidR="00605B52">
        <w:t>received from Somos concerning interest in the approximately 17,000 mutually exclusive numbers up for auction, Somos e</w:t>
      </w:r>
      <w:r w:rsidR="00DA04A3">
        <w:t>stimates that 1,200 post-a</w:t>
      </w:r>
      <w:r w:rsidR="00605B52">
        <w:t>uction secondary market transactions</w:t>
      </w:r>
      <w:r w:rsidR="00DA04A3">
        <w:t xml:space="preserve"> may occur</w:t>
      </w:r>
      <w:r w:rsidR="00DF5101">
        <w:t xml:space="preserve"> in the 12 months after the 833 </w:t>
      </w:r>
      <w:r w:rsidR="00D417AC">
        <w:t>A</w:t>
      </w:r>
      <w:r w:rsidR="00DF5101">
        <w:t>uction</w:t>
      </w:r>
      <w:r w:rsidR="00DA04A3">
        <w:t>.</w:t>
      </w:r>
    </w:p>
    <w:p w14:paraId="70DD33A2" w14:textId="77777777" w:rsidR="00605B52" w:rsidRDefault="00605B52" w:rsidP="007D5D4D">
      <w:pPr>
        <w:pStyle w:val="ListParagraph"/>
        <w:spacing w:after="120"/>
        <w:ind w:left="1080"/>
        <w:rPr>
          <w:u w:val="single"/>
        </w:rPr>
      </w:pPr>
    </w:p>
    <w:p w14:paraId="750CC68F" w14:textId="31ED81DA" w:rsidR="00605B52" w:rsidRDefault="00381020" w:rsidP="007D5D4D">
      <w:pPr>
        <w:pStyle w:val="ListParagraph"/>
        <w:spacing w:after="120"/>
        <w:ind w:left="1080"/>
      </w:pPr>
      <w:r w:rsidRPr="00605B52">
        <w:rPr>
          <w:u w:val="single"/>
        </w:rPr>
        <w:t>Frequency of response</w:t>
      </w:r>
      <w:r w:rsidRPr="009F2E75">
        <w:t>:</w:t>
      </w:r>
      <w:r w:rsidR="00605B52" w:rsidRPr="006E3316">
        <w:t xml:space="preserve"> On</w:t>
      </w:r>
      <w:r w:rsidRPr="006E3316">
        <w:t xml:space="preserve"> occasion</w:t>
      </w:r>
      <w:r w:rsidR="00605B52" w:rsidRPr="006E3316">
        <w:t xml:space="preserve"> reporting requirement</w:t>
      </w:r>
      <w:r w:rsidRPr="006E3316">
        <w:t>.</w:t>
      </w:r>
      <w:r w:rsidRPr="009F2E75">
        <w:t xml:space="preserve"> </w:t>
      </w:r>
      <w:r w:rsidR="00DF5101">
        <w:t>The RespOrgs that represent the p</w:t>
      </w:r>
      <w:r w:rsidR="00605B52">
        <w:t xml:space="preserve">arties to post-auction secondary market transactions </w:t>
      </w:r>
      <w:r w:rsidR="00DF5101">
        <w:t xml:space="preserve">(as described above) </w:t>
      </w:r>
      <w:r w:rsidRPr="009F2E75">
        <w:t xml:space="preserve">must complete </w:t>
      </w:r>
      <w:r w:rsidR="00DF5101">
        <w:t xml:space="preserve">a </w:t>
      </w:r>
      <w:r w:rsidR="00D417AC">
        <w:t>r</w:t>
      </w:r>
      <w:r w:rsidR="00DF5101">
        <w:t xml:space="preserve">eporting requirement within 60 days of </w:t>
      </w:r>
      <w:r w:rsidR="00A50531">
        <w:t xml:space="preserve">their knowledge of </w:t>
      </w:r>
      <w:r w:rsidR="00D417AC">
        <w:t>any</w:t>
      </w:r>
      <w:r w:rsidR="00DF5101">
        <w:t xml:space="preserve"> secondary market transaction</w:t>
      </w:r>
      <w:r w:rsidR="00D417AC">
        <w:t>s.</w:t>
      </w:r>
    </w:p>
    <w:p w14:paraId="22B0AF65" w14:textId="77777777" w:rsidR="00605B52" w:rsidRDefault="00605B52" w:rsidP="007D5D4D">
      <w:pPr>
        <w:pStyle w:val="ListParagraph"/>
        <w:spacing w:after="120"/>
        <w:ind w:left="1080"/>
        <w:rPr>
          <w:u w:val="single"/>
        </w:rPr>
      </w:pPr>
    </w:p>
    <w:p w14:paraId="669DFECA" w14:textId="5CF2E491" w:rsidR="00605B52" w:rsidRDefault="00381020" w:rsidP="007D5D4D">
      <w:pPr>
        <w:pStyle w:val="ListParagraph"/>
        <w:spacing w:after="120"/>
        <w:ind w:left="1080"/>
      </w:pPr>
      <w:r w:rsidRPr="00605B52">
        <w:rPr>
          <w:u w:val="single"/>
        </w:rPr>
        <w:t>Total number of responses annually</w:t>
      </w:r>
      <w:r w:rsidRPr="009F2E75">
        <w:t xml:space="preserve">: </w:t>
      </w:r>
      <w:r w:rsidR="00DA04A3" w:rsidRPr="00DA04A3">
        <w:rPr>
          <w:b/>
        </w:rPr>
        <w:t>1,200</w:t>
      </w:r>
    </w:p>
    <w:p w14:paraId="1DE57417" w14:textId="77777777" w:rsidR="00605B52" w:rsidRDefault="00605B52" w:rsidP="007D5D4D">
      <w:pPr>
        <w:pStyle w:val="ListParagraph"/>
        <w:spacing w:after="120"/>
        <w:ind w:left="1080"/>
      </w:pPr>
    </w:p>
    <w:p w14:paraId="6C2B701D" w14:textId="77777777" w:rsidR="00605B52" w:rsidRDefault="00381020" w:rsidP="007D5D4D">
      <w:pPr>
        <w:pStyle w:val="ListParagraph"/>
        <w:spacing w:after="120"/>
        <w:ind w:left="1080"/>
      </w:pPr>
      <w:r w:rsidRPr="009F2E75">
        <w:t>The number of responses equals the number of respondents.</w:t>
      </w:r>
    </w:p>
    <w:p w14:paraId="0F999724" w14:textId="77777777" w:rsidR="00605B52" w:rsidRDefault="00605B52" w:rsidP="007D5D4D">
      <w:pPr>
        <w:pStyle w:val="ListParagraph"/>
        <w:spacing w:after="120"/>
        <w:ind w:left="1080"/>
        <w:rPr>
          <w:u w:val="single"/>
        </w:rPr>
      </w:pPr>
    </w:p>
    <w:p w14:paraId="15313062" w14:textId="71992DDB" w:rsidR="00605B52" w:rsidRDefault="00381020" w:rsidP="007D5D4D">
      <w:pPr>
        <w:pStyle w:val="ListParagraph"/>
        <w:spacing w:after="120"/>
        <w:ind w:left="1080"/>
      </w:pPr>
      <w:r w:rsidRPr="00605B52">
        <w:rPr>
          <w:u w:val="single"/>
        </w:rPr>
        <w:t>Estimated time per response</w:t>
      </w:r>
      <w:r w:rsidRPr="009F2E75">
        <w:t xml:space="preserve">: </w:t>
      </w:r>
      <w:r w:rsidR="00DA04A3" w:rsidRPr="00DA04A3">
        <w:rPr>
          <w:b/>
        </w:rPr>
        <w:t>5</w:t>
      </w:r>
      <w:r w:rsidR="00605B52" w:rsidRPr="00605B52">
        <w:rPr>
          <w:b/>
        </w:rPr>
        <w:t xml:space="preserve"> minutes </w:t>
      </w:r>
      <w:r w:rsidR="00F73D17">
        <w:rPr>
          <w:b/>
        </w:rPr>
        <w:t>/ 0.</w:t>
      </w:r>
      <w:r w:rsidR="00DA04A3">
        <w:rPr>
          <w:b/>
        </w:rPr>
        <w:t>084</w:t>
      </w:r>
      <w:r w:rsidR="00F73D17">
        <w:rPr>
          <w:b/>
        </w:rPr>
        <w:t xml:space="preserve"> hour </w:t>
      </w:r>
      <w:r w:rsidR="00605B52" w:rsidRPr="00605B52">
        <w:rPr>
          <w:b/>
        </w:rPr>
        <w:t>per year</w:t>
      </w:r>
      <w:r w:rsidRPr="00605B52">
        <w:rPr>
          <w:b/>
        </w:rPr>
        <w:t>.</w:t>
      </w:r>
    </w:p>
    <w:p w14:paraId="4ADFDFA0" w14:textId="77777777" w:rsidR="00605B52" w:rsidRDefault="00605B52" w:rsidP="007D5D4D">
      <w:pPr>
        <w:pStyle w:val="ListParagraph"/>
        <w:spacing w:after="120"/>
        <w:ind w:left="1080"/>
      </w:pPr>
    </w:p>
    <w:p w14:paraId="07FFC99D" w14:textId="742CF0B6" w:rsidR="00381020" w:rsidRDefault="00381020" w:rsidP="007D5D4D">
      <w:pPr>
        <w:pStyle w:val="ListParagraph"/>
        <w:spacing w:after="120"/>
        <w:ind w:left="1080"/>
      </w:pPr>
      <w:r w:rsidRPr="009F2E75">
        <w:t>We note that the hourly burden on respondents may vary widely, due to differences in size and organizational complexity of operating subsidiaries, as well as the amount of information that must be updated and how frequently (as explained above, information must only be provided if it changes after the initial filing). Therefore, we estimate approximately 1</w:t>
      </w:r>
      <w:r w:rsidR="00F73D17">
        <w:t>0 minutes or 0.166</w:t>
      </w:r>
      <w:r w:rsidRPr="009F2E75">
        <w:t xml:space="preserve"> hour per year per </w:t>
      </w:r>
      <w:r w:rsidR="00F73D17">
        <w:t>respondent.</w:t>
      </w:r>
    </w:p>
    <w:p w14:paraId="0D4757FF" w14:textId="05077EE6" w:rsidR="00F73D17" w:rsidRDefault="00F73D17" w:rsidP="007D5D4D">
      <w:pPr>
        <w:pStyle w:val="ListParagraph"/>
        <w:spacing w:after="120"/>
        <w:ind w:left="1080"/>
      </w:pPr>
    </w:p>
    <w:p w14:paraId="0B9BE5F2" w14:textId="4851B03D" w:rsidR="00F73D17" w:rsidRDefault="00F73D17" w:rsidP="007D5D4D">
      <w:pPr>
        <w:pStyle w:val="ListParagraph"/>
        <w:spacing w:after="120"/>
        <w:ind w:left="1080"/>
      </w:pPr>
      <w:r>
        <w:rPr>
          <w:u w:val="single"/>
        </w:rPr>
        <w:t>Total Annual Hourly Burden</w:t>
      </w:r>
      <w:r>
        <w:t xml:space="preserve">: </w:t>
      </w:r>
      <w:r w:rsidR="0083522B" w:rsidRPr="00DA04A3">
        <w:rPr>
          <w:b/>
        </w:rPr>
        <w:t>101</w:t>
      </w:r>
      <w:r w:rsidR="0083522B">
        <w:rPr>
          <w:b/>
        </w:rPr>
        <w:t xml:space="preserve"> hours</w:t>
      </w:r>
      <w:r w:rsidR="0083522B">
        <w:t xml:space="preserve"> </w:t>
      </w:r>
      <w:r>
        <w:t xml:space="preserve">(1 response/year x </w:t>
      </w:r>
      <w:r w:rsidR="00DA04A3">
        <w:t>1,20</w:t>
      </w:r>
      <w:r>
        <w:t xml:space="preserve">0 respondents x </w:t>
      </w:r>
      <w:r w:rsidR="00DA04A3">
        <w:t>5</w:t>
      </w:r>
      <w:r>
        <w:t xml:space="preserve"> minutes or 0.</w:t>
      </w:r>
      <w:r w:rsidR="00DA04A3">
        <w:t>084</w:t>
      </w:r>
      <w:r>
        <w:t xml:space="preserve"> hour)</w:t>
      </w:r>
      <w:r w:rsidR="0083522B">
        <w:t>.</w:t>
      </w:r>
    </w:p>
    <w:p w14:paraId="093B4F13" w14:textId="43554CCA" w:rsidR="00F73D17" w:rsidRDefault="00F73D17" w:rsidP="007D5D4D">
      <w:pPr>
        <w:pStyle w:val="ListParagraph"/>
        <w:spacing w:after="120"/>
        <w:ind w:left="1080"/>
      </w:pPr>
    </w:p>
    <w:p w14:paraId="3A6FC6C3" w14:textId="6D377327" w:rsidR="00F73D17" w:rsidRPr="00F73D17" w:rsidRDefault="00F73D17" w:rsidP="007D5D4D">
      <w:pPr>
        <w:pStyle w:val="ListParagraph"/>
        <w:spacing w:after="120"/>
        <w:ind w:left="1080"/>
        <w:rPr>
          <w:b/>
        </w:rPr>
      </w:pPr>
      <w:r>
        <w:rPr>
          <w:u w:val="single"/>
        </w:rPr>
        <w:t>Total estimate of “in-house” cost to respondents</w:t>
      </w:r>
      <w:r>
        <w:t xml:space="preserve">: </w:t>
      </w:r>
      <w:r w:rsidR="00CC436E">
        <w:rPr>
          <w:b/>
        </w:rPr>
        <w:t>$</w:t>
      </w:r>
      <w:r w:rsidR="00DA04A3">
        <w:rPr>
          <w:b/>
        </w:rPr>
        <w:t>5,454</w:t>
      </w:r>
    </w:p>
    <w:p w14:paraId="5B330AAC" w14:textId="502D5774" w:rsidR="00F73D17" w:rsidRDefault="00F73D17" w:rsidP="007D5D4D">
      <w:pPr>
        <w:pStyle w:val="ListParagraph"/>
        <w:spacing w:after="120"/>
        <w:ind w:left="1080"/>
      </w:pPr>
    </w:p>
    <w:p w14:paraId="7680D75A" w14:textId="05E0AEC5" w:rsidR="00F73D17" w:rsidRDefault="00F73D17" w:rsidP="007D5D4D">
      <w:pPr>
        <w:pStyle w:val="ListParagraph"/>
        <w:spacing w:after="120"/>
        <w:ind w:left="1080"/>
      </w:pPr>
      <w:r>
        <w:t>It is difficult to provide a sound estimate of respondents’ costs without conducting a survey. However, assuming respondents use mid-level personnel comparable in pay to the Federal government, we estimate an average respondent’s cost to be $54 per hour:</w:t>
      </w:r>
      <w:r>
        <w:rPr>
          <w:rStyle w:val="FootnoteReference"/>
        </w:rPr>
        <w:footnoteReference w:id="6"/>
      </w:r>
      <w:r>
        <w:t xml:space="preserve"> </w:t>
      </w:r>
      <w:r w:rsidR="00CC436E">
        <w:t>(</w:t>
      </w:r>
      <w:r w:rsidR="00DA04A3">
        <w:t>101</w:t>
      </w:r>
      <w:r w:rsidR="00CC436E">
        <w:t xml:space="preserve"> hours x $54/hour = $</w:t>
      </w:r>
      <w:r w:rsidR="00DA04A3">
        <w:t>5,454</w:t>
      </w:r>
      <w:r w:rsidR="00CC436E">
        <w:t>).</w:t>
      </w:r>
    </w:p>
    <w:p w14:paraId="179D5D36" w14:textId="77777777" w:rsidR="00616A50" w:rsidRDefault="00616A50" w:rsidP="007D5D4D">
      <w:pPr>
        <w:pStyle w:val="ListParagraph"/>
        <w:spacing w:after="120"/>
        <w:ind w:left="1080"/>
      </w:pPr>
    </w:p>
    <w:p w14:paraId="3334D933" w14:textId="1516251D" w:rsidR="000A2751" w:rsidRDefault="006C42B8" w:rsidP="000A2751">
      <w:pPr>
        <w:pStyle w:val="ListParagraph"/>
        <w:spacing w:after="120"/>
        <w:rPr>
          <w:b/>
        </w:rPr>
      </w:pPr>
      <w:r>
        <w:rPr>
          <w:b/>
          <w:u w:val="single"/>
        </w:rPr>
        <w:t>INFORMATION COLLECTION TOTALS BY BREAKOUT</w:t>
      </w:r>
      <w:r w:rsidR="000A2751">
        <w:rPr>
          <w:b/>
        </w:rPr>
        <w:t xml:space="preserve"> </w:t>
      </w:r>
    </w:p>
    <w:p w14:paraId="0D7D54A5" w14:textId="77777777" w:rsidR="000A2751" w:rsidRDefault="000A2751" w:rsidP="000A2751">
      <w:pPr>
        <w:pStyle w:val="ListParagraph"/>
        <w:spacing w:after="120"/>
        <w:rPr>
          <w:b/>
        </w:rPr>
      </w:pPr>
    </w:p>
    <w:tbl>
      <w:tblPr>
        <w:tblStyle w:val="TableGrid"/>
        <w:tblW w:w="0" w:type="auto"/>
        <w:tblInd w:w="720" w:type="dxa"/>
        <w:tblLook w:val="04A0" w:firstRow="1" w:lastRow="0" w:firstColumn="1" w:lastColumn="0" w:noHBand="0" w:noVBand="1"/>
      </w:tblPr>
      <w:tblGrid>
        <w:gridCol w:w="1473"/>
        <w:gridCol w:w="1514"/>
        <w:gridCol w:w="1474"/>
        <w:gridCol w:w="1464"/>
        <w:gridCol w:w="1417"/>
        <w:gridCol w:w="1514"/>
      </w:tblGrid>
      <w:tr w:rsidR="006C42B8" w14:paraId="4F6278F3" w14:textId="77777777" w:rsidTr="006C42B8">
        <w:tc>
          <w:tcPr>
            <w:tcW w:w="1558" w:type="dxa"/>
          </w:tcPr>
          <w:p w14:paraId="14D573DC" w14:textId="77777777" w:rsidR="006C42B8" w:rsidRDefault="006C42B8" w:rsidP="000A2751">
            <w:pPr>
              <w:pStyle w:val="ListParagraph"/>
              <w:spacing w:after="120"/>
              <w:ind w:left="0"/>
              <w:rPr>
                <w:b/>
              </w:rPr>
            </w:pPr>
          </w:p>
        </w:tc>
        <w:tc>
          <w:tcPr>
            <w:tcW w:w="1558" w:type="dxa"/>
          </w:tcPr>
          <w:p w14:paraId="5BCA86B4" w14:textId="0336B129" w:rsidR="006C42B8" w:rsidRPr="006C42B8" w:rsidRDefault="006C42B8" w:rsidP="000A2751">
            <w:pPr>
              <w:pStyle w:val="ListParagraph"/>
              <w:spacing w:after="120"/>
              <w:ind w:left="0"/>
            </w:pPr>
            <w:r>
              <w:t>Number of Respondents</w:t>
            </w:r>
          </w:p>
        </w:tc>
        <w:tc>
          <w:tcPr>
            <w:tcW w:w="1558" w:type="dxa"/>
          </w:tcPr>
          <w:p w14:paraId="039E81AF" w14:textId="5E667AA2" w:rsidR="006C42B8" w:rsidRPr="006C42B8" w:rsidRDefault="006C42B8" w:rsidP="000A2751">
            <w:pPr>
              <w:pStyle w:val="ListParagraph"/>
              <w:spacing w:after="120"/>
              <w:ind w:left="0"/>
            </w:pPr>
            <w:r w:rsidRPr="006C42B8">
              <w:t>Total Number of Annual Responses</w:t>
            </w:r>
          </w:p>
        </w:tc>
        <w:tc>
          <w:tcPr>
            <w:tcW w:w="1558" w:type="dxa"/>
          </w:tcPr>
          <w:p w14:paraId="72E1C554" w14:textId="5FC867BB" w:rsidR="006C42B8" w:rsidRPr="006C42B8" w:rsidRDefault="006C42B8" w:rsidP="000A2751">
            <w:pPr>
              <w:pStyle w:val="ListParagraph"/>
              <w:spacing w:after="120"/>
              <w:ind w:left="0"/>
            </w:pPr>
            <w:r w:rsidRPr="006C42B8">
              <w:t xml:space="preserve">Estimated Time per Response </w:t>
            </w:r>
          </w:p>
        </w:tc>
        <w:tc>
          <w:tcPr>
            <w:tcW w:w="1559" w:type="dxa"/>
          </w:tcPr>
          <w:p w14:paraId="5A5C0E8A" w14:textId="68AF8A7D" w:rsidR="006C42B8" w:rsidRPr="006C42B8" w:rsidRDefault="006C42B8" w:rsidP="000A2751">
            <w:pPr>
              <w:pStyle w:val="ListParagraph"/>
              <w:spacing w:after="120"/>
              <w:ind w:left="0"/>
            </w:pPr>
            <w:r w:rsidRPr="006C42B8">
              <w:t>Total Annual Burden Hours</w:t>
            </w:r>
          </w:p>
        </w:tc>
        <w:tc>
          <w:tcPr>
            <w:tcW w:w="1559" w:type="dxa"/>
          </w:tcPr>
          <w:p w14:paraId="18A6BB0C" w14:textId="759827D9" w:rsidR="006C42B8" w:rsidRPr="006C42B8" w:rsidRDefault="006C42B8" w:rsidP="000A2751">
            <w:pPr>
              <w:pStyle w:val="ListParagraph"/>
              <w:spacing w:after="120"/>
              <w:ind w:left="0"/>
            </w:pPr>
            <w:r w:rsidRPr="006C42B8">
              <w:t>Total Estimate of “In-house” Cost to Respondents</w:t>
            </w:r>
          </w:p>
        </w:tc>
      </w:tr>
      <w:tr w:rsidR="006C42B8" w14:paraId="037B7F95" w14:textId="77777777" w:rsidTr="006C42B8">
        <w:tc>
          <w:tcPr>
            <w:tcW w:w="1558" w:type="dxa"/>
          </w:tcPr>
          <w:p w14:paraId="0FC6E7F5" w14:textId="153F2B90" w:rsidR="006C42B8" w:rsidRPr="006C42B8" w:rsidRDefault="006C42B8" w:rsidP="000A2751">
            <w:pPr>
              <w:pStyle w:val="ListParagraph"/>
              <w:spacing w:after="120"/>
              <w:ind w:left="0"/>
            </w:pPr>
            <w:r w:rsidRPr="006C42B8">
              <w:t>LOA</w:t>
            </w:r>
          </w:p>
        </w:tc>
        <w:tc>
          <w:tcPr>
            <w:tcW w:w="1558" w:type="dxa"/>
          </w:tcPr>
          <w:p w14:paraId="5CBD6823" w14:textId="203E6889" w:rsidR="006C42B8" w:rsidRPr="00070BDC" w:rsidRDefault="006C42B8" w:rsidP="006C42B8">
            <w:pPr>
              <w:pStyle w:val="ListParagraph"/>
              <w:spacing w:after="120"/>
              <w:ind w:left="0"/>
              <w:jc w:val="center"/>
            </w:pPr>
            <w:r w:rsidRPr="00070BDC">
              <w:t>20</w:t>
            </w:r>
          </w:p>
        </w:tc>
        <w:tc>
          <w:tcPr>
            <w:tcW w:w="1558" w:type="dxa"/>
          </w:tcPr>
          <w:p w14:paraId="6950E127" w14:textId="68F40DC0" w:rsidR="006C42B8" w:rsidRPr="00070BDC" w:rsidRDefault="006C42B8" w:rsidP="006C42B8">
            <w:pPr>
              <w:pStyle w:val="ListParagraph"/>
              <w:spacing w:after="120"/>
              <w:ind w:left="0"/>
              <w:jc w:val="center"/>
            </w:pPr>
            <w:r w:rsidRPr="00070BDC">
              <w:t>20</w:t>
            </w:r>
          </w:p>
        </w:tc>
        <w:tc>
          <w:tcPr>
            <w:tcW w:w="1558" w:type="dxa"/>
          </w:tcPr>
          <w:p w14:paraId="5EDA7839" w14:textId="0CBE6154" w:rsidR="006C42B8" w:rsidRPr="00070BDC" w:rsidRDefault="006C42B8" w:rsidP="006C42B8">
            <w:pPr>
              <w:pStyle w:val="ListParagraph"/>
              <w:spacing w:after="120"/>
              <w:ind w:left="0"/>
              <w:jc w:val="center"/>
            </w:pPr>
            <w:r w:rsidRPr="00070BDC">
              <w:t>10 minutes/ 0.</w:t>
            </w:r>
            <w:r w:rsidR="00070BDC" w:rsidRPr="00070BDC">
              <w:t>166 hours</w:t>
            </w:r>
          </w:p>
        </w:tc>
        <w:tc>
          <w:tcPr>
            <w:tcW w:w="1559" w:type="dxa"/>
          </w:tcPr>
          <w:p w14:paraId="7E43017D" w14:textId="264D3B36" w:rsidR="006C42B8" w:rsidRPr="00070BDC" w:rsidRDefault="00070BDC" w:rsidP="006C42B8">
            <w:pPr>
              <w:pStyle w:val="ListParagraph"/>
              <w:spacing w:after="120"/>
              <w:ind w:left="0"/>
              <w:jc w:val="center"/>
            </w:pPr>
            <w:r w:rsidRPr="00070BDC">
              <w:t>3.5 hours</w:t>
            </w:r>
          </w:p>
        </w:tc>
        <w:tc>
          <w:tcPr>
            <w:tcW w:w="1559" w:type="dxa"/>
          </w:tcPr>
          <w:p w14:paraId="6B9D0FFE" w14:textId="4A9E90F5" w:rsidR="006C42B8" w:rsidRPr="00070BDC" w:rsidRDefault="00070BDC" w:rsidP="006C42B8">
            <w:pPr>
              <w:pStyle w:val="ListParagraph"/>
              <w:spacing w:after="120"/>
              <w:ind w:left="0"/>
              <w:jc w:val="center"/>
            </w:pPr>
            <w:r w:rsidRPr="00070BDC">
              <w:t>$189</w:t>
            </w:r>
          </w:p>
        </w:tc>
      </w:tr>
      <w:tr w:rsidR="006C42B8" w14:paraId="438D1C83" w14:textId="77777777" w:rsidTr="006C42B8">
        <w:tc>
          <w:tcPr>
            <w:tcW w:w="1558" w:type="dxa"/>
          </w:tcPr>
          <w:p w14:paraId="33DA37CB" w14:textId="33A46FE0" w:rsidR="006C42B8" w:rsidRPr="006C42B8" w:rsidRDefault="006C42B8" w:rsidP="000A2751">
            <w:pPr>
              <w:pStyle w:val="ListParagraph"/>
              <w:spacing w:after="120"/>
              <w:ind w:left="0"/>
            </w:pPr>
            <w:r w:rsidRPr="006C42B8">
              <w:t>Secondary Market</w:t>
            </w:r>
          </w:p>
        </w:tc>
        <w:tc>
          <w:tcPr>
            <w:tcW w:w="1558" w:type="dxa"/>
          </w:tcPr>
          <w:p w14:paraId="559B3738" w14:textId="03F102CA" w:rsidR="006C42B8" w:rsidRPr="00070BDC" w:rsidRDefault="006C42B8" w:rsidP="006C42B8">
            <w:pPr>
              <w:pStyle w:val="ListParagraph"/>
              <w:spacing w:after="120"/>
              <w:ind w:left="0"/>
              <w:jc w:val="center"/>
            </w:pPr>
            <w:r w:rsidRPr="00070BDC">
              <w:t>1</w:t>
            </w:r>
            <w:r w:rsidR="00FC63AA">
              <w:t>,</w:t>
            </w:r>
            <w:r w:rsidRPr="00070BDC">
              <w:t>200</w:t>
            </w:r>
          </w:p>
        </w:tc>
        <w:tc>
          <w:tcPr>
            <w:tcW w:w="1558" w:type="dxa"/>
          </w:tcPr>
          <w:p w14:paraId="3EA23C55" w14:textId="5004AFC9" w:rsidR="006C42B8" w:rsidRPr="00070BDC" w:rsidRDefault="006C42B8" w:rsidP="006C42B8">
            <w:pPr>
              <w:pStyle w:val="ListParagraph"/>
              <w:spacing w:after="120"/>
              <w:ind w:left="0"/>
              <w:jc w:val="center"/>
            </w:pPr>
            <w:r w:rsidRPr="00070BDC">
              <w:t>1</w:t>
            </w:r>
            <w:r w:rsidR="00FC63AA">
              <w:t>,</w:t>
            </w:r>
            <w:r w:rsidRPr="00070BDC">
              <w:t>200</w:t>
            </w:r>
          </w:p>
        </w:tc>
        <w:tc>
          <w:tcPr>
            <w:tcW w:w="1558" w:type="dxa"/>
          </w:tcPr>
          <w:p w14:paraId="70F14C50" w14:textId="2CE8E650" w:rsidR="006C42B8" w:rsidRPr="00070BDC" w:rsidRDefault="006C42B8" w:rsidP="006C42B8">
            <w:pPr>
              <w:pStyle w:val="ListParagraph"/>
              <w:spacing w:after="120"/>
              <w:ind w:left="0"/>
              <w:jc w:val="center"/>
            </w:pPr>
            <w:r w:rsidRPr="00070BDC">
              <w:t>5 minutes/ 0.084 hours</w:t>
            </w:r>
          </w:p>
        </w:tc>
        <w:tc>
          <w:tcPr>
            <w:tcW w:w="1559" w:type="dxa"/>
          </w:tcPr>
          <w:p w14:paraId="7409852E" w14:textId="1C9212A6" w:rsidR="006C42B8" w:rsidRPr="00070BDC" w:rsidRDefault="00070BDC" w:rsidP="006C42B8">
            <w:pPr>
              <w:pStyle w:val="ListParagraph"/>
              <w:spacing w:after="120"/>
              <w:ind w:left="0"/>
              <w:jc w:val="center"/>
            </w:pPr>
            <w:r w:rsidRPr="00070BDC">
              <w:t>101 hours</w:t>
            </w:r>
          </w:p>
        </w:tc>
        <w:tc>
          <w:tcPr>
            <w:tcW w:w="1559" w:type="dxa"/>
          </w:tcPr>
          <w:p w14:paraId="2C473A1C" w14:textId="585422F9" w:rsidR="006C42B8" w:rsidRPr="00070BDC" w:rsidRDefault="00070BDC" w:rsidP="006C42B8">
            <w:pPr>
              <w:pStyle w:val="ListParagraph"/>
              <w:spacing w:after="120"/>
              <w:ind w:left="0"/>
              <w:jc w:val="center"/>
            </w:pPr>
            <w:r w:rsidRPr="00070BDC">
              <w:t>$5,454</w:t>
            </w:r>
          </w:p>
        </w:tc>
      </w:tr>
    </w:tbl>
    <w:p w14:paraId="321C2A4C" w14:textId="77777777" w:rsidR="006C42B8" w:rsidRDefault="006C42B8" w:rsidP="000A2751">
      <w:pPr>
        <w:pStyle w:val="ListParagraph"/>
        <w:spacing w:after="120"/>
        <w:rPr>
          <w:b/>
        </w:rPr>
      </w:pPr>
    </w:p>
    <w:p w14:paraId="008D04D5" w14:textId="3109CC07" w:rsidR="006C42B8" w:rsidRDefault="006C42B8" w:rsidP="000A2751">
      <w:pPr>
        <w:pStyle w:val="ListParagraph"/>
        <w:spacing w:after="120"/>
      </w:pPr>
      <w:r>
        <w:rPr>
          <w:b/>
          <w:u w:val="single"/>
        </w:rPr>
        <w:t>CUMULATIVE INFORMATION COLLECTION TOTALS</w:t>
      </w:r>
    </w:p>
    <w:p w14:paraId="5FE50587" w14:textId="77777777" w:rsidR="006C42B8" w:rsidRPr="006C42B8" w:rsidRDefault="006C42B8" w:rsidP="000A2751">
      <w:pPr>
        <w:pStyle w:val="ListParagraph"/>
        <w:spacing w:after="120"/>
      </w:pPr>
    </w:p>
    <w:p w14:paraId="1C24ECA0" w14:textId="7D8F6119" w:rsidR="000A2751" w:rsidRDefault="000A2751" w:rsidP="000A2751">
      <w:pPr>
        <w:pStyle w:val="ListParagraph"/>
        <w:spacing w:after="120"/>
        <w:rPr>
          <w:b/>
        </w:rPr>
      </w:pPr>
      <w:r>
        <w:rPr>
          <w:b/>
        </w:rPr>
        <w:t>Number of Respondents: 1,220</w:t>
      </w:r>
    </w:p>
    <w:p w14:paraId="4F966FD2" w14:textId="77777777" w:rsidR="000A2751" w:rsidRDefault="000A2751" w:rsidP="000A2751">
      <w:pPr>
        <w:pStyle w:val="ListParagraph"/>
        <w:spacing w:after="120"/>
        <w:rPr>
          <w:b/>
        </w:rPr>
      </w:pPr>
      <w:r>
        <w:rPr>
          <w:b/>
        </w:rPr>
        <w:t>Total Number of Annual Responses: 1,220</w:t>
      </w:r>
    </w:p>
    <w:p w14:paraId="594C9FE2" w14:textId="6B7B9E2C" w:rsidR="000A2751" w:rsidRDefault="000A2751" w:rsidP="000A2751">
      <w:pPr>
        <w:pStyle w:val="ListParagraph"/>
        <w:spacing w:after="120"/>
        <w:rPr>
          <w:b/>
        </w:rPr>
      </w:pPr>
      <w:r>
        <w:rPr>
          <w:b/>
        </w:rPr>
        <w:t xml:space="preserve">Estimated time per response: </w:t>
      </w:r>
      <w:r w:rsidR="007C0FD4">
        <w:rPr>
          <w:b/>
        </w:rPr>
        <w:t>0.084 hours (</w:t>
      </w:r>
      <w:r w:rsidR="00A35E88">
        <w:rPr>
          <w:b/>
        </w:rPr>
        <w:t>5</w:t>
      </w:r>
      <w:r>
        <w:rPr>
          <w:b/>
        </w:rPr>
        <w:t xml:space="preserve"> minutes</w:t>
      </w:r>
      <w:r w:rsidR="007C0FD4">
        <w:rPr>
          <w:b/>
        </w:rPr>
        <w:t>) – 0.166 hours (10 minutes)</w:t>
      </w:r>
      <w:r>
        <w:rPr>
          <w:b/>
        </w:rPr>
        <w:t xml:space="preserve"> </w:t>
      </w:r>
    </w:p>
    <w:p w14:paraId="6B9E7DB6" w14:textId="006FEED5" w:rsidR="000A2751" w:rsidRDefault="000A2751" w:rsidP="000A2751">
      <w:pPr>
        <w:pStyle w:val="ListParagraph"/>
        <w:spacing w:after="120"/>
        <w:rPr>
          <w:b/>
        </w:rPr>
      </w:pPr>
      <w:r>
        <w:rPr>
          <w:b/>
        </w:rPr>
        <w:t>Total Annual Burden Hours: 10</w:t>
      </w:r>
      <w:r w:rsidR="00FC63AA">
        <w:rPr>
          <w:b/>
        </w:rPr>
        <w:t>5</w:t>
      </w:r>
      <w:r>
        <w:rPr>
          <w:b/>
        </w:rPr>
        <w:t xml:space="preserve"> hours</w:t>
      </w:r>
      <w:r w:rsidR="00FC63AA">
        <w:rPr>
          <w:b/>
        </w:rPr>
        <w:t xml:space="preserve"> (rounded up)</w:t>
      </w:r>
    </w:p>
    <w:p w14:paraId="3A499C70" w14:textId="7A68DD01" w:rsidR="000A2751" w:rsidRPr="00556321" w:rsidRDefault="000A2751" w:rsidP="000A2751">
      <w:pPr>
        <w:pStyle w:val="ListParagraph"/>
        <w:spacing w:after="120"/>
        <w:rPr>
          <w:b/>
        </w:rPr>
      </w:pPr>
      <w:r>
        <w:rPr>
          <w:b/>
        </w:rPr>
        <w:t>Total Estimate of “In-house</w:t>
      </w:r>
      <w:r w:rsidR="006C42B8">
        <w:rPr>
          <w:b/>
        </w:rPr>
        <w:t>”</w:t>
      </w:r>
      <w:r>
        <w:rPr>
          <w:b/>
        </w:rPr>
        <w:t xml:space="preserve"> Cost to Respondents: $5,643</w:t>
      </w:r>
    </w:p>
    <w:p w14:paraId="59E3F01C" w14:textId="37119FFB" w:rsidR="00CC436E" w:rsidRDefault="00CC436E" w:rsidP="007D5D4D">
      <w:pPr>
        <w:pStyle w:val="ListParagraph"/>
        <w:spacing w:after="120"/>
        <w:ind w:left="1080"/>
      </w:pPr>
    </w:p>
    <w:p w14:paraId="2DA76DA0" w14:textId="77777777" w:rsidR="00070BDC" w:rsidRPr="00070BDC" w:rsidRDefault="00CC436E" w:rsidP="00070BDC">
      <w:pPr>
        <w:pStyle w:val="ListParagraph"/>
        <w:numPr>
          <w:ilvl w:val="0"/>
          <w:numId w:val="2"/>
        </w:numPr>
        <w:spacing w:after="120"/>
        <w:ind w:left="720"/>
      </w:pPr>
      <w:r w:rsidRPr="00070BDC">
        <w:rPr>
          <w:i/>
        </w:rPr>
        <w:t>Estimates of the total annual cost burden to respondents.</w:t>
      </w:r>
      <w:r>
        <w:t xml:space="preserve"> </w:t>
      </w:r>
      <w:r w:rsidR="00070BDC" w:rsidRPr="00070BDC">
        <w:rPr>
          <w:szCs w:val="24"/>
        </w:rPr>
        <w:t xml:space="preserve">There are no outside contracting costs for this information collection.  See </w:t>
      </w:r>
      <w:r w:rsidR="00070BDC">
        <w:rPr>
          <w:szCs w:val="24"/>
        </w:rPr>
        <w:t xml:space="preserve">No. 12 for “in-house” costs for the </w:t>
      </w:r>
      <w:r w:rsidR="00070BDC" w:rsidRPr="00070BDC">
        <w:rPr>
          <w:szCs w:val="24"/>
        </w:rPr>
        <w:t>costs to respondents.</w:t>
      </w:r>
    </w:p>
    <w:p w14:paraId="347920EC" w14:textId="77777777" w:rsidR="00070BDC" w:rsidRPr="00070BDC" w:rsidRDefault="00070BDC" w:rsidP="00070BDC">
      <w:pPr>
        <w:pStyle w:val="ListParagraph"/>
        <w:spacing w:after="120"/>
      </w:pPr>
    </w:p>
    <w:p w14:paraId="753DEA8B" w14:textId="07F63716" w:rsidR="009754EF" w:rsidRDefault="009754EF" w:rsidP="00070BDC">
      <w:pPr>
        <w:pStyle w:val="ListParagraph"/>
        <w:numPr>
          <w:ilvl w:val="0"/>
          <w:numId w:val="2"/>
        </w:numPr>
        <w:spacing w:after="120"/>
        <w:ind w:left="720"/>
      </w:pPr>
      <w:r w:rsidRPr="00070BDC">
        <w:rPr>
          <w:i/>
        </w:rPr>
        <w:t>Estimates of the cost burden to the Commission.</w:t>
      </w:r>
      <w:r>
        <w:t xml:space="preserve"> </w:t>
      </w:r>
      <w:r w:rsidR="00FC4465">
        <w:t xml:space="preserve"> </w:t>
      </w:r>
      <w:r w:rsidR="00975241">
        <w:t>There will be few, if any, costs to the Commission because notice, enforcement, and policy analysis associated with toll free numbering administration</w:t>
      </w:r>
      <w:r w:rsidR="00636FE7">
        <w:t xml:space="preserve"> are already part of Commission duties.</w:t>
      </w:r>
      <w:r w:rsidR="00070BDC">
        <w:t xml:space="preserve"> Moreover, there will be </w:t>
      </w:r>
      <w:r w:rsidR="00070BDC" w:rsidRPr="00070BDC">
        <w:rPr>
          <w:szCs w:val="24"/>
        </w:rPr>
        <w:t>minimal cost to the federal government since an outside party will administer this program.</w:t>
      </w:r>
    </w:p>
    <w:p w14:paraId="55DF186B" w14:textId="77777777" w:rsidR="00975241" w:rsidRDefault="00975241" w:rsidP="00975241">
      <w:pPr>
        <w:pStyle w:val="ListParagraph"/>
        <w:spacing w:after="120"/>
      </w:pPr>
    </w:p>
    <w:p w14:paraId="64200E0E" w14:textId="3A7E5289" w:rsidR="00975241" w:rsidRDefault="00975241" w:rsidP="007C0FD4">
      <w:pPr>
        <w:pStyle w:val="ListParagraph"/>
        <w:numPr>
          <w:ilvl w:val="0"/>
          <w:numId w:val="2"/>
        </w:numPr>
        <w:spacing w:after="120"/>
        <w:ind w:left="720"/>
      </w:pPr>
      <w:r w:rsidRPr="007C0FD4">
        <w:rPr>
          <w:i/>
        </w:rPr>
        <w:t xml:space="preserve">Program changes or adjustments. </w:t>
      </w:r>
      <w:r w:rsidR="00FC4465" w:rsidRPr="007C0FD4">
        <w:rPr>
          <w:i/>
        </w:rPr>
        <w:t xml:space="preserve"> </w:t>
      </w:r>
      <w:r w:rsidR="007C0FD4">
        <w:t xml:space="preserve">This is a new information collection resulting in a program change/increases to the total number of respondents and total annual responses of +1,220 and total annual burden hours of +105 hours due to the adoption of FCC 18-137. </w:t>
      </w:r>
    </w:p>
    <w:p w14:paraId="066DC7DE" w14:textId="77777777" w:rsidR="00975241" w:rsidRDefault="00975241" w:rsidP="00975241">
      <w:pPr>
        <w:pStyle w:val="ListParagraph"/>
      </w:pPr>
    </w:p>
    <w:p w14:paraId="463F535C" w14:textId="3879FE09" w:rsidR="00975241" w:rsidRDefault="00975241" w:rsidP="009754EF">
      <w:pPr>
        <w:pStyle w:val="ListParagraph"/>
        <w:numPr>
          <w:ilvl w:val="0"/>
          <w:numId w:val="2"/>
        </w:numPr>
        <w:spacing w:after="120"/>
        <w:ind w:left="720"/>
      </w:pPr>
      <w:r>
        <w:rPr>
          <w:i/>
        </w:rPr>
        <w:t>Collections of information whose results will be published.</w:t>
      </w:r>
      <w:r>
        <w:t xml:space="preserve"> </w:t>
      </w:r>
      <w:r w:rsidR="006B07B8">
        <w:t>T</w:t>
      </w:r>
      <w:r w:rsidR="00362A58">
        <w:t xml:space="preserve">he </w:t>
      </w:r>
      <w:r>
        <w:t>Commission</w:t>
      </w:r>
      <w:r w:rsidR="006B07B8">
        <w:t xml:space="preserve"> </w:t>
      </w:r>
      <w:r>
        <w:t xml:space="preserve">will </w:t>
      </w:r>
      <w:r w:rsidR="006B07B8">
        <w:t xml:space="preserve">not </w:t>
      </w:r>
      <w:r>
        <w:t>publish the collected information</w:t>
      </w:r>
      <w:r w:rsidR="006B07B8">
        <w:t xml:space="preserve"> for statistical purposes.</w:t>
      </w:r>
    </w:p>
    <w:p w14:paraId="34CFDAD4" w14:textId="77777777" w:rsidR="00975241" w:rsidRDefault="00975241" w:rsidP="00975241">
      <w:pPr>
        <w:pStyle w:val="ListParagraph"/>
      </w:pPr>
    </w:p>
    <w:p w14:paraId="0EDFA529" w14:textId="67343E9B" w:rsidR="00975241" w:rsidRDefault="00975241" w:rsidP="009754EF">
      <w:pPr>
        <w:pStyle w:val="ListParagraph"/>
        <w:numPr>
          <w:ilvl w:val="0"/>
          <w:numId w:val="2"/>
        </w:numPr>
        <w:spacing w:after="120"/>
        <w:ind w:left="720"/>
      </w:pPr>
      <w:r>
        <w:rPr>
          <w:i/>
        </w:rPr>
        <w:t xml:space="preserve">Display of expiration date for OMB approval of information collection. </w:t>
      </w:r>
      <w:r w:rsidR="00FC4465">
        <w:rPr>
          <w:i/>
        </w:rPr>
        <w:t xml:space="preserve"> </w:t>
      </w:r>
      <w:r>
        <w:t xml:space="preserve">The Commission </w:t>
      </w:r>
      <w:r w:rsidR="00BC794D">
        <w:t xml:space="preserve">does </w:t>
      </w:r>
      <w:r>
        <w:t>not seek</w:t>
      </w:r>
      <w:r w:rsidR="00BC794D">
        <w:t xml:space="preserve"> </w:t>
      </w:r>
      <w:r w:rsidR="00E169F6">
        <w:t>waive</w:t>
      </w:r>
      <w:r w:rsidR="005F76A3">
        <w:t>r</w:t>
      </w:r>
      <w:r w:rsidR="00BC794D">
        <w:t xml:space="preserve"> f</w:t>
      </w:r>
      <w:r w:rsidR="00E169F6">
        <w:t>or</w:t>
      </w:r>
      <w:r w:rsidR="00BC794D">
        <w:t xml:space="preserve"> the requirement to display </w:t>
      </w:r>
      <w:r>
        <w:t>the</w:t>
      </w:r>
      <w:r w:rsidR="005F76A3">
        <w:t xml:space="preserve"> OMB approval</w:t>
      </w:r>
      <w:r>
        <w:t xml:space="preserve"> expiration date </w:t>
      </w:r>
      <w:r w:rsidR="00616A50">
        <w:t xml:space="preserve">the </w:t>
      </w:r>
      <w:r>
        <w:t>information collection</w:t>
      </w:r>
      <w:r w:rsidR="00616A50">
        <w:t>.</w:t>
      </w:r>
    </w:p>
    <w:p w14:paraId="7752D072" w14:textId="77777777" w:rsidR="00975241" w:rsidRDefault="00975241" w:rsidP="00975241">
      <w:pPr>
        <w:pStyle w:val="ListParagraph"/>
      </w:pPr>
    </w:p>
    <w:p w14:paraId="7B369082" w14:textId="79A77D26" w:rsidR="00975241" w:rsidRDefault="00975241" w:rsidP="009754EF">
      <w:pPr>
        <w:pStyle w:val="ListParagraph"/>
        <w:numPr>
          <w:ilvl w:val="0"/>
          <w:numId w:val="2"/>
        </w:numPr>
        <w:spacing w:after="120"/>
        <w:ind w:left="720"/>
      </w:pPr>
      <w:r>
        <w:rPr>
          <w:i/>
        </w:rPr>
        <w:t>Exceptions to certification statement for Paperwork Reduction Act submissions</w:t>
      </w:r>
      <w:r>
        <w:t xml:space="preserve">. </w:t>
      </w:r>
      <w:r w:rsidR="00FC4465">
        <w:t xml:space="preserve"> </w:t>
      </w:r>
      <w:r>
        <w:t>There are no exceptions to the Certification Statement</w:t>
      </w:r>
      <w:r w:rsidR="005F6B70">
        <w:t xml:space="preserve"> for </w:t>
      </w:r>
      <w:r w:rsidR="00616A50">
        <w:t xml:space="preserve">the </w:t>
      </w:r>
      <w:r w:rsidR="00BC794D">
        <w:t>information collection</w:t>
      </w:r>
      <w:r w:rsidR="005F6B70">
        <w:t xml:space="preserve">. </w:t>
      </w:r>
    </w:p>
    <w:p w14:paraId="16C29B83" w14:textId="77777777" w:rsidR="00975241" w:rsidRDefault="00975241" w:rsidP="00975241">
      <w:pPr>
        <w:pStyle w:val="ListParagraph"/>
      </w:pPr>
    </w:p>
    <w:p w14:paraId="2D61A9FA" w14:textId="47DA8D1E" w:rsidR="00975241" w:rsidRDefault="00975241" w:rsidP="001D33AF">
      <w:pPr>
        <w:spacing w:after="120"/>
        <w:contextualSpacing/>
        <w:rPr>
          <w:b/>
        </w:rPr>
      </w:pPr>
      <w:r w:rsidRPr="00975241">
        <w:rPr>
          <w:b/>
          <w:u w:val="single"/>
        </w:rPr>
        <w:t>B.</w:t>
      </w:r>
      <w:r>
        <w:rPr>
          <w:b/>
          <w:u w:val="single"/>
        </w:rPr>
        <w:t xml:space="preserve"> Collections of Information Employing Statistical Methods</w:t>
      </w:r>
      <w:r>
        <w:rPr>
          <w:b/>
        </w:rPr>
        <w:t>:</w:t>
      </w:r>
    </w:p>
    <w:p w14:paraId="266494BD" w14:textId="77777777" w:rsidR="00975241" w:rsidRDefault="00975241" w:rsidP="001D33AF">
      <w:pPr>
        <w:spacing w:after="120"/>
        <w:contextualSpacing/>
      </w:pPr>
    </w:p>
    <w:p w14:paraId="7829E822" w14:textId="77777777" w:rsidR="00616A50" w:rsidRPr="00AC27FF" w:rsidRDefault="00616A50" w:rsidP="00616A50">
      <w:pPr>
        <w:ind w:left="360"/>
        <w:rPr>
          <w:szCs w:val="24"/>
        </w:rPr>
      </w:pPr>
      <w:r w:rsidRPr="00AC27FF">
        <w:rPr>
          <w:szCs w:val="24"/>
        </w:rPr>
        <w:t>The Commission does not anticipate that the collection of information will employ statistical methods.</w:t>
      </w:r>
    </w:p>
    <w:p w14:paraId="4607D45C" w14:textId="356AB25A" w:rsidR="007D5D4D" w:rsidRDefault="007D5D4D" w:rsidP="007D5D4D">
      <w:pPr>
        <w:spacing w:after="120"/>
        <w:ind w:left="1080"/>
      </w:pPr>
    </w:p>
    <w:p w14:paraId="5948F3DF" w14:textId="77777777" w:rsidR="007D5D4D" w:rsidRPr="007D5D4D" w:rsidRDefault="007D5D4D" w:rsidP="007D5D4D">
      <w:pPr>
        <w:spacing w:after="120"/>
        <w:ind w:left="1080"/>
      </w:pPr>
    </w:p>
    <w:p w14:paraId="7AE653F7" w14:textId="77777777" w:rsidR="003E4B34" w:rsidRPr="009F2E75" w:rsidRDefault="003E4B34" w:rsidP="009F2E75">
      <w:pPr>
        <w:spacing w:after="120"/>
      </w:pPr>
    </w:p>
    <w:sectPr w:rsidR="003E4B34" w:rsidRPr="009F2E75" w:rsidSect="00A674D6">
      <w:headerReference w:type="default" r:id="rId9"/>
      <w:footerReference w:type="default" r:id="rId10"/>
      <w:headerReference w:type="first" r:id="rId11"/>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7E19E" w14:textId="77777777" w:rsidR="004B4D61" w:rsidRDefault="004B4D61" w:rsidP="003E4B34">
      <w:r>
        <w:separator/>
      </w:r>
    </w:p>
  </w:endnote>
  <w:endnote w:type="continuationSeparator" w:id="0">
    <w:p w14:paraId="2586FDC0" w14:textId="77777777" w:rsidR="004B4D61" w:rsidRDefault="004B4D61" w:rsidP="003E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767221"/>
      <w:docPartObj>
        <w:docPartGallery w:val="Page Numbers (Bottom of Page)"/>
        <w:docPartUnique/>
      </w:docPartObj>
    </w:sdtPr>
    <w:sdtEndPr>
      <w:rPr>
        <w:noProof/>
      </w:rPr>
    </w:sdtEndPr>
    <w:sdtContent>
      <w:p w14:paraId="51D72C57" w14:textId="03D9AEA8" w:rsidR="00A674D6" w:rsidRDefault="00A674D6">
        <w:pPr>
          <w:pStyle w:val="Footer"/>
          <w:jc w:val="center"/>
        </w:pPr>
        <w:r>
          <w:fldChar w:fldCharType="begin"/>
        </w:r>
        <w:r>
          <w:instrText xml:space="preserve"> PAGE   \* MERGEFORMAT </w:instrText>
        </w:r>
        <w:r>
          <w:fldChar w:fldCharType="separate"/>
        </w:r>
        <w:r w:rsidR="009F3F85">
          <w:rPr>
            <w:noProof/>
          </w:rPr>
          <w:t>2</w:t>
        </w:r>
        <w:r>
          <w:rPr>
            <w:noProof/>
          </w:rPr>
          <w:fldChar w:fldCharType="end"/>
        </w:r>
      </w:p>
    </w:sdtContent>
  </w:sdt>
  <w:p w14:paraId="46CCEB82" w14:textId="77777777" w:rsidR="00A674D6" w:rsidRDefault="00A67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C2D65" w14:textId="77777777" w:rsidR="004B4D61" w:rsidRDefault="004B4D61" w:rsidP="003E4B34">
      <w:r>
        <w:separator/>
      </w:r>
    </w:p>
  </w:footnote>
  <w:footnote w:type="continuationSeparator" w:id="0">
    <w:p w14:paraId="52A1C344" w14:textId="77777777" w:rsidR="004B4D61" w:rsidRDefault="004B4D61" w:rsidP="003E4B34">
      <w:r>
        <w:continuationSeparator/>
      </w:r>
    </w:p>
  </w:footnote>
  <w:footnote w:id="1">
    <w:p w14:paraId="39E9BA1B" w14:textId="061D9047" w:rsidR="005C0AEF" w:rsidRPr="005C0AEF" w:rsidRDefault="005C0AEF" w:rsidP="005C0AEF">
      <w:pPr>
        <w:pStyle w:val="FootnoteText"/>
        <w:spacing w:after="120"/>
      </w:pPr>
      <w:r>
        <w:rPr>
          <w:rStyle w:val="FootnoteReference"/>
        </w:rPr>
        <w:footnoteRef/>
      </w:r>
      <w:r>
        <w:t xml:space="preserve"> </w:t>
      </w:r>
      <w:r>
        <w:rPr>
          <w:i/>
        </w:rPr>
        <w:t>Toll Free Assignment Modernization</w:t>
      </w:r>
      <w:r w:rsidRPr="00A7249A">
        <w:t>;</w:t>
      </w:r>
      <w:r>
        <w:rPr>
          <w:i/>
        </w:rPr>
        <w:t xml:space="preserve"> Toll Free Service Access Codes</w:t>
      </w:r>
      <w:r>
        <w:t xml:space="preserve">, Report and Order, </w:t>
      </w:r>
      <w:r w:rsidRPr="006743A2">
        <w:t>33 FCC Rcd 9274</w:t>
      </w:r>
      <w:r>
        <w:t xml:space="preserve"> (2018) (</w:t>
      </w:r>
      <w:r w:rsidRPr="0018501B">
        <w:rPr>
          <w:i/>
        </w:rPr>
        <w:t>Report and Order</w:t>
      </w:r>
      <w:r>
        <w:t>).</w:t>
      </w:r>
    </w:p>
  </w:footnote>
  <w:footnote w:id="2">
    <w:p w14:paraId="2FF2BF82" w14:textId="07FB84A1" w:rsidR="00DA672C" w:rsidRDefault="00DA672C" w:rsidP="005C0AEF">
      <w:pPr>
        <w:pStyle w:val="FootnoteText"/>
        <w:spacing w:after="120"/>
      </w:pPr>
      <w:r>
        <w:rPr>
          <w:rStyle w:val="FootnoteReference"/>
        </w:rPr>
        <w:footnoteRef/>
      </w:r>
      <w:r>
        <w:t xml:space="preserve"> A RespOrg is the “entity chosen by a toll free subscriber to manage and administer the appropriate records in the toll free Service Management System for the toll free subscriber.” 47 CFR § 52.101(b).</w:t>
      </w:r>
    </w:p>
  </w:footnote>
  <w:footnote w:id="3">
    <w:p w14:paraId="19187067" w14:textId="478C79E1" w:rsidR="00DA672C" w:rsidRPr="00C008D4" w:rsidRDefault="00DA672C" w:rsidP="005C0AEF">
      <w:pPr>
        <w:pStyle w:val="FootnoteText"/>
        <w:spacing w:after="120"/>
      </w:pPr>
      <w:r>
        <w:rPr>
          <w:rStyle w:val="FootnoteReference"/>
        </w:rPr>
        <w:footnoteRef/>
      </w:r>
      <w:r>
        <w:t xml:space="preserve"> 47 CFR § 52.101</w:t>
      </w:r>
      <w:r w:rsidR="00C008D4">
        <w:t>;</w:t>
      </w:r>
      <w:r w:rsidR="005C0AEF">
        <w:t xml:space="preserve"> </w:t>
      </w:r>
      <w:r w:rsidR="005C0AEF">
        <w:rPr>
          <w:i/>
        </w:rPr>
        <w:t>Report and Order</w:t>
      </w:r>
      <w:r w:rsidR="006743A2">
        <w:t xml:space="preserve">, </w:t>
      </w:r>
      <w:r w:rsidR="006743A2" w:rsidRPr="006743A2">
        <w:t xml:space="preserve">33 FCC Rcd </w:t>
      </w:r>
      <w:r w:rsidR="005821A1">
        <w:t xml:space="preserve">at </w:t>
      </w:r>
      <w:r w:rsidR="00317408">
        <w:t>9288-89</w:t>
      </w:r>
      <w:r w:rsidR="006743A2">
        <w:t xml:space="preserve">, para 39; </w:t>
      </w:r>
      <w:r w:rsidR="00C008D4">
        <w:rPr>
          <w:i/>
        </w:rPr>
        <w:t>Auction of Toll Free Numbers in the 833 Code Notice and Filing Requirements, Upfront Payments, and Other Procedures for the 833 Auction</w:t>
      </w:r>
      <w:r w:rsidR="00C008D4">
        <w:t xml:space="preserve">, Public Notice, </w:t>
      </w:r>
      <w:r w:rsidR="005C0AEF">
        <w:t>2019 WL 3605126 (F.C.C.) at *33</w:t>
      </w:r>
      <w:r w:rsidR="00A5250B">
        <w:t xml:space="preserve">, para. </w:t>
      </w:r>
      <w:r w:rsidR="00317408">
        <w:t>132</w:t>
      </w:r>
      <w:r w:rsidR="00C008D4">
        <w:t xml:space="preserve"> (2019) (</w:t>
      </w:r>
      <w:r w:rsidR="00C008D4">
        <w:rPr>
          <w:i/>
        </w:rPr>
        <w:t>Procedures PN</w:t>
      </w:r>
      <w:r w:rsidR="00C008D4">
        <w:t>).</w:t>
      </w:r>
    </w:p>
  </w:footnote>
  <w:footnote w:id="4">
    <w:p w14:paraId="21B46994" w14:textId="4D572F5E" w:rsidR="007D2F80" w:rsidRDefault="007D2F80" w:rsidP="005C0AEF">
      <w:pPr>
        <w:pStyle w:val="FootnoteText"/>
        <w:spacing w:after="120"/>
      </w:pPr>
      <w:r w:rsidRPr="007B52CF">
        <w:rPr>
          <w:rStyle w:val="FootnoteReference"/>
        </w:rPr>
        <w:footnoteRef/>
      </w:r>
      <w:r w:rsidRPr="007B52CF">
        <w:t xml:space="preserve"> </w:t>
      </w:r>
      <w:r w:rsidR="00D4767A">
        <w:rPr>
          <w:i/>
        </w:rPr>
        <w:t>Report and Order</w:t>
      </w:r>
      <w:r w:rsidR="00D4767A">
        <w:t xml:space="preserve">, </w:t>
      </w:r>
      <w:r w:rsidR="005821A1">
        <w:t>33 FCC Rcd at 9277, 9302, paras. 10, 80</w:t>
      </w:r>
      <w:r w:rsidR="00D4767A">
        <w:rPr>
          <w:i/>
        </w:rPr>
        <w:t xml:space="preserve"> </w:t>
      </w:r>
      <w:r w:rsidR="007B52CF" w:rsidRPr="008E71DE">
        <w:t>(</w:t>
      </w:r>
      <w:r w:rsidR="008E71DE">
        <w:t>defining “</w:t>
      </w:r>
      <w:r w:rsidR="007B52CF" w:rsidRPr="008E71DE">
        <w:t>brokering</w:t>
      </w:r>
      <w:r w:rsidR="008E71DE">
        <w:t>”</w:t>
      </w:r>
      <w:r w:rsidR="007B52CF" w:rsidRPr="008E71DE">
        <w:t xml:space="preserve"> </w:t>
      </w:r>
      <w:r w:rsidR="008E71DE">
        <w:t xml:space="preserve">as </w:t>
      </w:r>
      <w:r w:rsidR="007B52CF" w:rsidRPr="008E71DE">
        <w:t>“the selling of a toll free number by a private entity for a fee”</w:t>
      </w:r>
      <w:r w:rsidR="00D71F0F">
        <w:t>;</w:t>
      </w:r>
      <w:r w:rsidR="007B52CF" w:rsidRPr="008E71DE">
        <w:t xml:space="preserve"> </w:t>
      </w:r>
      <w:r w:rsidR="008E71DE">
        <w:t>“</w:t>
      </w:r>
      <w:r w:rsidR="007B52CF" w:rsidRPr="008E71DE">
        <w:t>hoarding</w:t>
      </w:r>
      <w:r w:rsidR="008E71DE">
        <w:t>” as</w:t>
      </w:r>
      <w:r w:rsidR="007B52CF" w:rsidRPr="008E71DE">
        <w:t xml:space="preserve"> the “acquisition by a toll free subscriber . . . of more toll free numbers than the toll free subscriber intends to use for the provision of toll free service”</w:t>
      </w:r>
      <w:r w:rsidR="00D71F0F">
        <w:t>;</w:t>
      </w:r>
      <w:r w:rsidR="007B52CF" w:rsidRPr="008E71DE">
        <w:t xml:space="preserve"> and </w:t>
      </w:r>
      <w:r w:rsidR="008E71DE">
        <w:t>“</w:t>
      </w:r>
      <w:r w:rsidR="007B52CF" w:rsidRPr="008E71DE">
        <w:t>warehousing</w:t>
      </w:r>
      <w:r w:rsidR="008E71DE">
        <w:t xml:space="preserve">” as </w:t>
      </w:r>
      <w:r w:rsidR="007B52CF" w:rsidRPr="008E71DE">
        <w:t>whe</w:t>
      </w:r>
      <w:r w:rsidR="008E71DE">
        <w:t xml:space="preserve">n </w:t>
      </w:r>
      <w:r w:rsidR="007B52CF" w:rsidRPr="008E71DE">
        <w:t xml:space="preserve">a RespOrg sets aside toll free numbers “without having an actual toll free subscriber for whom the numbers are being reserved”). </w:t>
      </w:r>
      <w:r w:rsidR="007B52CF" w:rsidRPr="008E71DE">
        <w:rPr>
          <w:i/>
        </w:rPr>
        <w:t>See also</w:t>
      </w:r>
      <w:r w:rsidR="007B52CF" w:rsidRPr="008E71DE">
        <w:t xml:space="preserve"> </w:t>
      </w:r>
      <w:bookmarkStart w:id="3" w:name="_Hlk13050657"/>
      <w:r w:rsidR="007B52CF" w:rsidRPr="008E71DE">
        <w:t>47 CFR §§ 52.107(a) and 52.105(a).</w:t>
      </w:r>
    </w:p>
    <w:bookmarkEnd w:id="3"/>
  </w:footnote>
  <w:footnote w:id="5">
    <w:p w14:paraId="6815E0DE" w14:textId="77777777" w:rsidR="00570E7F" w:rsidRDefault="00570E7F" w:rsidP="00570E7F">
      <w:pPr>
        <w:pStyle w:val="FootnoteText"/>
      </w:pPr>
      <w:r>
        <w:rPr>
          <w:rStyle w:val="FootnoteReference"/>
        </w:rPr>
        <w:footnoteRef/>
      </w:r>
      <w:r>
        <w:t xml:space="preserve"> Assuming the respondents use personnel comparable in pay to mid-level Federal Government employees, GS-13/5, $53.85/hr., we rounded the hourly salary rate up to a whole number, which is $54/hr.</w:t>
      </w:r>
    </w:p>
  </w:footnote>
  <w:footnote w:id="6">
    <w:p w14:paraId="7496659A" w14:textId="58E5DCF4" w:rsidR="00F73D17" w:rsidRPr="0083522B" w:rsidRDefault="00F73D17">
      <w:pPr>
        <w:pStyle w:val="FootnoteText"/>
      </w:pPr>
      <w:r>
        <w:rPr>
          <w:rStyle w:val="FootnoteReference"/>
        </w:rPr>
        <w:footnoteRef/>
      </w:r>
      <w:r>
        <w:t xml:space="preserve"> </w:t>
      </w:r>
      <w:r w:rsidR="0083522B">
        <w:rPr>
          <w:i/>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119DA" w14:textId="40700604" w:rsidR="00151171" w:rsidRDefault="000826CB" w:rsidP="00151171">
    <w:pPr>
      <w:pStyle w:val="Header"/>
      <w:spacing w:after="120"/>
      <w:contextualSpacing/>
      <w:rPr>
        <w:b/>
      </w:rPr>
    </w:pPr>
    <w:r>
      <w:rPr>
        <w:b/>
      </w:rPr>
      <w:t>Toll Free Number Auctions</w:t>
    </w:r>
    <w:r w:rsidR="00151171">
      <w:rPr>
        <w:b/>
      </w:rPr>
      <w:tab/>
    </w:r>
    <w:r w:rsidR="00151171">
      <w:rPr>
        <w:b/>
      </w:rPr>
      <w:tab/>
    </w:r>
    <w:r w:rsidR="008146EE">
      <w:rPr>
        <w:b/>
      </w:rPr>
      <w:t>3060</w:t>
    </w:r>
    <w:r w:rsidR="00151171">
      <w:rPr>
        <w:b/>
      </w:rPr>
      <w:t>-XXXX</w:t>
    </w:r>
  </w:p>
  <w:p w14:paraId="002998FD" w14:textId="76D83241" w:rsidR="00151171" w:rsidRPr="009A1780" w:rsidRDefault="00151171" w:rsidP="00151171">
    <w:pPr>
      <w:pStyle w:val="Header"/>
      <w:spacing w:after="120"/>
      <w:contextualSpacing/>
      <w:rPr>
        <w:b/>
      </w:rPr>
    </w:pPr>
    <w:r>
      <w:rPr>
        <w:b/>
      </w:rPr>
      <w:tab/>
    </w:r>
    <w:r>
      <w:rPr>
        <w:b/>
      </w:rPr>
      <w:tab/>
    </w:r>
    <w:r w:rsidR="00C27337">
      <w:rPr>
        <w:b/>
      </w:rPr>
      <w:t>October</w:t>
    </w:r>
    <w:r>
      <w:rPr>
        <w:b/>
      </w:rPr>
      <w:t xml:space="preserve"> 2019</w:t>
    </w:r>
  </w:p>
  <w:p w14:paraId="5637B131" w14:textId="4B899BBE" w:rsidR="003E4B34" w:rsidRPr="003E4B34" w:rsidRDefault="003E4B34" w:rsidP="009F2E75">
    <w:pPr>
      <w:pStyle w:val="Header"/>
      <w:spacing w:after="120"/>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B3304" w14:textId="6DA9ADED" w:rsidR="009A1780" w:rsidRDefault="009A1780" w:rsidP="009A1780">
    <w:pPr>
      <w:pStyle w:val="Header"/>
      <w:spacing w:after="120"/>
      <w:contextualSpacing/>
      <w:rPr>
        <w:b/>
      </w:rPr>
    </w:pPr>
    <w:r>
      <w:rPr>
        <w:b/>
      </w:rPr>
      <w:t>Toll Free Number</w:t>
    </w:r>
    <w:r w:rsidR="000826CB">
      <w:rPr>
        <w:b/>
      </w:rPr>
      <w:t xml:space="preserve"> Auctions</w:t>
    </w:r>
    <w:r>
      <w:rPr>
        <w:b/>
      </w:rPr>
      <w:tab/>
    </w:r>
    <w:r>
      <w:rPr>
        <w:b/>
      </w:rPr>
      <w:tab/>
    </w:r>
    <w:r w:rsidR="008146EE">
      <w:rPr>
        <w:b/>
      </w:rPr>
      <w:t>3060</w:t>
    </w:r>
    <w:r>
      <w:rPr>
        <w:b/>
      </w:rPr>
      <w:t>-XXXX</w:t>
    </w:r>
  </w:p>
  <w:p w14:paraId="5DE50B40" w14:textId="66533116" w:rsidR="00A71667" w:rsidRPr="009A1780" w:rsidRDefault="009A1780" w:rsidP="009A1780">
    <w:pPr>
      <w:pStyle w:val="Header"/>
      <w:spacing w:after="120"/>
      <w:contextualSpacing/>
      <w:rPr>
        <w:b/>
      </w:rPr>
    </w:pPr>
    <w:r>
      <w:rPr>
        <w:b/>
      </w:rPr>
      <w:tab/>
    </w:r>
    <w:r>
      <w:rPr>
        <w:b/>
      </w:rPr>
      <w:tab/>
    </w:r>
    <w:r w:rsidR="007646C1">
      <w:rPr>
        <w:b/>
      </w:rPr>
      <w:t xml:space="preserve"> </w:t>
    </w:r>
    <w:r w:rsidR="00C27337">
      <w:rPr>
        <w:b/>
      </w:rPr>
      <w:t>October</w:t>
    </w:r>
    <w:r>
      <w:rPr>
        <w:b/>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30C4"/>
    <w:multiLevelType w:val="hybridMultilevel"/>
    <w:tmpl w:val="1702E738"/>
    <w:lvl w:ilvl="0" w:tplc="E96445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553134"/>
    <w:multiLevelType w:val="hybridMultilevel"/>
    <w:tmpl w:val="1B9C9648"/>
    <w:lvl w:ilvl="0" w:tplc="FF841A6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BD665AF"/>
    <w:multiLevelType w:val="hybridMultilevel"/>
    <w:tmpl w:val="0BA65E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122DF"/>
    <w:multiLevelType w:val="hybridMultilevel"/>
    <w:tmpl w:val="0A34C6C2"/>
    <w:lvl w:ilvl="0" w:tplc="7FB0271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7E4A0B"/>
    <w:multiLevelType w:val="hybridMultilevel"/>
    <w:tmpl w:val="A60CC678"/>
    <w:lvl w:ilvl="0" w:tplc="7FB02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DD0757"/>
    <w:multiLevelType w:val="hybridMultilevel"/>
    <w:tmpl w:val="D5F00EC8"/>
    <w:lvl w:ilvl="0" w:tplc="848092C8">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6CA0D75C">
      <w:start w:val="1"/>
      <w:numFmt w:val="decimal"/>
      <w:lvlText w:val="(%3)"/>
      <w:lvlJc w:val="left"/>
      <w:pPr>
        <w:ind w:left="288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7773DFF"/>
    <w:multiLevelType w:val="hybridMultilevel"/>
    <w:tmpl w:val="030ADEF4"/>
    <w:lvl w:ilvl="0" w:tplc="81E49404">
      <w:start w:val="1"/>
      <w:numFmt w:val="decimal"/>
      <w:lvlText w:val="(%1)"/>
      <w:lvlJc w:val="left"/>
      <w:pPr>
        <w:ind w:left="1080" w:hanging="360"/>
      </w:pPr>
      <w:rPr>
        <w:rFonts w:hint="default"/>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34"/>
    <w:rsid w:val="0002233E"/>
    <w:rsid w:val="000241B5"/>
    <w:rsid w:val="000302A5"/>
    <w:rsid w:val="00035A2F"/>
    <w:rsid w:val="00043312"/>
    <w:rsid w:val="00044A7E"/>
    <w:rsid w:val="00052DB8"/>
    <w:rsid w:val="00054868"/>
    <w:rsid w:val="00066795"/>
    <w:rsid w:val="00070BDC"/>
    <w:rsid w:val="000826CB"/>
    <w:rsid w:val="000875D3"/>
    <w:rsid w:val="000964FC"/>
    <w:rsid w:val="000968D5"/>
    <w:rsid w:val="000A2751"/>
    <w:rsid w:val="000B0CF0"/>
    <w:rsid w:val="000C01C0"/>
    <w:rsid w:val="000D5035"/>
    <w:rsid w:val="000F094D"/>
    <w:rsid w:val="000F5D0A"/>
    <w:rsid w:val="001455EE"/>
    <w:rsid w:val="001466BE"/>
    <w:rsid w:val="00151171"/>
    <w:rsid w:val="0015454B"/>
    <w:rsid w:val="00180768"/>
    <w:rsid w:val="0018501B"/>
    <w:rsid w:val="001978F0"/>
    <w:rsid w:val="001A146D"/>
    <w:rsid w:val="001B18A8"/>
    <w:rsid w:val="001B2AE1"/>
    <w:rsid w:val="001B5FC5"/>
    <w:rsid w:val="001D268C"/>
    <w:rsid w:val="001D2D1B"/>
    <w:rsid w:val="001D33AF"/>
    <w:rsid w:val="001E1F46"/>
    <w:rsid w:val="001E44E4"/>
    <w:rsid w:val="002050AD"/>
    <w:rsid w:val="00226BF1"/>
    <w:rsid w:val="002312CB"/>
    <w:rsid w:val="00246D22"/>
    <w:rsid w:val="00250B97"/>
    <w:rsid w:val="00277CDE"/>
    <w:rsid w:val="00287925"/>
    <w:rsid w:val="00292D61"/>
    <w:rsid w:val="002D693E"/>
    <w:rsid w:val="002E369D"/>
    <w:rsid w:val="002E6F9F"/>
    <w:rsid w:val="00317408"/>
    <w:rsid w:val="00327ED2"/>
    <w:rsid w:val="00330A0A"/>
    <w:rsid w:val="00356733"/>
    <w:rsid w:val="00362A58"/>
    <w:rsid w:val="00364FD7"/>
    <w:rsid w:val="00371CBF"/>
    <w:rsid w:val="00376BF5"/>
    <w:rsid w:val="00381020"/>
    <w:rsid w:val="00387E0E"/>
    <w:rsid w:val="00390DA8"/>
    <w:rsid w:val="003B02AE"/>
    <w:rsid w:val="003B2DA2"/>
    <w:rsid w:val="003B425A"/>
    <w:rsid w:val="003B4338"/>
    <w:rsid w:val="003D4FDC"/>
    <w:rsid w:val="003E4B34"/>
    <w:rsid w:val="0040409F"/>
    <w:rsid w:val="004162E3"/>
    <w:rsid w:val="0044063A"/>
    <w:rsid w:val="00444CCA"/>
    <w:rsid w:val="00450F65"/>
    <w:rsid w:val="0046526D"/>
    <w:rsid w:val="00476006"/>
    <w:rsid w:val="004A4D0E"/>
    <w:rsid w:val="004A5526"/>
    <w:rsid w:val="004B4D61"/>
    <w:rsid w:val="004D654B"/>
    <w:rsid w:val="004E2957"/>
    <w:rsid w:val="004F10EC"/>
    <w:rsid w:val="0051507C"/>
    <w:rsid w:val="0052128C"/>
    <w:rsid w:val="00545D64"/>
    <w:rsid w:val="00556321"/>
    <w:rsid w:val="00570E7F"/>
    <w:rsid w:val="00582013"/>
    <w:rsid w:val="005821A1"/>
    <w:rsid w:val="005923C6"/>
    <w:rsid w:val="00594585"/>
    <w:rsid w:val="00596652"/>
    <w:rsid w:val="005A2276"/>
    <w:rsid w:val="005A29AC"/>
    <w:rsid w:val="005B0B96"/>
    <w:rsid w:val="005C0AEF"/>
    <w:rsid w:val="005E16EF"/>
    <w:rsid w:val="005F0454"/>
    <w:rsid w:val="005F4D2E"/>
    <w:rsid w:val="005F6B70"/>
    <w:rsid w:val="005F76A3"/>
    <w:rsid w:val="0060024B"/>
    <w:rsid w:val="00605B52"/>
    <w:rsid w:val="00616A50"/>
    <w:rsid w:val="00636FE7"/>
    <w:rsid w:val="0064115B"/>
    <w:rsid w:val="0064403E"/>
    <w:rsid w:val="006731A3"/>
    <w:rsid w:val="006743A2"/>
    <w:rsid w:val="006756C4"/>
    <w:rsid w:val="006B07B8"/>
    <w:rsid w:val="006C42B8"/>
    <w:rsid w:val="006C621D"/>
    <w:rsid w:val="006C6F6D"/>
    <w:rsid w:val="006E16FA"/>
    <w:rsid w:val="006E2451"/>
    <w:rsid w:val="006E3316"/>
    <w:rsid w:val="006E7B31"/>
    <w:rsid w:val="0070767F"/>
    <w:rsid w:val="00714270"/>
    <w:rsid w:val="007544E3"/>
    <w:rsid w:val="00757D0D"/>
    <w:rsid w:val="007646C1"/>
    <w:rsid w:val="00775917"/>
    <w:rsid w:val="00783874"/>
    <w:rsid w:val="00793D22"/>
    <w:rsid w:val="007B52CF"/>
    <w:rsid w:val="007C0FD4"/>
    <w:rsid w:val="007D2F80"/>
    <w:rsid w:val="007D5D4D"/>
    <w:rsid w:val="008146EE"/>
    <w:rsid w:val="00816F2A"/>
    <w:rsid w:val="0083522B"/>
    <w:rsid w:val="00855ED5"/>
    <w:rsid w:val="00865D78"/>
    <w:rsid w:val="008904A1"/>
    <w:rsid w:val="008E71DE"/>
    <w:rsid w:val="00900978"/>
    <w:rsid w:val="00905FED"/>
    <w:rsid w:val="00975241"/>
    <w:rsid w:val="009754EF"/>
    <w:rsid w:val="009A1169"/>
    <w:rsid w:val="009A1780"/>
    <w:rsid w:val="009E66B7"/>
    <w:rsid w:val="009F2E75"/>
    <w:rsid w:val="009F3F85"/>
    <w:rsid w:val="00A03DD3"/>
    <w:rsid w:val="00A35E88"/>
    <w:rsid w:val="00A458FE"/>
    <w:rsid w:val="00A50531"/>
    <w:rsid w:val="00A5250B"/>
    <w:rsid w:val="00A576CE"/>
    <w:rsid w:val="00A674D6"/>
    <w:rsid w:val="00A675F3"/>
    <w:rsid w:val="00A71667"/>
    <w:rsid w:val="00A7249A"/>
    <w:rsid w:val="00A75FD9"/>
    <w:rsid w:val="00AA1B6D"/>
    <w:rsid w:val="00AA7EF0"/>
    <w:rsid w:val="00AB066A"/>
    <w:rsid w:val="00AB2038"/>
    <w:rsid w:val="00AB5895"/>
    <w:rsid w:val="00AB75C9"/>
    <w:rsid w:val="00AE656A"/>
    <w:rsid w:val="00AF20B3"/>
    <w:rsid w:val="00AF30AC"/>
    <w:rsid w:val="00B213D8"/>
    <w:rsid w:val="00B4126D"/>
    <w:rsid w:val="00B50FEE"/>
    <w:rsid w:val="00B71D6B"/>
    <w:rsid w:val="00B87D1A"/>
    <w:rsid w:val="00B90873"/>
    <w:rsid w:val="00BC794D"/>
    <w:rsid w:val="00BE66CB"/>
    <w:rsid w:val="00C008D4"/>
    <w:rsid w:val="00C06038"/>
    <w:rsid w:val="00C173EE"/>
    <w:rsid w:val="00C27337"/>
    <w:rsid w:val="00C27A84"/>
    <w:rsid w:val="00C33F8D"/>
    <w:rsid w:val="00C35DD4"/>
    <w:rsid w:val="00C60567"/>
    <w:rsid w:val="00C76707"/>
    <w:rsid w:val="00C96781"/>
    <w:rsid w:val="00CA3FCA"/>
    <w:rsid w:val="00CB68B1"/>
    <w:rsid w:val="00CC37B4"/>
    <w:rsid w:val="00CC436E"/>
    <w:rsid w:val="00D0029C"/>
    <w:rsid w:val="00D2087A"/>
    <w:rsid w:val="00D21F67"/>
    <w:rsid w:val="00D417AC"/>
    <w:rsid w:val="00D4767A"/>
    <w:rsid w:val="00D50C0C"/>
    <w:rsid w:val="00D57683"/>
    <w:rsid w:val="00D61CB2"/>
    <w:rsid w:val="00D641D3"/>
    <w:rsid w:val="00D703A8"/>
    <w:rsid w:val="00D71F0F"/>
    <w:rsid w:val="00DA04A3"/>
    <w:rsid w:val="00DA165B"/>
    <w:rsid w:val="00DA672C"/>
    <w:rsid w:val="00DA7978"/>
    <w:rsid w:val="00DB5410"/>
    <w:rsid w:val="00DE401D"/>
    <w:rsid w:val="00DF07E2"/>
    <w:rsid w:val="00DF5101"/>
    <w:rsid w:val="00E00835"/>
    <w:rsid w:val="00E05D3F"/>
    <w:rsid w:val="00E072BF"/>
    <w:rsid w:val="00E15501"/>
    <w:rsid w:val="00E169F6"/>
    <w:rsid w:val="00E24A25"/>
    <w:rsid w:val="00E32944"/>
    <w:rsid w:val="00E34E84"/>
    <w:rsid w:val="00E7119B"/>
    <w:rsid w:val="00E7567F"/>
    <w:rsid w:val="00E95D30"/>
    <w:rsid w:val="00EE5114"/>
    <w:rsid w:val="00EF3814"/>
    <w:rsid w:val="00F062BE"/>
    <w:rsid w:val="00F3549C"/>
    <w:rsid w:val="00F55422"/>
    <w:rsid w:val="00F64B9D"/>
    <w:rsid w:val="00F73D17"/>
    <w:rsid w:val="00F763D3"/>
    <w:rsid w:val="00F80D12"/>
    <w:rsid w:val="00F83491"/>
    <w:rsid w:val="00F918C7"/>
    <w:rsid w:val="00F91ED7"/>
    <w:rsid w:val="00FB5885"/>
    <w:rsid w:val="00FC3A52"/>
    <w:rsid w:val="00FC4465"/>
    <w:rsid w:val="00FC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1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FootnoteText">
    <w:name w:val="footnote text"/>
    <w:basedOn w:val="Normal"/>
    <w:link w:val="FootnoteTextChar"/>
    <w:uiPriority w:val="99"/>
    <w:semiHidden/>
    <w:unhideWhenUsed/>
    <w:rsid w:val="00FB5885"/>
    <w:rPr>
      <w:sz w:val="20"/>
      <w:szCs w:val="20"/>
    </w:rPr>
  </w:style>
  <w:style w:type="character" w:customStyle="1" w:styleId="FootnoteTextChar">
    <w:name w:val="Footnote Text Char"/>
    <w:basedOn w:val="DefaultParagraphFont"/>
    <w:link w:val="FootnoteText"/>
    <w:uiPriority w:val="99"/>
    <w:semiHidden/>
    <w:rsid w:val="00FB5885"/>
    <w:rPr>
      <w:sz w:val="20"/>
      <w:szCs w:val="20"/>
    </w:rPr>
  </w:style>
  <w:style w:type="character" w:styleId="FootnoteReference">
    <w:name w:val="footnote reference"/>
    <w:basedOn w:val="DefaultParagraphFont"/>
    <w:uiPriority w:val="99"/>
    <w:semiHidden/>
    <w:unhideWhenUsed/>
    <w:rsid w:val="00FB5885"/>
    <w:rPr>
      <w:vertAlign w:val="superscript"/>
    </w:rPr>
  </w:style>
  <w:style w:type="character" w:styleId="CommentReference">
    <w:name w:val="annotation reference"/>
    <w:basedOn w:val="DefaultParagraphFont"/>
    <w:uiPriority w:val="99"/>
    <w:semiHidden/>
    <w:unhideWhenUsed/>
    <w:rsid w:val="005923C6"/>
    <w:rPr>
      <w:sz w:val="16"/>
      <w:szCs w:val="16"/>
    </w:rPr>
  </w:style>
  <w:style w:type="paragraph" w:styleId="CommentText">
    <w:name w:val="annotation text"/>
    <w:basedOn w:val="Normal"/>
    <w:link w:val="CommentTextChar"/>
    <w:uiPriority w:val="99"/>
    <w:semiHidden/>
    <w:unhideWhenUsed/>
    <w:rsid w:val="005923C6"/>
    <w:rPr>
      <w:sz w:val="20"/>
      <w:szCs w:val="20"/>
    </w:rPr>
  </w:style>
  <w:style w:type="character" w:customStyle="1" w:styleId="CommentTextChar">
    <w:name w:val="Comment Text Char"/>
    <w:basedOn w:val="DefaultParagraphFont"/>
    <w:link w:val="CommentText"/>
    <w:uiPriority w:val="99"/>
    <w:semiHidden/>
    <w:rsid w:val="005923C6"/>
    <w:rPr>
      <w:sz w:val="20"/>
      <w:szCs w:val="20"/>
    </w:rPr>
  </w:style>
  <w:style w:type="paragraph" w:styleId="CommentSubject">
    <w:name w:val="annotation subject"/>
    <w:basedOn w:val="CommentText"/>
    <w:next w:val="CommentText"/>
    <w:link w:val="CommentSubjectChar"/>
    <w:uiPriority w:val="99"/>
    <w:semiHidden/>
    <w:unhideWhenUsed/>
    <w:rsid w:val="005923C6"/>
    <w:rPr>
      <w:b/>
      <w:bCs/>
    </w:rPr>
  </w:style>
  <w:style w:type="character" w:customStyle="1" w:styleId="CommentSubjectChar">
    <w:name w:val="Comment Subject Char"/>
    <w:basedOn w:val="CommentTextChar"/>
    <w:link w:val="CommentSubject"/>
    <w:uiPriority w:val="99"/>
    <w:semiHidden/>
    <w:rsid w:val="005923C6"/>
    <w:rPr>
      <w:b/>
      <w:bCs/>
      <w:sz w:val="20"/>
      <w:szCs w:val="20"/>
    </w:rPr>
  </w:style>
  <w:style w:type="paragraph" w:styleId="BalloonText">
    <w:name w:val="Balloon Text"/>
    <w:basedOn w:val="Normal"/>
    <w:link w:val="BalloonTextChar"/>
    <w:uiPriority w:val="99"/>
    <w:semiHidden/>
    <w:unhideWhenUsed/>
    <w:rsid w:val="00592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C6"/>
    <w:rPr>
      <w:rFonts w:ascii="Segoe UI" w:hAnsi="Segoe UI" w:cs="Segoe UI"/>
      <w:sz w:val="18"/>
      <w:szCs w:val="18"/>
    </w:rPr>
  </w:style>
  <w:style w:type="paragraph" w:styleId="Revision">
    <w:name w:val="Revision"/>
    <w:hidden/>
    <w:uiPriority w:val="99"/>
    <w:semiHidden/>
    <w:rsid w:val="000B0CF0"/>
  </w:style>
  <w:style w:type="table" w:styleId="TableGrid">
    <w:name w:val="Table Grid"/>
    <w:basedOn w:val="TableNormal"/>
    <w:uiPriority w:val="39"/>
    <w:rsid w:val="006C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FootnoteText">
    <w:name w:val="footnote text"/>
    <w:basedOn w:val="Normal"/>
    <w:link w:val="FootnoteTextChar"/>
    <w:uiPriority w:val="99"/>
    <w:semiHidden/>
    <w:unhideWhenUsed/>
    <w:rsid w:val="00FB5885"/>
    <w:rPr>
      <w:sz w:val="20"/>
      <w:szCs w:val="20"/>
    </w:rPr>
  </w:style>
  <w:style w:type="character" w:customStyle="1" w:styleId="FootnoteTextChar">
    <w:name w:val="Footnote Text Char"/>
    <w:basedOn w:val="DefaultParagraphFont"/>
    <w:link w:val="FootnoteText"/>
    <w:uiPriority w:val="99"/>
    <w:semiHidden/>
    <w:rsid w:val="00FB5885"/>
    <w:rPr>
      <w:sz w:val="20"/>
      <w:szCs w:val="20"/>
    </w:rPr>
  </w:style>
  <w:style w:type="character" w:styleId="FootnoteReference">
    <w:name w:val="footnote reference"/>
    <w:basedOn w:val="DefaultParagraphFont"/>
    <w:uiPriority w:val="99"/>
    <w:semiHidden/>
    <w:unhideWhenUsed/>
    <w:rsid w:val="00FB5885"/>
    <w:rPr>
      <w:vertAlign w:val="superscript"/>
    </w:rPr>
  </w:style>
  <w:style w:type="character" w:styleId="CommentReference">
    <w:name w:val="annotation reference"/>
    <w:basedOn w:val="DefaultParagraphFont"/>
    <w:uiPriority w:val="99"/>
    <w:semiHidden/>
    <w:unhideWhenUsed/>
    <w:rsid w:val="005923C6"/>
    <w:rPr>
      <w:sz w:val="16"/>
      <w:szCs w:val="16"/>
    </w:rPr>
  </w:style>
  <w:style w:type="paragraph" w:styleId="CommentText">
    <w:name w:val="annotation text"/>
    <w:basedOn w:val="Normal"/>
    <w:link w:val="CommentTextChar"/>
    <w:uiPriority w:val="99"/>
    <w:semiHidden/>
    <w:unhideWhenUsed/>
    <w:rsid w:val="005923C6"/>
    <w:rPr>
      <w:sz w:val="20"/>
      <w:szCs w:val="20"/>
    </w:rPr>
  </w:style>
  <w:style w:type="character" w:customStyle="1" w:styleId="CommentTextChar">
    <w:name w:val="Comment Text Char"/>
    <w:basedOn w:val="DefaultParagraphFont"/>
    <w:link w:val="CommentText"/>
    <w:uiPriority w:val="99"/>
    <w:semiHidden/>
    <w:rsid w:val="005923C6"/>
    <w:rPr>
      <w:sz w:val="20"/>
      <w:szCs w:val="20"/>
    </w:rPr>
  </w:style>
  <w:style w:type="paragraph" w:styleId="CommentSubject">
    <w:name w:val="annotation subject"/>
    <w:basedOn w:val="CommentText"/>
    <w:next w:val="CommentText"/>
    <w:link w:val="CommentSubjectChar"/>
    <w:uiPriority w:val="99"/>
    <w:semiHidden/>
    <w:unhideWhenUsed/>
    <w:rsid w:val="005923C6"/>
    <w:rPr>
      <w:b/>
      <w:bCs/>
    </w:rPr>
  </w:style>
  <w:style w:type="character" w:customStyle="1" w:styleId="CommentSubjectChar">
    <w:name w:val="Comment Subject Char"/>
    <w:basedOn w:val="CommentTextChar"/>
    <w:link w:val="CommentSubject"/>
    <w:uiPriority w:val="99"/>
    <w:semiHidden/>
    <w:rsid w:val="005923C6"/>
    <w:rPr>
      <w:b/>
      <w:bCs/>
      <w:sz w:val="20"/>
      <w:szCs w:val="20"/>
    </w:rPr>
  </w:style>
  <w:style w:type="paragraph" w:styleId="BalloonText">
    <w:name w:val="Balloon Text"/>
    <w:basedOn w:val="Normal"/>
    <w:link w:val="BalloonTextChar"/>
    <w:uiPriority w:val="99"/>
    <w:semiHidden/>
    <w:unhideWhenUsed/>
    <w:rsid w:val="00592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C6"/>
    <w:rPr>
      <w:rFonts w:ascii="Segoe UI" w:hAnsi="Segoe UI" w:cs="Segoe UI"/>
      <w:sz w:val="18"/>
      <w:szCs w:val="18"/>
    </w:rPr>
  </w:style>
  <w:style w:type="paragraph" w:styleId="Revision">
    <w:name w:val="Revision"/>
    <w:hidden/>
    <w:uiPriority w:val="99"/>
    <w:semiHidden/>
    <w:rsid w:val="000B0CF0"/>
  </w:style>
  <w:style w:type="table" w:styleId="TableGrid">
    <w:name w:val="Table Grid"/>
    <w:basedOn w:val="TableNormal"/>
    <w:uiPriority w:val="39"/>
    <w:rsid w:val="006C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9943">
      <w:bodyDiv w:val="1"/>
      <w:marLeft w:val="0"/>
      <w:marRight w:val="0"/>
      <w:marTop w:val="0"/>
      <w:marBottom w:val="0"/>
      <w:divBdr>
        <w:top w:val="none" w:sz="0" w:space="0" w:color="auto"/>
        <w:left w:val="none" w:sz="0" w:space="0" w:color="auto"/>
        <w:bottom w:val="none" w:sz="0" w:space="0" w:color="auto"/>
        <w:right w:val="none" w:sz="0" w:space="0" w:color="auto"/>
      </w:divBdr>
    </w:div>
    <w:div w:id="589120703">
      <w:bodyDiv w:val="1"/>
      <w:marLeft w:val="0"/>
      <w:marRight w:val="0"/>
      <w:marTop w:val="0"/>
      <w:marBottom w:val="0"/>
      <w:divBdr>
        <w:top w:val="none" w:sz="0" w:space="0" w:color="auto"/>
        <w:left w:val="none" w:sz="0" w:space="0" w:color="auto"/>
        <w:bottom w:val="none" w:sz="0" w:space="0" w:color="auto"/>
        <w:right w:val="none" w:sz="0" w:space="0" w:color="auto"/>
      </w:divBdr>
    </w:div>
    <w:div w:id="648437500">
      <w:bodyDiv w:val="1"/>
      <w:marLeft w:val="0"/>
      <w:marRight w:val="0"/>
      <w:marTop w:val="0"/>
      <w:marBottom w:val="0"/>
      <w:divBdr>
        <w:top w:val="none" w:sz="0" w:space="0" w:color="auto"/>
        <w:left w:val="none" w:sz="0" w:space="0" w:color="auto"/>
        <w:bottom w:val="none" w:sz="0" w:space="0" w:color="auto"/>
        <w:right w:val="none" w:sz="0" w:space="0" w:color="auto"/>
      </w:divBdr>
    </w:div>
    <w:div w:id="18191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ECE03-F00A-45D9-9489-177C9213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Marie Reth</dc:creator>
  <cp:keywords/>
  <dc:description/>
  <cp:lastModifiedBy>SYSTEM</cp:lastModifiedBy>
  <cp:revision>2</cp:revision>
  <cp:lastPrinted>2019-06-26T17:08:00Z</cp:lastPrinted>
  <dcterms:created xsi:type="dcterms:W3CDTF">2019-10-10T19:54:00Z</dcterms:created>
  <dcterms:modified xsi:type="dcterms:W3CDTF">2019-10-10T19:54:00Z</dcterms:modified>
</cp:coreProperties>
</file>