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95EB8" w14:textId="77777777" w:rsidR="00734864" w:rsidRDefault="009E141B">
      <w:pPr>
        <w:pStyle w:val="Heading1"/>
        <w:spacing w:before="72"/>
        <w:ind w:left="908" w:right="786" w:firstLine="0"/>
        <w:jc w:val="center"/>
        <w:rPr>
          <w:u w:val="none"/>
        </w:rPr>
      </w:pPr>
      <w:bookmarkStart w:id="0" w:name="_GoBack"/>
      <w:bookmarkEnd w:id="0"/>
      <w:r w:rsidRPr="00AD756D">
        <w:rPr>
          <w:u w:val="none"/>
        </w:rPr>
        <w:t xml:space="preserve">CONSUMER FINANCIAL PROTECTION BUREAU </w:t>
      </w:r>
      <w:r w:rsidR="00734864">
        <w:rPr>
          <w:u w:val="none"/>
        </w:rPr>
        <w:t>PAPERWORK REDUCTION ACT SUBMISSION</w:t>
      </w:r>
    </w:p>
    <w:p w14:paraId="58538EB6" w14:textId="77777777" w:rsidR="00734864" w:rsidRDefault="00734864">
      <w:pPr>
        <w:pStyle w:val="Heading1"/>
        <w:spacing w:before="72"/>
        <w:ind w:left="908" w:right="786" w:firstLine="0"/>
        <w:jc w:val="center"/>
        <w:rPr>
          <w:u w:val="none"/>
        </w:rPr>
      </w:pPr>
    </w:p>
    <w:p w14:paraId="1896BC1A" w14:textId="77777777" w:rsidR="00734864" w:rsidRDefault="00734864">
      <w:pPr>
        <w:pStyle w:val="Heading1"/>
        <w:spacing w:before="72"/>
        <w:ind w:left="908" w:right="786" w:firstLine="0"/>
        <w:jc w:val="center"/>
        <w:rPr>
          <w:u w:val="none"/>
        </w:rPr>
      </w:pPr>
      <w:r>
        <w:rPr>
          <w:u w:val="none"/>
        </w:rPr>
        <w:t>SUPPORTING STATEMENT PART A</w:t>
      </w:r>
    </w:p>
    <w:p w14:paraId="69BAFF12" w14:textId="77777777" w:rsidR="00734864" w:rsidRDefault="00734864">
      <w:pPr>
        <w:pStyle w:val="Heading1"/>
        <w:spacing w:before="72"/>
        <w:ind w:left="908" w:right="786" w:firstLine="0"/>
        <w:jc w:val="center"/>
        <w:rPr>
          <w:u w:val="none"/>
        </w:rPr>
      </w:pPr>
    </w:p>
    <w:p w14:paraId="12A6E204" w14:textId="77777777" w:rsidR="00645B19" w:rsidRPr="00AD756D" w:rsidRDefault="009E141B">
      <w:pPr>
        <w:spacing w:line="242" w:lineRule="auto"/>
        <w:ind w:left="908" w:right="786"/>
        <w:jc w:val="center"/>
        <w:rPr>
          <w:b/>
          <w:sz w:val="24"/>
        </w:rPr>
      </w:pPr>
      <w:r w:rsidRPr="00AD756D">
        <w:rPr>
          <w:b/>
          <w:sz w:val="24"/>
        </w:rPr>
        <w:t>GENERIC INFORMATION COLLECTION PLAN FOR INFORMATION ON COMPLIANCE COSTS AND OTHER EFFECTS OF REGULATIONS</w:t>
      </w:r>
    </w:p>
    <w:p w14:paraId="27396AFA" w14:textId="77777777" w:rsidR="00645B19" w:rsidRPr="00AD756D" w:rsidRDefault="00734864">
      <w:pPr>
        <w:spacing w:line="271" w:lineRule="exact"/>
        <w:ind w:left="905" w:right="786"/>
        <w:jc w:val="center"/>
        <w:rPr>
          <w:b/>
          <w:sz w:val="24"/>
        </w:rPr>
      </w:pPr>
      <w:r>
        <w:rPr>
          <w:b/>
          <w:sz w:val="24"/>
        </w:rPr>
        <w:t>(</w:t>
      </w:r>
      <w:r w:rsidR="009E141B" w:rsidRPr="00AD756D">
        <w:rPr>
          <w:b/>
          <w:sz w:val="24"/>
        </w:rPr>
        <w:t>OMB CONTROL NUMBER: 3170-0032</w:t>
      </w:r>
      <w:r>
        <w:rPr>
          <w:b/>
          <w:sz w:val="24"/>
        </w:rPr>
        <w:t>)</w:t>
      </w:r>
    </w:p>
    <w:p w14:paraId="60C9C326" w14:textId="77777777" w:rsidR="00645B19" w:rsidRPr="00AD756D" w:rsidRDefault="00A23FFE">
      <w:pPr>
        <w:pStyle w:val="BodyText"/>
        <w:spacing w:before="2"/>
        <w:rPr>
          <w:b/>
          <w:sz w:val="11"/>
        </w:rPr>
      </w:pPr>
      <w:r w:rsidRPr="00AD756D">
        <w:rPr>
          <w:noProof/>
          <w:lang w:bidi="ar-SA"/>
        </w:rPr>
        <mc:AlternateContent>
          <mc:Choice Requires="wps">
            <w:drawing>
              <wp:anchor distT="0" distB="0" distL="0" distR="0" simplePos="0" relativeHeight="251656192" behindDoc="1" locked="0" layoutInCell="1" allowOverlap="1" wp14:anchorId="23AD967E" wp14:editId="55732322">
                <wp:simplePos x="0" y="0"/>
                <wp:positionH relativeFrom="page">
                  <wp:posOffset>831850</wp:posOffset>
                </wp:positionH>
                <wp:positionV relativeFrom="paragraph">
                  <wp:posOffset>111760</wp:posOffset>
                </wp:positionV>
                <wp:extent cx="6122035" cy="0"/>
                <wp:effectExtent l="12700" t="11430" r="8890" b="762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0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5A54DC" id="Line 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5pt,8.8pt" to="547.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3wC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" strokeweight=".72pt">
                <w10:wrap type="topAndBottom" anchorx="page"/>
              </v:line>
            </w:pict>
          </mc:Fallback>
        </mc:AlternateContent>
      </w:r>
    </w:p>
    <w:p w14:paraId="375069D6" w14:textId="77777777" w:rsidR="00645B19" w:rsidRPr="00AD756D" w:rsidRDefault="00645B19">
      <w:pPr>
        <w:pStyle w:val="BodyText"/>
        <w:rPr>
          <w:b/>
          <w:sz w:val="20"/>
        </w:rPr>
      </w:pPr>
    </w:p>
    <w:p w14:paraId="22F91933" w14:textId="4DBD4B7D" w:rsidR="00645B19" w:rsidRPr="00AD756D" w:rsidRDefault="009E141B">
      <w:pPr>
        <w:pStyle w:val="BodyText"/>
        <w:spacing w:before="207"/>
        <w:ind w:left="219" w:right="257"/>
      </w:pPr>
      <w:r w:rsidRPr="00AD756D">
        <w:rPr>
          <w:b/>
        </w:rPr>
        <w:t xml:space="preserve">TERMS OF CLEARANCE: </w:t>
      </w:r>
      <w:r w:rsidRPr="00AD756D">
        <w:t>The Office of Management and Budget (</w:t>
      </w:r>
      <w:r w:rsidR="00670F06">
        <w:t>“</w:t>
      </w:r>
      <w:r w:rsidRPr="00AD756D">
        <w:t>OMB</w:t>
      </w:r>
      <w:r w:rsidR="00670F06">
        <w:t>”</w:t>
      </w:r>
      <w:r w:rsidRPr="00AD756D">
        <w:t xml:space="preserve">) </w:t>
      </w:r>
      <w:r w:rsidR="006C3723">
        <w:t xml:space="preserve">last approved this collection on </w:t>
      </w:r>
      <w:r w:rsidRPr="00AD756D">
        <w:t>February 15, 2015</w:t>
      </w:r>
      <w:r w:rsidR="006C3723">
        <w:t xml:space="preserve"> and provided no actionable Terms of Clearance at that time</w:t>
      </w:r>
      <w:r w:rsidRPr="00AD756D">
        <w:t>.</w:t>
      </w:r>
      <w:r w:rsidR="006C3723">
        <w:t xml:space="preserve"> </w:t>
      </w:r>
      <w:r w:rsidR="006C3723" w:rsidDel="00921D9F">
        <w:t>T</w:t>
      </w:r>
      <w:r w:rsidR="006C3723" w:rsidRPr="003657E8" w:rsidDel="00921D9F">
        <w:t xml:space="preserve">he Consumer Financial Protection Bureau is modifying this generic information collection plan </w:t>
      </w:r>
      <w:r w:rsidR="0058414A" w:rsidDel="00921D9F">
        <w:t xml:space="preserve">(“Plan”) </w:t>
      </w:r>
      <w:r w:rsidR="006C3723" w:rsidRPr="003657E8" w:rsidDel="00921D9F">
        <w:t>to provide for public notice and opportunity to comment to OMB for each requ</w:t>
      </w:r>
      <w:r w:rsidR="00734864" w:rsidDel="00921D9F">
        <w:t>est submitted under this plan</w:t>
      </w:r>
      <w:r w:rsidR="006C3723" w:rsidRPr="003657E8" w:rsidDel="00921D9F">
        <w:t>.</w:t>
      </w:r>
    </w:p>
    <w:p w14:paraId="494886EE" w14:textId="77777777" w:rsidR="00645B19" w:rsidRPr="00AD756D" w:rsidRDefault="00645B19">
      <w:pPr>
        <w:pStyle w:val="BodyText"/>
      </w:pPr>
    </w:p>
    <w:p w14:paraId="7E6D2449" w14:textId="62A9D49F" w:rsidR="00645B19" w:rsidRDefault="009E141B">
      <w:pPr>
        <w:pStyle w:val="BodyText"/>
        <w:ind w:left="219" w:right="257"/>
      </w:pPr>
      <w:r w:rsidRPr="00AD756D">
        <w:rPr>
          <w:b/>
        </w:rPr>
        <w:t xml:space="preserve">ABSTRACT: </w:t>
      </w:r>
      <w:r w:rsidRPr="00AD756D">
        <w:t xml:space="preserve">The Dodd-Frank Wall Street Reform and Consumer Protection Act </w:t>
      </w:r>
      <w:r w:rsidR="00816F54">
        <w:t xml:space="preserve">(“Dodd-Frank Act”) </w:t>
      </w:r>
      <w:r w:rsidRPr="00AD756D">
        <w:t>requires or authorizes the Consumer Financial Pro</w:t>
      </w:r>
      <w:r w:rsidR="00394627">
        <w:t>t</w:t>
      </w:r>
      <w:r w:rsidRPr="00AD756D">
        <w:t>ection Bureau</w:t>
      </w:r>
      <w:r w:rsidR="00D60127">
        <w:t xml:space="preserve"> (“Bureau”)</w:t>
      </w:r>
      <w:r w:rsidRPr="00AD756D">
        <w:t xml:space="preserve"> to implement new consumer protections in</w:t>
      </w:r>
      <w:r w:rsidR="00384C49">
        <w:t xml:space="preserve"> the offering or provision of </w:t>
      </w:r>
      <w:r w:rsidRPr="00AD756D">
        <w:t xml:space="preserve">certain </w:t>
      </w:r>
      <w:r w:rsidR="00384C49">
        <w:t>consumer financial products and services</w:t>
      </w:r>
      <w:r w:rsidRPr="00AD756D">
        <w:t xml:space="preserve">. The information collected is required in order to effectively incorporate information from providers concerning compliance costs and other effects of regulations </w:t>
      </w:r>
      <w:r w:rsidR="00A967BD">
        <w:t xml:space="preserve">as part of the information base for </w:t>
      </w:r>
      <w:r w:rsidRPr="00AD756D">
        <w:t>potential rulemakings</w:t>
      </w:r>
      <w:r w:rsidR="00A967BD" w:rsidRPr="00A967BD">
        <w:t xml:space="preserve"> </w:t>
      </w:r>
      <w:r w:rsidR="00A967BD">
        <w:t>and prospective and retrospective regulatory burden analyses</w:t>
      </w:r>
      <w:r w:rsidRPr="00AD756D">
        <w:t>.</w:t>
      </w:r>
    </w:p>
    <w:p w14:paraId="7205CCC1" w14:textId="77777777" w:rsidR="00921D9F" w:rsidRDefault="00921D9F">
      <w:pPr>
        <w:pStyle w:val="BodyText"/>
        <w:ind w:left="219" w:right="257"/>
      </w:pPr>
    </w:p>
    <w:p w14:paraId="638CF9DA" w14:textId="77777777" w:rsidR="00921D9F" w:rsidRPr="00AD756D" w:rsidRDefault="00921D9F">
      <w:pPr>
        <w:pStyle w:val="BodyText"/>
        <w:ind w:left="219" w:right="257"/>
      </w:pPr>
    </w:p>
    <w:p w14:paraId="3C15FDD4" w14:textId="77777777" w:rsidR="00645B19" w:rsidRPr="00AD756D" w:rsidRDefault="00645B19">
      <w:pPr>
        <w:pStyle w:val="BodyText"/>
        <w:spacing w:before="4"/>
        <w:rPr>
          <w:sz w:val="25"/>
        </w:rPr>
      </w:pPr>
    </w:p>
    <w:p w14:paraId="32B78ADA" w14:textId="05B79861" w:rsidR="00645B19" w:rsidRPr="00AD756D" w:rsidRDefault="009E141B">
      <w:pPr>
        <w:pStyle w:val="Heading1"/>
        <w:ind w:left="320" w:firstLine="0"/>
        <w:rPr>
          <w:u w:val="none"/>
        </w:rPr>
      </w:pPr>
      <w:r w:rsidRPr="00AD756D">
        <w:rPr>
          <w:u w:val="thick"/>
        </w:rPr>
        <w:t>JUSTIFICATION</w:t>
      </w:r>
    </w:p>
    <w:p w14:paraId="4656A90F" w14:textId="77777777" w:rsidR="00645B19" w:rsidRPr="00AD756D" w:rsidRDefault="00645B19">
      <w:pPr>
        <w:pStyle w:val="BodyText"/>
        <w:spacing w:before="4"/>
        <w:rPr>
          <w:b/>
          <w:sz w:val="16"/>
        </w:rPr>
      </w:pPr>
    </w:p>
    <w:p w14:paraId="05A07274" w14:textId="77777777" w:rsidR="00645B19" w:rsidRPr="00AD756D" w:rsidRDefault="009E141B">
      <w:pPr>
        <w:pStyle w:val="ListParagraph"/>
        <w:numPr>
          <w:ilvl w:val="0"/>
          <w:numId w:val="1"/>
        </w:numPr>
        <w:tabs>
          <w:tab w:val="left" w:pos="561"/>
        </w:tabs>
        <w:spacing w:before="90"/>
        <w:jc w:val="left"/>
        <w:rPr>
          <w:b/>
          <w:sz w:val="24"/>
        </w:rPr>
      </w:pPr>
      <w:r w:rsidRPr="00AD756D">
        <w:rPr>
          <w:b/>
          <w:sz w:val="24"/>
          <w:u w:val="thick"/>
        </w:rPr>
        <w:t>Circumstances Necessitating the Data</w:t>
      </w:r>
      <w:r w:rsidRPr="00AD756D">
        <w:rPr>
          <w:b/>
          <w:spacing w:val="-1"/>
          <w:sz w:val="24"/>
          <w:u w:val="thick"/>
        </w:rPr>
        <w:t xml:space="preserve"> </w:t>
      </w:r>
      <w:r w:rsidRPr="00AD756D">
        <w:rPr>
          <w:b/>
          <w:sz w:val="24"/>
          <w:u w:val="thick"/>
        </w:rPr>
        <w:t>Collection</w:t>
      </w:r>
    </w:p>
    <w:p w14:paraId="775382FC" w14:textId="77777777" w:rsidR="00645B19" w:rsidRPr="00AD756D" w:rsidRDefault="00645B19">
      <w:pPr>
        <w:pStyle w:val="BodyText"/>
        <w:spacing w:before="11"/>
        <w:rPr>
          <w:b/>
          <w:sz w:val="14"/>
        </w:rPr>
      </w:pPr>
    </w:p>
    <w:p w14:paraId="114D7CE4" w14:textId="6C61C74E" w:rsidR="001048F9" w:rsidRPr="00AD756D" w:rsidRDefault="001048F9" w:rsidP="001048F9">
      <w:pPr>
        <w:pStyle w:val="BodyText"/>
        <w:ind w:left="320" w:right="370"/>
      </w:pPr>
      <w:r w:rsidRPr="00AD756D">
        <w:t xml:space="preserve">Information on compliance costs is </w:t>
      </w:r>
      <w:r w:rsidR="00116027">
        <w:t xml:space="preserve">generally </w:t>
      </w:r>
      <w:r w:rsidRPr="00AD756D">
        <w:t xml:space="preserve">not available in </w:t>
      </w:r>
      <w:r w:rsidR="00116027">
        <w:t xml:space="preserve">the </w:t>
      </w:r>
      <w:r w:rsidRPr="00AD756D">
        <w:t xml:space="preserve">business literature or publicly available firm data. Regulatory financial statements and quarterly earnings statements provide data regarding a </w:t>
      </w:r>
      <w:r w:rsidR="00116027">
        <w:t>p</w:t>
      </w:r>
      <w:r w:rsidRPr="00AD756D">
        <w:t xml:space="preserve">rovider’s expenses; however, they do not </w:t>
      </w:r>
      <w:r w:rsidR="00DB4D30">
        <w:t xml:space="preserve">generally </w:t>
      </w:r>
      <w:r w:rsidRPr="00AD756D">
        <w:t xml:space="preserve">distinguish costs that are related to compliance with regulatory requirements. Furthermore, </w:t>
      </w:r>
      <w:r w:rsidR="00BC0A95">
        <w:t xml:space="preserve">any </w:t>
      </w:r>
      <w:r w:rsidRPr="00AD756D">
        <w:t xml:space="preserve">available </w:t>
      </w:r>
      <w:r w:rsidR="00BC0A95">
        <w:t>information</w:t>
      </w:r>
      <w:r w:rsidRPr="00AD756D">
        <w:t xml:space="preserve"> on compliance costs and regulatory burden </w:t>
      </w:r>
      <w:r w:rsidR="00BC0A95">
        <w:t xml:space="preserve">may be </w:t>
      </w:r>
      <w:r w:rsidRPr="00AD756D">
        <w:t>outdated</w:t>
      </w:r>
      <w:r w:rsidR="00BC0A95">
        <w:t>,</w:t>
      </w:r>
      <w:r w:rsidRPr="00AD756D">
        <w:t xml:space="preserve"> may not reflect current industry </w:t>
      </w:r>
      <w:r w:rsidR="00BC0A95">
        <w:t xml:space="preserve">business processes, or may not indicate the potential costs or cost savings from specific regulatory changes. </w:t>
      </w:r>
      <w:r w:rsidRPr="00AD756D">
        <w:t>By engaging directly with financial institutions and their service</w:t>
      </w:r>
      <w:r>
        <w:t xml:space="preserve"> providers, the Bureau can </w:t>
      </w:r>
      <w:r w:rsidRPr="00AD756D">
        <w:t xml:space="preserve">better understand a variety of implicit and potentially unexpected costs, as well as potential benefits, that stem from </w:t>
      </w:r>
      <w:r w:rsidR="00927F32">
        <w:t>the Bureau’s</w:t>
      </w:r>
      <w:r w:rsidRPr="00AD756D">
        <w:t xml:space="preserve"> regulations.</w:t>
      </w:r>
      <w:r>
        <w:rPr>
          <w:rStyle w:val="FootnoteReference"/>
        </w:rPr>
        <w:footnoteReference w:id="1"/>
      </w:r>
    </w:p>
    <w:p w14:paraId="1ADDE93F" w14:textId="77777777" w:rsidR="001048F9" w:rsidRDefault="001048F9" w:rsidP="0032456A">
      <w:pPr>
        <w:pStyle w:val="BodyText"/>
        <w:spacing w:before="90"/>
        <w:ind w:left="320" w:right="311"/>
      </w:pPr>
    </w:p>
    <w:p w14:paraId="59D4FC40" w14:textId="0FCBFC14" w:rsidR="00645B19" w:rsidRPr="00AD756D" w:rsidRDefault="00DA50DC" w:rsidP="0032456A">
      <w:pPr>
        <w:pStyle w:val="BodyText"/>
        <w:spacing w:before="90"/>
        <w:ind w:left="320" w:right="311"/>
        <w:rPr>
          <w:sz w:val="10"/>
        </w:rPr>
      </w:pPr>
      <w:r>
        <w:t>The</w:t>
      </w:r>
      <w:r w:rsidR="009E141B" w:rsidRPr="00AD756D">
        <w:t xml:space="preserve"> Dodd-Frank Act accords the Bureau responsibility for implementing, interpreting, and </w:t>
      </w:r>
      <w:r w:rsidR="009E141B" w:rsidRPr="00AD756D">
        <w:lastRenderedPageBreak/>
        <w:t>assuring compliance with various Federal consumer financial protection laws</w:t>
      </w:r>
      <w:r w:rsidR="00AD756D" w:rsidRPr="00AD756D">
        <w:t xml:space="preserve"> </w:t>
      </w:r>
      <w:r w:rsidR="003C3600">
        <w:t>by</w:t>
      </w:r>
      <w:r w:rsidR="009E141B" w:rsidRPr="00AD756D">
        <w:t xml:space="preserve"> depository and non-depository providers of consumer financial products and</w:t>
      </w:r>
      <w:r>
        <w:t xml:space="preserve"> </w:t>
      </w:r>
      <w:r w:rsidR="009E141B" w:rsidRPr="00AD756D">
        <w:t>services (“covered persons”).</w:t>
      </w:r>
      <w:r>
        <w:rPr>
          <w:rStyle w:val="FootnoteReference"/>
        </w:rPr>
        <w:footnoteReference w:id="2"/>
      </w:r>
      <w:r w:rsidR="0032456A">
        <w:t xml:space="preserve"> </w:t>
      </w:r>
      <w:r w:rsidR="009E141B" w:rsidRPr="00AD756D">
        <w:rPr>
          <w:spacing w:val="-7"/>
        </w:rPr>
        <w:t xml:space="preserve">In </w:t>
      </w:r>
      <w:r w:rsidR="009E141B" w:rsidRPr="00AD756D">
        <w:t>order to fully understand the implications of</w:t>
      </w:r>
      <w:r w:rsidR="009E141B" w:rsidRPr="00AD756D">
        <w:rPr>
          <w:spacing w:val="5"/>
        </w:rPr>
        <w:t xml:space="preserve"> </w:t>
      </w:r>
      <w:r w:rsidR="009E141B" w:rsidRPr="00AD756D">
        <w:t>the</w:t>
      </w:r>
      <w:r w:rsidR="0032456A">
        <w:t xml:space="preserve"> </w:t>
      </w:r>
      <w:r w:rsidR="009E141B" w:rsidRPr="00AD756D">
        <w:t xml:space="preserve">Bureau’s regulations, the Research, Markets, and Regulations (“RMR”) division of the </w:t>
      </w:r>
      <w:r w:rsidR="00562690">
        <w:t>Bureau</w:t>
      </w:r>
      <w:r w:rsidR="009E141B" w:rsidRPr="00AD756D">
        <w:t xml:space="preserve"> seeks approval to collect information on compliance costs, benefits, and other impacts </w:t>
      </w:r>
      <w:r w:rsidR="00A27461">
        <w:t xml:space="preserve">as part of the information base for </w:t>
      </w:r>
      <w:r w:rsidR="00A27461" w:rsidRPr="00AD756D">
        <w:t>potential rulemakings</w:t>
      </w:r>
      <w:r w:rsidR="00A27461" w:rsidRPr="00A967BD">
        <w:t xml:space="preserve"> </w:t>
      </w:r>
      <w:r w:rsidR="00A27461">
        <w:t>and prospective and retrospective regulatory burden analyses</w:t>
      </w:r>
      <w:r>
        <w:t>.</w:t>
      </w:r>
      <w:r>
        <w:rPr>
          <w:rStyle w:val="FootnoteReference"/>
        </w:rPr>
        <w:footnoteReference w:id="3"/>
      </w:r>
    </w:p>
    <w:p w14:paraId="5ADE0315" w14:textId="77777777" w:rsidR="00645B19" w:rsidRPr="00AD756D" w:rsidRDefault="00645B19">
      <w:pPr>
        <w:pStyle w:val="BodyText"/>
        <w:spacing w:before="11"/>
        <w:rPr>
          <w:sz w:val="23"/>
        </w:rPr>
      </w:pPr>
    </w:p>
    <w:p w14:paraId="7A9B652B" w14:textId="6A7A1086" w:rsidR="00431A21" w:rsidRDefault="009E141B" w:rsidP="0032456A">
      <w:pPr>
        <w:pStyle w:val="BodyText"/>
        <w:spacing w:line="232" w:lineRule="auto"/>
        <w:ind w:left="320" w:right="257"/>
      </w:pPr>
      <w:r w:rsidRPr="00AD756D">
        <w:t xml:space="preserve">As outlined in the </w:t>
      </w:r>
      <w:r w:rsidR="00DE7B2F">
        <w:t xml:space="preserve">Dodd-Frank </w:t>
      </w:r>
      <w:r w:rsidRPr="00AD756D">
        <w:t xml:space="preserve">Act, among the Bureau’s objectives is to identify </w:t>
      </w:r>
      <w:r w:rsidR="00DE7B2F" w:rsidRPr="00AD756D">
        <w:t>“outdated, unnecessary, or unduly burdensome”</w:t>
      </w:r>
      <w:r w:rsidR="00DE7B2F">
        <w:t xml:space="preserve"> </w:t>
      </w:r>
      <w:r w:rsidRPr="00AD756D">
        <w:t>regulations to reduce unwarranted</w:t>
      </w:r>
      <w:r w:rsidR="00AD756D" w:rsidRPr="00AD756D">
        <w:t xml:space="preserve"> </w:t>
      </w:r>
      <w:r w:rsidRPr="00AD756D">
        <w:t>regulatory</w:t>
      </w:r>
      <w:r w:rsidRPr="00AD756D">
        <w:rPr>
          <w:spacing w:val="-10"/>
        </w:rPr>
        <w:t xml:space="preserve"> </w:t>
      </w:r>
      <w:r w:rsidRPr="00AD756D">
        <w:t>burden.</w:t>
      </w:r>
      <w:r w:rsidR="0032456A">
        <w:rPr>
          <w:rStyle w:val="FootnoteReference"/>
        </w:rPr>
        <w:footnoteReference w:id="4"/>
      </w:r>
      <w:r w:rsidR="00DA50DC">
        <w:t xml:space="preserve"> </w:t>
      </w:r>
      <w:r w:rsidRPr="00AD756D">
        <w:rPr>
          <w:spacing w:val="-7"/>
        </w:rPr>
        <w:t xml:space="preserve">In </w:t>
      </w:r>
      <w:r w:rsidRPr="00AD756D">
        <w:t>order to determine the extent to which the Bureau’s rules present</w:t>
      </w:r>
      <w:r w:rsidRPr="00AD756D">
        <w:rPr>
          <w:spacing w:val="3"/>
        </w:rPr>
        <w:t xml:space="preserve"> </w:t>
      </w:r>
      <w:r w:rsidRPr="00AD756D">
        <w:t>undue</w:t>
      </w:r>
      <w:r w:rsidR="0032456A">
        <w:t xml:space="preserve"> </w:t>
      </w:r>
      <w:r w:rsidRPr="00AD756D">
        <w:t xml:space="preserve">burden on  </w:t>
      </w:r>
      <w:r w:rsidR="00DE7B2F">
        <w:t xml:space="preserve"> covered persons</w:t>
      </w:r>
      <w:r w:rsidRPr="00AD756D">
        <w:t xml:space="preserve"> and to identify the causes of such burden, the Bureau will collect qualitative </w:t>
      </w:r>
      <w:r w:rsidR="00A6738C">
        <w:t xml:space="preserve">and quantitative </w:t>
      </w:r>
      <w:r w:rsidRPr="00AD756D">
        <w:t xml:space="preserve">information on the costs and impacts of regulations on </w:t>
      </w:r>
      <w:r w:rsidR="003C3600">
        <w:t>the</w:t>
      </w:r>
      <w:r w:rsidR="003C3600" w:rsidRPr="00AD756D">
        <w:t xml:space="preserve"> </w:t>
      </w:r>
      <w:r w:rsidRPr="00AD756D">
        <w:t>businesses and operations</w:t>
      </w:r>
      <w:r w:rsidR="003C3600">
        <w:t xml:space="preserve"> of covered persons</w:t>
      </w:r>
      <w:r w:rsidRPr="00AD756D">
        <w:t>. The Bureau may also gather information on the effects of regulations on the business processes of third-party service providers (“service providers”) that offer products and services that address compliance and operational needs of covered persons. A robust understanding of the process, systems, and decision-making involved in regulatory compliance along with preliminary estimates of associated costs will help the Bureau develop policy solutions that</w:t>
      </w:r>
      <w:r w:rsidR="00A247D4">
        <w:t xml:space="preserve"> balance potential regulatory costs to covered persons with</w:t>
      </w:r>
      <w:r w:rsidR="00825D35">
        <w:t xml:space="preserve"> the</w:t>
      </w:r>
      <w:r w:rsidR="00A247D4">
        <w:t xml:space="preserve"> benefits to consumers.</w:t>
      </w:r>
    </w:p>
    <w:p w14:paraId="2C92EA74" w14:textId="77777777" w:rsidR="00431A21" w:rsidRDefault="00431A21" w:rsidP="0032456A">
      <w:pPr>
        <w:pStyle w:val="BodyText"/>
        <w:spacing w:line="232" w:lineRule="auto"/>
        <w:ind w:left="320" w:right="257"/>
      </w:pPr>
    </w:p>
    <w:p w14:paraId="1B3941A7" w14:textId="77777777" w:rsidR="00431A21" w:rsidRPr="00AD756D" w:rsidRDefault="00431A21" w:rsidP="00431A21">
      <w:pPr>
        <w:pStyle w:val="BodyText"/>
        <w:ind w:left="320" w:right="402"/>
      </w:pPr>
      <w:r w:rsidRPr="00AD756D">
        <w:t>With respect to potential rules, better information about possible compliance costs and other economic implications can promote the public interest. Notices of proposed rulemakings (NPRMs) with qualitative</w:t>
      </w:r>
      <w:r>
        <w:t xml:space="preserve"> and quantitative</w:t>
      </w:r>
      <w:r w:rsidRPr="00AD756D">
        <w:t xml:space="preserve"> information about the nature and scope of compliance costs obtained from the collections can elicit more useful public comments. Gathering information and data prior to a rule proposal would allow the Bureau to develop more robust proposals, as well as afford the public a more nuanced understanding of a particular regulation or policy area.</w:t>
      </w:r>
    </w:p>
    <w:p w14:paraId="4F24562F" w14:textId="4BF557E5" w:rsidR="00645B19" w:rsidRPr="00AD756D" w:rsidRDefault="00645B19">
      <w:pPr>
        <w:pStyle w:val="BodyText"/>
        <w:spacing w:before="4"/>
      </w:pPr>
    </w:p>
    <w:p w14:paraId="618A1245" w14:textId="7D3E8AA1" w:rsidR="00431A21" w:rsidRDefault="009E141B">
      <w:pPr>
        <w:pStyle w:val="BodyText"/>
        <w:ind w:left="320"/>
      </w:pPr>
      <w:r w:rsidRPr="00AD756D">
        <w:t>Improving available information about compliance costs and other economic implications of</w:t>
      </w:r>
      <w:r w:rsidR="0032456A">
        <w:t xml:space="preserve"> </w:t>
      </w:r>
      <w:r w:rsidRPr="00AD756D">
        <w:t>regulations also enriches the data needed to fulfill statutory responsibilities both for rules that the Bureau is required to promulgate under the Dodd-Frank Act and other potential rulemakings</w:t>
      </w:r>
      <w:r w:rsidR="00233154">
        <w:t xml:space="preserve"> and analyses</w:t>
      </w:r>
      <w:r w:rsidRPr="00AD756D">
        <w:t>. In particular, section 1022</w:t>
      </w:r>
      <w:r w:rsidR="00491895">
        <w:t>(b)</w:t>
      </w:r>
      <w:r w:rsidRPr="00AD756D">
        <w:t xml:space="preserve"> of the Dodd-Frank Act calls for the Bureau to consider the potential benefits and costs of a regulation to consumers and covered persons, including the potential reduction of consumer access to financial products or services; the impact on depository </w:t>
      </w:r>
      <w:r w:rsidR="0032456A">
        <w:t>i</w:t>
      </w:r>
      <w:r w:rsidRPr="00AD756D">
        <w:t>nstitutions and credit unions with $10 billion or less in total assets as described in section 1026</w:t>
      </w:r>
      <w:r w:rsidR="0032456A">
        <w:t xml:space="preserve"> </w:t>
      </w:r>
      <w:r w:rsidRPr="00AD756D">
        <w:t>of the Act; and the impact on consumers in</w:t>
      </w:r>
      <w:r w:rsidRPr="00AD756D">
        <w:rPr>
          <w:spacing w:val="-11"/>
        </w:rPr>
        <w:t xml:space="preserve"> </w:t>
      </w:r>
      <w:r w:rsidRPr="00AD756D">
        <w:t>rural</w:t>
      </w:r>
      <w:r w:rsidRPr="00AD756D">
        <w:rPr>
          <w:spacing w:val="-1"/>
        </w:rPr>
        <w:t xml:space="preserve"> </w:t>
      </w:r>
      <w:r w:rsidRPr="00AD756D">
        <w:t>areas.</w:t>
      </w:r>
      <w:r w:rsidR="0032456A">
        <w:rPr>
          <w:rStyle w:val="FootnoteReference"/>
        </w:rPr>
        <w:footnoteReference w:id="5"/>
      </w:r>
    </w:p>
    <w:p w14:paraId="5A2E3CC2" w14:textId="77777777" w:rsidR="00431A21" w:rsidRDefault="00431A21">
      <w:pPr>
        <w:pStyle w:val="BodyText"/>
        <w:ind w:left="320"/>
      </w:pPr>
    </w:p>
    <w:p w14:paraId="400B3545" w14:textId="7849FB2D" w:rsidR="00645B19" w:rsidRDefault="009E141B">
      <w:pPr>
        <w:pStyle w:val="BodyText"/>
        <w:ind w:left="320"/>
      </w:pPr>
      <w:r w:rsidRPr="00AD756D">
        <w:t>The Regulatory Flexibility Act</w:t>
      </w:r>
      <w:r w:rsidRPr="00AD756D">
        <w:rPr>
          <w:spacing w:val="-20"/>
        </w:rPr>
        <w:t xml:space="preserve"> </w:t>
      </w:r>
      <w:r w:rsidRPr="00AD756D">
        <w:t>requires</w:t>
      </w:r>
      <w:r w:rsidR="00E83C99">
        <w:t xml:space="preserve"> </w:t>
      </w:r>
      <w:r w:rsidRPr="00AD756D">
        <w:t>the Bureau to consider compliance and related impacts of potential regulations on small</w:t>
      </w:r>
      <w:r w:rsidR="00E83C99">
        <w:t xml:space="preserve"> </w:t>
      </w:r>
      <w:r w:rsidRPr="00AD756D">
        <w:t>Providers.</w:t>
      </w:r>
      <w:r w:rsidR="00E83C99">
        <w:rPr>
          <w:rStyle w:val="FootnoteReference"/>
        </w:rPr>
        <w:footnoteReference w:id="6"/>
      </w:r>
      <w:r w:rsidR="00E83C99">
        <w:t xml:space="preserve"> </w:t>
      </w:r>
      <w:r w:rsidRPr="00AD756D">
        <w:t>The Paperwork Reduction Act requires the Bureau to estimate burdens of disclosure</w:t>
      </w:r>
      <w:r w:rsidR="00E83C99">
        <w:t xml:space="preserve"> </w:t>
      </w:r>
      <w:r w:rsidRPr="002D697A">
        <w:t xml:space="preserve">requirements, a common element of financial </w:t>
      </w:r>
      <w:r w:rsidRPr="002D697A">
        <w:lastRenderedPageBreak/>
        <w:t>ser</w:t>
      </w:r>
      <w:r w:rsidRPr="00AD756D">
        <w:t>v</w:t>
      </w:r>
      <w:r w:rsidRPr="002D697A">
        <w:t>ices</w:t>
      </w:r>
      <w:r w:rsidRPr="00AD756D">
        <w:t xml:space="preserve"> la</w:t>
      </w:r>
      <w:r w:rsidRPr="002D697A">
        <w:t>ws,</w:t>
      </w:r>
      <w:r w:rsidRPr="00AD756D">
        <w:t xml:space="preserve"> and</w:t>
      </w:r>
      <w:r w:rsidRPr="002D697A">
        <w:t xml:space="preserve"> </w:t>
      </w:r>
      <w:r w:rsidRPr="00AD756D">
        <w:t>ot</w:t>
      </w:r>
      <w:r w:rsidRPr="002D697A">
        <w:t>he</w:t>
      </w:r>
      <w:r w:rsidRPr="00AD756D">
        <w:t>r i</w:t>
      </w:r>
      <w:r w:rsidRPr="002D697A">
        <w:t>nf</w:t>
      </w:r>
      <w:r w:rsidRPr="00AD756D">
        <w:t>o</w:t>
      </w:r>
      <w:r w:rsidRPr="002D697A">
        <w:t>r</w:t>
      </w:r>
      <w:r w:rsidRPr="00AD756D">
        <w:t>mation colle</w:t>
      </w:r>
      <w:r w:rsidRPr="002D697A">
        <w:t>c</w:t>
      </w:r>
      <w:r w:rsidRPr="00AD756D">
        <w:t>ti</w:t>
      </w:r>
      <w:r w:rsidRPr="002D697A">
        <w:t>ons</w:t>
      </w:r>
      <w:r w:rsidR="00D15896" w:rsidRPr="002D697A">
        <w:t>.</w:t>
      </w:r>
      <w:r w:rsidR="00233154">
        <w:t xml:space="preserve"> The Congressional Review Act requires</w:t>
      </w:r>
      <w:r w:rsidR="00A61B6D">
        <w:t xml:space="preserve"> an analysis of whether a</w:t>
      </w:r>
      <w:r w:rsidR="0054757C">
        <w:t xml:space="preserve"> rule </w:t>
      </w:r>
      <w:r w:rsidR="00A61B6D">
        <w:t>is considered to</w:t>
      </w:r>
      <w:r w:rsidR="0054757C">
        <w:t xml:space="preserve"> be </w:t>
      </w:r>
      <w:r w:rsidR="0054757C" w:rsidRPr="00174210">
        <w:t>a “major rule</w:t>
      </w:r>
      <w:r w:rsidR="00A61B6D">
        <w:t>.</w:t>
      </w:r>
      <w:r w:rsidR="0054757C" w:rsidRPr="00174210">
        <w:t>”</w:t>
      </w:r>
      <w:r w:rsidR="00A61B6D">
        <w:t xml:space="preserve"> That is, whether the rule will have </w:t>
      </w:r>
      <w:r w:rsidR="0054757C" w:rsidRPr="00174210">
        <w:t>an annual effect on the econ</w:t>
      </w:r>
      <w:r w:rsidR="00A61B6D">
        <w:t>omy of $100 million or more; or</w:t>
      </w:r>
      <w:r w:rsidR="0054757C" w:rsidRPr="00174210">
        <w:t xml:space="preserve"> a major increase in costs or prices for consumers, individual industries, Federal, State, or local government agencies</w:t>
      </w:r>
      <w:r w:rsidR="00A61B6D">
        <w:t xml:space="preserve">, or geographic regions; or </w:t>
      </w:r>
      <w:r w:rsidR="0054757C" w:rsidRPr="00174210">
        <w:t xml:space="preserve">significant adverse effects on competition, employment, investment, productivity, innovation, or the ability of United States-based enterprises to compete with foreign-based enterprises </w:t>
      </w:r>
      <w:r w:rsidR="00A61B6D">
        <w:t>in domestic and export markets.</w:t>
      </w:r>
    </w:p>
    <w:p w14:paraId="77D43B58" w14:textId="77777777" w:rsidR="00431A21" w:rsidRPr="00AD756D" w:rsidRDefault="00431A21" w:rsidP="00567533">
      <w:pPr>
        <w:pStyle w:val="BodyText"/>
        <w:rPr>
          <w:sz w:val="10"/>
        </w:rPr>
      </w:pPr>
    </w:p>
    <w:p w14:paraId="09077D00" w14:textId="77777777" w:rsidR="00645B19" w:rsidRPr="00AD756D" w:rsidRDefault="00645B19">
      <w:pPr>
        <w:pStyle w:val="BodyText"/>
        <w:spacing w:before="2"/>
      </w:pPr>
    </w:p>
    <w:p w14:paraId="224F7C7E" w14:textId="5AD4BA00" w:rsidR="00431A21" w:rsidRDefault="00431A21" w:rsidP="002C4D12">
      <w:pPr>
        <w:pStyle w:val="BodyText"/>
        <w:spacing w:line="232" w:lineRule="auto"/>
        <w:ind w:left="320" w:right="257"/>
      </w:pPr>
      <w:r w:rsidRPr="00AD756D">
        <w:t>In addition, the Bureau is required to assess effectiveness, among other things, of any significant rule</w:t>
      </w:r>
      <w:r>
        <w:t>s or orders</w:t>
      </w:r>
      <w:r w:rsidRPr="00AD756D">
        <w:t xml:space="preserve"> it adopts no later than five years after the effective date of the rule.</w:t>
      </w:r>
      <w:r w:rsidRPr="00AD756D">
        <w:rPr>
          <w:vertAlign w:val="superscript"/>
        </w:rPr>
        <w:t>8</w:t>
      </w:r>
      <w:r w:rsidRPr="00AD756D">
        <w:t xml:space="preserve"> </w:t>
      </w:r>
      <w:r>
        <w:t xml:space="preserve">This information could also assist the Bureau in </w:t>
      </w:r>
      <w:r w:rsidRPr="00AD756D">
        <w:t>potentially reduc</w:t>
      </w:r>
      <w:r>
        <w:t>ing</w:t>
      </w:r>
      <w:r w:rsidRPr="00AD756D">
        <w:t xml:space="preserve"> undue burden on </w:t>
      </w:r>
      <w:r>
        <w:t>covered persons</w:t>
      </w:r>
      <w:r w:rsidRPr="00AD756D">
        <w:t xml:space="preserve">, </w:t>
      </w:r>
      <w:r>
        <w:t xml:space="preserve">through these assessments. </w:t>
      </w:r>
    </w:p>
    <w:p w14:paraId="30927BD9" w14:textId="77777777" w:rsidR="00645B19" w:rsidRPr="00AD756D" w:rsidRDefault="00645B19">
      <w:pPr>
        <w:pStyle w:val="BodyText"/>
        <w:spacing w:before="5"/>
      </w:pPr>
    </w:p>
    <w:p w14:paraId="443C0796" w14:textId="7C265830" w:rsidR="00645B19" w:rsidRPr="001958CC" w:rsidRDefault="009E141B" w:rsidP="001958CC">
      <w:pPr>
        <w:pStyle w:val="BodyText"/>
        <w:spacing w:before="1" w:line="237" w:lineRule="auto"/>
        <w:ind w:left="320" w:right="323"/>
      </w:pPr>
      <w:r>
        <w:t>T</w:t>
      </w:r>
      <w:r w:rsidRPr="00AD756D">
        <w:t xml:space="preserve">he research conducted under this </w:t>
      </w:r>
      <w:r>
        <w:t>Plan</w:t>
      </w:r>
      <w:r w:rsidRPr="00AD756D">
        <w:t xml:space="preserve"> will help inform and spot issues and subjects for public outreach the Bureau conducts </w:t>
      </w:r>
      <w:r w:rsidR="00E84ABC">
        <w:t>as part of</w:t>
      </w:r>
      <w:r w:rsidRPr="00AD756D">
        <w:t xml:space="preserve"> proposing new regulations.</w:t>
      </w:r>
      <w:r>
        <w:t xml:space="preserve"> </w:t>
      </w:r>
      <w:r w:rsidRPr="00AD756D">
        <w:t xml:space="preserve">The Bureau will </w:t>
      </w:r>
      <w:r w:rsidR="00E84ABC">
        <w:t xml:space="preserve">continue to </w:t>
      </w:r>
      <w:r w:rsidRPr="00AD756D">
        <w:t xml:space="preserve">use standard channels of gathering public feedback on its regulations, such as Federal Register notices, Requests for Information, and Small Business Review Panels. </w:t>
      </w:r>
      <w:r w:rsidR="00E84ABC">
        <w:t>In addition, t</w:t>
      </w:r>
      <w:r w:rsidRPr="00AD756D">
        <w:t xml:space="preserve">he information collections under this </w:t>
      </w:r>
      <w:r>
        <w:t xml:space="preserve">Plan </w:t>
      </w:r>
      <w:r w:rsidRPr="00AD756D">
        <w:t>would offer covered persons and service providers an additional opportunity to provide the Bureau with deeper insight into significant contributors to costs at</w:t>
      </w:r>
      <w:r w:rsidR="00E83C99">
        <w:t xml:space="preserve"> </w:t>
      </w:r>
      <w:r w:rsidRPr="00AD756D">
        <w:t xml:space="preserve">their respective institutions. The ability to gather qualitative </w:t>
      </w:r>
      <w:r w:rsidR="00A6738C">
        <w:t xml:space="preserve">and quantitative </w:t>
      </w:r>
      <w:r w:rsidRPr="00AD756D">
        <w:t xml:space="preserve">information on a structured basis from representative institutions will enhance the information taken into consideration when the Bureau develops and evaluates its rules. </w:t>
      </w:r>
    </w:p>
    <w:p w14:paraId="52ED0EF7" w14:textId="77777777" w:rsidR="00645B19" w:rsidRPr="00AD756D" w:rsidRDefault="00645B19">
      <w:pPr>
        <w:pStyle w:val="BodyText"/>
        <w:spacing w:before="3"/>
        <w:rPr>
          <w:sz w:val="25"/>
        </w:rPr>
      </w:pPr>
    </w:p>
    <w:p w14:paraId="6B63ED6C" w14:textId="77777777" w:rsidR="00645B19" w:rsidRPr="00AD756D" w:rsidRDefault="009E141B">
      <w:pPr>
        <w:pStyle w:val="Heading1"/>
        <w:numPr>
          <w:ilvl w:val="0"/>
          <w:numId w:val="1"/>
        </w:numPr>
        <w:tabs>
          <w:tab w:val="left" w:pos="561"/>
        </w:tabs>
        <w:jc w:val="left"/>
        <w:rPr>
          <w:u w:val="none"/>
        </w:rPr>
      </w:pPr>
      <w:r w:rsidRPr="00AD756D">
        <w:rPr>
          <w:u w:val="thick"/>
        </w:rPr>
        <w:t>Use of the</w:t>
      </w:r>
      <w:r w:rsidRPr="00AD756D">
        <w:rPr>
          <w:spacing w:val="-3"/>
          <w:u w:val="thick"/>
        </w:rPr>
        <w:t xml:space="preserve"> </w:t>
      </w:r>
      <w:r w:rsidRPr="00AD756D">
        <w:rPr>
          <w:u w:val="thick"/>
        </w:rPr>
        <w:t>Information</w:t>
      </w:r>
    </w:p>
    <w:p w14:paraId="73984450" w14:textId="77777777" w:rsidR="00645B19" w:rsidRPr="00AD756D" w:rsidRDefault="00645B19">
      <w:pPr>
        <w:pStyle w:val="BodyText"/>
        <w:spacing w:before="10"/>
        <w:rPr>
          <w:b/>
          <w:sz w:val="14"/>
        </w:rPr>
      </w:pPr>
    </w:p>
    <w:p w14:paraId="3381A979" w14:textId="7F2657B0" w:rsidR="00645B19" w:rsidRPr="00AD756D" w:rsidRDefault="009E141B" w:rsidP="00BB38EB">
      <w:pPr>
        <w:pStyle w:val="BodyText"/>
        <w:spacing w:before="90"/>
        <w:ind w:left="320" w:right="301"/>
      </w:pPr>
      <w:r w:rsidRPr="00AD756D">
        <w:t>The collections will gather qualitative</w:t>
      </w:r>
      <w:r w:rsidR="00E84ABC">
        <w:t xml:space="preserve"> and quantitative</w:t>
      </w:r>
      <w:r w:rsidRPr="00AD756D">
        <w:t xml:space="preserve"> information on the costs and impacts of regulations on</w:t>
      </w:r>
      <w:r w:rsidRPr="00AD756D">
        <w:rPr>
          <w:spacing w:val="-18"/>
        </w:rPr>
        <w:t xml:space="preserve"> </w:t>
      </w:r>
      <w:r w:rsidRPr="00AD756D">
        <w:t xml:space="preserve">the businesses and operations of </w:t>
      </w:r>
      <w:r w:rsidR="001048F9">
        <w:t>covered persons</w:t>
      </w:r>
      <w:r w:rsidR="001048F9" w:rsidRPr="00AD756D">
        <w:t xml:space="preserve"> </w:t>
      </w:r>
      <w:r w:rsidRPr="00AD756D">
        <w:t>and on their customers across different sectors of the consumer financial industry. The Bureau seeks to better understand the business processes, business decisions, and other costs and benefits for covered persons and, by extension, their customers</w:t>
      </w:r>
      <w:r w:rsidR="00781A7A">
        <w:t>,</w:t>
      </w:r>
      <w:r w:rsidRPr="00AD756D">
        <w:t xml:space="preserve"> from potential rules and existing regulations. The Bureau will gather information on the direct costs resulting from the implementation and maintenance of different processes and systems for regulatory compliance. Beyond first-order, operational compliance costs, the Bureau may also </w:t>
      </w:r>
      <w:r w:rsidR="00933E07">
        <w:t>analyze</w:t>
      </w:r>
      <w:r w:rsidR="00781A7A" w:rsidRPr="00AD756D">
        <w:t xml:space="preserve"> </w:t>
      </w:r>
      <w:r w:rsidRPr="00AD756D">
        <w:t>the effects of a potential or existing regulation on the</w:t>
      </w:r>
      <w:r w:rsidRPr="00AD756D">
        <w:rPr>
          <w:spacing w:val="-20"/>
        </w:rPr>
        <w:t xml:space="preserve"> </w:t>
      </w:r>
      <w:r w:rsidRPr="00AD756D">
        <w:t>business</w:t>
      </w:r>
      <w:r w:rsidR="00D15896">
        <w:t xml:space="preserve"> </w:t>
      </w:r>
      <w:r w:rsidRPr="00AD756D">
        <w:t>decisions of providers (such as what products to offer and how to price them)</w:t>
      </w:r>
      <w:r w:rsidR="00781A7A">
        <w:t xml:space="preserve">. The Bureau may also review effects of potential or existing regulations </w:t>
      </w:r>
      <w:r w:rsidRPr="00AD756D">
        <w:t>on providers’ revenues or profits and</w:t>
      </w:r>
      <w:r w:rsidR="00781A7A">
        <w:t xml:space="preserve"> any pass-through costs</w:t>
      </w:r>
      <w:r w:rsidR="00E84ABC">
        <w:t xml:space="preserve"> </w:t>
      </w:r>
      <w:r w:rsidR="00781A7A">
        <w:t>to</w:t>
      </w:r>
      <w:r w:rsidRPr="00AD756D">
        <w:t xml:space="preserve"> customers. These </w:t>
      </w:r>
      <w:r w:rsidR="00933E07">
        <w:t>analyses</w:t>
      </w:r>
      <w:r w:rsidR="00781A7A" w:rsidRPr="00AD756D">
        <w:t xml:space="preserve"> </w:t>
      </w:r>
      <w:r w:rsidRPr="00AD756D">
        <w:t>may also assist the Bureau</w:t>
      </w:r>
      <w:r w:rsidR="0058414A">
        <w:t xml:space="preserve"> in </w:t>
      </w:r>
      <w:r w:rsidRPr="00AD756D">
        <w:t xml:space="preserve">qualitatively </w:t>
      </w:r>
      <w:r w:rsidR="00A6738C">
        <w:t xml:space="preserve">and quantitatively </w:t>
      </w:r>
      <w:r w:rsidR="0058414A">
        <w:t xml:space="preserve">assessing </w:t>
      </w:r>
      <w:r w:rsidRPr="00AD756D">
        <w:t xml:space="preserve">how a potential or existing regulation may affect market equilibrium and consumer access to financial products and services. Section 1022 specifically requires the Bureau to consider </w:t>
      </w:r>
      <w:r w:rsidR="0058414A">
        <w:t>consumer access to credit effects of Bureau rules.</w:t>
      </w:r>
    </w:p>
    <w:p w14:paraId="104F5CE7" w14:textId="77777777" w:rsidR="00645B19" w:rsidRPr="00AD756D" w:rsidRDefault="00645B19">
      <w:pPr>
        <w:pStyle w:val="BodyText"/>
      </w:pPr>
    </w:p>
    <w:p w14:paraId="23D0CABB" w14:textId="74615477" w:rsidR="00645B19" w:rsidRPr="00A04CF7" w:rsidRDefault="009E141B" w:rsidP="00A04CF7">
      <w:pPr>
        <w:pStyle w:val="BodyText"/>
        <w:ind w:left="320" w:right="362"/>
      </w:pPr>
      <w:r w:rsidRPr="00AD756D">
        <w:t xml:space="preserve">As indicated in </w:t>
      </w:r>
      <w:r w:rsidR="0058414A">
        <w:t>S</w:t>
      </w:r>
      <w:r w:rsidRPr="00AD756D">
        <w:t xml:space="preserve">ection 1, information collections under this </w:t>
      </w:r>
      <w:r w:rsidR="0058414A">
        <w:t>Plan</w:t>
      </w:r>
      <w:r w:rsidRPr="00AD756D">
        <w:t xml:space="preserve"> represent an additional channel for public feedback on </w:t>
      </w:r>
      <w:r w:rsidR="00427C10">
        <w:t>the Bureau</w:t>
      </w:r>
      <w:r w:rsidR="00427C10" w:rsidRPr="00AD756D">
        <w:t xml:space="preserve">’s </w:t>
      </w:r>
      <w:r w:rsidRPr="00AD756D">
        <w:t xml:space="preserve">existing rules and any potential rulemakings. Additional input from covered persons and service providers would give the Bureau a more nuanced understanding of costs, which it can use to provide solutions for reducing undue regulatory burden without limiting the benefits of regulation for both consumers and </w:t>
      </w:r>
      <w:r w:rsidR="00E35EA2">
        <w:t>covered persons</w:t>
      </w:r>
      <w:r w:rsidRPr="00AD756D">
        <w:t>. To that end, RMR anticipates using the information from these collections to conduct formative research that will:</w:t>
      </w:r>
    </w:p>
    <w:p w14:paraId="1BFE3423" w14:textId="77777777" w:rsidR="00645B19" w:rsidRPr="00AD756D" w:rsidRDefault="00645B19">
      <w:pPr>
        <w:pStyle w:val="BodyText"/>
        <w:spacing w:before="9"/>
        <w:rPr>
          <w:sz w:val="27"/>
        </w:rPr>
      </w:pPr>
    </w:p>
    <w:p w14:paraId="531CDDDE" w14:textId="469254C2" w:rsidR="00DF11FA" w:rsidRDefault="009E141B">
      <w:pPr>
        <w:pStyle w:val="ListParagraph"/>
        <w:numPr>
          <w:ilvl w:val="1"/>
          <w:numId w:val="1"/>
        </w:numPr>
        <w:tabs>
          <w:tab w:val="left" w:pos="940"/>
        </w:tabs>
        <w:spacing w:line="232" w:lineRule="auto"/>
        <w:ind w:right="570"/>
        <w:jc w:val="both"/>
        <w:rPr>
          <w:sz w:val="24"/>
        </w:rPr>
      </w:pPr>
      <w:r w:rsidRPr="00AD756D">
        <w:rPr>
          <w:sz w:val="24"/>
        </w:rPr>
        <w:t>Inform, along with other data and research</w:t>
      </w:r>
      <w:r w:rsidR="00EA6841">
        <w:rPr>
          <w:sz w:val="24"/>
        </w:rPr>
        <w:t>,</w:t>
      </w:r>
      <w:r w:rsidRPr="00AD756D">
        <w:rPr>
          <w:sz w:val="24"/>
        </w:rPr>
        <w:t xml:space="preserve"> the Bureau’s perspective on the appropriate approach to </w:t>
      </w:r>
      <w:r w:rsidR="00DF11FA">
        <w:rPr>
          <w:sz w:val="24"/>
        </w:rPr>
        <w:t xml:space="preserve">rulemaking </w:t>
      </w:r>
      <w:r w:rsidR="00E84ABC">
        <w:rPr>
          <w:sz w:val="24"/>
        </w:rPr>
        <w:t xml:space="preserve">and research </w:t>
      </w:r>
      <w:r w:rsidR="00DF11FA">
        <w:rPr>
          <w:sz w:val="24"/>
        </w:rPr>
        <w:t>initiatives</w:t>
      </w:r>
      <w:r w:rsidR="00DF11FA" w:rsidRPr="00DF11FA">
        <w:rPr>
          <w:position w:val="1"/>
          <w:sz w:val="24"/>
        </w:rPr>
        <w:t xml:space="preserve"> </w:t>
      </w:r>
      <w:r w:rsidR="00DF11FA" w:rsidRPr="00AD756D">
        <w:rPr>
          <w:position w:val="1"/>
          <w:sz w:val="24"/>
        </w:rPr>
        <w:t>specifically</w:t>
      </w:r>
      <w:r w:rsidR="00DF11FA" w:rsidRPr="00AD756D">
        <w:rPr>
          <w:sz w:val="24"/>
        </w:rPr>
        <w:t xml:space="preserve"> required or authorized </w:t>
      </w:r>
      <w:r w:rsidR="00DF11FA" w:rsidRPr="00AD756D">
        <w:rPr>
          <w:spacing w:val="3"/>
          <w:sz w:val="24"/>
        </w:rPr>
        <w:t xml:space="preserve">by </w:t>
      </w:r>
      <w:r w:rsidR="00DF11FA" w:rsidRPr="00AD756D">
        <w:rPr>
          <w:sz w:val="24"/>
        </w:rPr>
        <w:t>the Dodd-Frank</w:t>
      </w:r>
      <w:r w:rsidR="00DF11FA" w:rsidRPr="00AD756D">
        <w:rPr>
          <w:spacing w:val="-12"/>
          <w:sz w:val="24"/>
        </w:rPr>
        <w:t xml:space="preserve"> </w:t>
      </w:r>
      <w:r w:rsidR="00DF11FA" w:rsidRPr="00AD756D">
        <w:rPr>
          <w:sz w:val="24"/>
        </w:rPr>
        <w:t xml:space="preserve">Act </w:t>
      </w:r>
      <w:r w:rsidR="00DF11FA">
        <w:rPr>
          <w:sz w:val="24"/>
        </w:rPr>
        <w:t>as announced in the Bureau’s regulatory agenda</w:t>
      </w:r>
    </w:p>
    <w:p w14:paraId="11B0173D" w14:textId="77777777" w:rsidR="00645B19" w:rsidRPr="00AD756D" w:rsidRDefault="00645B19">
      <w:pPr>
        <w:pStyle w:val="BodyText"/>
        <w:spacing w:before="7"/>
        <w:rPr>
          <w:sz w:val="27"/>
        </w:rPr>
      </w:pPr>
    </w:p>
    <w:p w14:paraId="2B782F91" w14:textId="18809A54" w:rsidR="00645B19" w:rsidRPr="00AD756D" w:rsidRDefault="009E141B">
      <w:pPr>
        <w:pStyle w:val="ListParagraph"/>
        <w:numPr>
          <w:ilvl w:val="1"/>
          <w:numId w:val="1"/>
        </w:numPr>
        <w:tabs>
          <w:tab w:val="left" w:pos="939"/>
          <w:tab w:val="left" w:pos="940"/>
        </w:tabs>
        <w:spacing w:line="232" w:lineRule="auto"/>
        <w:ind w:right="132"/>
        <w:rPr>
          <w:sz w:val="24"/>
        </w:rPr>
      </w:pPr>
      <w:r w:rsidRPr="00AD756D">
        <w:rPr>
          <w:sz w:val="24"/>
        </w:rPr>
        <w:t>Supplement available information used for mandated analyses that the Bureau is required to</w:t>
      </w:r>
      <w:r w:rsidRPr="00AD756D">
        <w:rPr>
          <w:position w:val="1"/>
          <w:sz w:val="24"/>
        </w:rPr>
        <w:t xml:space="preserve"> perform for potential new rules, such as cost-benefit analyses required under section </w:t>
      </w:r>
      <w:r w:rsidRPr="00AD756D">
        <w:rPr>
          <w:sz w:val="24"/>
        </w:rPr>
        <w:t>1022 of the Act, the Regulatory Flexibility Act,</w:t>
      </w:r>
      <w:r w:rsidR="00E84ABC">
        <w:rPr>
          <w:sz w:val="24"/>
        </w:rPr>
        <w:t xml:space="preserve"> the Congressional Review Act,</w:t>
      </w:r>
      <w:r w:rsidRPr="00AD756D">
        <w:rPr>
          <w:sz w:val="24"/>
        </w:rPr>
        <w:t xml:space="preserve"> and the Paperwork Reduction</w:t>
      </w:r>
      <w:r w:rsidRPr="00AD756D">
        <w:rPr>
          <w:spacing w:val="-18"/>
          <w:sz w:val="24"/>
        </w:rPr>
        <w:t xml:space="preserve"> </w:t>
      </w:r>
      <w:r w:rsidRPr="00AD756D">
        <w:rPr>
          <w:sz w:val="24"/>
        </w:rPr>
        <w:t>Act;</w:t>
      </w:r>
    </w:p>
    <w:p w14:paraId="3CC5A531" w14:textId="77777777" w:rsidR="00645B19" w:rsidRPr="00AD756D" w:rsidRDefault="00645B19">
      <w:pPr>
        <w:pStyle w:val="BodyText"/>
        <w:spacing w:before="2"/>
        <w:rPr>
          <w:sz w:val="26"/>
        </w:rPr>
      </w:pPr>
    </w:p>
    <w:p w14:paraId="055F28A3" w14:textId="49AD7359" w:rsidR="00645B19" w:rsidRPr="00AD756D" w:rsidRDefault="009E141B">
      <w:pPr>
        <w:pStyle w:val="ListParagraph"/>
        <w:numPr>
          <w:ilvl w:val="1"/>
          <w:numId w:val="1"/>
        </w:numPr>
        <w:tabs>
          <w:tab w:val="left" w:pos="939"/>
          <w:tab w:val="left" w:pos="940"/>
        </w:tabs>
        <w:rPr>
          <w:sz w:val="24"/>
        </w:rPr>
      </w:pPr>
      <w:r w:rsidRPr="00AD756D">
        <w:rPr>
          <w:sz w:val="24"/>
        </w:rPr>
        <w:t>Review impacts of the rules the Bureau inherited from other</w:t>
      </w:r>
      <w:r w:rsidRPr="00AD756D">
        <w:rPr>
          <w:spacing w:val="-8"/>
          <w:sz w:val="24"/>
        </w:rPr>
        <w:t xml:space="preserve"> </w:t>
      </w:r>
      <w:r w:rsidRPr="00AD756D">
        <w:rPr>
          <w:sz w:val="24"/>
        </w:rPr>
        <w:t>agencies;</w:t>
      </w:r>
    </w:p>
    <w:p w14:paraId="2EA6B4E8" w14:textId="77777777" w:rsidR="00645B19" w:rsidRPr="00AD756D" w:rsidRDefault="00645B19">
      <w:pPr>
        <w:pStyle w:val="BodyText"/>
        <w:spacing w:before="6"/>
        <w:rPr>
          <w:sz w:val="27"/>
        </w:rPr>
      </w:pPr>
    </w:p>
    <w:p w14:paraId="4C76EAE4" w14:textId="77777777" w:rsidR="00645B19" w:rsidRPr="00AD756D" w:rsidRDefault="009E141B">
      <w:pPr>
        <w:pStyle w:val="ListParagraph"/>
        <w:numPr>
          <w:ilvl w:val="1"/>
          <w:numId w:val="1"/>
        </w:numPr>
        <w:tabs>
          <w:tab w:val="left" w:pos="939"/>
          <w:tab w:val="left" w:pos="940"/>
        </w:tabs>
        <w:spacing w:line="232" w:lineRule="auto"/>
        <w:ind w:right="374"/>
        <w:rPr>
          <w:sz w:val="24"/>
        </w:rPr>
      </w:pPr>
      <w:r w:rsidRPr="00AD756D">
        <w:rPr>
          <w:sz w:val="24"/>
        </w:rPr>
        <w:t>Review significant new rules the Bureau adopts, as the Bureau is generally required to</w:t>
      </w:r>
      <w:r w:rsidRPr="00AD756D">
        <w:rPr>
          <w:spacing w:val="-23"/>
          <w:sz w:val="24"/>
        </w:rPr>
        <w:t xml:space="preserve"> </w:t>
      </w:r>
      <w:r w:rsidRPr="00AD756D">
        <w:rPr>
          <w:sz w:val="24"/>
        </w:rPr>
        <w:t>do within five years;</w:t>
      </w:r>
      <w:r w:rsidRPr="00AD756D">
        <w:rPr>
          <w:spacing w:val="7"/>
          <w:sz w:val="24"/>
        </w:rPr>
        <w:t xml:space="preserve"> </w:t>
      </w:r>
      <w:r w:rsidRPr="00AD756D">
        <w:rPr>
          <w:sz w:val="24"/>
        </w:rPr>
        <w:t>and</w:t>
      </w:r>
    </w:p>
    <w:p w14:paraId="091E1907" w14:textId="77777777" w:rsidR="00645B19" w:rsidRPr="00AD756D" w:rsidRDefault="00645B19">
      <w:pPr>
        <w:pStyle w:val="BodyText"/>
        <w:spacing w:before="9"/>
        <w:rPr>
          <w:sz w:val="27"/>
        </w:rPr>
      </w:pPr>
    </w:p>
    <w:p w14:paraId="62B2E01B" w14:textId="4B47BDF7" w:rsidR="00645B19" w:rsidRPr="00AD756D" w:rsidRDefault="009E141B">
      <w:pPr>
        <w:pStyle w:val="ListParagraph"/>
        <w:numPr>
          <w:ilvl w:val="1"/>
          <w:numId w:val="1"/>
        </w:numPr>
        <w:tabs>
          <w:tab w:val="left" w:pos="939"/>
          <w:tab w:val="left" w:pos="940"/>
        </w:tabs>
        <w:spacing w:line="232" w:lineRule="auto"/>
        <w:ind w:right="196"/>
        <w:rPr>
          <w:sz w:val="24"/>
        </w:rPr>
      </w:pPr>
      <w:r w:rsidRPr="00AD756D">
        <w:rPr>
          <w:sz w:val="24"/>
        </w:rPr>
        <w:t>Develop new tools and solutions, such as compliance guides, that can help covered</w:t>
      </w:r>
      <w:r w:rsidRPr="00AD756D">
        <w:rPr>
          <w:spacing w:val="-15"/>
          <w:sz w:val="24"/>
        </w:rPr>
        <w:t xml:space="preserve"> </w:t>
      </w:r>
      <w:r w:rsidRPr="00AD756D">
        <w:rPr>
          <w:sz w:val="24"/>
        </w:rPr>
        <w:t>persons and service providers limit the burden of implementation and maintenance of their compliance systems for consumer financial</w:t>
      </w:r>
      <w:r w:rsidRPr="00AD756D">
        <w:rPr>
          <w:spacing w:val="1"/>
          <w:sz w:val="24"/>
        </w:rPr>
        <w:t xml:space="preserve"> </w:t>
      </w:r>
      <w:r w:rsidRPr="00AD756D">
        <w:rPr>
          <w:sz w:val="24"/>
        </w:rPr>
        <w:t>regulations.</w:t>
      </w:r>
    </w:p>
    <w:p w14:paraId="034C5F5A" w14:textId="77777777" w:rsidR="00645B19" w:rsidRPr="00AD756D" w:rsidRDefault="00645B19">
      <w:pPr>
        <w:pStyle w:val="BodyText"/>
        <w:spacing w:before="3"/>
        <w:rPr>
          <w:sz w:val="23"/>
        </w:rPr>
      </w:pPr>
    </w:p>
    <w:p w14:paraId="23F2B69F" w14:textId="360D8645" w:rsidR="00645B19" w:rsidRPr="00AD756D" w:rsidRDefault="009E141B">
      <w:pPr>
        <w:pStyle w:val="BodyText"/>
        <w:ind w:left="320" w:right="275"/>
      </w:pPr>
      <w:r w:rsidRPr="00AD756D">
        <w:t xml:space="preserve">RMR will use information collections under this </w:t>
      </w:r>
      <w:r w:rsidR="00E27D8D">
        <w:t>Plan</w:t>
      </w:r>
      <w:r w:rsidRPr="00AD756D">
        <w:t xml:space="preserve"> to further develop and conduct studies that are intended to inform the objectives listed above. Through this formative research on compliance systems and processes, the Bureau will be able to better assess if aspects of rules are unduly burdensome or </w:t>
      </w:r>
      <w:r w:rsidR="00E27D8D">
        <w:t xml:space="preserve">do </w:t>
      </w:r>
      <w:r w:rsidRPr="00AD756D">
        <w:t xml:space="preserve">not have the intended effects. In doing so, it can propose solutions to limit such burden or increase effectiveness. </w:t>
      </w:r>
    </w:p>
    <w:p w14:paraId="7E51FD15" w14:textId="695DDF6D" w:rsidR="00645B19" w:rsidRPr="00AD756D" w:rsidRDefault="00645B19">
      <w:pPr>
        <w:pStyle w:val="BodyText"/>
      </w:pPr>
    </w:p>
    <w:p w14:paraId="2A66F907" w14:textId="3F38EF62" w:rsidR="00645B19" w:rsidRDefault="009E141B" w:rsidP="002D017A">
      <w:pPr>
        <w:pStyle w:val="BodyText"/>
        <w:ind w:left="320" w:right="338"/>
      </w:pPr>
      <w:r w:rsidRPr="00AD756D">
        <w:t>Participants for each of the collection methods may be solicited through</w:t>
      </w:r>
      <w:r w:rsidR="0062509F">
        <w:t xml:space="preserve"> email,</w:t>
      </w:r>
      <w:r w:rsidRPr="00AD756D">
        <w:t xml:space="preserve"> an online form that will be made available on the Bureau’s website (</w:t>
      </w:r>
      <w:hyperlink r:id="rId12" w:history="1">
        <w:r w:rsidR="0062509F" w:rsidRPr="00666953">
          <w:rPr>
            <w:rStyle w:val="Hyperlink"/>
          </w:rPr>
          <w:t>www.consumerfinance.gov</w:t>
        </w:r>
      </w:hyperlink>
      <w:r w:rsidRPr="00AD756D">
        <w:t>)</w:t>
      </w:r>
      <w:r w:rsidR="0062509F">
        <w:t>, or other methods</w:t>
      </w:r>
      <w:r w:rsidRPr="00AD756D">
        <w:t xml:space="preserve">. The </w:t>
      </w:r>
      <w:r w:rsidR="0062509F">
        <w:t>solicitations</w:t>
      </w:r>
      <w:r w:rsidRPr="00AD756D">
        <w:t xml:space="preserve"> will seek only what basic information is required to verify the potential participant’s contact information and suitability for the research (e.g., job position with familiarity of compliance functions at a covered financial institution, and size and type of institution). </w:t>
      </w:r>
    </w:p>
    <w:p w14:paraId="754DD435" w14:textId="5E4437D8" w:rsidR="002D017A" w:rsidRDefault="002D017A" w:rsidP="002D017A">
      <w:pPr>
        <w:pStyle w:val="BodyText"/>
        <w:ind w:left="320" w:right="338"/>
      </w:pPr>
    </w:p>
    <w:p w14:paraId="4B6C58AF" w14:textId="5BF6EAAE" w:rsidR="00645B19" w:rsidRPr="00AD756D" w:rsidRDefault="00FE1D1E" w:rsidP="00A04CF7">
      <w:pPr>
        <w:pStyle w:val="BodyText"/>
        <w:ind w:left="320" w:right="338"/>
      </w:pPr>
      <w:r w:rsidRPr="00AD756D">
        <w:t>Collection methods will include structured interviews (either in-person meetings or conference calls), focus groups, and written questionnaires that may be delivered via e-mail or</w:t>
      </w:r>
      <w:r w:rsidRPr="00AD756D">
        <w:rPr>
          <w:spacing w:val="-22"/>
        </w:rPr>
        <w:t xml:space="preserve"> </w:t>
      </w:r>
      <w:r w:rsidRPr="00AD756D">
        <w:t xml:space="preserve">administered through an online survey tool. </w:t>
      </w:r>
      <w:r w:rsidRPr="00AD756D">
        <w:rPr>
          <w:spacing w:val="-6"/>
        </w:rPr>
        <w:t xml:space="preserve">In </w:t>
      </w:r>
      <w:r w:rsidRPr="00AD756D">
        <w:t xml:space="preserve">some cases, the Bureau may also conduct case studies to gather more </w:t>
      </w:r>
      <w:r>
        <w:rPr>
          <w:spacing w:val="2"/>
        </w:rPr>
        <w:t>in-</w:t>
      </w:r>
      <w:r w:rsidRPr="00AD756D">
        <w:t xml:space="preserve">depth information from a targeted sample of institutions. The information that the Bureau collects </w:t>
      </w:r>
      <w:r w:rsidRPr="00AD756D">
        <w:rPr>
          <w:spacing w:val="2"/>
        </w:rPr>
        <w:t xml:space="preserve">may </w:t>
      </w:r>
      <w:r w:rsidRPr="00AD756D">
        <w:t>be included in external reports or statutorily mandated</w:t>
      </w:r>
      <w:r w:rsidRPr="00AD756D">
        <w:rPr>
          <w:spacing w:val="-28"/>
        </w:rPr>
        <w:t xml:space="preserve"> </w:t>
      </w:r>
      <w:r w:rsidRPr="00AD756D">
        <w:t>analyses</w:t>
      </w:r>
      <w:r>
        <w:t xml:space="preserve"> </w:t>
      </w:r>
      <w:r w:rsidRPr="00AD756D">
        <w:t xml:space="preserve">published in the Federal Register. The Bureau will aggregate information whenever appropriate. Recognizing that generic collections will </w:t>
      </w:r>
      <w:r>
        <w:t xml:space="preserve">likely </w:t>
      </w:r>
      <w:r w:rsidRPr="00AD756D">
        <w:t xml:space="preserve">not be statistically </w:t>
      </w:r>
      <w:r w:rsidR="00355F14" w:rsidRPr="00AD756D">
        <w:t>valid;</w:t>
      </w:r>
      <w:r w:rsidRPr="00AD756D">
        <w:t xml:space="preserve"> the Bureau will not use any data to make absolute assertions about the costs or benefits of regulatory</w:t>
      </w:r>
      <w:r w:rsidR="00A04CF7">
        <w:t xml:space="preserve"> compliance.</w:t>
      </w:r>
    </w:p>
    <w:p w14:paraId="169314EF" w14:textId="77777777" w:rsidR="00645B19" w:rsidRPr="00AD756D" w:rsidRDefault="00645B19">
      <w:pPr>
        <w:pStyle w:val="BodyText"/>
        <w:spacing w:before="1"/>
        <w:rPr>
          <w:sz w:val="25"/>
        </w:rPr>
      </w:pPr>
    </w:p>
    <w:p w14:paraId="2396C2C2" w14:textId="77777777" w:rsidR="00645B19" w:rsidRPr="00AD756D" w:rsidRDefault="009E141B">
      <w:pPr>
        <w:pStyle w:val="Heading1"/>
        <w:numPr>
          <w:ilvl w:val="0"/>
          <w:numId w:val="1"/>
        </w:numPr>
        <w:tabs>
          <w:tab w:val="left" w:pos="561"/>
        </w:tabs>
        <w:spacing w:before="1"/>
        <w:jc w:val="left"/>
        <w:rPr>
          <w:u w:val="none"/>
        </w:rPr>
      </w:pPr>
      <w:r w:rsidRPr="00AD756D">
        <w:rPr>
          <w:u w:val="thick"/>
        </w:rPr>
        <w:t>Use of Information</w:t>
      </w:r>
      <w:r w:rsidRPr="00AD756D">
        <w:rPr>
          <w:spacing w:val="-1"/>
          <w:u w:val="thick"/>
        </w:rPr>
        <w:t xml:space="preserve"> </w:t>
      </w:r>
      <w:r w:rsidRPr="00AD756D">
        <w:rPr>
          <w:u w:val="thick"/>
        </w:rPr>
        <w:t>Technology</w:t>
      </w:r>
    </w:p>
    <w:p w14:paraId="69BA4D36" w14:textId="77777777" w:rsidR="00645B19" w:rsidRPr="00AD756D" w:rsidRDefault="00645B19">
      <w:pPr>
        <w:pStyle w:val="BodyText"/>
        <w:spacing w:before="1"/>
        <w:rPr>
          <w:b/>
          <w:sz w:val="15"/>
        </w:rPr>
      </w:pPr>
    </w:p>
    <w:p w14:paraId="2B310E6C" w14:textId="5B9F2E46" w:rsidR="00645B19" w:rsidRPr="00AD756D" w:rsidRDefault="009E141B">
      <w:pPr>
        <w:pStyle w:val="BodyText"/>
        <w:spacing w:before="90"/>
        <w:ind w:left="320" w:right="257"/>
      </w:pPr>
      <w:r w:rsidRPr="00AD756D">
        <w:t xml:space="preserve">With regard to collection methods involving structured interviews, focus groups, and case studies, electronic software systems may be used to capture responses. For written questionnaires, instruments may be delivered to respondents and sent back to the Bureau via e- mail or may be administered through a third-party online survey tool. Whenever possible, the Bureau will consider the use of information technology to reduce the burden of submitting responses to collections. All internet forms will be submitted through this </w:t>
      </w:r>
      <w:r>
        <w:t>Plan</w:t>
      </w:r>
      <w:r w:rsidRPr="00AD756D">
        <w:t xml:space="preserve"> for approval by OMB prior to their implementation, including any new or revised instructions resulting from this effort.</w:t>
      </w:r>
    </w:p>
    <w:p w14:paraId="14031E1A" w14:textId="77777777" w:rsidR="00645B19" w:rsidRPr="00AD756D" w:rsidRDefault="00645B19">
      <w:pPr>
        <w:pStyle w:val="BodyText"/>
        <w:spacing w:before="1"/>
        <w:rPr>
          <w:sz w:val="25"/>
        </w:rPr>
      </w:pPr>
    </w:p>
    <w:p w14:paraId="56A68F41" w14:textId="77777777" w:rsidR="00645B19" w:rsidRPr="00AD756D" w:rsidRDefault="009E141B">
      <w:pPr>
        <w:pStyle w:val="Heading1"/>
        <w:numPr>
          <w:ilvl w:val="0"/>
          <w:numId w:val="1"/>
        </w:numPr>
        <w:tabs>
          <w:tab w:val="left" w:pos="561"/>
        </w:tabs>
        <w:jc w:val="left"/>
        <w:rPr>
          <w:u w:val="none"/>
        </w:rPr>
      </w:pPr>
      <w:r w:rsidRPr="00AD756D">
        <w:rPr>
          <w:u w:val="thick"/>
        </w:rPr>
        <w:t>Efforts to Identify</w:t>
      </w:r>
      <w:r w:rsidRPr="00AD756D">
        <w:rPr>
          <w:spacing w:val="-2"/>
          <w:u w:val="thick"/>
        </w:rPr>
        <w:t xml:space="preserve"> </w:t>
      </w:r>
      <w:r w:rsidRPr="00AD756D">
        <w:rPr>
          <w:u w:val="thick"/>
        </w:rPr>
        <w:t>Duplication</w:t>
      </w:r>
    </w:p>
    <w:p w14:paraId="4ED29936" w14:textId="77777777" w:rsidR="00645B19" w:rsidRPr="00AD756D" w:rsidRDefault="00645B19">
      <w:pPr>
        <w:pStyle w:val="BodyText"/>
        <w:spacing w:before="11"/>
        <w:rPr>
          <w:b/>
          <w:sz w:val="14"/>
        </w:rPr>
      </w:pPr>
    </w:p>
    <w:p w14:paraId="004C9C57" w14:textId="4A9708BE" w:rsidR="00645B19" w:rsidRPr="00AD756D" w:rsidRDefault="009E141B">
      <w:pPr>
        <w:pStyle w:val="BodyText"/>
        <w:spacing w:before="90"/>
        <w:ind w:left="320" w:right="257"/>
      </w:pPr>
      <w:r w:rsidRPr="00AD756D">
        <w:t xml:space="preserve">The purpose of </w:t>
      </w:r>
      <w:r w:rsidR="00D2611A">
        <w:t>this Plan</w:t>
      </w:r>
      <w:r w:rsidRPr="00AD756D">
        <w:t xml:space="preserve"> is not to replicate existing information collections from the </w:t>
      </w:r>
      <w:r w:rsidR="00D60127">
        <w:t xml:space="preserve">Bureau </w:t>
      </w:r>
      <w:r w:rsidRPr="00AD756D">
        <w:t xml:space="preserve">or other government agencies, or any other government survey research studies of which the </w:t>
      </w:r>
      <w:r w:rsidR="00D60127">
        <w:t>Bureau</w:t>
      </w:r>
      <w:r w:rsidR="00D60127" w:rsidRPr="00AD756D">
        <w:t xml:space="preserve"> </w:t>
      </w:r>
      <w:r w:rsidRPr="00AD756D">
        <w:t xml:space="preserve">is aware. The information collections will not duplicate any government, public or state research efforts of which the </w:t>
      </w:r>
      <w:r w:rsidR="00D60127">
        <w:t>Bureau</w:t>
      </w:r>
      <w:r w:rsidR="00D60127" w:rsidRPr="00AD756D">
        <w:t xml:space="preserve"> </w:t>
      </w:r>
      <w:r w:rsidRPr="00AD756D">
        <w:t>is aware.</w:t>
      </w:r>
    </w:p>
    <w:p w14:paraId="1616626A" w14:textId="77777777" w:rsidR="00645B19" w:rsidRPr="00AD756D" w:rsidRDefault="00645B19">
      <w:pPr>
        <w:pStyle w:val="BodyText"/>
        <w:spacing w:before="9"/>
        <w:rPr>
          <w:sz w:val="23"/>
        </w:rPr>
      </w:pPr>
    </w:p>
    <w:p w14:paraId="73CA47CF" w14:textId="77777777" w:rsidR="00645B19" w:rsidRPr="00AD756D" w:rsidRDefault="009E141B">
      <w:pPr>
        <w:pStyle w:val="BodyText"/>
        <w:ind w:left="320" w:right="547"/>
        <w:jc w:val="both"/>
      </w:pPr>
      <w:r w:rsidRPr="00AD756D">
        <w:t>The Bureau will monitor related work of researchers and other Federal regulatory agencies to ensure that the Bureau’s research techniques reflect current knowledge and best practices and avoid any unnecessary duplication.</w:t>
      </w:r>
    </w:p>
    <w:p w14:paraId="3231CD76" w14:textId="77777777" w:rsidR="00645B19" w:rsidRPr="00AD756D" w:rsidRDefault="00645B19">
      <w:pPr>
        <w:pStyle w:val="BodyText"/>
        <w:spacing w:before="6"/>
        <w:rPr>
          <w:sz w:val="25"/>
        </w:rPr>
      </w:pPr>
    </w:p>
    <w:p w14:paraId="3BA3FE43" w14:textId="77777777" w:rsidR="00645B19" w:rsidRPr="00AD756D" w:rsidRDefault="009E141B">
      <w:pPr>
        <w:pStyle w:val="Heading1"/>
        <w:numPr>
          <w:ilvl w:val="0"/>
          <w:numId w:val="1"/>
        </w:numPr>
        <w:tabs>
          <w:tab w:val="left" w:pos="561"/>
        </w:tabs>
        <w:jc w:val="left"/>
        <w:rPr>
          <w:u w:val="none"/>
        </w:rPr>
      </w:pPr>
      <w:r w:rsidRPr="00AD756D">
        <w:rPr>
          <w:u w:val="thick"/>
        </w:rPr>
        <w:t>Efforts to Minimize Burdens on Small Entities</w:t>
      </w:r>
    </w:p>
    <w:p w14:paraId="1D5E1461" w14:textId="77777777" w:rsidR="00645B19" w:rsidRPr="00AD756D" w:rsidRDefault="00645B19">
      <w:pPr>
        <w:pStyle w:val="BodyText"/>
        <w:spacing w:before="11"/>
        <w:rPr>
          <w:b/>
          <w:sz w:val="14"/>
        </w:rPr>
      </w:pPr>
    </w:p>
    <w:p w14:paraId="3D407E04" w14:textId="6115EC06" w:rsidR="00645B19" w:rsidRPr="00AD756D" w:rsidRDefault="009E141B" w:rsidP="00BE6F62">
      <w:pPr>
        <w:pStyle w:val="BodyText"/>
        <w:spacing w:before="90"/>
        <w:ind w:left="320" w:right="243"/>
      </w:pPr>
      <w:r w:rsidRPr="00AD756D">
        <w:t xml:space="preserve">The information collections under this </w:t>
      </w:r>
      <w:r>
        <w:t>Plan</w:t>
      </w:r>
      <w:r w:rsidRPr="00AD756D">
        <w:t xml:space="preserve"> </w:t>
      </w:r>
      <w:r w:rsidR="001745CE">
        <w:t>may</w:t>
      </w:r>
      <w:r w:rsidRPr="00AD756D">
        <w:t xml:space="preserve"> benefit small entities by improving Bureau understand</w:t>
      </w:r>
      <w:r w:rsidR="00D60127">
        <w:t>ing</w:t>
      </w:r>
      <w:r w:rsidRPr="00AD756D">
        <w:t xml:space="preserve"> of the possible impacts of potential or existing regulations on small entities. The collections are voluntary and are not anticipated to burden small entities significantly. The Bureau will try to accommodate small entities should there be any difficulties in participating in the collection. The Bureau will offer flexible schedules for its collections to accommodate both the participants’ schedules and the Bureau’s project timetables. Furthermore, the Bureau will try to determine the appropriate collection method to limit the burden on small entities and other respondents. For example, the online survey tool</w:t>
      </w:r>
      <w:r w:rsidR="001958CC">
        <w:t>s</w:t>
      </w:r>
      <w:r w:rsidRPr="00AD756D">
        <w:t xml:space="preserve"> a</w:t>
      </w:r>
      <w:r w:rsidR="001958CC">
        <w:t>re generally a</w:t>
      </w:r>
      <w:r w:rsidRPr="00AD756D">
        <w:t xml:space="preserve"> low burden instrument for institutions to provide information to the Bureau should focus groups or structured interviews prove to be too</w:t>
      </w:r>
      <w:r w:rsidR="00BE6F62">
        <w:t xml:space="preserve"> </w:t>
      </w:r>
      <w:r w:rsidRPr="00AD756D">
        <w:t>burdensome for the respondent.</w:t>
      </w:r>
    </w:p>
    <w:p w14:paraId="2622D37F" w14:textId="3A2712FD" w:rsidR="00645B19" w:rsidRPr="00AD756D" w:rsidRDefault="00645B19">
      <w:pPr>
        <w:pStyle w:val="BodyText"/>
        <w:spacing w:before="4"/>
        <w:rPr>
          <w:sz w:val="25"/>
        </w:rPr>
      </w:pPr>
    </w:p>
    <w:p w14:paraId="418B9BB0" w14:textId="6E9F21A4" w:rsidR="00645B19" w:rsidRPr="006373C9" w:rsidRDefault="009E141B" w:rsidP="006373C9">
      <w:pPr>
        <w:pStyle w:val="Heading1"/>
        <w:numPr>
          <w:ilvl w:val="0"/>
          <w:numId w:val="1"/>
        </w:numPr>
        <w:tabs>
          <w:tab w:val="left" w:pos="460"/>
        </w:tabs>
        <w:ind w:left="459"/>
        <w:jc w:val="left"/>
        <w:rPr>
          <w:u w:val="none"/>
        </w:rPr>
      </w:pPr>
      <w:r w:rsidRPr="00AD756D">
        <w:rPr>
          <w:u w:val="thick"/>
        </w:rPr>
        <w:t>Consequences of Less Frequent Collection and Obstacles to Burden</w:t>
      </w:r>
      <w:r w:rsidRPr="00AD756D">
        <w:rPr>
          <w:spacing w:val="-11"/>
          <w:u w:val="thick"/>
        </w:rPr>
        <w:t xml:space="preserve"> </w:t>
      </w:r>
      <w:r w:rsidRPr="00AD756D">
        <w:rPr>
          <w:u w:val="thick"/>
        </w:rPr>
        <w:t>Reduction</w:t>
      </w:r>
    </w:p>
    <w:p w14:paraId="23E083AF" w14:textId="5B2E042C" w:rsidR="00645B19" w:rsidRPr="00AD756D" w:rsidRDefault="009E141B">
      <w:pPr>
        <w:pStyle w:val="BodyText"/>
        <w:spacing w:before="217"/>
        <w:ind w:left="320" w:right="257"/>
      </w:pPr>
      <w:r w:rsidRPr="00AD756D">
        <w:t xml:space="preserve">If this information is not collected, feedback from covered persons and service providers on existing or potential proposed regulations will be limited to notices for public comment and collections from fewer than ten </w:t>
      </w:r>
      <w:r w:rsidR="00D60127">
        <w:t>entities</w:t>
      </w:r>
      <w:r w:rsidRPr="00AD756D">
        <w:t xml:space="preserve">. Less targeted or thorough information collections may </w:t>
      </w:r>
      <w:r w:rsidRPr="008F1BB9">
        <w:t xml:space="preserve">limit the Bureau’s </w:t>
      </w:r>
      <w:r w:rsidR="00A6738C" w:rsidRPr="008F1BB9">
        <w:t xml:space="preserve">understanding of </w:t>
      </w:r>
      <w:r w:rsidRPr="008F1BB9">
        <w:t>regulatory impact</w:t>
      </w:r>
      <w:r w:rsidR="00A6738C" w:rsidRPr="008F1BB9">
        <w:t>s</w:t>
      </w:r>
      <w:r w:rsidRPr="008F1BB9">
        <w:t xml:space="preserve"> on the consumer financial marketplace. </w:t>
      </w:r>
      <w:r w:rsidR="008F1BB9" w:rsidRPr="008F1BB9">
        <w:t>Related work of outside researchers and other Federal regulatory agencies on the compliance costs and effects of Bureau rules can inform Bureau prioritization and the initial steps in policy making.  However, external work may not use strong enough methodologies, focus sufficiently on costs and effects attributable to the rule, or provide current enough information, to be the only basis for prioritization and further investigation.</w:t>
      </w:r>
    </w:p>
    <w:p w14:paraId="772894C2" w14:textId="77777777" w:rsidR="00645B19" w:rsidRPr="00AD756D" w:rsidRDefault="00645B19">
      <w:pPr>
        <w:pStyle w:val="BodyText"/>
        <w:spacing w:before="9"/>
        <w:rPr>
          <w:sz w:val="23"/>
        </w:rPr>
      </w:pPr>
    </w:p>
    <w:p w14:paraId="6ADFBB8D" w14:textId="0777D8AC" w:rsidR="00645B19" w:rsidRPr="00AD756D" w:rsidRDefault="009E141B">
      <w:pPr>
        <w:pStyle w:val="BodyText"/>
        <w:spacing w:before="1"/>
        <w:ind w:left="320" w:right="257"/>
      </w:pPr>
      <w:r w:rsidRPr="00AD756D">
        <w:t xml:space="preserve">The information collections also give an additional opportunity for </w:t>
      </w:r>
      <w:r w:rsidR="00165CDF">
        <w:t>covered persons</w:t>
      </w:r>
      <w:r w:rsidR="00165CDF" w:rsidRPr="00AD756D">
        <w:t xml:space="preserve"> </w:t>
      </w:r>
      <w:r w:rsidRPr="00AD756D">
        <w:t xml:space="preserve">charged with implementing federal consumer financial protection laws to give input on how </w:t>
      </w:r>
      <w:r w:rsidR="00165CDF">
        <w:t xml:space="preserve">the Bureau’s </w:t>
      </w:r>
      <w:r w:rsidRPr="00AD756D">
        <w:t xml:space="preserve">regulations impact their respective institutions. Such input offers the potential to significantly improve upon the Bureau’s assessment of relative costs, benefits and impacts of </w:t>
      </w:r>
      <w:r w:rsidR="00142BDC">
        <w:t>proposed</w:t>
      </w:r>
      <w:r w:rsidRPr="00AD756D">
        <w:t xml:space="preserve"> rules </w:t>
      </w:r>
      <w:r w:rsidR="00142BDC">
        <w:t>prior to</w:t>
      </w:r>
      <w:r w:rsidR="00A04CF7">
        <w:t xml:space="preserve"> </w:t>
      </w:r>
      <w:r w:rsidR="00142BDC">
        <w:t>publishing them in the federal register for public comment</w:t>
      </w:r>
      <w:r w:rsidRPr="00AD756D">
        <w:t xml:space="preserve">. </w:t>
      </w:r>
    </w:p>
    <w:p w14:paraId="242B11C7" w14:textId="77777777" w:rsidR="00645B19" w:rsidRPr="00AD756D" w:rsidRDefault="00645B19">
      <w:pPr>
        <w:pStyle w:val="BodyText"/>
      </w:pPr>
    </w:p>
    <w:p w14:paraId="2355B505" w14:textId="1FF5AEB5" w:rsidR="00645B19" w:rsidRPr="00AD756D" w:rsidRDefault="009E141B">
      <w:pPr>
        <w:pStyle w:val="BodyText"/>
        <w:ind w:left="320" w:right="268"/>
      </w:pPr>
      <w:r w:rsidRPr="00AD756D">
        <w:t xml:space="preserve">The </w:t>
      </w:r>
      <w:r w:rsidR="00427C10">
        <w:t>Bureau</w:t>
      </w:r>
      <w:r w:rsidR="00427C10" w:rsidRPr="00AD756D">
        <w:t xml:space="preserve"> </w:t>
      </w:r>
      <w:r w:rsidRPr="00AD756D">
        <w:t>is also mindful of the potential burden of gathering information and will seek to keep this burden to a minimum. Wherever possible, the Bureau will seek to avoid imposing additional burden upon individual institutions through multiple instruments. This can likely be accomplished by streamlining and consolidating generic information request instruments whenever practicable.</w:t>
      </w:r>
    </w:p>
    <w:p w14:paraId="2A0E3D5C" w14:textId="77777777" w:rsidR="00645B19" w:rsidRPr="00AD756D" w:rsidRDefault="00645B19">
      <w:pPr>
        <w:pStyle w:val="BodyText"/>
        <w:spacing w:before="3"/>
        <w:rPr>
          <w:sz w:val="25"/>
        </w:rPr>
      </w:pPr>
    </w:p>
    <w:p w14:paraId="7F54C344" w14:textId="77777777" w:rsidR="00645B19" w:rsidRPr="00AD756D" w:rsidRDefault="009E141B">
      <w:pPr>
        <w:pStyle w:val="Heading1"/>
        <w:numPr>
          <w:ilvl w:val="0"/>
          <w:numId w:val="1"/>
        </w:numPr>
        <w:tabs>
          <w:tab w:val="left" w:pos="561"/>
        </w:tabs>
        <w:jc w:val="left"/>
        <w:rPr>
          <w:u w:val="none"/>
        </w:rPr>
      </w:pPr>
      <w:r w:rsidRPr="00AD756D">
        <w:rPr>
          <w:u w:val="thick"/>
        </w:rPr>
        <w:t>Circumstances Requiring Special Information Collection</w:t>
      </w:r>
    </w:p>
    <w:p w14:paraId="71D40787" w14:textId="77777777" w:rsidR="00645B19" w:rsidRPr="00AD756D" w:rsidRDefault="00645B19">
      <w:pPr>
        <w:pStyle w:val="BodyText"/>
        <w:spacing w:before="2"/>
        <w:rPr>
          <w:b/>
          <w:sz w:val="15"/>
        </w:rPr>
      </w:pPr>
    </w:p>
    <w:p w14:paraId="6E31C1BF" w14:textId="77777777" w:rsidR="00645B19" w:rsidRPr="00AD756D" w:rsidRDefault="009E141B">
      <w:pPr>
        <w:pStyle w:val="BodyText"/>
        <w:spacing w:before="92" w:line="237" w:lineRule="auto"/>
        <w:ind w:left="320" w:right="462"/>
      </w:pPr>
      <w:r w:rsidRPr="00AD756D">
        <w:t>No special circumstances require the collections to be conducted in a manner inconsistent with the guidelines in 5 CFR 1320.5(d).</w:t>
      </w:r>
    </w:p>
    <w:p w14:paraId="05E2B866" w14:textId="77777777" w:rsidR="00645B19" w:rsidRPr="00AD756D" w:rsidRDefault="00645B19">
      <w:pPr>
        <w:pStyle w:val="BodyText"/>
        <w:spacing w:before="4"/>
        <w:rPr>
          <w:sz w:val="25"/>
        </w:rPr>
      </w:pPr>
    </w:p>
    <w:p w14:paraId="65C8C5D8" w14:textId="77777777" w:rsidR="00645B19" w:rsidRPr="00AD756D" w:rsidRDefault="009E141B">
      <w:pPr>
        <w:pStyle w:val="Heading1"/>
        <w:numPr>
          <w:ilvl w:val="0"/>
          <w:numId w:val="1"/>
        </w:numPr>
        <w:tabs>
          <w:tab w:val="left" w:pos="561"/>
        </w:tabs>
        <w:jc w:val="left"/>
        <w:rPr>
          <w:u w:val="none"/>
        </w:rPr>
      </w:pPr>
      <w:r w:rsidRPr="00AD756D">
        <w:rPr>
          <w:u w:val="thick"/>
        </w:rPr>
        <w:t>Consultation Outside the</w:t>
      </w:r>
      <w:r w:rsidRPr="00AD756D">
        <w:rPr>
          <w:spacing w:val="-2"/>
          <w:u w:val="thick"/>
        </w:rPr>
        <w:t xml:space="preserve"> </w:t>
      </w:r>
      <w:r w:rsidRPr="00AD756D">
        <w:rPr>
          <w:u w:val="thick"/>
        </w:rPr>
        <w:t>Agency</w:t>
      </w:r>
    </w:p>
    <w:p w14:paraId="625AD06D" w14:textId="77777777" w:rsidR="00645B19" w:rsidRPr="00AD756D" w:rsidRDefault="00645B19">
      <w:pPr>
        <w:pStyle w:val="BodyText"/>
        <w:spacing w:before="7"/>
        <w:rPr>
          <w:b/>
          <w:sz w:val="21"/>
        </w:rPr>
      </w:pPr>
    </w:p>
    <w:p w14:paraId="240B271A" w14:textId="77777777" w:rsidR="00DC200F" w:rsidRDefault="008F4411" w:rsidP="00DC200F">
      <w:pPr>
        <w:pStyle w:val="BodyText"/>
        <w:spacing w:line="232" w:lineRule="auto"/>
        <w:ind w:left="320"/>
      </w:pPr>
      <w:r w:rsidRPr="00546E25">
        <w:t xml:space="preserve">In accordance with 5 CFR §1320.8(d)(1), the Bureau published a notice in the Federal Register allowing the public 60 days to comment on the proposed extension (renewal) of this currently approved collection of information. </w:t>
      </w:r>
      <w:r w:rsidR="00427AA8">
        <w:t xml:space="preserve">No Comments were received.   </w:t>
      </w:r>
      <w:r w:rsidRPr="00546E25">
        <w:t xml:space="preserve">Additionally, in accordance with 5 CFR §1320.5(a)(1)(iv) the Bureau </w:t>
      </w:r>
      <w:r w:rsidR="0001549A">
        <w:t xml:space="preserve">has </w:t>
      </w:r>
      <w:r w:rsidR="00355F14">
        <w:t xml:space="preserve">Published </w:t>
      </w:r>
      <w:r w:rsidR="00355F14" w:rsidRPr="00546E25">
        <w:t>a</w:t>
      </w:r>
      <w:r w:rsidRPr="00546E25">
        <w:t xml:space="preserve"> notice in the Federal Register allowing the public 30 days to comment on the submission of this information collection request to </w:t>
      </w:r>
      <w:r w:rsidR="00670F06">
        <w:t>OMB</w:t>
      </w:r>
      <w:r w:rsidRPr="00546E25">
        <w:t xml:space="preserve">. </w:t>
      </w:r>
      <w:r>
        <w:t xml:space="preserve"> </w:t>
      </w:r>
    </w:p>
    <w:p w14:paraId="0B87418D" w14:textId="77777777" w:rsidR="00DC200F" w:rsidRDefault="00DC200F" w:rsidP="00DC200F">
      <w:pPr>
        <w:pStyle w:val="BodyText"/>
        <w:spacing w:line="232" w:lineRule="auto"/>
        <w:ind w:left="320"/>
      </w:pPr>
    </w:p>
    <w:p w14:paraId="57E32B41" w14:textId="257C891D" w:rsidR="00645B19" w:rsidRDefault="00DC200F" w:rsidP="00DC200F">
      <w:pPr>
        <w:pStyle w:val="BodyText"/>
        <w:spacing w:before="4"/>
        <w:ind w:left="320"/>
      </w:pPr>
      <w:r w:rsidRPr="00DC200F">
        <w:t>Finally, in consultation with OMB, the Bureau will publish a 30-Day Notice in the Federal Register to invite public comment for each individual information collection conducted under this clearance prior to submitting the collection to OMB for review.  When the information collection is submitted to OMB for review after the 30-Day Notice concludes, the Bureau will include in the submission to OMB a copy of the 30-Day Federal Register Notice, any comments received and a summary response to them. This approach will enable OMB to gather comments to improve the quality of the information collection.</w:t>
      </w:r>
    </w:p>
    <w:p w14:paraId="1162F5B3" w14:textId="77777777" w:rsidR="00DC200F" w:rsidRPr="00AD756D" w:rsidRDefault="00DC200F" w:rsidP="00DC200F">
      <w:pPr>
        <w:pStyle w:val="BodyText"/>
        <w:spacing w:before="4"/>
        <w:ind w:left="320"/>
        <w:rPr>
          <w:sz w:val="20"/>
        </w:rPr>
      </w:pPr>
    </w:p>
    <w:p w14:paraId="40FF2FA2" w14:textId="77777777" w:rsidR="00645B19" w:rsidRPr="00AD756D" w:rsidRDefault="009E141B">
      <w:pPr>
        <w:pStyle w:val="Heading1"/>
        <w:numPr>
          <w:ilvl w:val="0"/>
          <w:numId w:val="1"/>
        </w:numPr>
        <w:tabs>
          <w:tab w:val="left" w:pos="561"/>
        </w:tabs>
        <w:jc w:val="left"/>
        <w:rPr>
          <w:u w:val="none"/>
        </w:rPr>
      </w:pPr>
      <w:r w:rsidRPr="00AD756D">
        <w:rPr>
          <w:u w:val="thick"/>
        </w:rPr>
        <w:t>Payments or Gifts to</w:t>
      </w:r>
      <w:r w:rsidRPr="00AD756D">
        <w:rPr>
          <w:spacing w:val="1"/>
          <w:u w:val="thick"/>
        </w:rPr>
        <w:t xml:space="preserve"> </w:t>
      </w:r>
      <w:r w:rsidRPr="00AD756D">
        <w:rPr>
          <w:u w:val="thick"/>
        </w:rPr>
        <w:t>Respondents</w:t>
      </w:r>
    </w:p>
    <w:p w14:paraId="18D33D95" w14:textId="77777777" w:rsidR="00645B19" w:rsidRPr="00AD756D" w:rsidRDefault="00645B19">
      <w:pPr>
        <w:pStyle w:val="BodyText"/>
        <w:spacing w:before="7"/>
        <w:rPr>
          <w:b/>
          <w:sz w:val="21"/>
        </w:rPr>
      </w:pPr>
    </w:p>
    <w:p w14:paraId="7AEE4DE6" w14:textId="77777777" w:rsidR="00645B19" w:rsidRPr="00AD756D" w:rsidRDefault="009E141B">
      <w:pPr>
        <w:pStyle w:val="BodyText"/>
        <w:spacing w:before="90"/>
        <w:ind w:left="320"/>
      </w:pPr>
      <w:r w:rsidRPr="00AD756D">
        <w:t>No payments or gifts will be provided to respondents.</w:t>
      </w:r>
    </w:p>
    <w:p w14:paraId="232F696B" w14:textId="77777777" w:rsidR="00645B19" w:rsidRPr="00AD756D" w:rsidRDefault="00645B19">
      <w:pPr>
        <w:pStyle w:val="BodyText"/>
        <w:spacing w:before="3"/>
        <w:rPr>
          <w:sz w:val="25"/>
        </w:rPr>
      </w:pPr>
    </w:p>
    <w:p w14:paraId="6CEBE0E5" w14:textId="77777777" w:rsidR="00645B19" w:rsidRPr="00AD756D" w:rsidRDefault="009E141B">
      <w:pPr>
        <w:pStyle w:val="Heading1"/>
        <w:numPr>
          <w:ilvl w:val="0"/>
          <w:numId w:val="1"/>
        </w:numPr>
        <w:tabs>
          <w:tab w:val="left" w:pos="681"/>
        </w:tabs>
        <w:ind w:left="680" w:hanging="360"/>
        <w:jc w:val="left"/>
        <w:rPr>
          <w:u w:val="none"/>
        </w:rPr>
      </w:pPr>
      <w:r w:rsidRPr="00AD756D">
        <w:rPr>
          <w:u w:val="thick"/>
        </w:rPr>
        <w:t>Assurances of</w:t>
      </w:r>
      <w:r w:rsidRPr="00AD756D">
        <w:rPr>
          <w:spacing w:val="3"/>
          <w:u w:val="thick"/>
        </w:rPr>
        <w:t xml:space="preserve"> </w:t>
      </w:r>
      <w:r w:rsidRPr="00AD756D">
        <w:rPr>
          <w:u w:val="thick"/>
        </w:rPr>
        <w:t>Confidentiality</w:t>
      </w:r>
    </w:p>
    <w:p w14:paraId="301FA5C8" w14:textId="77777777" w:rsidR="00645B19" w:rsidRPr="00AD756D" w:rsidRDefault="00645B19">
      <w:pPr>
        <w:pStyle w:val="BodyText"/>
        <w:spacing w:before="11"/>
        <w:rPr>
          <w:b/>
          <w:sz w:val="14"/>
        </w:rPr>
      </w:pPr>
    </w:p>
    <w:p w14:paraId="7C6D0B24" w14:textId="6E4000F8" w:rsidR="00645B19" w:rsidRPr="002D697A" w:rsidRDefault="009E141B" w:rsidP="002D697A">
      <w:pPr>
        <w:pStyle w:val="BodyText"/>
        <w:spacing w:before="90"/>
        <w:ind w:left="320" w:right="257"/>
      </w:pPr>
      <w:r w:rsidRPr="00AD756D">
        <w:t xml:space="preserve">For each participating institution, the Bureau will </w:t>
      </w:r>
      <w:r w:rsidR="006207D6">
        <w:t>only</w:t>
      </w:r>
      <w:r w:rsidR="006207D6" w:rsidRPr="00AD756D">
        <w:t xml:space="preserve"> </w:t>
      </w:r>
      <w:r w:rsidRPr="00AD756D">
        <w:t xml:space="preserve">collect </w:t>
      </w:r>
      <w:r w:rsidR="00427AA8">
        <w:t xml:space="preserve">limited </w:t>
      </w:r>
      <w:r w:rsidR="00881469">
        <w:t xml:space="preserve">personally identifiable information (PII). This PII will be limited to basic contact information such as </w:t>
      </w:r>
      <w:r w:rsidRPr="00AD756D">
        <w:t>the name, title, email</w:t>
      </w:r>
      <w:r w:rsidR="006207D6">
        <w:t>,</w:t>
      </w:r>
      <w:r w:rsidRPr="00AD756D">
        <w:t xml:space="preserve"> and phone number of the individual(s) representing the institution.</w:t>
      </w:r>
      <w:r w:rsidR="002D017A">
        <w:t xml:space="preserve"> </w:t>
      </w:r>
      <w:r w:rsidRPr="00AD756D">
        <w:t>The Bureau will not disclose the information collected except to the extent it is required to do so by law and as provided in the Privacy Act Statement on the collection instruments. As applicable, each information collection request made under this generic will name and cite the System of Records Notice (SORN) and Privacy Impact Assessment (PIA) as well as describe how potential respondents are informed of any privacy and/or confidentially expectations. Further, any pledge of confidentiality will be accompanied with the authority for such a pledge.</w:t>
      </w:r>
    </w:p>
    <w:p w14:paraId="7E515EF5" w14:textId="77777777" w:rsidR="00645B19" w:rsidRPr="00AD756D" w:rsidRDefault="00645B19">
      <w:pPr>
        <w:pStyle w:val="BodyText"/>
        <w:spacing w:before="1"/>
        <w:rPr>
          <w:sz w:val="23"/>
        </w:rPr>
      </w:pPr>
    </w:p>
    <w:p w14:paraId="12B4D903" w14:textId="0DC31CCA" w:rsidR="00645B19" w:rsidRPr="006373C9" w:rsidRDefault="009E141B">
      <w:pPr>
        <w:pStyle w:val="Heading1"/>
        <w:numPr>
          <w:ilvl w:val="0"/>
          <w:numId w:val="1"/>
        </w:numPr>
        <w:tabs>
          <w:tab w:val="left" w:pos="681"/>
        </w:tabs>
        <w:ind w:left="680" w:hanging="360"/>
        <w:jc w:val="left"/>
        <w:rPr>
          <w:u w:val="none"/>
        </w:rPr>
      </w:pPr>
      <w:r w:rsidRPr="00AD756D">
        <w:rPr>
          <w:u w:val="thick"/>
        </w:rPr>
        <w:t>Justification for Sensitive</w:t>
      </w:r>
      <w:r w:rsidRPr="00AD756D">
        <w:rPr>
          <w:spacing w:val="-1"/>
          <w:u w:val="thick"/>
        </w:rPr>
        <w:t xml:space="preserve"> </w:t>
      </w:r>
      <w:r w:rsidRPr="00AD756D">
        <w:rPr>
          <w:u w:val="thick"/>
        </w:rPr>
        <w:t>Questions</w:t>
      </w:r>
    </w:p>
    <w:p w14:paraId="3EF6133E" w14:textId="77777777" w:rsidR="00645B19" w:rsidRPr="00AD756D" w:rsidRDefault="00645B19">
      <w:pPr>
        <w:pStyle w:val="BodyText"/>
        <w:spacing w:before="2"/>
        <w:rPr>
          <w:b/>
          <w:sz w:val="20"/>
        </w:rPr>
      </w:pPr>
    </w:p>
    <w:p w14:paraId="014D127C" w14:textId="77777777" w:rsidR="00645B19" w:rsidRPr="00AD756D" w:rsidRDefault="009E141B">
      <w:pPr>
        <w:pStyle w:val="BodyText"/>
        <w:spacing w:before="90"/>
        <w:ind w:left="320"/>
      </w:pPr>
      <w:r w:rsidRPr="00AD756D">
        <w:t>The information collections do not include questions of a sensitive nature.</w:t>
      </w:r>
    </w:p>
    <w:p w14:paraId="04CAD42D" w14:textId="77777777" w:rsidR="00645B19" w:rsidRPr="00AD756D" w:rsidRDefault="00645B19">
      <w:pPr>
        <w:pStyle w:val="BodyText"/>
        <w:spacing w:before="3"/>
        <w:rPr>
          <w:sz w:val="25"/>
        </w:rPr>
      </w:pPr>
    </w:p>
    <w:p w14:paraId="53F83751" w14:textId="7E4461CB" w:rsidR="004B3E6C" w:rsidRPr="00AD756D" w:rsidRDefault="004B3E6C" w:rsidP="004B3E6C">
      <w:pPr>
        <w:pStyle w:val="Heading1"/>
        <w:numPr>
          <w:ilvl w:val="0"/>
          <w:numId w:val="1"/>
        </w:numPr>
        <w:tabs>
          <w:tab w:val="left" w:pos="681"/>
        </w:tabs>
        <w:ind w:left="680" w:hanging="360"/>
        <w:jc w:val="left"/>
        <w:rPr>
          <w:u w:val="none"/>
        </w:rPr>
      </w:pPr>
      <w:r w:rsidRPr="00AD756D">
        <w:rPr>
          <w:u w:val="thick"/>
        </w:rPr>
        <w:t>Estimated Total An</w:t>
      </w:r>
      <w:r w:rsidR="005B3DE3">
        <w:rPr>
          <w:u w:val="thick"/>
        </w:rPr>
        <w:t>nual Cost Burden to Respondents</w:t>
      </w:r>
    </w:p>
    <w:p w14:paraId="0087EB2E" w14:textId="77777777" w:rsidR="00645B19" w:rsidRPr="00AD756D" w:rsidRDefault="00645B19">
      <w:pPr>
        <w:pStyle w:val="BodyText"/>
        <w:spacing w:before="2"/>
        <w:rPr>
          <w:b/>
          <w:sz w:val="15"/>
        </w:rPr>
      </w:pPr>
    </w:p>
    <w:p w14:paraId="1FC9FC16" w14:textId="71881884" w:rsidR="005961F5" w:rsidRDefault="00525EFA" w:rsidP="008A1A88">
      <w:pPr>
        <w:pStyle w:val="BodyText"/>
        <w:spacing w:before="90"/>
        <w:ind w:left="320" w:right="311"/>
      </w:pPr>
      <w:r w:rsidRPr="00816F54">
        <w:t xml:space="preserve">In order to estimate the burden of this information collection </w:t>
      </w:r>
      <w:r w:rsidR="00B96318" w:rsidRPr="00816F54">
        <w:t>Plan, the</w:t>
      </w:r>
      <w:r w:rsidRPr="00816F54">
        <w:t xml:space="preserve"> Bureau has provided a</w:t>
      </w:r>
      <w:r w:rsidR="00562DC6" w:rsidRPr="00816F54">
        <w:t xml:space="preserve"> table with data on hours and </w:t>
      </w:r>
      <w:r w:rsidR="00886425" w:rsidRPr="00816F54">
        <w:t>number of solicited respondents</w:t>
      </w:r>
      <w:r w:rsidR="00562DC6" w:rsidRPr="00816F54">
        <w:t xml:space="preserve"> from previous approved cost of compliance information collection Plans</w:t>
      </w:r>
      <w:r w:rsidR="008A1A88" w:rsidRPr="00816F54">
        <w:t xml:space="preserve"> from 2012 - 2018</w:t>
      </w:r>
      <w:r w:rsidR="005961F5" w:rsidRPr="00816F54">
        <w:t xml:space="preserve"> (Exhibit 1)</w:t>
      </w:r>
      <w:r w:rsidR="00562DC6" w:rsidRPr="00816F54">
        <w:t xml:space="preserve">. The Bureau is using this information to estimate the </w:t>
      </w:r>
      <w:r w:rsidR="008A1A88" w:rsidRPr="00816F54">
        <w:t xml:space="preserve">average burden hours </w:t>
      </w:r>
      <w:r w:rsidR="009E141B" w:rsidRPr="00816F54">
        <w:t xml:space="preserve">an annual basis </w:t>
      </w:r>
      <w:r w:rsidR="005961F5" w:rsidRPr="00816F54">
        <w:t>(Exhibit 2)</w:t>
      </w:r>
      <w:r w:rsidR="008A1A88" w:rsidRPr="00816F54">
        <w:t xml:space="preserve"> and the associated labor costs on an annual basis (Exhibit 3) for potential future collections.</w:t>
      </w:r>
    </w:p>
    <w:p w14:paraId="730F14D8" w14:textId="77777777" w:rsidR="004B3E6C" w:rsidRDefault="004B3E6C" w:rsidP="004F5456">
      <w:pPr>
        <w:pStyle w:val="BodyText"/>
        <w:ind w:left="339" w:right="458"/>
      </w:pPr>
    </w:p>
    <w:p w14:paraId="728877A4" w14:textId="41B6A581" w:rsidR="00645B19" w:rsidRPr="008A1A88" w:rsidRDefault="004B3E6C" w:rsidP="008A1A88">
      <w:pPr>
        <w:pStyle w:val="BodyText"/>
        <w:spacing w:before="92" w:line="237" w:lineRule="auto"/>
        <w:ind w:left="339" w:right="603"/>
      </w:pPr>
      <w:r w:rsidRPr="00AD756D">
        <w:t>There will be no annualized capital or start-up costs for the respondents to collect and submit this information.</w:t>
      </w:r>
    </w:p>
    <w:p w14:paraId="709626F6" w14:textId="5AD79820" w:rsidR="00DC470F" w:rsidRPr="00AD756D" w:rsidRDefault="00DC470F">
      <w:pPr>
        <w:pStyle w:val="BodyText"/>
        <w:spacing w:before="4"/>
        <w:rPr>
          <w:sz w:val="29"/>
        </w:rPr>
      </w:pPr>
    </w:p>
    <w:p w14:paraId="7862CBA1" w14:textId="076180C9" w:rsidR="00645B19" w:rsidRDefault="009E141B">
      <w:pPr>
        <w:pStyle w:val="Heading1"/>
        <w:spacing w:before="1"/>
        <w:ind w:left="320" w:firstLine="0"/>
        <w:rPr>
          <w:u w:val="none"/>
        </w:rPr>
      </w:pPr>
      <w:r w:rsidRPr="00AD756D">
        <w:rPr>
          <w:u w:val="none"/>
        </w:rPr>
        <w:t xml:space="preserve">Exhibit </w:t>
      </w:r>
      <w:r w:rsidR="006F41B7">
        <w:rPr>
          <w:u w:val="none"/>
        </w:rPr>
        <w:t>1</w:t>
      </w:r>
      <w:r w:rsidRPr="00AD756D">
        <w:rPr>
          <w:u w:val="none"/>
        </w:rPr>
        <w:t>: Burden Summary Table</w:t>
      </w:r>
    </w:p>
    <w:p w14:paraId="78375475" w14:textId="77777777" w:rsidR="00B07AE6" w:rsidRDefault="00B07AE6" w:rsidP="00B07AE6">
      <w:pPr>
        <w:overflowPunct w:val="0"/>
        <w:spacing w:before="2"/>
        <w:rPr>
          <w:sz w:val="8"/>
          <w:szCs w:val="8"/>
          <w:lang w:bidi="ar-SA"/>
        </w:rPr>
      </w:pPr>
    </w:p>
    <w:tbl>
      <w:tblPr>
        <w:tblW w:w="0" w:type="auto"/>
        <w:tblInd w:w="112" w:type="dxa"/>
        <w:tblCellMar>
          <w:left w:w="0" w:type="dxa"/>
          <w:right w:w="0" w:type="dxa"/>
        </w:tblCellMar>
        <w:tblLook w:val="04A0" w:firstRow="1" w:lastRow="0" w:firstColumn="1" w:lastColumn="0" w:noHBand="0" w:noVBand="1"/>
      </w:tblPr>
      <w:tblGrid>
        <w:gridCol w:w="1756"/>
        <w:gridCol w:w="1469"/>
        <w:gridCol w:w="1640"/>
        <w:gridCol w:w="1196"/>
        <w:gridCol w:w="1489"/>
        <w:gridCol w:w="1718"/>
      </w:tblGrid>
      <w:tr w:rsidR="00B07AE6" w14:paraId="70897DC9" w14:textId="77777777" w:rsidTr="00345F2A">
        <w:trPr>
          <w:trHeight w:val="1041"/>
          <w:tblHeader/>
        </w:trPr>
        <w:tc>
          <w:tcPr>
            <w:tcW w:w="1756" w:type="dxa"/>
            <w:tcBorders>
              <w:top w:val="single" w:sz="8" w:space="0" w:color="000000"/>
              <w:left w:val="single" w:sz="8" w:space="0" w:color="000000"/>
              <w:bottom w:val="single" w:sz="8" w:space="0" w:color="000000"/>
              <w:right w:val="single" w:sz="8" w:space="0" w:color="000000"/>
            </w:tcBorders>
            <w:shd w:val="clear" w:color="auto" w:fill="D9D9D9"/>
            <w:hideMark/>
          </w:tcPr>
          <w:p w14:paraId="7DB0134C" w14:textId="77777777" w:rsidR="00B07AE6" w:rsidRPr="00397D4C" w:rsidRDefault="00B07AE6">
            <w:pPr>
              <w:overflowPunct w:val="0"/>
              <w:spacing w:before="1"/>
              <w:ind w:left="85" w:right="76"/>
              <w:jc w:val="center"/>
              <w:rPr>
                <w:rFonts w:ascii="Calibri" w:hAnsi="Calibri" w:cs="Calibri"/>
                <w:b/>
                <w:bCs/>
                <w:sz w:val="20"/>
                <w:szCs w:val="20"/>
              </w:rPr>
            </w:pPr>
            <w:r w:rsidRPr="00397D4C">
              <w:rPr>
                <w:b/>
                <w:bCs/>
                <w:sz w:val="20"/>
                <w:szCs w:val="20"/>
              </w:rPr>
              <w:t>Process</w:t>
            </w:r>
          </w:p>
        </w:tc>
        <w:tc>
          <w:tcPr>
            <w:tcW w:w="1469" w:type="dxa"/>
            <w:tcBorders>
              <w:top w:val="single" w:sz="8" w:space="0" w:color="000000"/>
              <w:left w:val="nil"/>
              <w:bottom w:val="single" w:sz="8" w:space="0" w:color="000000"/>
              <w:right w:val="single" w:sz="8" w:space="0" w:color="000000"/>
            </w:tcBorders>
            <w:shd w:val="clear" w:color="auto" w:fill="D9D9D9"/>
            <w:hideMark/>
          </w:tcPr>
          <w:p w14:paraId="66E1421E" w14:textId="77777777" w:rsidR="00B07AE6" w:rsidRPr="00397D4C" w:rsidRDefault="00B07AE6">
            <w:pPr>
              <w:overflowPunct w:val="0"/>
              <w:spacing w:line="276" w:lineRule="auto"/>
              <w:ind w:left="220" w:firstLine="69"/>
              <w:rPr>
                <w:b/>
                <w:bCs/>
                <w:sz w:val="20"/>
                <w:szCs w:val="20"/>
              </w:rPr>
            </w:pPr>
            <w:r w:rsidRPr="00397D4C">
              <w:rPr>
                <w:b/>
                <w:bCs/>
                <w:sz w:val="20"/>
                <w:szCs w:val="20"/>
              </w:rPr>
              <w:t>Number of respondents</w:t>
            </w:r>
          </w:p>
        </w:tc>
        <w:tc>
          <w:tcPr>
            <w:tcW w:w="1640" w:type="dxa"/>
            <w:tcBorders>
              <w:top w:val="single" w:sz="8" w:space="0" w:color="000000"/>
              <w:left w:val="nil"/>
              <w:bottom w:val="single" w:sz="8" w:space="0" w:color="000000"/>
              <w:right w:val="single" w:sz="8" w:space="0" w:color="000000"/>
            </w:tcBorders>
            <w:shd w:val="clear" w:color="auto" w:fill="D9D9D9"/>
            <w:hideMark/>
          </w:tcPr>
          <w:p w14:paraId="6AB26E4F" w14:textId="77777777" w:rsidR="00B07AE6" w:rsidRPr="00397D4C" w:rsidRDefault="00B07AE6">
            <w:pPr>
              <w:overflowPunct w:val="0"/>
              <w:spacing w:line="276" w:lineRule="auto"/>
              <w:ind w:left="246" w:right="196" w:firstLine="2"/>
              <w:jc w:val="center"/>
              <w:rPr>
                <w:b/>
                <w:bCs/>
                <w:sz w:val="20"/>
                <w:szCs w:val="20"/>
              </w:rPr>
            </w:pPr>
            <w:r w:rsidRPr="00397D4C">
              <w:rPr>
                <w:b/>
                <w:bCs/>
                <w:sz w:val="20"/>
                <w:szCs w:val="20"/>
              </w:rPr>
              <w:t>Number of responses per respondent</w:t>
            </w:r>
          </w:p>
        </w:tc>
        <w:tc>
          <w:tcPr>
            <w:tcW w:w="1196" w:type="dxa"/>
            <w:tcBorders>
              <w:top w:val="single" w:sz="8" w:space="0" w:color="000000"/>
              <w:left w:val="nil"/>
              <w:bottom w:val="single" w:sz="8" w:space="0" w:color="000000"/>
              <w:right w:val="single" w:sz="8" w:space="0" w:color="000000"/>
            </w:tcBorders>
            <w:shd w:val="clear" w:color="auto" w:fill="D9D9D9"/>
            <w:hideMark/>
          </w:tcPr>
          <w:p w14:paraId="5A3EBEBD" w14:textId="77777777" w:rsidR="00B07AE6" w:rsidRPr="00397D4C" w:rsidRDefault="00B07AE6">
            <w:pPr>
              <w:overflowPunct w:val="0"/>
              <w:spacing w:line="276" w:lineRule="auto"/>
              <w:ind w:left="161" w:right="110"/>
              <w:jc w:val="center"/>
              <w:rPr>
                <w:b/>
                <w:bCs/>
                <w:sz w:val="20"/>
                <w:szCs w:val="20"/>
              </w:rPr>
            </w:pPr>
            <w:r w:rsidRPr="00397D4C">
              <w:rPr>
                <w:b/>
                <w:bCs/>
                <w:sz w:val="20"/>
                <w:szCs w:val="20"/>
              </w:rPr>
              <w:t>Number of annual responses</w:t>
            </w:r>
          </w:p>
        </w:tc>
        <w:tc>
          <w:tcPr>
            <w:tcW w:w="1489" w:type="dxa"/>
            <w:tcBorders>
              <w:top w:val="single" w:sz="8" w:space="0" w:color="000000"/>
              <w:left w:val="nil"/>
              <w:bottom w:val="single" w:sz="8" w:space="0" w:color="000000"/>
              <w:right w:val="single" w:sz="8" w:space="0" w:color="000000"/>
            </w:tcBorders>
            <w:shd w:val="clear" w:color="auto" w:fill="D9D9D9"/>
            <w:hideMark/>
          </w:tcPr>
          <w:p w14:paraId="34284409" w14:textId="77777777" w:rsidR="00B07AE6" w:rsidRPr="00397D4C" w:rsidRDefault="00B07AE6">
            <w:pPr>
              <w:overflowPunct w:val="0"/>
              <w:spacing w:line="276" w:lineRule="auto"/>
              <w:ind w:left="139" w:right="136"/>
              <w:jc w:val="center"/>
              <w:rPr>
                <w:b/>
                <w:bCs/>
                <w:sz w:val="20"/>
                <w:szCs w:val="20"/>
              </w:rPr>
            </w:pPr>
            <w:r w:rsidRPr="00397D4C">
              <w:rPr>
                <w:b/>
                <w:bCs/>
                <w:sz w:val="20"/>
                <w:szCs w:val="20"/>
              </w:rPr>
              <w:t>Average burden per response (hours)</w:t>
            </w:r>
          </w:p>
        </w:tc>
        <w:tc>
          <w:tcPr>
            <w:tcW w:w="1718" w:type="dxa"/>
            <w:tcBorders>
              <w:top w:val="single" w:sz="8" w:space="0" w:color="000000"/>
              <w:left w:val="nil"/>
              <w:bottom w:val="single" w:sz="8" w:space="0" w:color="000000"/>
              <w:right w:val="single" w:sz="8" w:space="0" w:color="000000"/>
            </w:tcBorders>
            <w:shd w:val="clear" w:color="auto" w:fill="D9D9D9"/>
            <w:hideMark/>
          </w:tcPr>
          <w:p w14:paraId="07C6CBEA" w14:textId="77777777" w:rsidR="00B07AE6" w:rsidRPr="00397D4C" w:rsidRDefault="00B07AE6">
            <w:pPr>
              <w:overflowPunct w:val="0"/>
              <w:spacing w:line="276" w:lineRule="auto"/>
              <w:ind w:left="568" w:hanging="238"/>
              <w:rPr>
                <w:b/>
                <w:bCs/>
                <w:sz w:val="20"/>
                <w:szCs w:val="20"/>
              </w:rPr>
            </w:pPr>
            <w:r w:rsidRPr="00397D4C">
              <w:rPr>
                <w:b/>
                <w:bCs/>
                <w:sz w:val="20"/>
                <w:szCs w:val="20"/>
              </w:rPr>
              <w:t>Total burden (hours)</w:t>
            </w:r>
          </w:p>
        </w:tc>
      </w:tr>
      <w:tr w:rsidR="00B07AE6" w14:paraId="0628E891" w14:textId="77777777" w:rsidTr="00345F2A">
        <w:trPr>
          <w:trHeight w:val="762"/>
        </w:trPr>
        <w:tc>
          <w:tcPr>
            <w:tcW w:w="1756" w:type="dxa"/>
            <w:tcBorders>
              <w:top w:val="nil"/>
              <w:left w:val="single" w:sz="8" w:space="0" w:color="000000"/>
              <w:bottom w:val="single" w:sz="8" w:space="0" w:color="000000"/>
              <w:right w:val="single" w:sz="8" w:space="0" w:color="000000"/>
            </w:tcBorders>
            <w:hideMark/>
          </w:tcPr>
          <w:p w14:paraId="65AB878C" w14:textId="77777777" w:rsidR="00B07AE6" w:rsidRDefault="00B07AE6" w:rsidP="00921D9F">
            <w:pPr>
              <w:overflowPunct w:val="0"/>
              <w:spacing w:before="1" w:line="276" w:lineRule="auto"/>
              <w:ind w:left="429" w:hanging="243"/>
              <w:rPr>
                <w:sz w:val="20"/>
                <w:szCs w:val="20"/>
              </w:rPr>
            </w:pPr>
            <w:r>
              <w:rPr>
                <w:sz w:val="20"/>
                <w:szCs w:val="20"/>
              </w:rPr>
              <w:t>Online Volunteer Solicitation</w:t>
            </w:r>
          </w:p>
        </w:tc>
        <w:tc>
          <w:tcPr>
            <w:tcW w:w="1469" w:type="dxa"/>
            <w:tcBorders>
              <w:top w:val="nil"/>
              <w:left w:val="nil"/>
              <w:bottom w:val="single" w:sz="8" w:space="0" w:color="000000"/>
              <w:right w:val="single" w:sz="8" w:space="0" w:color="000000"/>
            </w:tcBorders>
            <w:hideMark/>
          </w:tcPr>
          <w:p w14:paraId="007BE5B2" w14:textId="77777777" w:rsidR="00B07AE6" w:rsidRDefault="00B07AE6" w:rsidP="00345F2A">
            <w:pPr>
              <w:overflowPunct w:val="0"/>
              <w:spacing w:before="3"/>
              <w:ind w:left="489" w:right="482"/>
              <w:jc w:val="right"/>
              <w:rPr>
                <w:sz w:val="20"/>
                <w:szCs w:val="20"/>
              </w:rPr>
            </w:pPr>
            <w:r>
              <w:rPr>
                <w:sz w:val="20"/>
                <w:szCs w:val="20"/>
              </w:rPr>
              <w:t>2,800</w:t>
            </w:r>
          </w:p>
        </w:tc>
        <w:tc>
          <w:tcPr>
            <w:tcW w:w="1640" w:type="dxa"/>
            <w:tcBorders>
              <w:top w:val="nil"/>
              <w:left w:val="nil"/>
              <w:bottom w:val="single" w:sz="8" w:space="0" w:color="000000"/>
              <w:right w:val="single" w:sz="8" w:space="0" w:color="000000"/>
            </w:tcBorders>
            <w:hideMark/>
          </w:tcPr>
          <w:p w14:paraId="2C279D5B" w14:textId="77777777" w:rsidR="00B07AE6" w:rsidRDefault="00B07AE6" w:rsidP="00345F2A">
            <w:pPr>
              <w:overflowPunct w:val="0"/>
              <w:spacing w:before="3"/>
              <w:ind w:left="5"/>
              <w:jc w:val="right"/>
              <w:rPr>
                <w:sz w:val="20"/>
                <w:szCs w:val="20"/>
              </w:rPr>
            </w:pPr>
            <w:r>
              <w:rPr>
                <w:sz w:val="20"/>
                <w:szCs w:val="20"/>
              </w:rPr>
              <w:t>1</w:t>
            </w:r>
          </w:p>
        </w:tc>
        <w:tc>
          <w:tcPr>
            <w:tcW w:w="1196" w:type="dxa"/>
            <w:tcBorders>
              <w:top w:val="nil"/>
              <w:left w:val="nil"/>
              <w:bottom w:val="single" w:sz="8" w:space="0" w:color="000000"/>
              <w:right w:val="single" w:sz="8" w:space="0" w:color="000000"/>
            </w:tcBorders>
            <w:hideMark/>
          </w:tcPr>
          <w:p w14:paraId="06CC6EAD" w14:textId="77777777" w:rsidR="00B07AE6" w:rsidRDefault="00B07AE6" w:rsidP="00345F2A">
            <w:pPr>
              <w:overflowPunct w:val="0"/>
              <w:spacing w:before="3"/>
              <w:ind w:left="111" w:right="110"/>
              <w:jc w:val="right"/>
              <w:rPr>
                <w:sz w:val="20"/>
                <w:szCs w:val="20"/>
              </w:rPr>
            </w:pPr>
            <w:r>
              <w:rPr>
                <w:sz w:val="20"/>
                <w:szCs w:val="20"/>
              </w:rPr>
              <w:t>2,800</w:t>
            </w:r>
          </w:p>
        </w:tc>
        <w:tc>
          <w:tcPr>
            <w:tcW w:w="1489" w:type="dxa"/>
            <w:tcBorders>
              <w:top w:val="nil"/>
              <w:left w:val="nil"/>
              <w:bottom w:val="single" w:sz="8" w:space="0" w:color="000000"/>
              <w:right w:val="single" w:sz="8" w:space="0" w:color="000000"/>
            </w:tcBorders>
            <w:hideMark/>
          </w:tcPr>
          <w:p w14:paraId="6BBE8DD1" w14:textId="77777777" w:rsidR="00B07AE6" w:rsidRDefault="00B07AE6" w:rsidP="00345F2A">
            <w:pPr>
              <w:overflowPunct w:val="0"/>
              <w:spacing w:before="3"/>
              <w:ind w:left="137" w:right="136"/>
              <w:jc w:val="right"/>
              <w:rPr>
                <w:sz w:val="20"/>
                <w:szCs w:val="20"/>
              </w:rPr>
            </w:pPr>
            <w:r>
              <w:rPr>
                <w:sz w:val="20"/>
                <w:szCs w:val="20"/>
              </w:rPr>
              <w:t>0.08</w:t>
            </w:r>
          </w:p>
        </w:tc>
        <w:tc>
          <w:tcPr>
            <w:tcW w:w="1718" w:type="dxa"/>
            <w:tcBorders>
              <w:top w:val="nil"/>
              <w:left w:val="nil"/>
              <w:bottom w:val="single" w:sz="8" w:space="0" w:color="000000"/>
              <w:right w:val="single" w:sz="8" w:space="0" w:color="000000"/>
            </w:tcBorders>
            <w:hideMark/>
          </w:tcPr>
          <w:p w14:paraId="08537E82" w14:textId="1004817A" w:rsidR="00B07AE6" w:rsidRDefault="009372DE" w:rsidP="00345F2A">
            <w:pPr>
              <w:overflowPunct w:val="0"/>
              <w:spacing w:before="3"/>
              <w:ind w:left="568" w:right="568"/>
              <w:jc w:val="right"/>
              <w:rPr>
                <w:sz w:val="20"/>
                <w:szCs w:val="20"/>
              </w:rPr>
            </w:pPr>
            <w:r>
              <w:rPr>
                <w:sz w:val="20"/>
                <w:szCs w:val="20"/>
              </w:rPr>
              <w:t>224</w:t>
            </w:r>
          </w:p>
        </w:tc>
      </w:tr>
      <w:tr w:rsidR="00B07AE6" w14:paraId="1B2AC886" w14:textId="77777777" w:rsidTr="00345F2A">
        <w:trPr>
          <w:trHeight w:val="760"/>
        </w:trPr>
        <w:tc>
          <w:tcPr>
            <w:tcW w:w="1756" w:type="dxa"/>
            <w:tcBorders>
              <w:top w:val="nil"/>
              <w:left w:val="single" w:sz="8" w:space="0" w:color="000000"/>
              <w:bottom w:val="single" w:sz="8" w:space="0" w:color="000000"/>
              <w:right w:val="single" w:sz="8" w:space="0" w:color="000000"/>
            </w:tcBorders>
            <w:hideMark/>
          </w:tcPr>
          <w:p w14:paraId="6A6EC403" w14:textId="77777777" w:rsidR="00B07AE6" w:rsidRDefault="00B07AE6" w:rsidP="00921D9F">
            <w:pPr>
              <w:overflowPunct w:val="0"/>
              <w:spacing w:line="276" w:lineRule="auto"/>
              <w:ind w:left="458" w:right="425" w:hanging="10"/>
              <w:rPr>
                <w:sz w:val="20"/>
                <w:szCs w:val="20"/>
              </w:rPr>
            </w:pPr>
            <w:r>
              <w:rPr>
                <w:sz w:val="20"/>
                <w:szCs w:val="20"/>
              </w:rPr>
              <w:t>Structured Interviews</w:t>
            </w:r>
          </w:p>
        </w:tc>
        <w:tc>
          <w:tcPr>
            <w:tcW w:w="1469" w:type="dxa"/>
            <w:tcBorders>
              <w:top w:val="nil"/>
              <w:left w:val="nil"/>
              <w:bottom w:val="single" w:sz="8" w:space="0" w:color="000000"/>
              <w:right w:val="single" w:sz="8" w:space="0" w:color="000000"/>
            </w:tcBorders>
            <w:hideMark/>
          </w:tcPr>
          <w:p w14:paraId="36628FEA" w14:textId="77777777" w:rsidR="00B07AE6" w:rsidRDefault="00B07AE6" w:rsidP="00345F2A">
            <w:pPr>
              <w:overflowPunct w:val="0"/>
              <w:spacing w:before="1"/>
              <w:ind w:left="489" w:right="482"/>
              <w:jc w:val="right"/>
              <w:rPr>
                <w:sz w:val="20"/>
                <w:szCs w:val="20"/>
              </w:rPr>
            </w:pPr>
            <w:r>
              <w:rPr>
                <w:sz w:val="20"/>
                <w:szCs w:val="20"/>
              </w:rPr>
              <w:t>1,200</w:t>
            </w:r>
          </w:p>
        </w:tc>
        <w:tc>
          <w:tcPr>
            <w:tcW w:w="1640" w:type="dxa"/>
            <w:tcBorders>
              <w:top w:val="nil"/>
              <w:left w:val="nil"/>
              <w:bottom w:val="single" w:sz="8" w:space="0" w:color="000000"/>
              <w:right w:val="single" w:sz="8" w:space="0" w:color="000000"/>
            </w:tcBorders>
            <w:hideMark/>
          </w:tcPr>
          <w:p w14:paraId="7E37E244" w14:textId="77777777" w:rsidR="00B07AE6" w:rsidRDefault="00B07AE6" w:rsidP="00345F2A">
            <w:pPr>
              <w:overflowPunct w:val="0"/>
              <w:spacing w:before="1"/>
              <w:ind w:left="5"/>
              <w:jc w:val="right"/>
              <w:rPr>
                <w:sz w:val="20"/>
                <w:szCs w:val="20"/>
              </w:rPr>
            </w:pPr>
            <w:r>
              <w:rPr>
                <w:sz w:val="20"/>
                <w:szCs w:val="20"/>
              </w:rPr>
              <w:t>1</w:t>
            </w:r>
          </w:p>
        </w:tc>
        <w:tc>
          <w:tcPr>
            <w:tcW w:w="1196" w:type="dxa"/>
            <w:tcBorders>
              <w:top w:val="nil"/>
              <w:left w:val="nil"/>
              <w:bottom w:val="single" w:sz="8" w:space="0" w:color="000000"/>
              <w:right w:val="single" w:sz="8" w:space="0" w:color="000000"/>
            </w:tcBorders>
            <w:hideMark/>
          </w:tcPr>
          <w:p w14:paraId="40F037E0" w14:textId="77777777" w:rsidR="00B07AE6" w:rsidRDefault="00B07AE6" w:rsidP="00345F2A">
            <w:pPr>
              <w:overflowPunct w:val="0"/>
              <w:spacing w:before="1"/>
              <w:ind w:left="111" w:right="110"/>
              <w:jc w:val="right"/>
              <w:rPr>
                <w:sz w:val="20"/>
                <w:szCs w:val="20"/>
              </w:rPr>
            </w:pPr>
            <w:r>
              <w:rPr>
                <w:sz w:val="20"/>
                <w:szCs w:val="20"/>
              </w:rPr>
              <w:t>1,200</w:t>
            </w:r>
          </w:p>
        </w:tc>
        <w:tc>
          <w:tcPr>
            <w:tcW w:w="1489" w:type="dxa"/>
            <w:tcBorders>
              <w:top w:val="nil"/>
              <w:left w:val="nil"/>
              <w:bottom w:val="single" w:sz="8" w:space="0" w:color="000000"/>
              <w:right w:val="single" w:sz="8" w:space="0" w:color="000000"/>
            </w:tcBorders>
            <w:hideMark/>
          </w:tcPr>
          <w:p w14:paraId="5A9C58E0" w14:textId="77777777" w:rsidR="00B07AE6" w:rsidRDefault="00B07AE6" w:rsidP="00345F2A">
            <w:pPr>
              <w:overflowPunct w:val="0"/>
              <w:spacing w:before="1"/>
              <w:ind w:left="137" w:right="136"/>
              <w:jc w:val="right"/>
              <w:rPr>
                <w:sz w:val="20"/>
                <w:szCs w:val="20"/>
              </w:rPr>
            </w:pPr>
            <w:r>
              <w:rPr>
                <w:sz w:val="20"/>
                <w:szCs w:val="20"/>
              </w:rPr>
              <w:t>1.5</w:t>
            </w:r>
          </w:p>
        </w:tc>
        <w:tc>
          <w:tcPr>
            <w:tcW w:w="1718" w:type="dxa"/>
            <w:tcBorders>
              <w:top w:val="nil"/>
              <w:left w:val="nil"/>
              <w:bottom w:val="single" w:sz="8" w:space="0" w:color="000000"/>
              <w:right w:val="single" w:sz="8" w:space="0" w:color="000000"/>
            </w:tcBorders>
            <w:hideMark/>
          </w:tcPr>
          <w:p w14:paraId="3B0A74AC" w14:textId="77777777" w:rsidR="00B07AE6" w:rsidRDefault="00B07AE6" w:rsidP="00345F2A">
            <w:pPr>
              <w:overflowPunct w:val="0"/>
              <w:spacing w:before="1"/>
              <w:ind w:left="568" w:right="568"/>
              <w:jc w:val="right"/>
              <w:rPr>
                <w:sz w:val="20"/>
                <w:szCs w:val="20"/>
              </w:rPr>
            </w:pPr>
            <w:r>
              <w:rPr>
                <w:sz w:val="20"/>
                <w:szCs w:val="20"/>
              </w:rPr>
              <w:t>1,800</w:t>
            </w:r>
          </w:p>
        </w:tc>
      </w:tr>
      <w:tr w:rsidR="00B07AE6" w14:paraId="26FB78A7" w14:textId="77777777" w:rsidTr="00345F2A">
        <w:trPr>
          <w:trHeight w:val="482"/>
        </w:trPr>
        <w:tc>
          <w:tcPr>
            <w:tcW w:w="1756" w:type="dxa"/>
            <w:tcBorders>
              <w:top w:val="nil"/>
              <w:left w:val="single" w:sz="8" w:space="0" w:color="000000"/>
              <w:bottom w:val="single" w:sz="8" w:space="0" w:color="000000"/>
              <w:right w:val="single" w:sz="8" w:space="0" w:color="000000"/>
            </w:tcBorders>
            <w:hideMark/>
          </w:tcPr>
          <w:p w14:paraId="535B6E95" w14:textId="77777777" w:rsidR="00B07AE6" w:rsidRDefault="00B07AE6" w:rsidP="00921D9F">
            <w:pPr>
              <w:overflowPunct w:val="0"/>
              <w:spacing w:before="3"/>
              <w:ind w:left="81" w:right="76"/>
              <w:rPr>
                <w:sz w:val="20"/>
                <w:szCs w:val="20"/>
              </w:rPr>
            </w:pPr>
            <w:r>
              <w:rPr>
                <w:sz w:val="20"/>
                <w:szCs w:val="20"/>
              </w:rPr>
              <w:t>Focus Groups</w:t>
            </w:r>
          </w:p>
        </w:tc>
        <w:tc>
          <w:tcPr>
            <w:tcW w:w="1469" w:type="dxa"/>
            <w:tcBorders>
              <w:top w:val="nil"/>
              <w:left w:val="nil"/>
              <w:bottom w:val="single" w:sz="8" w:space="0" w:color="000000"/>
              <w:right w:val="single" w:sz="8" w:space="0" w:color="000000"/>
            </w:tcBorders>
            <w:hideMark/>
          </w:tcPr>
          <w:p w14:paraId="75AE22EA" w14:textId="77777777" w:rsidR="00B07AE6" w:rsidRDefault="00B07AE6" w:rsidP="00345F2A">
            <w:pPr>
              <w:overflowPunct w:val="0"/>
              <w:spacing w:before="3"/>
              <w:ind w:left="489" w:right="479"/>
              <w:jc w:val="right"/>
              <w:rPr>
                <w:sz w:val="20"/>
                <w:szCs w:val="20"/>
              </w:rPr>
            </w:pPr>
            <w:r>
              <w:rPr>
                <w:sz w:val="20"/>
                <w:szCs w:val="20"/>
              </w:rPr>
              <w:t>75</w:t>
            </w:r>
          </w:p>
        </w:tc>
        <w:tc>
          <w:tcPr>
            <w:tcW w:w="1640" w:type="dxa"/>
            <w:tcBorders>
              <w:top w:val="nil"/>
              <w:left w:val="nil"/>
              <w:bottom w:val="single" w:sz="8" w:space="0" w:color="000000"/>
              <w:right w:val="single" w:sz="8" w:space="0" w:color="000000"/>
            </w:tcBorders>
            <w:hideMark/>
          </w:tcPr>
          <w:p w14:paraId="347E7494" w14:textId="77777777" w:rsidR="00B07AE6" w:rsidRDefault="00B07AE6" w:rsidP="00345F2A">
            <w:pPr>
              <w:overflowPunct w:val="0"/>
              <w:spacing w:before="3"/>
              <w:ind w:left="5"/>
              <w:jc w:val="right"/>
              <w:rPr>
                <w:sz w:val="20"/>
                <w:szCs w:val="20"/>
              </w:rPr>
            </w:pPr>
            <w:r>
              <w:rPr>
                <w:sz w:val="20"/>
                <w:szCs w:val="20"/>
              </w:rPr>
              <w:t>1</w:t>
            </w:r>
          </w:p>
        </w:tc>
        <w:tc>
          <w:tcPr>
            <w:tcW w:w="1196" w:type="dxa"/>
            <w:tcBorders>
              <w:top w:val="nil"/>
              <w:left w:val="nil"/>
              <w:bottom w:val="single" w:sz="8" w:space="0" w:color="000000"/>
              <w:right w:val="single" w:sz="8" w:space="0" w:color="000000"/>
            </w:tcBorders>
            <w:hideMark/>
          </w:tcPr>
          <w:p w14:paraId="724B181F" w14:textId="77777777" w:rsidR="00B07AE6" w:rsidRDefault="00B07AE6" w:rsidP="00345F2A">
            <w:pPr>
              <w:overflowPunct w:val="0"/>
              <w:spacing w:before="3"/>
              <w:ind w:left="113" w:right="110"/>
              <w:jc w:val="right"/>
              <w:rPr>
                <w:sz w:val="20"/>
                <w:szCs w:val="20"/>
              </w:rPr>
            </w:pPr>
            <w:r>
              <w:rPr>
                <w:sz w:val="20"/>
                <w:szCs w:val="20"/>
              </w:rPr>
              <w:t>75</w:t>
            </w:r>
          </w:p>
        </w:tc>
        <w:tc>
          <w:tcPr>
            <w:tcW w:w="1489" w:type="dxa"/>
            <w:tcBorders>
              <w:top w:val="nil"/>
              <w:left w:val="nil"/>
              <w:bottom w:val="single" w:sz="8" w:space="0" w:color="000000"/>
              <w:right w:val="single" w:sz="8" w:space="0" w:color="000000"/>
            </w:tcBorders>
            <w:hideMark/>
          </w:tcPr>
          <w:p w14:paraId="45E94C9B" w14:textId="77777777" w:rsidR="00B07AE6" w:rsidRDefault="00B07AE6" w:rsidP="00345F2A">
            <w:pPr>
              <w:overflowPunct w:val="0"/>
              <w:spacing w:before="3"/>
              <w:ind w:left="4"/>
              <w:jc w:val="right"/>
              <w:rPr>
                <w:sz w:val="20"/>
                <w:szCs w:val="20"/>
              </w:rPr>
            </w:pPr>
            <w:r>
              <w:rPr>
                <w:sz w:val="20"/>
                <w:szCs w:val="20"/>
              </w:rPr>
              <w:t>3</w:t>
            </w:r>
          </w:p>
        </w:tc>
        <w:tc>
          <w:tcPr>
            <w:tcW w:w="1718" w:type="dxa"/>
            <w:tcBorders>
              <w:top w:val="nil"/>
              <w:left w:val="nil"/>
              <w:bottom w:val="single" w:sz="8" w:space="0" w:color="000000"/>
              <w:right w:val="single" w:sz="8" w:space="0" w:color="000000"/>
            </w:tcBorders>
            <w:hideMark/>
          </w:tcPr>
          <w:p w14:paraId="222CAD27" w14:textId="77777777" w:rsidR="00B07AE6" w:rsidRDefault="00B07AE6" w:rsidP="00345F2A">
            <w:pPr>
              <w:overflowPunct w:val="0"/>
              <w:spacing w:before="3"/>
              <w:ind w:left="568" w:right="568"/>
              <w:jc w:val="right"/>
              <w:rPr>
                <w:sz w:val="20"/>
                <w:szCs w:val="20"/>
              </w:rPr>
            </w:pPr>
            <w:r>
              <w:rPr>
                <w:sz w:val="20"/>
                <w:szCs w:val="20"/>
              </w:rPr>
              <w:t>225</w:t>
            </w:r>
          </w:p>
        </w:tc>
      </w:tr>
      <w:tr w:rsidR="00B07AE6" w14:paraId="7050F436" w14:textId="77777777" w:rsidTr="00345F2A">
        <w:trPr>
          <w:trHeight w:val="1324"/>
        </w:trPr>
        <w:tc>
          <w:tcPr>
            <w:tcW w:w="1756" w:type="dxa"/>
            <w:tcBorders>
              <w:top w:val="single" w:sz="8" w:space="0" w:color="000000"/>
              <w:left w:val="single" w:sz="8" w:space="0" w:color="000000"/>
              <w:bottom w:val="single" w:sz="8" w:space="0" w:color="000000"/>
              <w:right w:val="single" w:sz="8" w:space="0" w:color="000000"/>
            </w:tcBorders>
            <w:hideMark/>
          </w:tcPr>
          <w:p w14:paraId="5E0FD43B" w14:textId="77777777" w:rsidR="00B07AE6" w:rsidRDefault="00B07AE6" w:rsidP="00921D9F">
            <w:pPr>
              <w:overflowPunct w:val="0"/>
              <w:spacing w:before="1" w:line="276" w:lineRule="auto"/>
              <w:ind w:left="89" w:right="76"/>
              <w:rPr>
                <w:rFonts w:ascii="Calibri" w:hAnsi="Calibri" w:cs="Calibri"/>
                <w:sz w:val="20"/>
                <w:szCs w:val="20"/>
              </w:rPr>
            </w:pPr>
            <w:r>
              <w:rPr>
                <w:sz w:val="20"/>
                <w:szCs w:val="20"/>
              </w:rPr>
              <w:t>Travel time to sites for focus groups and in-person interviews</w:t>
            </w:r>
          </w:p>
        </w:tc>
        <w:tc>
          <w:tcPr>
            <w:tcW w:w="1469" w:type="dxa"/>
            <w:tcBorders>
              <w:top w:val="single" w:sz="8" w:space="0" w:color="000000"/>
              <w:left w:val="nil"/>
              <w:bottom w:val="single" w:sz="8" w:space="0" w:color="000000"/>
              <w:right w:val="single" w:sz="8" w:space="0" w:color="000000"/>
            </w:tcBorders>
            <w:hideMark/>
          </w:tcPr>
          <w:p w14:paraId="204DC0F7" w14:textId="77777777" w:rsidR="00B07AE6" w:rsidRDefault="00B07AE6" w:rsidP="00345F2A">
            <w:pPr>
              <w:overflowPunct w:val="0"/>
              <w:spacing w:before="3"/>
              <w:ind w:left="489" w:right="482"/>
              <w:jc w:val="right"/>
              <w:rPr>
                <w:sz w:val="20"/>
                <w:szCs w:val="20"/>
              </w:rPr>
            </w:pPr>
            <w:r>
              <w:rPr>
                <w:sz w:val="20"/>
                <w:szCs w:val="20"/>
              </w:rPr>
              <w:t>350</w:t>
            </w:r>
          </w:p>
        </w:tc>
        <w:tc>
          <w:tcPr>
            <w:tcW w:w="1640" w:type="dxa"/>
            <w:tcBorders>
              <w:top w:val="single" w:sz="8" w:space="0" w:color="000000"/>
              <w:left w:val="nil"/>
              <w:bottom w:val="single" w:sz="8" w:space="0" w:color="000000"/>
              <w:right w:val="single" w:sz="8" w:space="0" w:color="000000"/>
            </w:tcBorders>
            <w:hideMark/>
          </w:tcPr>
          <w:p w14:paraId="61F07BED" w14:textId="77777777" w:rsidR="00B07AE6" w:rsidRDefault="00B07AE6" w:rsidP="00345F2A">
            <w:pPr>
              <w:overflowPunct w:val="0"/>
              <w:spacing w:before="3"/>
              <w:ind w:left="5"/>
              <w:jc w:val="right"/>
              <w:rPr>
                <w:sz w:val="20"/>
                <w:szCs w:val="20"/>
              </w:rPr>
            </w:pPr>
            <w:r>
              <w:rPr>
                <w:sz w:val="20"/>
                <w:szCs w:val="20"/>
              </w:rPr>
              <w:t>1</w:t>
            </w:r>
          </w:p>
        </w:tc>
        <w:tc>
          <w:tcPr>
            <w:tcW w:w="1196" w:type="dxa"/>
            <w:tcBorders>
              <w:top w:val="single" w:sz="8" w:space="0" w:color="000000"/>
              <w:left w:val="nil"/>
              <w:bottom w:val="single" w:sz="8" w:space="0" w:color="000000"/>
              <w:right w:val="single" w:sz="8" w:space="0" w:color="000000"/>
            </w:tcBorders>
            <w:hideMark/>
          </w:tcPr>
          <w:p w14:paraId="61CF15C7" w14:textId="77777777" w:rsidR="00B07AE6" w:rsidRDefault="00B07AE6" w:rsidP="00345F2A">
            <w:pPr>
              <w:overflowPunct w:val="0"/>
              <w:spacing w:before="3"/>
              <w:ind w:left="113" w:right="110"/>
              <w:jc w:val="right"/>
              <w:rPr>
                <w:sz w:val="20"/>
                <w:szCs w:val="20"/>
              </w:rPr>
            </w:pPr>
            <w:r>
              <w:rPr>
                <w:sz w:val="20"/>
                <w:szCs w:val="20"/>
              </w:rPr>
              <w:t>350</w:t>
            </w:r>
          </w:p>
        </w:tc>
        <w:tc>
          <w:tcPr>
            <w:tcW w:w="1489" w:type="dxa"/>
            <w:tcBorders>
              <w:top w:val="single" w:sz="8" w:space="0" w:color="000000"/>
              <w:left w:val="nil"/>
              <w:bottom w:val="single" w:sz="8" w:space="0" w:color="000000"/>
              <w:right w:val="single" w:sz="8" w:space="0" w:color="000000"/>
            </w:tcBorders>
            <w:hideMark/>
          </w:tcPr>
          <w:p w14:paraId="60835599" w14:textId="77777777" w:rsidR="00B07AE6" w:rsidRDefault="00B07AE6" w:rsidP="00345F2A">
            <w:pPr>
              <w:overflowPunct w:val="0"/>
              <w:spacing w:before="3"/>
              <w:ind w:left="753"/>
              <w:jc w:val="right"/>
              <w:rPr>
                <w:sz w:val="20"/>
                <w:szCs w:val="20"/>
              </w:rPr>
            </w:pPr>
            <w:r>
              <w:rPr>
                <w:sz w:val="20"/>
                <w:szCs w:val="20"/>
              </w:rPr>
              <w:t>1</w:t>
            </w:r>
          </w:p>
        </w:tc>
        <w:tc>
          <w:tcPr>
            <w:tcW w:w="1718" w:type="dxa"/>
            <w:tcBorders>
              <w:top w:val="single" w:sz="8" w:space="0" w:color="000000"/>
              <w:left w:val="nil"/>
              <w:bottom w:val="single" w:sz="8" w:space="0" w:color="000000"/>
              <w:right w:val="single" w:sz="8" w:space="0" w:color="000000"/>
            </w:tcBorders>
            <w:hideMark/>
          </w:tcPr>
          <w:p w14:paraId="2977B469" w14:textId="77777777" w:rsidR="00B07AE6" w:rsidRDefault="00B07AE6" w:rsidP="00345F2A">
            <w:pPr>
              <w:overflowPunct w:val="0"/>
              <w:spacing w:before="3"/>
              <w:ind w:left="568" w:right="568"/>
              <w:jc w:val="right"/>
              <w:rPr>
                <w:sz w:val="20"/>
                <w:szCs w:val="20"/>
              </w:rPr>
            </w:pPr>
            <w:r>
              <w:rPr>
                <w:sz w:val="20"/>
                <w:szCs w:val="20"/>
              </w:rPr>
              <w:t>350</w:t>
            </w:r>
          </w:p>
        </w:tc>
      </w:tr>
      <w:tr w:rsidR="00B07AE6" w14:paraId="23098A47" w14:textId="77777777" w:rsidTr="00345F2A">
        <w:trPr>
          <w:trHeight w:val="760"/>
        </w:trPr>
        <w:tc>
          <w:tcPr>
            <w:tcW w:w="1756" w:type="dxa"/>
            <w:tcBorders>
              <w:top w:val="nil"/>
              <w:left w:val="single" w:sz="8" w:space="0" w:color="000000"/>
              <w:bottom w:val="single" w:sz="8" w:space="0" w:color="000000"/>
              <w:right w:val="single" w:sz="8" w:space="0" w:color="000000"/>
            </w:tcBorders>
            <w:hideMark/>
          </w:tcPr>
          <w:p w14:paraId="6CB5B42D" w14:textId="77777777" w:rsidR="00B07AE6" w:rsidRDefault="00B07AE6" w:rsidP="00921D9F">
            <w:pPr>
              <w:overflowPunct w:val="0"/>
              <w:spacing w:line="276" w:lineRule="auto"/>
              <w:ind w:left="263" w:firstLine="300"/>
              <w:rPr>
                <w:sz w:val="20"/>
                <w:szCs w:val="20"/>
              </w:rPr>
            </w:pPr>
            <w:r>
              <w:rPr>
                <w:sz w:val="20"/>
                <w:szCs w:val="20"/>
              </w:rPr>
              <w:t>Written Questionnaires</w:t>
            </w:r>
          </w:p>
        </w:tc>
        <w:tc>
          <w:tcPr>
            <w:tcW w:w="1469" w:type="dxa"/>
            <w:tcBorders>
              <w:top w:val="nil"/>
              <w:left w:val="nil"/>
              <w:bottom w:val="single" w:sz="8" w:space="0" w:color="000000"/>
              <w:right w:val="single" w:sz="8" w:space="0" w:color="000000"/>
            </w:tcBorders>
            <w:hideMark/>
          </w:tcPr>
          <w:p w14:paraId="11CE063B" w14:textId="24906191" w:rsidR="00B07AE6" w:rsidRDefault="00BC673F" w:rsidP="00345F2A">
            <w:pPr>
              <w:overflowPunct w:val="0"/>
              <w:spacing w:line="214" w:lineRule="exact"/>
              <w:ind w:right="522"/>
              <w:jc w:val="right"/>
              <w:rPr>
                <w:sz w:val="20"/>
                <w:szCs w:val="20"/>
              </w:rPr>
            </w:pPr>
            <w:r>
              <w:rPr>
                <w:sz w:val="20"/>
                <w:szCs w:val="20"/>
              </w:rPr>
              <w:t>8</w:t>
            </w:r>
            <w:r w:rsidR="009372DE">
              <w:rPr>
                <w:sz w:val="20"/>
                <w:szCs w:val="20"/>
              </w:rPr>
              <w:t>,</w:t>
            </w:r>
            <w:r>
              <w:rPr>
                <w:sz w:val="20"/>
                <w:szCs w:val="20"/>
              </w:rPr>
              <w:t>0</w:t>
            </w:r>
            <w:r w:rsidR="009C49CA">
              <w:rPr>
                <w:sz w:val="20"/>
                <w:szCs w:val="20"/>
              </w:rPr>
              <w:t>00</w:t>
            </w:r>
          </w:p>
        </w:tc>
        <w:tc>
          <w:tcPr>
            <w:tcW w:w="1640" w:type="dxa"/>
            <w:tcBorders>
              <w:top w:val="nil"/>
              <w:left w:val="nil"/>
              <w:bottom w:val="single" w:sz="8" w:space="0" w:color="000000"/>
              <w:right w:val="single" w:sz="8" w:space="0" w:color="000000"/>
            </w:tcBorders>
            <w:hideMark/>
          </w:tcPr>
          <w:p w14:paraId="27D1BDDB" w14:textId="77777777" w:rsidR="00B07AE6" w:rsidRDefault="00B07AE6" w:rsidP="00345F2A">
            <w:pPr>
              <w:overflowPunct w:val="0"/>
              <w:spacing w:line="214" w:lineRule="exact"/>
              <w:ind w:left="5"/>
              <w:jc w:val="right"/>
              <w:rPr>
                <w:sz w:val="20"/>
                <w:szCs w:val="20"/>
              </w:rPr>
            </w:pPr>
            <w:r>
              <w:rPr>
                <w:sz w:val="20"/>
                <w:szCs w:val="20"/>
              </w:rPr>
              <w:t>1</w:t>
            </w:r>
          </w:p>
        </w:tc>
        <w:tc>
          <w:tcPr>
            <w:tcW w:w="1196" w:type="dxa"/>
            <w:tcBorders>
              <w:top w:val="nil"/>
              <w:left w:val="nil"/>
              <w:bottom w:val="single" w:sz="8" w:space="0" w:color="000000"/>
              <w:right w:val="single" w:sz="8" w:space="0" w:color="000000"/>
            </w:tcBorders>
            <w:hideMark/>
          </w:tcPr>
          <w:p w14:paraId="346D4BC8" w14:textId="51FBCF91" w:rsidR="00B07AE6" w:rsidRDefault="00BC673F" w:rsidP="00345F2A">
            <w:pPr>
              <w:overflowPunct w:val="0"/>
              <w:spacing w:line="214" w:lineRule="exact"/>
              <w:ind w:left="111" w:right="110"/>
              <w:jc w:val="right"/>
              <w:rPr>
                <w:sz w:val="20"/>
                <w:szCs w:val="20"/>
              </w:rPr>
            </w:pPr>
            <w:r>
              <w:rPr>
                <w:sz w:val="20"/>
                <w:szCs w:val="20"/>
              </w:rPr>
              <w:t>8</w:t>
            </w:r>
            <w:r w:rsidR="009372DE">
              <w:rPr>
                <w:sz w:val="20"/>
                <w:szCs w:val="20"/>
              </w:rPr>
              <w:t>,</w:t>
            </w:r>
            <w:r>
              <w:rPr>
                <w:sz w:val="20"/>
                <w:szCs w:val="20"/>
              </w:rPr>
              <w:t>0</w:t>
            </w:r>
            <w:r w:rsidR="009C49CA">
              <w:rPr>
                <w:sz w:val="20"/>
                <w:szCs w:val="20"/>
              </w:rPr>
              <w:t>00</w:t>
            </w:r>
          </w:p>
        </w:tc>
        <w:tc>
          <w:tcPr>
            <w:tcW w:w="1489" w:type="dxa"/>
            <w:tcBorders>
              <w:top w:val="nil"/>
              <w:left w:val="nil"/>
              <w:bottom w:val="single" w:sz="8" w:space="0" w:color="000000"/>
              <w:right w:val="single" w:sz="8" w:space="0" w:color="000000"/>
            </w:tcBorders>
            <w:hideMark/>
          </w:tcPr>
          <w:p w14:paraId="60010D99" w14:textId="77777777" w:rsidR="00B07AE6" w:rsidRDefault="00B07AE6" w:rsidP="00345F2A">
            <w:pPr>
              <w:overflowPunct w:val="0"/>
              <w:spacing w:before="1"/>
              <w:ind w:left="753"/>
              <w:jc w:val="right"/>
              <w:rPr>
                <w:sz w:val="20"/>
                <w:szCs w:val="20"/>
              </w:rPr>
            </w:pPr>
            <w:r>
              <w:rPr>
                <w:sz w:val="20"/>
                <w:szCs w:val="20"/>
              </w:rPr>
              <w:t>1</w:t>
            </w:r>
          </w:p>
        </w:tc>
        <w:tc>
          <w:tcPr>
            <w:tcW w:w="1718" w:type="dxa"/>
            <w:tcBorders>
              <w:top w:val="nil"/>
              <w:left w:val="nil"/>
              <w:bottom w:val="single" w:sz="8" w:space="0" w:color="000000"/>
              <w:right w:val="single" w:sz="8" w:space="0" w:color="000000"/>
            </w:tcBorders>
            <w:hideMark/>
          </w:tcPr>
          <w:p w14:paraId="23738D89" w14:textId="17E7EC48" w:rsidR="00B07AE6" w:rsidRDefault="009372DE" w:rsidP="00345F2A">
            <w:pPr>
              <w:overflowPunct w:val="0"/>
              <w:spacing w:before="1"/>
              <w:ind w:left="568" w:right="568"/>
              <w:jc w:val="right"/>
              <w:rPr>
                <w:sz w:val="20"/>
                <w:szCs w:val="20"/>
              </w:rPr>
            </w:pPr>
            <w:r>
              <w:rPr>
                <w:sz w:val="20"/>
                <w:szCs w:val="20"/>
              </w:rPr>
              <w:t>8,000</w:t>
            </w:r>
          </w:p>
        </w:tc>
      </w:tr>
      <w:tr w:rsidR="00B07AE6" w14:paraId="03F5C944" w14:textId="77777777" w:rsidTr="00345F2A">
        <w:trPr>
          <w:trHeight w:val="481"/>
        </w:trPr>
        <w:tc>
          <w:tcPr>
            <w:tcW w:w="1756" w:type="dxa"/>
            <w:tcBorders>
              <w:top w:val="nil"/>
              <w:left w:val="single" w:sz="8" w:space="0" w:color="000000"/>
              <w:bottom w:val="single" w:sz="8" w:space="0" w:color="000000"/>
              <w:right w:val="single" w:sz="8" w:space="0" w:color="000000"/>
            </w:tcBorders>
            <w:hideMark/>
          </w:tcPr>
          <w:p w14:paraId="400A8089" w14:textId="77777777" w:rsidR="00B07AE6" w:rsidRDefault="00B07AE6" w:rsidP="00921D9F">
            <w:pPr>
              <w:overflowPunct w:val="0"/>
              <w:spacing w:before="1"/>
              <w:ind w:left="83" w:right="76"/>
              <w:rPr>
                <w:sz w:val="20"/>
                <w:szCs w:val="20"/>
              </w:rPr>
            </w:pPr>
            <w:r>
              <w:rPr>
                <w:sz w:val="20"/>
                <w:szCs w:val="20"/>
              </w:rPr>
              <w:t>Case Studies</w:t>
            </w:r>
          </w:p>
        </w:tc>
        <w:tc>
          <w:tcPr>
            <w:tcW w:w="1469" w:type="dxa"/>
            <w:tcBorders>
              <w:top w:val="nil"/>
              <w:left w:val="nil"/>
              <w:bottom w:val="single" w:sz="8" w:space="0" w:color="000000"/>
              <w:right w:val="single" w:sz="8" w:space="0" w:color="000000"/>
            </w:tcBorders>
            <w:hideMark/>
          </w:tcPr>
          <w:p w14:paraId="6DF1F131" w14:textId="77777777" w:rsidR="00B07AE6" w:rsidRDefault="00B07AE6" w:rsidP="00345F2A">
            <w:pPr>
              <w:overflowPunct w:val="0"/>
              <w:spacing w:line="214" w:lineRule="exact"/>
              <w:ind w:left="489" w:right="479"/>
              <w:jc w:val="right"/>
              <w:rPr>
                <w:sz w:val="20"/>
                <w:szCs w:val="20"/>
              </w:rPr>
            </w:pPr>
            <w:r>
              <w:rPr>
                <w:sz w:val="20"/>
                <w:szCs w:val="20"/>
              </w:rPr>
              <w:t>75</w:t>
            </w:r>
          </w:p>
        </w:tc>
        <w:tc>
          <w:tcPr>
            <w:tcW w:w="1640" w:type="dxa"/>
            <w:tcBorders>
              <w:top w:val="nil"/>
              <w:left w:val="nil"/>
              <w:bottom w:val="single" w:sz="8" w:space="0" w:color="000000"/>
              <w:right w:val="single" w:sz="8" w:space="0" w:color="000000"/>
            </w:tcBorders>
            <w:hideMark/>
          </w:tcPr>
          <w:p w14:paraId="75BED471" w14:textId="77777777" w:rsidR="00B07AE6" w:rsidRDefault="00B07AE6" w:rsidP="00345F2A">
            <w:pPr>
              <w:overflowPunct w:val="0"/>
              <w:spacing w:line="214" w:lineRule="exact"/>
              <w:ind w:left="5"/>
              <w:jc w:val="right"/>
              <w:rPr>
                <w:sz w:val="20"/>
                <w:szCs w:val="20"/>
              </w:rPr>
            </w:pPr>
            <w:r>
              <w:rPr>
                <w:sz w:val="20"/>
                <w:szCs w:val="20"/>
              </w:rPr>
              <w:t>1</w:t>
            </w:r>
          </w:p>
        </w:tc>
        <w:tc>
          <w:tcPr>
            <w:tcW w:w="1196" w:type="dxa"/>
            <w:tcBorders>
              <w:top w:val="nil"/>
              <w:left w:val="nil"/>
              <w:bottom w:val="single" w:sz="8" w:space="0" w:color="000000"/>
              <w:right w:val="single" w:sz="8" w:space="0" w:color="000000"/>
            </w:tcBorders>
            <w:hideMark/>
          </w:tcPr>
          <w:p w14:paraId="34E8E5C4" w14:textId="77777777" w:rsidR="00B07AE6" w:rsidRDefault="00B07AE6" w:rsidP="00345F2A">
            <w:pPr>
              <w:overflowPunct w:val="0"/>
              <w:spacing w:line="214" w:lineRule="exact"/>
              <w:ind w:left="113" w:right="110"/>
              <w:jc w:val="right"/>
              <w:rPr>
                <w:sz w:val="20"/>
                <w:szCs w:val="20"/>
              </w:rPr>
            </w:pPr>
            <w:r>
              <w:rPr>
                <w:sz w:val="20"/>
                <w:szCs w:val="20"/>
              </w:rPr>
              <w:t>75</w:t>
            </w:r>
          </w:p>
        </w:tc>
        <w:tc>
          <w:tcPr>
            <w:tcW w:w="1489" w:type="dxa"/>
            <w:tcBorders>
              <w:top w:val="nil"/>
              <w:left w:val="nil"/>
              <w:bottom w:val="single" w:sz="8" w:space="0" w:color="000000"/>
              <w:right w:val="single" w:sz="8" w:space="0" w:color="000000"/>
            </w:tcBorders>
            <w:hideMark/>
          </w:tcPr>
          <w:p w14:paraId="65C36DA3" w14:textId="77777777" w:rsidR="00B07AE6" w:rsidRDefault="00B07AE6" w:rsidP="00345F2A">
            <w:pPr>
              <w:overflowPunct w:val="0"/>
              <w:spacing w:before="1"/>
              <w:ind w:left="703"/>
              <w:jc w:val="right"/>
              <w:rPr>
                <w:sz w:val="20"/>
                <w:szCs w:val="20"/>
              </w:rPr>
            </w:pPr>
            <w:r>
              <w:rPr>
                <w:sz w:val="20"/>
                <w:szCs w:val="20"/>
              </w:rPr>
              <w:t>32</w:t>
            </w:r>
          </w:p>
        </w:tc>
        <w:tc>
          <w:tcPr>
            <w:tcW w:w="1718" w:type="dxa"/>
            <w:tcBorders>
              <w:top w:val="nil"/>
              <w:left w:val="nil"/>
              <w:bottom w:val="single" w:sz="8" w:space="0" w:color="000000"/>
              <w:right w:val="single" w:sz="8" w:space="0" w:color="000000"/>
            </w:tcBorders>
            <w:hideMark/>
          </w:tcPr>
          <w:p w14:paraId="1551F377" w14:textId="77777777" w:rsidR="00B07AE6" w:rsidRDefault="00B07AE6" w:rsidP="00345F2A">
            <w:pPr>
              <w:overflowPunct w:val="0"/>
              <w:spacing w:before="1"/>
              <w:ind w:left="568" w:right="568"/>
              <w:jc w:val="right"/>
              <w:rPr>
                <w:sz w:val="20"/>
                <w:szCs w:val="20"/>
              </w:rPr>
            </w:pPr>
            <w:r>
              <w:rPr>
                <w:sz w:val="20"/>
                <w:szCs w:val="20"/>
              </w:rPr>
              <w:t>2,400</w:t>
            </w:r>
          </w:p>
        </w:tc>
      </w:tr>
      <w:tr w:rsidR="00BC673F" w14:paraId="286EFADE" w14:textId="77777777" w:rsidTr="00345F2A">
        <w:trPr>
          <w:trHeight w:val="682"/>
        </w:trPr>
        <w:tc>
          <w:tcPr>
            <w:tcW w:w="1756" w:type="dxa"/>
            <w:tcBorders>
              <w:top w:val="nil"/>
              <w:left w:val="single" w:sz="8" w:space="0" w:color="000000"/>
              <w:bottom w:val="single" w:sz="8" w:space="0" w:color="000000"/>
              <w:right w:val="single" w:sz="8" w:space="0" w:color="000000"/>
            </w:tcBorders>
            <w:vAlign w:val="center"/>
            <w:hideMark/>
          </w:tcPr>
          <w:p w14:paraId="0736EF8D" w14:textId="2A0EB656" w:rsidR="00BC673F" w:rsidRDefault="00BC673F" w:rsidP="00BC673F">
            <w:pPr>
              <w:overflowPunct w:val="0"/>
              <w:spacing w:before="1"/>
              <w:ind w:left="82" w:right="76"/>
              <w:jc w:val="right"/>
              <w:rPr>
                <w:b/>
                <w:bCs/>
                <w:sz w:val="20"/>
                <w:szCs w:val="20"/>
              </w:rPr>
            </w:pPr>
            <w:r>
              <w:rPr>
                <w:b/>
                <w:bCs/>
                <w:color w:val="000000"/>
                <w:sz w:val="20"/>
                <w:szCs w:val="20"/>
              </w:rPr>
              <w:t>Annual Totals:</w:t>
            </w:r>
          </w:p>
        </w:tc>
        <w:tc>
          <w:tcPr>
            <w:tcW w:w="1469" w:type="dxa"/>
            <w:tcBorders>
              <w:top w:val="nil"/>
              <w:left w:val="nil"/>
              <w:bottom w:val="single" w:sz="8" w:space="0" w:color="000000"/>
              <w:right w:val="single" w:sz="8" w:space="0" w:color="000000"/>
            </w:tcBorders>
            <w:vAlign w:val="center"/>
            <w:hideMark/>
          </w:tcPr>
          <w:p w14:paraId="6190B063" w14:textId="1175DD7B" w:rsidR="00BC673F" w:rsidRPr="00094BAC" w:rsidRDefault="00BC673F" w:rsidP="00345F2A">
            <w:pPr>
              <w:overflowPunct w:val="0"/>
              <w:spacing w:line="214" w:lineRule="exact"/>
              <w:ind w:right="447"/>
              <w:jc w:val="right"/>
              <w:rPr>
                <w:b/>
                <w:sz w:val="20"/>
                <w:szCs w:val="20"/>
              </w:rPr>
            </w:pPr>
            <w:r>
              <w:rPr>
                <w:b/>
                <w:bCs/>
                <w:color w:val="000000"/>
                <w:sz w:val="20"/>
                <w:szCs w:val="20"/>
              </w:rPr>
              <w:t>12,500</w:t>
            </w:r>
          </w:p>
        </w:tc>
        <w:tc>
          <w:tcPr>
            <w:tcW w:w="1640" w:type="dxa"/>
            <w:tcBorders>
              <w:top w:val="nil"/>
              <w:left w:val="nil"/>
              <w:bottom w:val="single" w:sz="8" w:space="0" w:color="000000"/>
              <w:right w:val="single" w:sz="8" w:space="0" w:color="000000"/>
            </w:tcBorders>
            <w:vAlign w:val="center"/>
            <w:hideMark/>
          </w:tcPr>
          <w:p w14:paraId="06CBC0B4" w14:textId="71BE8229" w:rsidR="00BC673F" w:rsidRPr="00094BAC" w:rsidRDefault="00BC673F" w:rsidP="00345F2A">
            <w:pPr>
              <w:overflowPunct w:val="0"/>
              <w:spacing w:line="214" w:lineRule="exact"/>
              <w:ind w:left="745" w:right="741"/>
              <w:jc w:val="right"/>
              <w:rPr>
                <w:b/>
                <w:sz w:val="20"/>
                <w:szCs w:val="20"/>
              </w:rPr>
            </w:pPr>
            <w:r>
              <w:rPr>
                <w:b/>
                <w:bCs/>
                <w:color w:val="000000"/>
                <w:sz w:val="20"/>
                <w:szCs w:val="20"/>
              </w:rPr>
              <w:t>--</w:t>
            </w:r>
          </w:p>
        </w:tc>
        <w:tc>
          <w:tcPr>
            <w:tcW w:w="1196" w:type="dxa"/>
            <w:tcBorders>
              <w:top w:val="nil"/>
              <w:left w:val="nil"/>
              <w:bottom w:val="single" w:sz="8" w:space="0" w:color="000000"/>
              <w:right w:val="single" w:sz="8" w:space="0" w:color="000000"/>
            </w:tcBorders>
            <w:vAlign w:val="center"/>
            <w:hideMark/>
          </w:tcPr>
          <w:p w14:paraId="51AC5ABC" w14:textId="34944DDD" w:rsidR="00BC673F" w:rsidRPr="00094BAC" w:rsidRDefault="00BC673F" w:rsidP="00345F2A">
            <w:pPr>
              <w:overflowPunct w:val="0"/>
              <w:spacing w:line="214" w:lineRule="exact"/>
              <w:ind w:left="110" w:right="110"/>
              <w:jc w:val="right"/>
              <w:rPr>
                <w:b/>
                <w:sz w:val="20"/>
                <w:szCs w:val="20"/>
              </w:rPr>
            </w:pPr>
            <w:r>
              <w:rPr>
                <w:b/>
                <w:bCs/>
                <w:color w:val="000000"/>
                <w:sz w:val="20"/>
                <w:szCs w:val="20"/>
              </w:rPr>
              <w:t>12,500</w:t>
            </w:r>
          </w:p>
        </w:tc>
        <w:tc>
          <w:tcPr>
            <w:tcW w:w="1489" w:type="dxa"/>
            <w:tcBorders>
              <w:top w:val="nil"/>
              <w:left w:val="nil"/>
              <w:bottom w:val="single" w:sz="8" w:space="0" w:color="000000"/>
              <w:right w:val="single" w:sz="8" w:space="0" w:color="000000"/>
            </w:tcBorders>
            <w:vAlign w:val="center"/>
            <w:hideMark/>
          </w:tcPr>
          <w:p w14:paraId="5C21B19E" w14:textId="387BF193" w:rsidR="00BC673F" w:rsidRPr="00094BAC" w:rsidRDefault="00BC673F" w:rsidP="00345F2A">
            <w:pPr>
              <w:overflowPunct w:val="0"/>
              <w:spacing w:before="1"/>
              <w:ind w:left="741"/>
              <w:jc w:val="right"/>
              <w:rPr>
                <w:b/>
                <w:sz w:val="20"/>
                <w:szCs w:val="20"/>
              </w:rPr>
            </w:pPr>
            <w:r>
              <w:rPr>
                <w:b/>
                <w:bCs/>
                <w:color w:val="000000"/>
                <w:sz w:val="20"/>
                <w:szCs w:val="20"/>
              </w:rPr>
              <w:t>--</w:t>
            </w:r>
          </w:p>
        </w:tc>
        <w:tc>
          <w:tcPr>
            <w:tcW w:w="1718" w:type="dxa"/>
            <w:tcBorders>
              <w:top w:val="nil"/>
              <w:left w:val="nil"/>
              <w:bottom w:val="single" w:sz="8" w:space="0" w:color="000000"/>
              <w:right w:val="single" w:sz="8" w:space="0" w:color="000000"/>
            </w:tcBorders>
            <w:vAlign w:val="center"/>
            <w:hideMark/>
          </w:tcPr>
          <w:p w14:paraId="13A7D3A4" w14:textId="37603A28" w:rsidR="00BC673F" w:rsidRPr="00094BAC" w:rsidRDefault="00C73051" w:rsidP="00345F2A">
            <w:pPr>
              <w:overflowPunct w:val="0"/>
              <w:spacing w:before="1"/>
              <w:ind w:left="568" w:right="568"/>
              <w:jc w:val="right"/>
              <w:rPr>
                <w:b/>
                <w:sz w:val="20"/>
                <w:szCs w:val="20"/>
              </w:rPr>
            </w:pPr>
            <w:r>
              <w:rPr>
                <w:b/>
                <w:bCs/>
                <w:color w:val="000000"/>
                <w:sz w:val="20"/>
                <w:szCs w:val="20"/>
              </w:rPr>
              <w:t>12,999</w:t>
            </w:r>
          </w:p>
        </w:tc>
      </w:tr>
      <w:tr w:rsidR="005E6685" w:rsidRPr="00094BAC" w14:paraId="4EF88868" w14:textId="77777777" w:rsidTr="00345F2A">
        <w:trPr>
          <w:trHeight w:val="482"/>
        </w:trPr>
        <w:tc>
          <w:tcPr>
            <w:tcW w:w="1756" w:type="dxa"/>
            <w:tcBorders>
              <w:top w:val="nil"/>
              <w:left w:val="single" w:sz="8" w:space="0" w:color="000000"/>
              <w:bottom w:val="single" w:sz="8" w:space="0" w:color="000000"/>
              <w:right w:val="single" w:sz="8" w:space="0" w:color="000000"/>
            </w:tcBorders>
            <w:vAlign w:val="center"/>
            <w:hideMark/>
          </w:tcPr>
          <w:p w14:paraId="449AEAA5" w14:textId="4DBDCC56" w:rsidR="005E6685" w:rsidRPr="00094BAC" w:rsidRDefault="005E6685" w:rsidP="005E6685">
            <w:pPr>
              <w:overflowPunct w:val="0"/>
              <w:spacing w:before="1"/>
              <w:ind w:left="83" w:right="76"/>
              <w:jc w:val="right"/>
              <w:rPr>
                <w:b/>
                <w:bCs/>
                <w:sz w:val="20"/>
                <w:szCs w:val="20"/>
              </w:rPr>
            </w:pPr>
            <w:r>
              <w:rPr>
                <w:b/>
                <w:bCs/>
                <w:color w:val="000000"/>
                <w:sz w:val="20"/>
                <w:szCs w:val="20"/>
              </w:rPr>
              <w:t>Three Year Totals:</w:t>
            </w:r>
          </w:p>
        </w:tc>
        <w:tc>
          <w:tcPr>
            <w:tcW w:w="1469" w:type="dxa"/>
            <w:tcBorders>
              <w:top w:val="nil"/>
              <w:left w:val="nil"/>
              <w:bottom w:val="single" w:sz="8" w:space="0" w:color="000000"/>
              <w:right w:val="single" w:sz="8" w:space="0" w:color="000000"/>
            </w:tcBorders>
            <w:vAlign w:val="center"/>
            <w:hideMark/>
          </w:tcPr>
          <w:p w14:paraId="0628872C" w14:textId="0554DC28" w:rsidR="005E6685" w:rsidRPr="00094BAC" w:rsidRDefault="005E6685" w:rsidP="00345F2A">
            <w:pPr>
              <w:overflowPunct w:val="0"/>
              <w:spacing w:line="214" w:lineRule="exact"/>
              <w:ind w:right="448"/>
              <w:jc w:val="right"/>
              <w:rPr>
                <w:b/>
                <w:sz w:val="20"/>
                <w:szCs w:val="20"/>
              </w:rPr>
            </w:pPr>
            <w:r>
              <w:rPr>
                <w:b/>
                <w:bCs/>
                <w:color w:val="000000"/>
                <w:sz w:val="20"/>
                <w:szCs w:val="20"/>
              </w:rPr>
              <w:t>37,500</w:t>
            </w:r>
          </w:p>
        </w:tc>
        <w:tc>
          <w:tcPr>
            <w:tcW w:w="1640" w:type="dxa"/>
            <w:tcBorders>
              <w:top w:val="nil"/>
              <w:left w:val="nil"/>
              <w:bottom w:val="single" w:sz="8" w:space="0" w:color="000000"/>
              <w:right w:val="single" w:sz="8" w:space="0" w:color="000000"/>
            </w:tcBorders>
            <w:vAlign w:val="center"/>
            <w:hideMark/>
          </w:tcPr>
          <w:p w14:paraId="5BD6648C" w14:textId="44529F21" w:rsidR="005E6685" w:rsidRPr="00094BAC" w:rsidRDefault="005E6685" w:rsidP="00345F2A">
            <w:pPr>
              <w:overflowPunct w:val="0"/>
              <w:spacing w:line="214" w:lineRule="exact"/>
              <w:ind w:left="745" w:right="741"/>
              <w:jc w:val="right"/>
              <w:rPr>
                <w:b/>
                <w:sz w:val="20"/>
                <w:szCs w:val="20"/>
              </w:rPr>
            </w:pPr>
          </w:p>
        </w:tc>
        <w:tc>
          <w:tcPr>
            <w:tcW w:w="1196" w:type="dxa"/>
            <w:tcBorders>
              <w:top w:val="nil"/>
              <w:left w:val="nil"/>
              <w:bottom w:val="single" w:sz="8" w:space="0" w:color="000000"/>
              <w:right w:val="single" w:sz="8" w:space="0" w:color="000000"/>
            </w:tcBorders>
            <w:vAlign w:val="center"/>
            <w:hideMark/>
          </w:tcPr>
          <w:p w14:paraId="4ADC263A" w14:textId="32A974E1" w:rsidR="005E6685" w:rsidRPr="00094BAC" w:rsidRDefault="005E6685" w:rsidP="00345F2A">
            <w:pPr>
              <w:overflowPunct w:val="0"/>
              <w:spacing w:line="214" w:lineRule="exact"/>
              <w:ind w:left="110" w:right="110"/>
              <w:jc w:val="right"/>
              <w:rPr>
                <w:b/>
                <w:sz w:val="20"/>
                <w:szCs w:val="20"/>
              </w:rPr>
            </w:pPr>
            <w:r>
              <w:rPr>
                <w:b/>
                <w:bCs/>
                <w:color w:val="000000"/>
                <w:sz w:val="20"/>
                <w:szCs w:val="20"/>
              </w:rPr>
              <w:t>37,500</w:t>
            </w:r>
          </w:p>
        </w:tc>
        <w:tc>
          <w:tcPr>
            <w:tcW w:w="1489" w:type="dxa"/>
            <w:tcBorders>
              <w:top w:val="nil"/>
              <w:left w:val="nil"/>
              <w:bottom w:val="single" w:sz="8" w:space="0" w:color="000000"/>
              <w:right w:val="single" w:sz="8" w:space="0" w:color="000000"/>
            </w:tcBorders>
            <w:vAlign w:val="center"/>
            <w:hideMark/>
          </w:tcPr>
          <w:p w14:paraId="7AB350F7" w14:textId="29F5B953" w:rsidR="005E6685" w:rsidRPr="00094BAC" w:rsidRDefault="005E6685" w:rsidP="00345F2A">
            <w:pPr>
              <w:overflowPunct w:val="0"/>
              <w:spacing w:before="1"/>
              <w:ind w:left="741"/>
              <w:jc w:val="right"/>
              <w:rPr>
                <w:b/>
                <w:sz w:val="20"/>
                <w:szCs w:val="20"/>
              </w:rPr>
            </w:pPr>
            <w:r>
              <w:rPr>
                <w:b/>
                <w:bCs/>
                <w:color w:val="000000"/>
                <w:sz w:val="20"/>
                <w:szCs w:val="20"/>
              </w:rPr>
              <w:t>--</w:t>
            </w:r>
          </w:p>
        </w:tc>
        <w:tc>
          <w:tcPr>
            <w:tcW w:w="1718" w:type="dxa"/>
            <w:tcBorders>
              <w:top w:val="nil"/>
              <w:left w:val="nil"/>
              <w:bottom w:val="single" w:sz="8" w:space="0" w:color="000000"/>
              <w:right w:val="single" w:sz="8" w:space="0" w:color="000000"/>
            </w:tcBorders>
            <w:vAlign w:val="center"/>
            <w:hideMark/>
          </w:tcPr>
          <w:p w14:paraId="4C360206" w14:textId="01A3EC9F" w:rsidR="005E6685" w:rsidRPr="00094BAC" w:rsidRDefault="00C73051" w:rsidP="00345F2A">
            <w:pPr>
              <w:overflowPunct w:val="0"/>
              <w:spacing w:before="1"/>
              <w:ind w:left="568" w:right="568"/>
              <w:jc w:val="right"/>
              <w:rPr>
                <w:b/>
                <w:sz w:val="20"/>
                <w:szCs w:val="20"/>
              </w:rPr>
            </w:pPr>
            <w:r>
              <w:rPr>
                <w:b/>
                <w:bCs/>
                <w:color w:val="000000"/>
                <w:sz w:val="20"/>
                <w:szCs w:val="20"/>
              </w:rPr>
              <w:t>38,997</w:t>
            </w:r>
          </w:p>
        </w:tc>
      </w:tr>
    </w:tbl>
    <w:p w14:paraId="7CA049EC" w14:textId="77777777" w:rsidR="008A1A88" w:rsidRPr="00AD756D" w:rsidRDefault="008A1A88">
      <w:pPr>
        <w:pStyle w:val="BodyText"/>
        <w:spacing w:before="5"/>
        <w:rPr>
          <w:sz w:val="20"/>
        </w:rPr>
      </w:pPr>
    </w:p>
    <w:p w14:paraId="3BA55F7A" w14:textId="19AF3815" w:rsidR="002D017A" w:rsidRDefault="002D017A">
      <w:pPr>
        <w:pStyle w:val="BodyText"/>
        <w:ind w:left="339" w:right="458"/>
      </w:pPr>
    </w:p>
    <w:p w14:paraId="72074961" w14:textId="31977250" w:rsidR="005961F5" w:rsidRPr="002C4D12" w:rsidRDefault="005961F5">
      <w:pPr>
        <w:pStyle w:val="BodyText"/>
        <w:ind w:left="339" w:right="458"/>
        <w:rPr>
          <w:b/>
        </w:rPr>
      </w:pPr>
      <w:r w:rsidRPr="002C4D12">
        <w:rPr>
          <w:b/>
        </w:rPr>
        <w:t xml:space="preserve">Exhibit </w:t>
      </w:r>
      <w:r w:rsidR="006F41B7">
        <w:rPr>
          <w:b/>
        </w:rPr>
        <w:t>2</w:t>
      </w:r>
      <w:r w:rsidRPr="002C4D12">
        <w:rPr>
          <w:b/>
        </w:rPr>
        <w:t xml:space="preserve">: </w:t>
      </w:r>
      <w:r w:rsidR="002F3ABA">
        <w:rPr>
          <w:b/>
        </w:rPr>
        <w:t>Associated Labor Costs</w:t>
      </w:r>
    </w:p>
    <w:p w14:paraId="3AB71732" w14:textId="2F685EA6" w:rsidR="005961F5" w:rsidRDefault="005961F5">
      <w:pPr>
        <w:pStyle w:val="BodyText"/>
        <w:ind w:left="339" w:right="458"/>
      </w:pP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2160"/>
        <w:gridCol w:w="2340"/>
        <w:gridCol w:w="2790"/>
      </w:tblGrid>
      <w:tr w:rsidR="002F3ABA" w:rsidRPr="00AD756D" w14:paraId="3E067D7E" w14:textId="77777777" w:rsidTr="003E6965">
        <w:trPr>
          <w:trHeight w:val="1041"/>
        </w:trPr>
        <w:tc>
          <w:tcPr>
            <w:tcW w:w="2610" w:type="dxa"/>
            <w:shd w:val="clear" w:color="auto" w:fill="D9D9D9"/>
          </w:tcPr>
          <w:p w14:paraId="61F1D8A1" w14:textId="0CA8143E" w:rsidR="002F3ABA" w:rsidRPr="004F5456" w:rsidRDefault="002F3ABA" w:rsidP="00A74C12">
            <w:pPr>
              <w:pStyle w:val="TableParagraph"/>
              <w:spacing w:before="1"/>
              <w:jc w:val="center"/>
              <w:rPr>
                <w:rFonts w:ascii="Times New Roman" w:hAnsi="Times New Roman" w:cs="Times New Roman"/>
                <w:b/>
              </w:rPr>
            </w:pPr>
            <w:r>
              <w:rPr>
                <w:rFonts w:ascii="Times New Roman" w:hAnsi="Times New Roman" w:cs="Times New Roman"/>
                <w:b/>
              </w:rPr>
              <w:t>Title (BLS Occupation Code)</w:t>
            </w:r>
          </w:p>
        </w:tc>
        <w:tc>
          <w:tcPr>
            <w:tcW w:w="2160" w:type="dxa"/>
            <w:shd w:val="clear" w:color="auto" w:fill="D9D9D9"/>
          </w:tcPr>
          <w:p w14:paraId="161072C8" w14:textId="22100D41" w:rsidR="002F3ABA" w:rsidRPr="004F5456" w:rsidRDefault="002F3ABA" w:rsidP="00A74C12">
            <w:pPr>
              <w:pStyle w:val="TableParagraph"/>
              <w:spacing w:line="278" w:lineRule="auto"/>
              <w:ind w:left="90"/>
              <w:jc w:val="center"/>
              <w:rPr>
                <w:rFonts w:ascii="Times New Roman" w:hAnsi="Times New Roman" w:cs="Times New Roman"/>
                <w:b/>
              </w:rPr>
            </w:pPr>
            <w:r>
              <w:rPr>
                <w:rFonts w:ascii="Times New Roman" w:hAnsi="Times New Roman" w:cs="Times New Roman"/>
                <w:b/>
              </w:rPr>
              <w:t>Rate (USD)</w:t>
            </w:r>
          </w:p>
        </w:tc>
        <w:tc>
          <w:tcPr>
            <w:tcW w:w="2340" w:type="dxa"/>
            <w:shd w:val="clear" w:color="auto" w:fill="D9D9D9"/>
          </w:tcPr>
          <w:p w14:paraId="1010116A" w14:textId="284DBF61" w:rsidR="002F3ABA" w:rsidRDefault="002F3ABA" w:rsidP="00A74C12">
            <w:pPr>
              <w:pStyle w:val="TableParagraph"/>
              <w:spacing w:line="278" w:lineRule="auto"/>
              <w:ind w:left="90"/>
              <w:jc w:val="center"/>
              <w:rPr>
                <w:rFonts w:ascii="Times New Roman" w:hAnsi="Times New Roman" w:cs="Times New Roman"/>
                <w:b/>
              </w:rPr>
            </w:pPr>
            <w:r w:rsidRPr="00040D85">
              <w:rPr>
                <w:rFonts w:ascii="Times New Roman" w:hAnsi="Times New Roman" w:cs="Times New Roman"/>
                <w:b/>
              </w:rPr>
              <w:t>Weighted rate (Rate x Percent of task, USD)</w:t>
            </w:r>
          </w:p>
        </w:tc>
        <w:tc>
          <w:tcPr>
            <w:tcW w:w="2790" w:type="dxa"/>
            <w:shd w:val="clear" w:color="auto" w:fill="D9D9D9"/>
          </w:tcPr>
          <w:p w14:paraId="5378D02C" w14:textId="3CB2F3D1" w:rsidR="002F3ABA" w:rsidRPr="004F5456" w:rsidRDefault="002F3ABA" w:rsidP="002F3ABA">
            <w:pPr>
              <w:pStyle w:val="TableParagraph"/>
              <w:spacing w:line="278" w:lineRule="auto"/>
              <w:ind w:left="90"/>
              <w:jc w:val="center"/>
              <w:rPr>
                <w:rFonts w:ascii="Times New Roman" w:hAnsi="Times New Roman" w:cs="Times New Roman"/>
                <w:b/>
              </w:rPr>
            </w:pPr>
            <w:r>
              <w:rPr>
                <w:rFonts w:ascii="Times New Roman" w:hAnsi="Times New Roman" w:cs="Times New Roman"/>
                <w:b/>
              </w:rPr>
              <w:t>Cost per response (Weighted rate x Average hours per response, USD)</w:t>
            </w:r>
          </w:p>
        </w:tc>
      </w:tr>
      <w:tr w:rsidR="002F3ABA" w:rsidRPr="00AD756D" w14:paraId="5EFC0153" w14:textId="77777777" w:rsidTr="003E6965">
        <w:trPr>
          <w:trHeight w:val="107"/>
        </w:trPr>
        <w:tc>
          <w:tcPr>
            <w:tcW w:w="2610" w:type="dxa"/>
          </w:tcPr>
          <w:p w14:paraId="78714B17" w14:textId="77777777" w:rsidR="002F3ABA" w:rsidRDefault="00E44377" w:rsidP="003E6965">
            <w:pPr>
              <w:pStyle w:val="TableParagraph"/>
              <w:spacing w:before="3"/>
              <w:ind w:left="90" w:right="265"/>
              <w:jc w:val="center"/>
              <w:rPr>
                <w:rFonts w:ascii="Times New Roman" w:hAnsi="Times New Roman" w:cs="Times New Roman"/>
              </w:rPr>
            </w:pPr>
            <w:r w:rsidRPr="003E6965">
              <w:rPr>
                <w:rFonts w:ascii="Times New Roman" w:hAnsi="Times New Roman" w:cs="Times New Roman"/>
              </w:rPr>
              <w:t>Compliance Officers (13-1041)</w:t>
            </w:r>
          </w:p>
          <w:p w14:paraId="1A090E36" w14:textId="5119A0CB" w:rsidR="00040D85" w:rsidRPr="004F5456" w:rsidRDefault="00040D85" w:rsidP="003E6965">
            <w:pPr>
              <w:pStyle w:val="TableParagraph"/>
              <w:spacing w:before="3"/>
              <w:ind w:left="90" w:right="265"/>
              <w:jc w:val="center"/>
              <w:rPr>
                <w:rFonts w:ascii="Times New Roman" w:hAnsi="Times New Roman" w:cs="Times New Roman"/>
              </w:rPr>
            </w:pPr>
            <w:r>
              <w:rPr>
                <w:rFonts w:ascii="Times New Roman" w:hAnsi="Times New Roman" w:cs="Times New Roman"/>
              </w:rPr>
              <w:t>75% of tasks</w:t>
            </w:r>
          </w:p>
        </w:tc>
        <w:tc>
          <w:tcPr>
            <w:tcW w:w="2160" w:type="dxa"/>
          </w:tcPr>
          <w:p w14:paraId="6872F360" w14:textId="5FA1B78C" w:rsidR="002F3ABA" w:rsidRPr="004F5456" w:rsidRDefault="00E44377" w:rsidP="00921D9F">
            <w:pPr>
              <w:pStyle w:val="TableParagraph"/>
              <w:spacing w:before="3"/>
              <w:ind w:left="90" w:right="265"/>
              <w:jc w:val="right"/>
              <w:rPr>
                <w:rFonts w:ascii="Times New Roman" w:hAnsi="Times New Roman" w:cs="Times New Roman"/>
              </w:rPr>
            </w:pPr>
            <w:r w:rsidRPr="003E6965">
              <w:rPr>
                <w:rFonts w:ascii="Times New Roman" w:hAnsi="Times New Roman" w:cs="Times New Roman"/>
              </w:rPr>
              <w:t>$34.60</w:t>
            </w:r>
          </w:p>
        </w:tc>
        <w:tc>
          <w:tcPr>
            <w:tcW w:w="2340" w:type="dxa"/>
          </w:tcPr>
          <w:p w14:paraId="1CEF87D6" w14:textId="6AF8A036" w:rsidR="002F3ABA" w:rsidRPr="004F5456" w:rsidRDefault="005E703C" w:rsidP="00921D9F">
            <w:pPr>
              <w:pStyle w:val="TableParagraph"/>
              <w:spacing w:before="3"/>
              <w:ind w:left="90" w:right="265"/>
              <w:jc w:val="right"/>
              <w:rPr>
                <w:rFonts w:ascii="Times New Roman" w:hAnsi="Times New Roman" w:cs="Times New Roman"/>
              </w:rPr>
            </w:pPr>
            <w:r>
              <w:rPr>
                <w:rFonts w:ascii="Times New Roman" w:hAnsi="Times New Roman" w:cs="Times New Roman"/>
              </w:rPr>
              <w:t>$25.95</w:t>
            </w:r>
          </w:p>
        </w:tc>
        <w:tc>
          <w:tcPr>
            <w:tcW w:w="2790" w:type="dxa"/>
          </w:tcPr>
          <w:p w14:paraId="2C3AEE0A" w14:textId="0B697119" w:rsidR="002F3ABA" w:rsidRPr="004F5456" w:rsidRDefault="005E703C" w:rsidP="00921D9F">
            <w:pPr>
              <w:pStyle w:val="TableParagraph"/>
              <w:spacing w:before="3"/>
              <w:ind w:left="90" w:right="265"/>
              <w:jc w:val="right"/>
              <w:rPr>
                <w:rFonts w:ascii="Times New Roman" w:hAnsi="Times New Roman" w:cs="Times New Roman"/>
              </w:rPr>
            </w:pPr>
            <w:r>
              <w:rPr>
                <w:rFonts w:ascii="Times New Roman" w:hAnsi="Times New Roman" w:cs="Times New Roman"/>
              </w:rPr>
              <w:t>$363.30</w:t>
            </w:r>
          </w:p>
        </w:tc>
      </w:tr>
      <w:tr w:rsidR="002F3ABA" w:rsidRPr="00AD756D" w14:paraId="33027E29" w14:textId="77777777" w:rsidTr="003E6965">
        <w:trPr>
          <w:trHeight w:val="71"/>
        </w:trPr>
        <w:tc>
          <w:tcPr>
            <w:tcW w:w="2610" w:type="dxa"/>
          </w:tcPr>
          <w:p w14:paraId="54DA3669" w14:textId="77777777" w:rsidR="005E703C" w:rsidRDefault="00E44377" w:rsidP="003E6965">
            <w:pPr>
              <w:pStyle w:val="TableParagraph"/>
              <w:spacing w:before="3"/>
              <w:ind w:left="90" w:right="265"/>
              <w:jc w:val="center"/>
              <w:rPr>
                <w:rFonts w:ascii="Times New Roman" w:hAnsi="Times New Roman" w:cs="Times New Roman"/>
              </w:rPr>
            </w:pPr>
            <w:r w:rsidRPr="003E6965">
              <w:rPr>
                <w:rFonts w:ascii="Times New Roman" w:hAnsi="Times New Roman" w:cs="Times New Roman"/>
              </w:rPr>
              <w:t xml:space="preserve">Managers, All Other </w:t>
            </w:r>
          </w:p>
          <w:p w14:paraId="02F54E2C" w14:textId="77777777" w:rsidR="002F3ABA" w:rsidRDefault="00E44377" w:rsidP="003E6965">
            <w:pPr>
              <w:pStyle w:val="TableParagraph"/>
              <w:spacing w:before="3"/>
              <w:ind w:left="90" w:right="265"/>
              <w:jc w:val="center"/>
              <w:rPr>
                <w:rFonts w:ascii="Times New Roman" w:hAnsi="Times New Roman" w:cs="Times New Roman"/>
              </w:rPr>
            </w:pPr>
            <w:r w:rsidRPr="003E6965">
              <w:rPr>
                <w:rFonts w:ascii="Times New Roman" w:hAnsi="Times New Roman" w:cs="Times New Roman"/>
              </w:rPr>
              <w:t>(11-9199)</w:t>
            </w:r>
          </w:p>
          <w:p w14:paraId="04CBBD79" w14:textId="695D99ED" w:rsidR="00040D85" w:rsidRPr="004F5456" w:rsidRDefault="00040D85" w:rsidP="003E6965">
            <w:pPr>
              <w:pStyle w:val="TableParagraph"/>
              <w:spacing w:before="3"/>
              <w:ind w:left="90" w:right="265"/>
              <w:jc w:val="center"/>
              <w:rPr>
                <w:rFonts w:ascii="Times New Roman" w:hAnsi="Times New Roman" w:cs="Times New Roman"/>
              </w:rPr>
            </w:pPr>
            <w:r>
              <w:rPr>
                <w:rFonts w:ascii="Times New Roman" w:hAnsi="Times New Roman" w:cs="Times New Roman"/>
              </w:rPr>
              <w:t>25% of tasks</w:t>
            </w:r>
          </w:p>
        </w:tc>
        <w:tc>
          <w:tcPr>
            <w:tcW w:w="2160" w:type="dxa"/>
          </w:tcPr>
          <w:p w14:paraId="17308926" w14:textId="41F63E3C" w:rsidR="002F3ABA" w:rsidRPr="004F5456" w:rsidRDefault="00E44377" w:rsidP="00921D9F">
            <w:pPr>
              <w:pStyle w:val="TableParagraph"/>
              <w:spacing w:before="3"/>
              <w:ind w:left="90" w:right="265"/>
              <w:jc w:val="right"/>
              <w:rPr>
                <w:rFonts w:ascii="Times New Roman" w:hAnsi="Times New Roman" w:cs="Times New Roman"/>
              </w:rPr>
            </w:pPr>
            <w:r w:rsidRPr="003E6965">
              <w:rPr>
                <w:rFonts w:ascii="Times New Roman" w:hAnsi="Times New Roman" w:cs="Times New Roman"/>
              </w:rPr>
              <w:t>$56.58</w:t>
            </w:r>
          </w:p>
        </w:tc>
        <w:tc>
          <w:tcPr>
            <w:tcW w:w="2340" w:type="dxa"/>
          </w:tcPr>
          <w:p w14:paraId="3C0A4781" w14:textId="784E39EF" w:rsidR="002F3ABA" w:rsidRPr="004F5456" w:rsidRDefault="005E703C" w:rsidP="00921D9F">
            <w:pPr>
              <w:pStyle w:val="TableParagraph"/>
              <w:spacing w:before="3"/>
              <w:ind w:left="90" w:right="265"/>
              <w:jc w:val="right"/>
              <w:rPr>
                <w:rFonts w:ascii="Times New Roman" w:hAnsi="Times New Roman" w:cs="Times New Roman"/>
              </w:rPr>
            </w:pPr>
            <w:r>
              <w:rPr>
                <w:rFonts w:ascii="Times New Roman" w:hAnsi="Times New Roman" w:cs="Times New Roman"/>
              </w:rPr>
              <w:t>$14.15</w:t>
            </w:r>
          </w:p>
        </w:tc>
        <w:tc>
          <w:tcPr>
            <w:tcW w:w="2790" w:type="dxa"/>
          </w:tcPr>
          <w:p w14:paraId="7165EB63" w14:textId="4C686499" w:rsidR="002F3ABA" w:rsidRPr="004F5456" w:rsidRDefault="005E703C" w:rsidP="00921D9F">
            <w:pPr>
              <w:pStyle w:val="TableParagraph"/>
              <w:spacing w:before="3"/>
              <w:ind w:left="90" w:right="265"/>
              <w:jc w:val="right"/>
              <w:rPr>
                <w:rFonts w:ascii="Times New Roman" w:hAnsi="Times New Roman" w:cs="Times New Roman"/>
              </w:rPr>
            </w:pPr>
            <w:r>
              <w:rPr>
                <w:rFonts w:ascii="Times New Roman" w:hAnsi="Times New Roman" w:cs="Times New Roman"/>
              </w:rPr>
              <w:t>$198.10</w:t>
            </w:r>
          </w:p>
        </w:tc>
      </w:tr>
    </w:tbl>
    <w:p w14:paraId="5AF05242" w14:textId="73D4FC71" w:rsidR="00B5084E" w:rsidRPr="00AD756D" w:rsidRDefault="00B5084E" w:rsidP="002F3ABA">
      <w:pPr>
        <w:pStyle w:val="BodyText"/>
        <w:ind w:right="458"/>
      </w:pPr>
    </w:p>
    <w:p w14:paraId="68C953B0" w14:textId="77777777" w:rsidR="00645B19" w:rsidRPr="00AD756D" w:rsidRDefault="00645B19">
      <w:pPr>
        <w:pStyle w:val="BodyText"/>
        <w:spacing w:before="11"/>
        <w:rPr>
          <w:b/>
          <w:sz w:val="19"/>
        </w:rPr>
      </w:pPr>
    </w:p>
    <w:p w14:paraId="54B61C81" w14:textId="738D36E4" w:rsidR="008F4411" w:rsidRPr="008F4411" w:rsidRDefault="008F4411" w:rsidP="006373C9">
      <w:pPr>
        <w:pStyle w:val="Heading1"/>
        <w:numPr>
          <w:ilvl w:val="0"/>
          <w:numId w:val="1"/>
        </w:numPr>
        <w:tabs>
          <w:tab w:val="left" w:pos="700"/>
        </w:tabs>
        <w:ind w:left="680" w:hanging="360"/>
        <w:jc w:val="left"/>
        <w:rPr>
          <w:u w:val="none"/>
        </w:rPr>
      </w:pPr>
      <w:r w:rsidRPr="00783C12">
        <w:rPr>
          <w:u w:val="thick"/>
        </w:rPr>
        <w:t>Estimated Total Annual Cost Burden to Respondents or Recordkeepers</w:t>
      </w:r>
    </w:p>
    <w:p w14:paraId="27ECB390" w14:textId="281E784C" w:rsidR="008F4411" w:rsidRDefault="008F4411" w:rsidP="008F4411">
      <w:pPr>
        <w:pStyle w:val="Heading1"/>
        <w:tabs>
          <w:tab w:val="left" w:pos="700"/>
        </w:tabs>
        <w:ind w:left="320" w:firstLine="0"/>
        <w:rPr>
          <w:u w:val="none"/>
        </w:rPr>
      </w:pPr>
    </w:p>
    <w:p w14:paraId="33F9B5C1" w14:textId="03A2F120" w:rsidR="008F4411" w:rsidRPr="008F4411" w:rsidRDefault="008F4411" w:rsidP="008F4411">
      <w:pPr>
        <w:pStyle w:val="Heading1"/>
        <w:tabs>
          <w:tab w:val="left" w:pos="700"/>
        </w:tabs>
        <w:ind w:left="320" w:firstLine="0"/>
        <w:rPr>
          <w:b w:val="0"/>
          <w:bCs w:val="0"/>
          <w:u w:val="none"/>
        </w:rPr>
      </w:pPr>
      <w:r w:rsidRPr="008F4411">
        <w:rPr>
          <w:b w:val="0"/>
          <w:bCs w:val="0"/>
          <w:u w:val="none"/>
        </w:rPr>
        <w:t>There are no material costs incurred by respondent</w:t>
      </w:r>
      <w:r w:rsidR="00355F14">
        <w:rPr>
          <w:b w:val="0"/>
          <w:bCs w:val="0"/>
          <w:u w:val="none"/>
        </w:rPr>
        <w:t>s</w:t>
      </w:r>
      <w:r w:rsidRPr="008F4411">
        <w:rPr>
          <w:b w:val="0"/>
          <w:bCs w:val="0"/>
          <w:u w:val="none"/>
        </w:rPr>
        <w:t xml:space="preserve"> to these information collection</w:t>
      </w:r>
      <w:r w:rsidR="00355F14">
        <w:rPr>
          <w:b w:val="0"/>
          <w:bCs w:val="0"/>
          <w:u w:val="none"/>
        </w:rPr>
        <w:t>s</w:t>
      </w:r>
      <w:r>
        <w:rPr>
          <w:b w:val="0"/>
          <w:bCs w:val="0"/>
          <w:u w:val="none"/>
        </w:rPr>
        <w:t>.</w:t>
      </w:r>
    </w:p>
    <w:p w14:paraId="33B4B2D3" w14:textId="77777777" w:rsidR="008F4411" w:rsidRPr="008F4411" w:rsidRDefault="008F4411" w:rsidP="008F4411">
      <w:pPr>
        <w:pStyle w:val="Heading1"/>
        <w:tabs>
          <w:tab w:val="left" w:pos="700"/>
        </w:tabs>
        <w:ind w:left="320" w:firstLine="0"/>
        <w:rPr>
          <w:u w:val="none"/>
        </w:rPr>
      </w:pPr>
    </w:p>
    <w:p w14:paraId="12068A27" w14:textId="63A0B92C" w:rsidR="00645B19" w:rsidRPr="00AD756D" w:rsidRDefault="009E141B" w:rsidP="006373C9">
      <w:pPr>
        <w:pStyle w:val="Heading1"/>
        <w:numPr>
          <w:ilvl w:val="0"/>
          <w:numId w:val="1"/>
        </w:numPr>
        <w:tabs>
          <w:tab w:val="left" w:pos="700"/>
        </w:tabs>
        <w:ind w:left="680" w:hanging="360"/>
        <w:jc w:val="left"/>
        <w:rPr>
          <w:u w:val="none"/>
        </w:rPr>
      </w:pPr>
      <w:r w:rsidRPr="00AD756D">
        <w:rPr>
          <w:u w:val="thick"/>
        </w:rPr>
        <w:t>Estimated Cost to the Federal</w:t>
      </w:r>
      <w:r w:rsidRPr="00AD756D">
        <w:rPr>
          <w:spacing w:val="-3"/>
          <w:u w:val="thick"/>
        </w:rPr>
        <w:t xml:space="preserve"> </w:t>
      </w:r>
      <w:r w:rsidRPr="00AD756D">
        <w:rPr>
          <w:u w:val="thick"/>
        </w:rPr>
        <w:t>Government</w:t>
      </w:r>
    </w:p>
    <w:p w14:paraId="1FEEAA33" w14:textId="77777777" w:rsidR="00645B19" w:rsidRPr="00AD756D" w:rsidRDefault="00645B19">
      <w:pPr>
        <w:pStyle w:val="BodyText"/>
        <w:spacing w:before="2"/>
        <w:rPr>
          <w:b/>
          <w:sz w:val="20"/>
        </w:rPr>
      </w:pPr>
    </w:p>
    <w:p w14:paraId="22042A90" w14:textId="77777777" w:rsidR="00645B19" w:rsidRPr="00AD756D" w:rsidRDefault="009E141B" w:rsidP="00040D85">
      <w:pPr>
        <w:pStyle w:val="BodyText"/>
        <w:spacing w:before="90"/>
        <w:ind w:left="346" w:right="173"/>
      </w:pPr>
      <w:r w:rsidRPr="00AD756D">
        <w:t>The Bureau does not anticipate significant costs to the federal government as a result of implementing these information collections. For some collections, the Bureau may retain a contractor to assist with instrument development, as well as collection and analysis of information. Costs to the Bureau will be provided in each information collection request made under this generic.</w:t>
      </w:r>
    </w:p>
    <w:p w14:paraId="14E1AD75" w14:textId="449E6267" w:rsidR="00645B19" w:rsidRDefault="00645B19">
      <w:pPr>
        <w:pStyle w:val="BodyText"/>
        <w:rPr>
          <w:sz w:val="26"/>
        </w:rPr>
      </w:pPr>
    </w:p>
    <w:p w14:paraId="3B363796" w14:textId="77777777" w:rsidR="00345F2A" w:rsidRPr="00AD756D" w:rsidRDefault="00345F2A">
      <w:pPr>
        <w:pStyle w:val="BodyText"/>
        <w:rPr>
          <w:sz w:val="26"/>
        </w:rPr>
      </w:pPr>
    </w:p>
    <w:p w14:paraId="30C81E7F" w14:textId="77777777" w:rsidR="00645B19" w:rsidRPr="00AD756D" w:rsidRDefault="009E141B" w:rsidP="002C4D12">
      <w:pPr>
        <w:pStyle w:val="Heading1"/>
        <w:numPr>
          <w:ilvl w:val="0"/>
          <w:numId w:val="1"/>
        </w:numPr>
        <w:tabs>
          <w:tab w:val="left" w:pos="681"/>
        </w:tabs>
        <w:ind w:left="680" w:hanging="360"/>
        <w:jc w:val="left"/>
        <w:rPr>
          <w:u w:val="none"/>
        </w:rPr>
      </w:pPr>
      <w:r w:rsidRPr="00AD756D">
        <w:rPr>
          <w:u w:val="thick"/>
        </w:rPr>
        <w:t>Program Changes or</w:t>
      </w:r>
      <w:r w:rsidRPr="00AD756D">
        <w:rPr>
          <w:spacing w:val="-8"/>
          <w:u w:val="thick"/>
        </w:rPr>
        <w:t xml:space="preserve"> </w:t>
      </w:r>
      <w:r w:rsidRPr="00AD756D">
        <w:rPr>
          <w:u w:val="thick"/>
        </w:rPr>
        <w:t>Adjustments</w:t>
      </w:r>
    </w:p>
    <w:p w14:paraId="0846C26F" w14:textId="77777777" w:rsidR="00645B19" w:rsidRPr="00AD756D" w:rsidRDefault="00645B19">
      <w:pPr>
        <w:pStyle w:val="BodyText"/>
        <w:spacing w:before="2"/>
        <w:rPr>
          <w:b/>
          <w:sz w:val="20"/>
        </w:rPr>
      </w:pPr>
    </w:p>
    <w:p w14:paraId="1D9DDD11" w14:textId="77777777" w:rsidR="00645B19" w:rsidRPr="00AD756D" w:rsidRDefault="009E141B">
      <w:pPr>
        <w:spacing w:before="52"/>
        <w:ind w:left="219"/>
        <w:rPr>
          <w:b/>
          <w:sz w:val="24"/>
        </w:rPr>
      </w:pPr>
      <w:r w:rsidRPr="00AD756D">
        <w:rPr>
          <w:b/>
          <w:sz w:val="24"/>
        </w:rPr>
        <w:t>Exhibit 2: Burden Change Summary</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800"/>
        <w:gridCol w:w="1620"/>
        <w:gridCol w:w="2071"/>
        <w:gridCol w:w="1390"/>
      </w:tblGrid>
      <w:tr w:rsidR="00645B19" w:rsidRPr="00AD756D" w14:paraId="33ECBEAE" w14:textId="77777777" w:rsidTr="00345F2A">
        <w:trPr>
          <w:trHeight w:val="876"/>
          <w:tblHeader/>
        </w:trPr>
        <w:tc>
          <w:tcPr>
            <w:tcW w:w="2268" w:type="dxa"/>
            <w:shd w:val="clear" w:color="auto" w:fill="D9D9D9" w:themeFill="background1" w:themeFillShade="D9"/>
          </w:tcPr>
          <w:p w14:paraId="4C368641" w14:textId="77777777" w:rsidR="00645B19" w:rsidRPr="004816A4" w:rsidRDefault="00645B19" w:rsidP="00345F2A">
            <w:pPr>
              <w:pStyle w:val="TableParagraph"/>
              <w:jc w:val="center"/>
              <w:rPr>
                <w:rFonts w:ascii="Times New Roman" w:hAnsi="Times New Roman" w:cs="Times New Roman"/>
              </w:rPr>
            </w:pPr>
          </w:p>
        </w:tc>
        <w:tc>
          <w:tcPr>
            <w:tcW w:w="1800" w:type="dxa"/>
            <w:shd w:val="clear" w:color="auto" w:fill="D9D9D9" w:themeFill="background1" w:themeFillShade="D9"/>
          </w:tcPr>
          <w:p w14:paraId="62C9447A" w14:textId="77777777" w:rsidR="00645B19" w:rsidRPr="004816A4" w:rsidRDefault="009E141B" w:rsidP="00345F2A">
            <w:pPr>
              <w:pStyle w:val="TableParagraph"/>
              <w:spacing w:line="278" w:lineRule="auto"/>
              <w:ind w:left="252" w:right="222" w:hanging="30"/>
              <w:jc w:val="center"/>
              <w:rPr>
                <w:rFonts w:ascii="Times New Roman" w:hAnsi="Times New Roman" w:cs="Times New Roman"/>
                <w:b/>
              </w:rPr>
            </w:pPr>
            <w:r w:rsidRPr="004816A4">
              <w:rPr>
                <w:rFonts w:ascii="Times New Roman" w:hAnsi="Times New Roman" w:cs="Times New Roman"/>
                <w:b/>
              </w:rPr>
              <w:t>Total Respondents</w:t>
            </w:r>
          </w:p>
        </w:tc>
        <w:tc>
          <w:tcPr>
            <w:tcW w:w="1620" w:type="dxa"/>
            <w:shd w:val="clear" w:color="auto" w:fill="D9D9D9" w:themeFill="background1" w:themeFillShade="D9"/>
          </w:tcPr>
          <w:p w14:paraId="5E54E67E" w14:textId="77777777" w:rsidR="00645B19" w:rsidRPr="004816A4" w:rsidRDefault="009E141B" w:rsidP="00345F2A">
            <w:pPr>
              <w:pStyle w:val="TableParagraph"/>
              <w:spacing w:line="292" w:lineRule="exact"/>
              <w:ind w:left="283" w:hanging="30"/>
              <w:jc w:val="center"/>
              <w:rPr>
                <w:rFonts w:ascii="Times New Roman" w:hAnsi="Times New Roman" w:cs="Times New Roman"/>
                <w:b/>
              </w:rPr>
            </w:pPr>
            <w:r w:rsidRPr="004816A4">
              <w:rPr>
                <w:rFonts w:ascii="Times New Roman" w:hAnsi="Times New Roman" w:cs="Times New Roman"/>
                <w:b/>
              </w:rPr>
              <w:t>Responses</w:t>
            </w:r>
          </w:p>
        </w:tc>
        <w:tc>
          <w:tcPr>
            <w:tcW w:w="2071" w:type="dxa"/>
            <w:shd w:val="clear" w:color="auto" w:fill="D9D9D9" w:themeFill="background1" w:themeFillShade="D9"/>
          </w:tcPr>
          <w:p w14:paraId="7A1B585F" w14:textId="77777777" w:rsidR="00645B19" w:rsidRPr="004816A4" w:rsidRDefault="009E141B" w:rsidP="00345F2A">
            <w:pPr>
              <w:pStyle w:val="TableParagraph"/>
              <w:spacing w:line="292" w:lineRule="exact"/>
              <w:ind w:left="349" w:hanging="30"/>
              <w:jc w:val="center"/>
              <w:rPr>
                <w:rFonts w:ascii="Times New Roman" w:hAnsi="Times New Roman" w:cs="Times New Roman"/>
                <w:b/>
              </w:rPr>
            </w:pPr>
            <w:r w:rsidRPr="004816A4">
              <w:rPr>
                <w:rFonts w:ascii="Times New Roman" w:hAnsi="Times New Roman" w:cs="Times New Roman"/>
                <w:b/>
              </w:rPr>
              <w:t>Burden Hours</w:t>
            </w:r>
          </w:p>
        </w:tc>
        <w:tc>
          <w:tcPr>
            <w:tcW w:w="1390" w:type="dxa"/>
            <w:shd w:val="clear" w:color="auto" w:fill="D9D9D9" w:themeFill="background1" w:themeFillShade="D9"/>
          </w:tcPr>
          <w:p w14:paraId="061A243C" w14:textId="77777777" w:rsidR="00645B19" w:rsidRPr="004816A4" w:rsidRDefault="009E141B" w:rsidP="00345F2A">
            <w:pPr>
              <w:pStyle w:val="TableParagraph"/>
              <w:spacing w:line="278" w:lineRule="auto"/>
              <w:ind w:right="-2"/>
              <w:jc w:val="center"/>
              <w:rPr>
                <w:rFonts w:ascii="Times New Roman" w:hAnsi="Times New Roman" w:cs="Times New Roman"/>
                <w:b/>
              </w:rPr>
            </w:pPr>
            <w:r w:rsidRPr="004816A4">
              <w:rPr>
                <w:rFonts w:ascii="Times New Roman" w:hAnsi="Times New Roman" w:cs="Times New Roman"/>
                <w:b/>
              </w:rPr>
              <w:t>Cost Burden (O &amp; M)</w:t>
            </w:r>
          </w:p>
        </w:tc>
      </w:tr>
      <w:tr w:rsidR="00F33892" w:rsidRPr="002101FB" w14:paraId="14771E7E" w14:textId="77777777" w:rsidTr="002C4D12">
        <w:trPr>
          <w:trHeight w:val="873"/>
        </w:trPr>
        <w:tc>
          <w:tcPr>
            <w:tcW w:w="2268" w:type="dxa"/>
          </w:tcPr>
          <w:p w14:paraId="1C5BEB7C" w14:textId="77777777" w:rsidR="00F33892" w:rsidRPr="004816A4" w:rsidRDefault="00F33892" w:rsidP="00F33892">
            <w:pPr>
              <w:pStyle w:val="TableParagraph"/>
              <w:spacing w:line="276" w:lineRule="auto"/>
              <w:ind w:left="108" w:right="869"/>
              <w:rPr>
                <w:rFonts w:ascii="Times New Roman" w:hAnsi="Times New Roman" w:cs="Times New Roman"/>
              </w:rPr>
            </w:pPr>
            <w:r w:rsidRPr="004816A4">
              <w:rPr>
                <w:rFonts w:ascii="Times New Roman" w:hAnsi="Times New Roman" w:cs="Times New Roman"/>
              </w:rPr>
              <w:t>Total Burden Requested</w:t>
            </w:r>
          </w:p>
        </w:tc>
        <w:tc>
          <w:tcPr>
            <w:tcW w:w="1800" w:type="dxa"/>
          </w:tcPr>
          <w:p w14:paraId="0D65B876" w14:textId="15FB109D" w:rsidR="00F33892" w:rsidRPr="004816A4" w:rsidRDefault="005E6685" w:rsidP="00C73051">
            <w:pPr>
              <w:pStyle w:val="TableParagraph"/>
              <w:spacing w:line="276" w:lineRule="auto"/>
              <w:ind w:left="108" w:right="833"/>
              <w:jc w:val="right"/>
              <w:rPr>
                <w:rFonts w:ascii="Times New Roman" w:hAnsi="Times New Roman" w:cs="Times New Roman"/>
              </w:rPr>
            </w:pPr>
            <w:r>
              <w:rPr>
                <w:rFonts w:ascii="Times New Roman" w:hAnsi="Times New Roman" w:cs="Times New Roman"/>
              </w:rPr>
              <w:t>37,500</w:t>
            </w:r>
          </w:p>
        </w:tc>
        <w:tc>
          <w:tcPr>
            <w:tcW w:w="1620" w:type="dxa"/>
          </w:tcPr>
          <w:p w14:paraId="12623421" w14:textId="5BB911A1" w:rsidR="00F33892" w:rsidRPr="004816A4" w:rsidRDefault="005E6685" w:rsidP="00C73051">
            <w:pPr>
              <w:pStyle w:val="TableParagraph"/>
              <w:spacing w:line="276" w:lineRule="auto"/>
              <w:ind w:left="108" w:right="833"/>
              <w:jc w:val="right"/>
              <w:rPr>
                <w:rFonts w:ascii="Times New Roman" w:hAnsi="Times New Roman" w:cs="Times New Roman"/>
              </w:rPr>
            </w:pPr>
            <w:r>
              <w:rPr>
                <w:rFonts w:ascii="Times New Roman" w:hAnsi="Times New Roman" w:cs="Times New Roman"/>
              </w:rPr>
              <w:t>37,500</w:t>
            </w:r>
          </w:p>
        </w:tc>
        <w:tc>
          <w:tcPr>
            <w:tcW w:w="2071" w:type="dxa"/>
          </w:tcPr>
          <w:p w14:paraId="5C767E60" w14:textId="70B9790A" w:rsidR="00F33892" w:rsidRPr="004816A4" w:rsidRDefault="00C73051" w:rsidP="00C73051">
            <w:pPr>
              <w:pStyle w:val="TableParagraph"/>
              <w:spacing w:line="276" w:lineRule="auto"/>
              <w:ind w:left="108" w:right="833"/>
              <w:jc w:val="right"/>
              <w:rPr>
                <w:rFonts w:ascii="Times New Roman" w:hAnsi="Times New Roman" w:cs="Times New Roman"/>
              </w:rPr>
            </w:pPr>
            <w:r>
              <w:rPr>
                <w:rFonts w:ascii="Times New Roman" w:hAnsi="Times New Roman" w:cs="Times New Roman"/>
              </w:rPr>
              <w:t>38,997</w:t>
            </w:r>
          </w:p>
        </w:tc>
        <w:tc>
          <w:tcPr>
            <w:tcW w:w="1390" w:type="dxa"/>
          </w:tcPr>
          <w:p w14:paraId="48DAFF0B" w14:textId="2019FCEA" w:rsidR="00F33892" w:rsidRPr="004816A4" w:rsidRDefault="00F33892" w:rsidP="00C73051">
            <w:pPr>
              <w:pStyle w:val="TableParagraph"/>
              <w:spacing w:line="276" w:lineRule="auto"/>
              <w:ind w:left="108" w:right="833"/>
              <w:jc w:val="right"/>
              <w:rPr>
                <w:rFonts w:ascii="Times New Roman" w:hAnsi="Times New Roman" w:cs="Times New Roman"/>
              </w:rPr>
            </w:pPr>
            <w:r w:rsidRPr="004816A4">
              <w:rPr>
                <w:rFonts w:ascii="Times New Roman" w:hAnsi="Times New Roman" w:cs="Times New Roman"/>
              </w:rPr>
              <w:t>0</w:t>
            </w:r>
          </w:p>
        </w:tc>
      </w:tr>
      <w:tr w:rsidR="00F33892" w:rsidRPr="00AD756D" w14:paraId="363DC630" w14:textId="77777777" w:rsidTr="002C4D12">
        <w:trPr>
          <w:trHeight w:val="873"/>
        </w:trPr>
        <w:tc>
          <w:tcPr>
            <w:tcW w:w="2268" w:type="dxa"/>
          </w:tcPr>
          <w:p w14:paraId="38D984EA" w14:textId="77777777" w:rsidR="00F33892" w:rsidRPr="004816A4" w:rsidRDefault="00F33892" w:rsidP="00F33892">
            <w:pPr>
              <w:pStyle w:val="TableParagraph"/>
              <w:spacing w:line="276" w:lineRule="auto"/>
              <w:ind w:left="108" w:right="833"/>
              <w:rPr>
                <w:rFonts w:ascii="Times New Roman" w:hAnsi="Times New Roman" w:cs="Times New Roman"/>
              </w:rPr>
            </w:pPr>
            <w:r w:rsidRPr="004816A4">
              <w:rPr>
                <w:rFonts w:ascii="Times New Roman" w:hAnsi="Times New Roman" w:cs="Times New Roman"/>
              </w:rPr>
              <w:t>Current OMB Inventory</w:t>
            </w:r>
          </w:p>
        </w:tc>
        <w:tc>
          <w:tcPr>
            <w:tcW w:w="1800" w:type="dxa"/>
          </w:tcPr>
          <w:p w14:paraId="0BCCE73E" w14:textId="11548E99" w:rsidR="00F33892" w:rsidRPr="004816A4" w:rsidRDefault="00CC06D4" w:rsidP="00C73051">
            <w:pPr>
              <w:pStyle w:val="TableParagraph"/>
              <w:spacing w:line="268" w:lineRule="exact"/>
              <w:ind w:right="94"/>
              <w:jc w:val="right"/>
              <w:rPr>
                <w:rFonts w:ascii="Times New Roman" w:hAnsi="Times New Roman" w:cs="Times New Roman"/>
              </w:rPr>
            </w:pPr>
            <w:r>
              <w:rPr>
                <w:rFonts w:ascii="Times New Roman" w:hAnsi="Times New Roman" w:cs="Times New Roman"/>
              </w:rPr>
              <w:t>0</w:t>
            </w:r>
          </w:p>
        </w:tc>
        <w:tc>
          <w:tcPr>
            <w:tcW w:w="1620" w:type="dxa"/>
          </w:tcPr>
          <w:p w14:paraId="4ECFEE05" w14:textId="7DCE54E1" w:rsidR="00F33892" w:rsidRPr="004816A4" w:rsidRDefault="00CC06D4" w:rsidP="00C73051">
            <w:pPr>
              <w:pStyle w:val="TableParagraph"/>
              <w:spacing w:line="268" w:lineRule="exact"/>
              <w:ind w:right="94"/>
              <w:jc w:val="right"/>
              <w:rPr>
                <w:rFonts w:ascii="Times New Roman" w:hAnsi="Times New Roman" w:cs="Times New Roman"/>
              </w:rPr>
            </w:pPr>
            <w:r>
              <w:rPr>
                <w:rFonts w:ascii="Times New Roman" w:hAnsi="Times New Roman" w:cs="Times New Roman"/>
              </w:rPr>
              <w:t>0</w:t>
            </w:r>
          </w:p>
        </w:tc>
        <w:tc>
          <w:tcPr>
            <w:tcW w:w="2071" w:type="dxa"/>
          </w:tcPr>
          <w:p w14:paraId="19EB0E02" w14:textId="3F46C57E" w:rsidR="00F33892" w:rsidRPr="004816A4" w:rsidRDefault="00CC06D4" w:rsidP="00C73051">
            <w:pPr>
              <w:pStyle w:val="TableParagraph"/>
              <w:spacing w:line="268" w:lineRule="exact"/>
              <w:ind w:right="95"/>
              <w:jc w:val="right"/>
              <w:rPr>
                <w:rFonts w:ascii="Times New Roman" w:hAnsi="Times New Roman" w:cs="Times New Roman"/>
              </w:rPr>
            </w:pPr>
            <w:r>
              <w:rPr>
                <w:rFonts w:ascii="Times New Roman" w:hAnsi="Times New Roman" w:cs="Times New Roman"/>
              </w:rPr>
              <w:t>0</w:t>
            </w:r>
          </w:p>
        </w:tc>
        <w:tc>
          <w:tcPr>
            <w:tcW w:w="1390" w:type="dxa"/>
          </w:tcPr>
          <w:p w14:paraId="6985348C" w14:textId="77777777" w:rsidR="00F33892" w:rsidRPr="004816A4" w:rsidRDefault="00F33892" w:rsidP="00C73051">
            <w:pPr>
              <w:pStyle w:val="TableParagraph"/>
              <w:spacing w:line="292" w:lineRule="exact"/>
              <w:ind w:right="92"/>
              <w:jc w:val="right"/>
              <w:rPr>
                <w:rFonts w:ascii="Times New Roman" w:hAnsi="Times New Roman" w:cs="Times New Roman"/>
              </w:rPr>
            </w:pPr>
            <w:r w:rsidRPr="004816A4">
              <w:rPr>
                <w:rFonts w:ascii="Times New Roman" w:hAnsi="Times New Roman" w:cs="Times New Roman"/>
              </w:rPr>
              <w:t>0</w:t>
            </w:r>
          </w:p>
        </w:tc>
      </w:tr>
      <w:tr w:rsidR="005E6685" w:rsidRPr="00AD756D" w14:paraId="44CDEDBB" w14:textId="77777777" w:rsidTr="002C4D12">
        <w:trPr>
          <w:trHeight w:val="537"/>
        </w:trPr>
        <w:tc>
          <w:tcPr>
            <w:tcW w:w="2268" w:type="dxa"/>
          </w:tcPr>
          <w:p w14:paraId="7AE8E56B" w14:textId="77777777" w:rsidR="005E6685" w:rsidRPr="004816A4" w:rsidRDefault="005E6685" w:rsidP="005E6685">
            <w:pPr>
              <w:pStyle w:val="TableParagraph"/>
              <w:spacing w:line="292" w:lineRule="exact"/>
              <w:ind w:left="108"/>
              <w:rPr>
                <w:rFonts w:ascii="Times New Roman" w:hAnsi="Times New Roman" w:cs="Times New Roman"/>
              </w:rPr>
            </w:pPr>
            <w:r w:rsidRPr="004816A4">
              <w:rPr>
                <w:rFonts w:ascii="Times New Roman" w:hAnsi="Times New Roman" w:cs="Times New Roman"/>
              </w:rPr>
              <w:t>Difference (+/-)</w:t>
            </w:r>
          </w:p>
        </w:tc>
        <w:tc>
          <w:tcPr>
            <w:tcW w:w="1800" w:type="dxa"/>
          </w:tcPr>
          <w:p w14:paraId="53B62CBC" w14:textId="49BED058" w:rsidR="005E6685" w:rsidRPr="004816A4" w:rsidRDefault="005E6685" w:rsidP="00C73051">
            <w:pPr>
              <w:pStyle w:val="TableParagraph"/>
              <w:spacing w:line="292" w:lineRule="exact"/>
              <w:ind w:right="113"/>
              <w:jc w:val="right"/>
              <w:rPr>
                <w:rFonts w:ascii="Times New Roman" w:hAnsi="Times New Roman" w:cs="Times New Roman"/>
              </w:rPr>
            </w:pPr>
            <w:r>
              <w:rPr>
                <w:rFonts w:ascii="Times New Roman" w:hAnsi="Times New Roman" w:cs="Times New Roman"/>
              </w:rPr>
              <w:t>37,500</w:t>
            </w:r>
          </w:p>
        </w:tc>
        <w:tc>
          <w:tcPr>
            <w:tcW w:w="1620" w:type="dxa"/>
          </w:tcPr>
          <w:p w14:paraId="0EDF13AC" w14:textId="384B8B6C" w:rsidR="005E6685" w:rsidRPr="004816A4" w:rsidRDefault="005E6685" w:rsidP="00C73051">
            <w:pPr>
              <w:pStyle w:val="TableParagraph"/>
              <w:spacing w:line="292" w:lineRule="exact"/>
              <w:ind w:right="93"/>
              <w:jc w:val="right"/>
              <w:rPr>
                <w:rFonts w:ascii="Times New Roman" w:hAnsi="Times New Roman" w:cs="Times New Roman"/>
              </w:rPr>
            </w:pPr>
            <w:r>
              <w:rPr>
                <w:rFonts w:ascii="Times New Roman" w:hAnsi="Times New Roman" w:cs="Times New Roman"/>
              </w:rPr>
              <w:t>37,500</w:t>
            </w:r>
          </w:p>
        </w:tc>
        <w:tc>
          <w:tcPr>
            <w:tcW w:w="2071" w:type="dxa"/>
          </w:tcPr>
          <w:p w14:paraId="1F026C20" w14:textId="5873CC19" w:rsidR="005E6685" w:rsidRPr="004816A4" w:rsidRDefault="00C73051" w:rsidP="00C73051">
            <w:pPr>
              <w:pStyle w:val="TableParagraph"/>
              <w:spacing w:line="292" w:lineRule="exact"/>
              <w:ind w:right="95"/>
              <w:jc w:val="right"/>
              <w:rPr>
                <w:rFonts w:ascii="Times New Roman" w:hAnsi="Times New Roman" w:cs="Times New Roman"/>
              </w:rPr>
            </w:pPr>
            <w:r>
              <w:rPr>
                <w:rFonts w:ascii="Times New Roman" w:hAnsi="Times New Roman" w:cs="Times New Roman"/>
              </w:rPr>
              <w:t>38,997</w:t>
            </w:r>
          </w:p>
        </w:tc>
        <w:tc>
          <w:tcPr>
            <w:tcW w:w="1390" w:type="dxa"/>
          </w:tcPr>
          <w:p w14:paraId="3AFADBC5" w14:textId="715FB864" w:rsidR="005E6685" w:rsidRPr="004816A4" w:rsidRDefault="005E6685" w:rsidP="00C73051">
            <w:pPr>
              <w:pStyle w:val="TableParagraph"/>
              <w:spacing w:line="292" w:lineRule="exact"/>
              <w:ind w:right="92"/>
              <w:jc w:val="right"/>
              <w:rPr>
                <w:rFonts w:ascii="Times New Roman" w:hAnsi="Times New Roman" w:cs="Times New Roman"/>
              </w:rPr>
            </w:pPr>
            <w:r w:rsidRPr="004816A4">
              <w:rPr>
                <w:rFonts w:ascii="Times New Roman" w:hAnsi="Times New Roman" w:cs="Times New Roman"/>
              </w:rPr>
              <w:t>0</w:t>
            </w:r>
          </w:p>
        </w:tc>
      </w:tr>
      <w:tr w:rsidR="005E6685" w:rsidRPr="00AD756D" w14:paraId="0C3778E8" w14:textId="77777777" w:rsidTr="002C4D12">
        <w:trPr>
          <w:trHeight w:val="537"/>
        </w:trPr>
        <w:tc>
          <w:tcPr>
            <w:tcW w:w="2268" w:type="dxa"/>
            <w:shd w:val="clear" w:color="auto" w:fill="E4E4E4"/>
          </w:tcPr>
          <w:p w14:paraId="2B25FE9E" w14:textId="77777777" w:rsidR="005E6685" w:rsidRPr="004816A4" w:rsidRDefault="005E6685" w:rsidP="005E6685">
            <w:pPr>
              <w:pStyle w:val="TableParagraph"/>
              <w:spacing w:line="292" w:lineRule="exact"/>
              <w:rPr>
                <w:rFonts w:ascii="Times New Roman" w:hAnsi="Times New Roman" w:cs="Times New Roman"/>
              </w:rPr>
            </w:pPr>
            <w:r w:rsidRPr="004816A4">
              <w:rPr>
                <w:rFonts w:ascii="Times New Roman" w:hAnsi="Times New Roman" w:cs="Times New Roman"/>
              </w:rPr>
              <w:t>Program Change</w:t>
            </w:r>
          </w:p>
        </w:tc>
        <w:tc>
          <w:tcPr>
            <w:tcW w:w="1800" w:type="dxa"/>
            <w:shd w:val="clear" w:color="auto" w:fill="E4E4E4"/>
          </w:tcPr>
          <w:p w14:paraId="6BA5CB83" w14:textId="11ADA2DA" w:rsidR="005E6685" w:rsidRPr="004816A4" w:rsidRDefault="005E6685" w:rsidP="00C73051">
            <w:pPr>
              <w:pStyle w:val="TableParagraph"/>
              <w:spacing w:line="292" w:lineRule="exact"/>
              <w:ind w:right="95"/>
              <w:jc w:val="right"/>
              <w:rPr>
                <w:rFonts w:ascii="Times New Roman" w:hAnsi="Times New Roman" w:cs="Times New Roman"/>
              </w:rPr>
            </w:pPr>
            <w:r>
              <w:rPr>
                <w:rFonts w:ascii="Times New Roman" w:hAnsi="Times New Roman" w:cs="Times New Roman"/>
              </w:rPr>
              <w:t>37,500</w:t>
            </w:r>
          </w:p>
        </w:tc>
        <w:tc>
          <w:tcPr>
            <w:tcW w:w="1620" w:type="dxa"/>
            <w:shd w:val="clear" w:color="auto" w:fill="E4E4E4"/>
          </w:tcPr>
          <w:p w14:paraId="527D51CE" w14:textId="25282E2D" w:rsidR="005E6685" w:rsidRPr="004816A4" w:rsidRDefault="005E6685" w:rsidP="00C73051">
            <w:pPr>
              <w:pStyle w:val="TableParagraph"/>
              <w:spacing w:line="292" w:lineRule="exact"/>
              <w:ind w:right="95"/>
              <w:jc w:val="right"/>
              <w:rPr>
                <w:rFonts w:ascii="Times New Roman" w:hAnsi="Times New Roman" w:cs="Times New Roman"/>
              </w:rPr>
            </w:pPr>
            <w:r>
              <w:rPr>
                <w:rFonts w:ascii="Times New Roman" w:hAnsi="Times New Roman" w:cs="Times New Roman"/>
              </w:rPr>
              <w:t>37,500</w:t>
            </w:r>
          </w:p>
        </w:tc>
        <w:tc>
          <w:tcPr>
            <w:tcW w:w="2071" w:type="dxa"/>
            <w:shd w:val="clear" w:color="auto" w:fill="E4E4E4"/>
          </w:tcPr>
          <w:p w14:paraId="2CB8375C" w14:textId="7A2C53DA" w:rsidR="005E6685" w:rsidRPr="004816A4" w:rsidRDefault="00C73051" w:rsidP="00C73051">
            <w:pPr>
              <w:pStyle w:val="TableParagraph"/>
              <w:spacing w:line="292" w:lineRule="exact"/>
              <w:ind w:right="97"/>
              <w:jc w:val="right"/>
              <w:rPr>
                <w:rFonts w:ascii="Times New Roman" w:hAnsi="Times New Roman" w:cs="Times New Roman"/>
              </w:rPr>
            </w:pPr>
            <w:r>
              <w:rPr>
                <w:rFonts w:ascii="Times New Roman" w:hAnsi="Times New Roman" w:cs="Times New Roman"/>
              </w:rPr>
              <w:t>38,997</w:t>
            </w:r>
          </w:p>
        </w:tc>
        <w:tc>
          <w:tcPr>
            <w:tcW w:w="1390" w:type="dxa"/>
            <w:shd w:val="clear" w:color="auto" w:fill="E4E4E4"/>
          </w:tcPr>
          <w:p w14:paraId="32309100" w14:textId="073A3161" w:rsidR="005E6685" w:rsidRPr="004816A4" w:rsidRDefault="005E6685" w:rsidP="00C73051">
            <w:pPr>
              <w:pStyle w:val="TableParagraph"/>
              <w:spacing w:line="292" w:lineRule="exact"/>
              <w:ind w:right="92"/>
              <w:jc w:val="right"/>
              <w:rPr>
                <w:rFonts w:ascii="Times New Roman" w:hAnsi="Times New Roman" w:cs="Times New Roman"/>
              </w:rPr>
            </w:pPr>
            <w:r w:rsidRPr="004816A4">
              <w:rPr>
                <w:rFonts w:ascii="Times New Roman" w:hAnsi="Times New Roman" w:cs="Times New Roman"/>
              </w:rPr>
              <w:t>0</w:t>
            </w:r>
          </w:p>
        </w:tc>
      </w:tr>
      <w:tr w:rsidR="00F33892" w:rsidRPr="00AD756D" w14:paraId="4E36F258" w14:textId="77777777" w:rsidTr="002C4D12">
        <w:trPr>
          <w:trHeight w:val="537"/>
        </w:trPr>
        <w:tc>
          <w:tcPr>
            <w:tcW w:w="2268" w:type="dxa"/>
            <w:shd w:val="clear" w:color="auto" w:fill="E4E4E4"/>
          </w:tcPr>
          <w:p w14:paraId="1A3A3706" w14:textId="77777777" w:rsidR="00F33892" w:rsidRPr="004816A4" w:rsidRDefault="00F33892" w:rsidP="00F33892">
            <w:pPr>
              <w:pStyle w:val="TableParagraph"/>
              <w:spacing w:before="1"/>
              <w:ind w:right="129"/>
              <w:rPr>
                <w:rFonts w:ascii="Times New Roman" w:hAnsi="Times New Roman" w:cs="Times New Roman"/>
              </w:rPr>
            </w:pPr>
            <w:r w:rsidRPr="004816A4">
              <w:rPr>
                <w:rFonts w:ascii="Times New Roman" w:hAnsi="Times New Roman" w:cs="Times New Roman"/>
              </w:rPr>
              <w:t>Discretionary</w:t>
            </w:r>
          </w:p>
        </w:tc>
        <w:tc>
          <w:tcPr>
            <w:tcW w:w="1800" w:type="dxa"/>
            <w:shd w:val="clear" w:color="auto" w:fill="E4E4E4"/>
          </w:tcPr>
          <w:p w14:paraId="465D9016" w14:textId="77777777" w:rsidR="00F33892" w:rsidRPr="004816A4" w:rsidRDefault="00F33892" w:rsidP="00C73051">
            <w:pPr>
              <w:pStyle w:val="TableParagraph"/>
              <w:spacing w:before="1"/>
              <w:ind w:right="95"/>
              <w:jc w:val="right"/>
              <w:rPr>
                <w:rFonts w:ascii="Times New Roman" w:hAnsi="Times New Roman" w:cs="Times New Roman"/>
              </w:rPr>
            </w:pPr>
            <w:r w:rsidRPr="004816A4">
              <w:rPr>
                <w:rFonts w:ascii="Times New Roman" w:hAnsi="Times New Roman" w:cs="Times New Roman"/>
              </w:rPr>
              <w:t>0</w:t>
            </w:r>
          </w:p>
        </w:tc>
        <w:tc>
          <w:tcPr>
            <w:tcW w:w="1620" w:type="dxa"/>
            <w:shd w:val="clear" w:color="auto" w:fill="E4E4E4"/>
          </w:tcPr>
          <w:p w14:paraId="0E6D6A98" w14:textId="77777777" w:rsidR="00F33892" w:rsidRPr="004816A4" w:rsidRDefault="00F33892" w:rsidP="00C73051">
            <w:pPr>
              <w:pStyle w:val="TableParagraph"/>
              <w:spacing w:before="1"/>
              <w:ind w:right="95"/>
              <w:jc w:val="right"/>
              <w:rPr>
                <w:rFonts w:ascii="Times New Roman" w:hAnsi="Times New Roman" w:cs="Times New Roman"/>
              </w:rPr>
            </w:pPr>
            <w:r w:rsidRPr="004816A4">
              <w:rPr>
                <w:rFonts w:ascii="Times New Roman" w:hAnsi="Times New Roman" w:cs="Times New Roman"/>
              </w:rPr>
              <w:t>0</w:t>
            </w:r>
          </w:p>
        </w:tc>
        <w:tc>
          <w:tcPr>
            <w:tcW w:w="2071" w:type="dxa"/>
            <w:shd w:val="clear" w:color="auto" w:fill="E4E4E4"/>
          </w:tcPr>
          <w:p w14:paraId="169F1174" w14:textId="77777777" w:rsidR="00F33892" w:rsidRPr="004816A4" w:rsidRDefault="00F33892" w:rsidP="00C73051">
            <w:pPr>
              <w:pStyle w:val="TableParagraph"/>
              <w:spacing w:before="1"/>
              <w:ind w:right="97"/>
              <w:jc w:val="right"/>
              <w:rPr>
                <w:rFonts w:ascii="Times New Roman" w:hAnsi="Times New Roman" w:cs="Times New Roman"/>
              </w:rPr>
            </w:pPr>
            <w:r w:rsidRPr="004816A4">
              <w:rPr>
                <w:rFonts w:ascii="Times New Roman" w:hAnsi="Times New Roman" w:cs="Times New Roman"/>
              </w:rPr>
              <w:t>0</w:t>
            </w:r>
          </w:p>
        </w:tc>
        <w:tc>
          <w:tcPr>
            <w:tcW w:w="1390" w:type="dxa"/>
            <w:shd w:val="clear" w:color="auto" w:fill="E4E4E4"/>
          </w:tcPr>
          <w:p w14:paraId="6F6D4683" w14:textId="77777777" w:rsidR="00F33892" w:rsidRPr="004816A4" w:rsidRDefault="00F33892" w:rsidP="00C73051">
            <w:pPr>
              <w:pStyle w:val="TableParagraph"/>
              <w:spacing w:before="1"/>
              <w:ind w:right="92"/>
              <w:jc w:val="right"/>
              <w:rPr>
                <w:rFonts w:ascii="Times New Roman" w:hAnsi="Times New Roman" w:cs="Times New Roman"/>
              </w:rPr>
            </w:pPr>
            <w:r w:rsidRPr="004816A4">
              <w:rPr>
                <w:rFonts w:ascii="Times New Roman" w:hAnsi="Times New Roman" w:cs="Times New Roman"/>
              </w:rPr>
              <w:t>0</w:t>
            </w:r>
          </w:p>
        </w:tc>
      </w:tr>
      <w:tr w:rsidR="00F33892" w:rsidRPr="00AD756D" w14:paraId="22710C2F" w14:textId="77777777" w:rsidTr="002C4D12">
        <w:trPr>
          <w:trHeight w:val="537"/>
        </w:trPr>
        <w:tc>
          <w:tcPr>
            <w:tcW w:w="2268" w:type="dxa"/>
            <w:shd w:val="clear" w:color="auto" w:fill="E4E4E4"/>
          </w:tcPr>
          <w:p w14:paraId="2CFC0365" w14:textId="77777777" w:rsidR="00F33892" w:rsidRPr="004816A4" w:rsidRDefault="00F33892" w:rsidP="00F33892">
            <w:pPr>
              <w:pStyle w:val="TableParagraph"/>
              <w:spacing w:line="293" w:lineRule="exact"/>
              <w:ind w:right="214"/>
              <w:rPr>
                <w:rFonts w:ascii="Times New Roman" w:hAnsi="Times New Roman" w:cs="Times New Roman"/>
              </w:rPr>
            </w:pPr>
            <w:r w:rsidRPr="004816A4">
              <w:rPr>
                <w:rFonts w:ascii="Times New Roman" w:hAnsi="Times New Roman" w:cs="Times New Roman"/>
              </w:rPr>
              <w:t>New Statute</w:t>
            </w:r>
          </w:p>
        </w:tc>
        <w:tc>
          <w:tcPr>
            <w:tcW w:w="1800" w:type="dxa"/>
            <w:shd w:val="clear" w:color="auto" w:fill="E4E4E4"/>
          </w:tcPr>
          <w:p w14:paraId="5B1B02F8" w14:textId="77777777" w:rsidR="00F33892" w:rsidRPr="004816A4" w:rsidRDefault="00F33892" w:rsidP="00C73051">
            <w:pPr>
              <w:pStyle w:val="TableParagraph"/>
              <w:spacing w:line="293" w:lineRule="exact"/>
              <w:ind w:right="95"/>
              <w:jc w:val="right"/>
              <w:rPr>
                <w:rFonts w:ascii="Times New Roman" w:hAnsi="Times New Roman" w:cs="Times New Roman"/>
              </w:rPr>
            </w:pPr>
            <w:r w:rsidRPr="004816A4">
              <w:rPr>
                <w:rFonts w:ascii="Times New Roman" w:hAnsi="Times New Roman" w:cs="Times New Roman"/>
              </w:rPr>
              <w:t>0</w:t>
            </w:r>
          </w:p>
        </w:tc>
        <w:tc>
          <w:tcPr>
            <w:tcW w:w="1620" w:type="dxa"/>
            <w:shd w:val="clear" w:color="auto" w:fill="E4E4E4"/>
          </w:tcPr>
          <w:p w14:paraId="364DD6A9" w14:textId="77777777" w:rsidR="00F33892" w:rsidRPr="004816A4" w:rsidRDefault="00F33892" w:rsidP="00C73051">
            <w:pPr>
              <w:pStyle w:val="TableParagraph"/>
              <w:spacing w:line="293" w:lineRule="exact"/>
              <w:ind w:right="95"/>
              <w:jc w:val="right"/>
              <w:rPr>
                <w:rFonts w:ascii="Times New Roman" w:hAnsi="Times New Roman" w:cs="Times New Roman"/>
              </w:rPr>
            </w:pPr>
            <w:r w:rsidRPr="004816A4">
              <w:rPr>
                <w:rFonts w:ascii="Times New Roman" w:hAnsi="Times New Roman" w:cs="Times New Roman"/>
              </w:rPr>
              <w:t>0</w:t>
            </w:r>
          </w:p>
        </w:tc>
        <w:tc>
          <w:tcPr>
            <w:tcW w:w="2071" w:type="dxa"/>
            <w:shd w:val="clear" w:color="auto" w:fill="E4E4E4"/>
          </w:tcPr>
          <w:p w14:paraId="6330E0D1" w14:textId="77777777" w:rsidR="00F33892" w:rsidRPr="004816A4" w:rsidRDefault="00F33892" w:rsidP="00C73051">
            <w:pPr>
              <w:pStyle w:val="TableParagraph"/>
              <w:spacing w:line="293" w:lineRule="exact"/>
              <w:ind w:right="97"/>
              <w:jc w:val="right"/>
              <w:rPr>
                <w:rFonts w:ascii="Times New Roman" w:hAnsi="Times New Roman" w:cs="Times New Roman"/>
              </w:rPr>
            </w:pPr>
            <w:r w:rsidRPr="004816A4">
              <w:rPr>
                <w:rFonts w:ascii="Times New Roman" w:hAnsi="Times New Roman" w:cs="Times New Roman"/>
              </w:rPr>
              <w:t>0</w:t>
            </w:r>
          </w:p>
        </w:tc>
        <w:tc>
          <w:tcPr>
            <w:tcW w:w="1390" w:type="dxa"/>
            <w:shd w:val="clear" w:color="auto" w:fill="E4E4E4"/>
          </w:tcPr>
          <w:p w14:paraId="652DA071" w14:textId="77777777" w:rsidR="00F33892" w:rsidRPr="004816A4" w:rsidRDefault="00F33892" w:rsidP="00C73051">
            <w:pPr>
              <w:pStyle w:val="TableParagraph"/>
              <w:spacing w:line="293" w:lineRule="exact"/>
              <w:ind w:right="89"/>
              <w:jc w:val="right"/>
              <w:rPr>
                <w:rFonts w:ascii="Times New Roman" w:hAnsi="Times New Roman" w:cs="Times New Roman"/>
              </w:rPr>
            </w:pPr>
            <w:r w:rsidRPr="004816A4">
              <w:rPr>
                <w:rFonts w:ascii="Times New Roman" w:hAnsi="Times New Roman" w:cs="Times New Roman"/>
              </w:rPr>
              <w:t>$0</w:t>
            </w:r>
          </w:p>
        </w:tc>
      </w:tr>
      <w:tr w:rsidR="00F33892" w:rsidRPr="00AD756D" w14:paraId="67BA4F00" w14:textId="77777777" w:rsidTr="002C4D12">
        <w:trPr>
          <w:trHeight w:val="537"/>
        </w:trPr>
        <w:tc>
          <w:tcPr>
            <w:tcW w:w="2268" w:type="dxa"/>
            <w:shd w:val="clear" w:color="auto" w:fill="E4E4E4"/>
          </w:tcPr>
          <w:p w14:paraId="65ED2796" w14:textId="77777777" w:rsidR="00F33892" w:rsidRPr="004816A4" w:rsidRDefault="00F33892" w:rsidP="00F33892">
            <w:pPr>
              <w:pStyle w:val="TableParagraph"/>
              <w:spacing w:line="292" w:lineRule="exact"/>
              <w:rPr>
                <w:rFonts w:ascii="Times New Roman" w:hAnsi="Times New Roman" w:cs="Times New Roman"/>
              </w:rPr>
            </w:pPr>
            <w:r w:rsidRPr="004816A4">
              <w:rPr>
                <w:rFonts w:ascii="Times New Roman" w:hAnsi="Times New Roman" w:cs="Times New Roman"/>
              </w:rPr>
              <w:t>Violation</w:t>
            </w:r>
          </w:p>
        </w:tc>
        <w:tc>
          <w:tcPr>
            <w:tcW w:w="1800" w:type="dxa"/>
            <w:shd w:val="clear" w:color="auto" w:fill="E4E4E4"/>
          </w:tcPr>
          <w:p w14:paraId="56148E64" w14:textId="77777777" w:rsidR="00F33892" w:rsidRPr="004816A4" w:rsidRDefault="00F33892" w:rsidP="00C73051">
            <w:pPr>
              <w:pStyle w:val="TableParagraph"/>
              <w:spacing w:line="292" w:lineRule="exact"/>
              <w:ind w:right="95"/>
              <w:jc w:val="right"/>
              <w:rPr>
                <w:rFonts w:ascii="Times New Roman" w:hAnsi="Times New Roman" w:cs="Times New Roman"/>
              </w:rPr>
            </w:pPr>
            <w:r w:rsidRPr="004816A4">
              <w:rPr>
                <w:rFonts w:ascii="Times New Roman" w:hAnsi="Times New Roman" w:cs="Times New Roman"/>
              </w:rPr>
              <w:t>0</w:t>
            </w:r>
          </w:p>
        </w:tc>
        <w:tc>
          <w:tcPr>
            <w:tcW w:w="1620" w:type="dxa"/>
            <w:shd w:val="clear" w:color="auto" w:fill="E4E4E4"/>
          </w:tcPr>
          <w:p w14:paraId="6DA7778E" w14:textId="77777777" w:rsidR="00F33892" w:rsidRPr="004816A4" w:rsidRDefault="00F33892" w:rsidP="00C73051">
            <w:pPr>
              <w:pStyle w:val="TableParagraph"/>
              <w:spacing w:line="292" w:lineRule="exact"/>
              <w:ind w:right="95"/>
              <w:jc w:val="right"/>
              <w:rPr>
                <w:rFonts w:ascii="Times New Roman" w:hAnsi="Times New Roman" w:cs="Times New Roman"/>
              </w:rPr>
            </w:pPr>
            <w:r w:rsidRPr="004816A4">
              <w:rPr>
                <w:rFonts w:ascii="Times New Roman" w:hAnsi="Times New Roman" w:cs="Times New Roman"/>
              </w:rPr>
              <w:t>0</w:t>
            </w:r>
          </w:p>
        </w:tc>
        <w:tc>
          <w:tcPr>
            <w:tcW w:w="2071" w:type="dxa"/>
            <w:shd w:val="clear" w:color="auto" w:fill="E4E4E4"/>
          </w:tcPr>
          <w:p w14:paraId="4CA26BA3" w14:textId="77777777" w:rsidR="00F33892" w:rsidRPr="004816A4" w:rsidRDefault="00F33892" w:rsidP="00C73051">
            <w:pPr>
              <w:pStyle w:val="TableParagraph"/>
              <w:spacing w:line="292" w:lineRule="exact"/>
              <w:ind w:right="97"/>
              <w:jc w:val="right"/>
              <w:rPr>
                <w:rFonts w:ascii="Times New Roman" w:hAnsi="Times New Roman" w:cs="Times New Roman"/>
              </w:rPr>
            </w:pPr>
            <w:r w:rsidRPr="004816A4">
              <w:rPr>
                <w:rFonts w:ascii="Times New Roman" w:hAnsi="Times New Roman" w:cs="Times New Roman"/>
              </w:rPr>
              <w:t>0</w:t>
            </w:r>
          </w:p>
        </w:tc>
        <w:tc>
          <w:tcPr>
            <w:tcW w:w="1390" w:type="dxa"/>
            <w:shd w:val="clear" w:color="auto" w:fill="E4E4E4"/>
          </w:tcPr>
          <w:p w14:paraId="0E08192B" w14:textId="77777777" w:rsidR="00F33892" w:rsidRPr="004816A4" w:rsidRDefault="00F33892" w:rsidP="00C73051">
            <w:pPr>
              <w:pStyle w:val="TableParagraph"/>
              <w:spacing w:line="292" w:lineRule="exact"/>
              <w:ind w:right="89"/>
              <w:jc w:val="right"/>
              <w:rPr>
                <w:rFonts w:ascii="Times New Roman" w:hAnsi="Times New Roman" w:cs="Times New Roman"/>
              </w:rPr>
            </w:pPr>
            <w:r w:rsidRPr="004816A4">
              <w:rPr>
                <w:rFonts w:ascii="Times New Roman" w:hAnsi="Times New Roman" w:cs="Times New Roman"/>
              </w:rPr>
              <w:t>$0</w:t>
            </w:r>
          </w:p>
        </w:tc>
      </w:tr>
      <w:tr w:rsidR="002101FB" w:rsidRPr="00AD756D" w14:paraId="5AD17B48" w14:textId="77777777" w:rsidTr="002C4D12">
        <w:trPr>
          <w:trHeight w:val="537"/>
        </w:trPr>
        <w:tc>
          <w:tcPr>
            <w:tcW w:w="2268" w:type="dxa"/>
            <w:shd w:val="clear" w:color="auto" w:fill="E4E4E4"/>
          </w:tcPr>
          <w:p w14:paraId="71759EAB" w14:textId="77777777" w:rsidR="002101FB" w:rsidRPr="004816A4" w:rsidRDefault="002101FB" w:rsidP="002101FB">
            <w:pPr>
              <w:pStyle w:val="TableParagraph"/>
              <w:spacing w:line="292" w:lineRule="exact"/>
              <w:rPr>
                <w:rFonts w:ascii="Times New Roman" w:hAnsi="Times New Roman" w:cs="Times New Roman"/>
              </w:rPr>
            </w:pPr>
            <w:r w:rsidRPr="004816A4">
              <w:rPr>
                <w:rFonts w:ascii="Times New Roman" w:hAnsi="Times New Roman" w:cs="Times New Roman"/>
              </w:rPr>
              <w:t>Adjustment</w:t>
            </w:r>
          </w:p>
        </w:tc>
        <w:tc>
          <w:tcPr>
            <w:tcW w:w="1800" w:type="dxa"/>
            <w:shd w:val="clear" w:color="auto" w:fill="E4E4E4"/>
          </w:tcPr>
          <w:p w14:paraId="485506FF" w14:textId="628AC596" w:rsidR="002101FB" w:rsidRPr="004816A4" w:rsidRDefault="005E6685" w:rsidP="00C73051">
            <w:pPr>
              <w:pStyle w:val="TableParagraph"/>
              <w:spacing w:line="292" w:lineRule="exact"/>
              <w:ind w:right="93"/>
              <w:jc w:val="right"/>
              <w:rPr>
                <w:rFonts w:ascii="Times New Roman" w:hAnsi="Times New Roman" w:cs="Times New Roman"/>
              </w:rPr>
            </w:pPr>
            <w:r>
              <w:rPr>
                <w:rFonts w:ascii="Times New Roman" w:hAnsi="Times New Roman" w:cs="Times New Roman"/>
              </w:rPr>
              <w:t>0</w:t>
            </w:r>
          </w:p>
        </w:tc>
        <w:tc>
          <w:tcPr>
            <w:tcW w:w="1620" w:type="dxa"/>
            <w:shd w:val="clear" w:color="auto" w:fill="E4E4E4"/>
          </w:tcPr>
          <w:p w14:paraId="00FA4EAA" w14:textId="18268A06" w:rsidR="002101FB" w:rsidRPr="004816A4" w:rsidRDefault="005E6685" w:rsidP="00C73051">
            <w:pPr>
              <w:pStyle w:val="TableParagraph"/>
              <w:spacing w:line="292" w:lineRule="exact"/>
              <w:ind w:right="93"/>
              <w:jc w:val="right"/>
              <w:rPr>
                <w:rFonts w:ascii="Times New Roman" w:hAnsi="Times New Roman" w:cs="Times New Roman"/>
              </w:rPr>
            </w:pPr>
            <w:r>
              <w:rPr>
                <w:rFonts w:ascii="Times New Roman" w:hAnsi="Times New Roman" w:cs="Times New Roman"/>
              </w:rPr>
              <w:t>0</w:t>
            </w:r>
          </w:p>
        </w:tc>
        <w:tc>
          <w:tcPr>
            <w:tcW w:w="2071" w:type="dxa"/>
            <w:shd w:val="clear" w:color="auto" w:fill="E4E4E4"/>
          </w:tcPr>
          <w:p w14:paraId="1DA8840F" w14:textId="6630139C" w:rsidR="002101FB" w:rsidRPr="004816A4" w:rsidRDefault="005E6685" w:rsidP="00C73051">
            <w:pPr>
              <w:pStyle w:val="TableParagraph"/>
              <w:spacing w:line="292" w:lineRule="exact"/>
              <w:ind w:right="95"/>
              <w:jc w:val="right"/>
              <w:rPr>
                <w:rFonts w:ascii="Times New Roman" w:hAnsi="Times New Roman" w:cs="Times New Roman"/>
              </w:rPr>
            </w:pPr>
            <w:r>
              <w:rPr>
                <w:rFonts w:ascii="Times New Roman" w:hAnsi="Times New Roman" w:cs="Times New Roman"/>
              </w:rPr>
              <w:t>0</w:t>
            </w:r>
          </w:p>
        </w:tc>
        <w:tc>
          <w:tcPr>
            <w:tcW w:w="1390" w:type="dxa"/>
            <w:shd w:val="clear" w:color="auto" w:fill="E4E4E4"/>
          </w:tcPr>
          <w:p w14:paraId="64DF050C" w14:textId="77777777" w:rsidR="002101FB" w:rsidRPr="004816A4" w:rsidRDefault="002101FB" w:rsidP="00C73051">
            <w:pPr>
              <w:pStyle w:val="TableParagraph"/>
              <w:spacing w:line="292" w:lineRule="exact"/>
              <w:ind w:right="89"/>
              <w:jc w:val="right"/>
              <w:rPr>
                <w:rFonts w:ascii="Times New Roman" w:hAnsi="Times New Roman" w:cs="Times New Roman"/>
              </w:rPr>
            </w:pPr>
            <w:r w:rsidRPr="004816A4">
              <w:rPr>
                <w:rFonts w:ascii="Times New Roman" w:hAnsi="Times New Roman" w:cs="Times New Roman"/>
              </w:rPr>
              <w:t>$0</w:t>
            </w:r>
          </w:p>
        </w:tc>
      </w:tr>
    </w:tbl>
    <w:p w14:paraId="31735A1D" w14:textId="77777777" w:rsidR="00645B19" w:rsidRPr="00AD756D" w:rsidRDefault="00645B19">
      <w:pPr>
        <w:pStyle w:val="BodyText"/>
        <w:spacing w:before="11"/>
        <w:rPr>
          <w:b/>
          <w:sz w:val="14"/>
        </w:rPr>
      </w:pPr>
    </w:p>
    <w:p w14:paraId="210945B4" w14:textId="25EC4A4D" w:rsidR="00645B19" w:rsidRPr="00C3787C" w:rsidRDefault="002101FB" w:rsidP="00C3787C">
      <w:pPr>
        <w:pStyle w:val="BodyText"/>
        <w:spacing w:before="94" w:line="235" w:lineRule="auto"/>
        <w:ind w:left="320" w:right="250"/>
      </w:pPr>
      <w:r>
        <w:t>Since this is a reinstatement of a previous</w:t>
      </w:r>
      <w:r w:rsidR="00A172CF">
        <w:t>ly</w:t>
      </w:r>
      <w:r>
        <w:t xml:space="preserve"> </w:t>
      </w:r>
      <w:r w:rsidR="00A172CF">
        <w:t xml:space="preserve">discontinued </w:t>
      </w:r>
      <w:r>
        <w:t xml:space="preserve">collection all burden </w:t>
      </w:r>
      <w:r w:rsidR="00921D9F">
        <w:t>for this</w:t>
      </w:r>
      <w:r w:rsidR="00A172CF">
        <w:t xml:space="preserve"> collection is considered new burden.</w:t>
      </w:r>
      <w:r w:rsidR="00A875FB">
        <w:t xml:space="preserve"> The previously approved burden was 25,500 respondents and responses, and 27,024 hours, the</w:t>
      </w:r>
      <w:r w:rsidR="00A875FB">
        <w:rPr>
          <w:sz w:val="23"/>
          <w:szCs w:val="23"/>
        </w:rPr>
        <w:t xml:space="preserve"> changes in burden between the previously approved level and this request results from the Bureau revising its burden estimates to reflect future plans to conduct studies under this generic information collection plan. </w:t>
      </w:r>
      <w:r w:rsidR="009944FF">
        <w:rPr>
          <w:sz w:val="23"/>
          <w:szCs w:val="23"/>
        </w:rPr>
        <w:t>Furthermore,</w:t>
      </w:r>
      <w:r w:rsidR="00427AA8">
        <w:rPr>
          <w:sz w:val="23"/>
          <w:szCs w:val="23"/>
        </w:rPr>
        <w:t xml:space="preserve"> the total annualized burden for this plan is a three-year average, there may be variations in the amount of burden used each year owing to the nature of the Bureau’s regulatory review schedules</w:t>
      </w:r>
      <w:r w:rsidR="00DE6717">
        <w:rPr>
          <w:sz w:val="23"/>
          <w:szCs w:val="23"/>
        </w:rPr>
        <w:t>.</w:t>
      </w:r>
    </w:p>
    <w:p w14:paraId="7BC3D5D7" w14:textId="77777777" w:rsidR="00645B19" w:rsidRPr="00AD756D" w:rsidRDefault="00645B19">
      <w:pPr>
        <w:pStyle w:val="BodyText"/>
        <w:spacing w:before="2"/>
        <w:rPr>
          <w:sz w:val="21"/>
        </w:rPr>
      </w:pPr>
    </w:p>
    <w:p w14:paraId="22EF95F0" w14:textId="77777777" w:rsidR="00645B19" w:rsidRPr="00AD756D" w:rsidRDefault="009E141B" w:rsidP="002C4D12">
      <w:pPr>
        <w:pStyle w:val="Heading1"/>
        <w:numPr>
          <w:ilvl w:val="0"/>
          <w:numId w:val="1"/>
        </w:numPr>
        <w:tabs>
          <w:tab w:val="left" w:pos="681"/>
        </w:tabs>
        <w:ind w:left="680" w:hanging="360"/>
        <w:jc w:val="left"/>
        <w:rPr>
          <w:u w:val="none"/>
        </w:rPr>
      </w:pPr>
      <w:r w:rsidRPr="00AD756D">
        <w:rPr>
          <w:u w:val="thick"/>
        </w:rPr>
        <w:t>Plans for Tabulation, Statistical Analysis, and</w:t>
      </w:r>
      <w:r w:rsidRPr="00AD756D">
        <w:rPr>
          <w:spacing w:val="-3"/>
          <w:u w:val="thick"/>
        </w:rPr>
        <w:t xml:space="preserve"> </w:t>
      </w:r>
      <w:r w:rsidRPr="00AD756D">
        <w:rPr>
          <w:u w:val="thick"/>
        </w:rPr>
        <w:t>Publication</w:t>
      </w:r>
    </w:p>
    <w:p w14:paraId="5C57E357" w14:textId="77777777" w:rsidR="00645B19" w:rsidRPr="00AD756D" w:rsidRDefault="00645B19">
      <w:pPr>
        <w:pStyle w:val="BodyText"/>
        <w:spacing w:before="1"/>
        <w:rPr>
          <w:b/>
          <w:sz w:val="15"/>
        </w:rPr>
      </w:pPr>
    </w:p>
    <w:p w14:paraId="32B96190" w14:textId="0EF879E2" w:rsidR="00645B19" w:rsidRDefault="009E141B">
      <w:pPr>
        <w:pStyle w:val="BodyText"/>
        <w:spacing w:before="90"/>
        <w:ind w:left="320" w:right="495"/>
        <w:jc w:val="both"/>
      </w:pPr>
      <w:r w:rsidRPr="00AD756D">
        <w:t xml:space="preserve">The Bureau anticipates displaying aggregated information in a Federal Register notice for the purposes of Section 1022, </w:t>
      </w:r>
      <w:r w:rsidR="006373C9" w:rsidRPr="00AD756D">
        <w:t>Regulatory Flexibility Act,</w:t>
      </w:r>
      <w:r w:rsidR="006373C9">
        <w:t xml:space="preserve"> Congressional Review Act,</w:t>
      </w:r>
      <w:r w:rsidR="006373C9" w:rsidRPr="00AD756D">
        <w:t xml:space="preserve"> and the Paperwork Reduction</w:t>
      </w:r>
      <w:r w:rsidR="006373C9" w:rsidRPr="00AD756D">
        <w:rPr>
          <w:spacing w:val="-18"/>
        </w:rPr>
        <w:t xml:space="preserve"> </w:t>
      </w:r>
      <w:r w:rsidR="006373C9" w:rsidRPr="00AD756D">
        <w:t>Act</w:t>
      </w:r>
      <w:r w:rsidR="004816A4">
        <w:t xml:space="preserve"> analyses</w:t>
      </w:r>
      <w:r w:rsidR="00DE6717">
        <w:t>.</w:t>
      </w:r>
      <w:r w:rsidR="006373C9" w:rsidRPr="00AD756D">
        <w:t xml:space="preserve"> </w:t>
      </w:r>
    </w:p>
    <w:p w14:paraId="0CE0ACCE" w14:textId="77777777" w:rsidR="00645B19" w:rsidRPr="00AD756D" w:rsidRDefault="00645B19">
      <w:pPr>
        <w:pStyle w:val="BodyText"/>
        <w:spacing w:before="9"/>
        <w:rPr>
          <w:sz w:val="23"/>
        </w:rPr>
      </w:pPr>
    </w:p>
    <w:p w14:paraId="3FBCD317" w14:textId="3296FDC4" w:rsidR="00645B19" w:rsidRPr="00C3787C" w:rsidRDefault="009E141B" w:rsidP="00C3787C">
      <w:pPr>
        <w:pStyle w:val="BodyText"/>
        <w:spacing w:before="1"/>
        <w:ind w:left="320" w:right="369"/>
      </w:pPr>
      <w:r w:rsidRPr="00AD756D">
        <w:t>In addition, the Bureau may publish aggregated information from certain collections in publicly available reports.</w:t>
      </w:r>
    </w:p>
    <w:p w14:paraId="49FAEFD3" w14:textId="77777777" w:rsidR="00645B19" w:rsidRPr="00AD756D" w:rsidRDefault="00645B19">
      <w:pPr>
        <w:pStyle w:val="BodyText"/>
        <w:spacing w:before="9"/>
        <w:rPr>
          <w:sz w:val="22"/>
        </w:rPr>
      </w:pPr>
    </w:p>
    <w:p w14:paraId="3ACF3CA8" w14:textId="77777777" w:rsidR="00645B19" w:rsidRPr="00AD756D" w:rsidRDefault="009E141B" w:rsidP="006373C9">
      <w:pPr>
        <w:pStyle w:val="Heading1"/>
        <w:numPr>
          <w:ilvl w:val="0"/>
          <w:numId w:val="1"/>
        </w:numPr>
        <w:tabs>
          <w:tab w:val="left" w:pos="681"/>
        </w:tabs>
        <w:ind w:left="680" w:hanging="360"/>
        <w:jc w:val="left"/>
        <w:rPr>
          <w:u w:val="none"/>
        </w:rPr>
      </w:pPr>
      <w:r w:rsidRPr="00AD756D">
        <w:rPr>
          <w:u w:val="thick"/>
        </w:rPr>
        <w:t>Display of Expiration</w:t>
      </w:r>
      <w:r w:rsidRPr="00AD756D">
        <w:rPr>
          <w:spacing w:val="1"/>
          <w:u w:val="thick"/>
        </w:rPr>
        <w:t xml:space="preserve"> </w:t>
      </w:r>
      <w:r w:rsidRPr="00AD756D">
        <w:rPr>
          <w:u w:val="thick"/>
        </w:rPr>
        <w:t>Date</w:t>
      </w:r>
    </w:p>
    <w:p w14:paraId="3B56CC0D" w14:textId="77777777" w:rsidR="00645B19" w:rsidRPr="00AD756D" w:rsidRDefault="00645B19">
      <w:pPr>
        <w:pStyle w:val="BodyText"/>
        <w:spacing w:before="1"/>
        <w:rPr>
          <w:b/>
          <w:sz w:val="15"/>
        </w:rPr>
      </w:pPr>
    </w:p>
    <w:p w14:paraId="0BDEF275" w14:textId="77777777" w:rsidR="00645B19" w:rsidRPr="00AD756D" w:rsidRDefault="009E141B">
      <w:pPr>
        <w:pStyle w:val="BodyText"/>
        <w:spacing w:before="90"/>
        <w:ind w:left="320" w:right="497"/>
        <w:jc w:val="both"/>
      </w:pPr>
      <w:r w:rsidRPr="00AD756D">
        <w:t xml:space="preserve">The OMB control number and expiration date associated with this PRA submission will be displayed on the Federal government’s electronic PRA docket at </w:t>
      </w:r>
      <w:hyperlink r:id="rId13">
        <w:r w:rsidRPr="00AD756D">
          <w:t>www.reginfo.gov.</w:t>
        </w:r>
      </w:hyperlink>
      <w:r w:rsidRPr="00AD756D">
        <w:t xml:space="preserve"> In addition, all instruments used for collecting data under any collection submitted under this generic information collection plan will display the OMB control number wherever and when</w:t>
      </w:r>
      <w:r w:rsidRPr="00AD756D">
        <w:rPr>
          <w:spacing w:val="1"/>
        </w:rPr>
        <w:t xml:space="preserve"> </w:t>
      </w:r>
      <w:r w:rsidRPr="00AD756D">
        <w:t>appropriate.</w:t>
      </w:r>
    </w:p>
    <w:p w14:paraId="694A0F80" w14:textId="191CAC81" w:rsidR="00645B19" w:rsidRPr="00AD756D" w:rsidRDefault="00645B19">
      <w:pPr>
        <w:pStyle w:val="BodyText"/>
        <w:spacing w:before="3"/>
        <w:rPr>
          <w:sz w:val="20"/>
        </w:rPr>
      </w:pPr>
    </w:p>
    <w:p w14:paraId="5941A12E" w14:textId="77777777" w:rsidR="00645B19" w:rsidRPr="00AD756D" w:rsidRDefault="009E141B" w:rsidP="006373C9">
      <w:pPr>
        <w:pStyle w:val="Heading1"/>
        <w:numPr>
          <w:ilvl w:val="0"/>
          <w:numId w:val="1"/>
        </w:numPr>
        <w:tabs>
          <w:tab w:val="left" w:pos="681"/>
        </w:tabs>
        <w:ind w:left="680" w:hanging="360"/>
        <w:jc w:val="left"/>
        <w:rPr>
          <w:u w:val="none"/>
        </w:rPr>
      </w:pPr>
      <w:r w:rsidRPr="00AD756D">
        <w:rPr>
          <w:u w:val="thick"/>
        </w:rPr>
        <w:t>Exceptions to the Certification</w:t>
      </w:r>
      <w:r w:rsidRPr="00AD756D">
        <w:rPr>
          <w:spacing w:val="-1"/>
          <w:u w:val="thick"/>
        </w:rPr>
        <w:t xml:space="preserve"> </w:t>
      </w:r>
      <w:r w:rsidRPr="00AD756D">
        <w:rPr>
          <w:u w:val="thick"/>
        </w:rPr>
        <w:t>Requirement</w:t>
      </w:r>
    </w:p>
    <w:p w14:paraId="45D13FF8" w14:textId="77777777" w:rsidR="00645B19" w:rsidRPr="00AD756D" w:rsidRDefault="00645B19">
      <w:pPr>
        <w:pStyle w:val="BodyText"/>
        <w:spacing w:before="9"/>
        <w:rPr>
          <w:b/>
          <w:sz w:val="15"/>
        </w:rPr>
      </w:pPr>
    </w:p>
    <w:p w14:paraId="078FFA45" w14:textId="77777777" w:rsidR="00645B19" w:rsidRPr="00AD756D" w:rsidRDefault="009E141B" w:rsidP="002D017A">
      <w:pPr>
        <w:pStyle w:val="BodyText"/>
        <w:spacing w:before="90"/>
        <w:ind w:left="320" w:right="497"/>
        <w:jc w:val="both"/>
      </w:pPr>
      <w:r w:rsidRPr="00AD756D">
        <w:t>The Bureau certifies that this collection of information is consistent with the requirements of 5 CFR 1320.9, and the related provisions of 5 CFR 1320.8(b)(3) and is not seeking an exemption to these certification requirements.</w:t>
      </w:r>
    </w:p>
    <w:sectPr w:rsidR="00645B19" w:rsidRPr="00AD756D" w:rsidSect="004816A4">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3F6E1" w14:textId="77777777" w:rsidR="00E339BE" w:rsidRDefault="00E339BE" w:rsidP="00DA50DC">
      <w:r>
        <w:separator/>
      </w:r>
    </w:p>
  </w:endnote>
  <w:endnote w:type="continuationSeparator" w:id="0">
    <w:p w14:paraId="2C9B648B" w14:textId="77777777" w:rsidR="00E339BE" w:rsidRDefault="00E339BE" w:rsidP="00DA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952954"/>
      <w:docPartObj>
        <w:docPartGallery w:val="Page Numbers (Bottom of Page)"/>
        <w:docPartUnique/>
      </w:docPartObj>
    </w:sdtPr>
    <w:sdtEndPr>
      <w:rPr>
        <w:noProof/>
      </w:rPr>
    </w:sdtEndPr>
    <w:sdtContent>
      <w:p w14:paraId="45C3BACC" w14:textId="2D211AA6" w:rsidR="004B3E6C" w:rsidRDefault="004B3E6C">
        <w:pPr>
          <w:pStyle w:val="Footer"/>
          <w:jc w:val="center"/>
        </w:pPr>
        <w:r>
          <w:fldChar w:fldCharType="begin"/>
        </w:r>
        <w:r>
          <w:instrText xml:space="preserve"> PAGE   \* MERGEFORMAT </w:instrText>
        </w:r>
        <w:r>
          <w:fldChar w:fldCharType="separate"/>
        </w:r>
        <w:r w:rsidR="00153245">
          <w:rPr>
            <w:noProof/>
          </w:rPr>
          <w:t>1</w:t>
        </w:r>
        <w:r>
          <w:rPr>
            <w:noProof/>
          </w:rPr>
          <w:fldChar w:fldCharType="end"/>
        </w:r>
      </w:p>
    </w:sdtContent>
  </w:sdt>
  <w:p w14:paraId="4CD20845" w14:textId="77777777" w:rsidR="004B3E6C" w:rsidRDefault="004B3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68970" w14:textId="77777777" w:rsidR="00E339BE" w:rsidRDefault="00E339BE" w:rsidP="00DA50DC">
      <w:r>
        <w:separator/>
      </w:r>
    </w:p>
  </w:footnote>
  <w:footnote w:type="continuationSeparator" w:id="0">
    <w:p w14:paraId="48F15066" w14:textId="77777777" w:rsidR="00E339BE" w:rsidRDefault="00E339BE" w:rsidP="00DA50DC">
      <w:r>
        <w:continuationSeparator/>
      </w:r>
    </w:p>
  </w:footnote>
  <w:footnote w:id="1">
    <w:p w14:paraId="64BCE941" w14:textId="77777777" w:rsidR="004B3E6C" w:rsidRPr="00D15896" w:rsidRDefault="004B3E6C" w:rsidP="001048F9">
      <w:pPr>
        <w:pStyle w:val="FootnoteText"/>
      </w:pPr>
      <w:r w:rsidRPr="002D697A">
        <w:rPr>
          <w:rStyle w:val="FootnoteReference"/>
        </w:rPr>
        <w:footnoteRef/>
      </w:r>
      <w:r>
        <w:t xml:space="preserve"> </w:t>
      </w:r>
      <w:r w:rsidRPr="002D697A">
        <w:t xml:space="preserve">See </w:t>
      </w:r>
      <w:r w:rsidRPr="00AD756D">
        <w:t>44 U.S.C. §§ 3506(c)(1)(A)(iv)</w:t>
      </w:r>
    </w:p>
  </w:footnote>
  <w:footnote w:id="2">
    <w:p w14:paraId="14B9DB80" w14:textId="77777777" w:rsidR="004B3E6C" w:rsidRDefault="004B3E6C">
      <w:pPr>
        <w:pStyle w:val="FootnoteText"/>
      </w:pPr>
      <w:r>
        <w:rPr>
          <w:rStyle w:val="FootnoteReference"/>
        </w:rPr>
        <w:footnoteRef/>
      </w:r>
      <w:r>
        <w:t xml:space="preserve"> </w:t>
      </w:r>
      <w:r w:rsidRPr="00AD756D">
        <w:rPr>
          <w:i/>
        </w:rPr>
        <w:t xml:space="preserve">See </w:t>
      </w:r>
      <w:r w:rsidRPr="00AD756D">
        <w:t xml:space="preserve">Dodd-Frank Act, Pub. </w:t>
      </w:r>
      <w:r w:rsidRPr="00AD756D">
        <w:rPr>
          <w:spacing w:val="-3"/>
        </w:rPr>
        <w:t xml:space="preserve">L. </w:t>
      </w:r>
      <w:r w:rsidRPr="00AD756D">
        <w:t>No. 111-203, Sec.</w:t>
      </w:r>
      <w:r w:rsidRPr="00AD756D">
        <w:rPr>
          <w:spacing w:val="-5"/>
        </w:rPr>
        <w:t xml:space="preserve"> </w:t>
      </w:r>
      <w:r w:rsidRPr="00AD756D">
        <w:t>1021</w:t>
      </w:r>
    </w:p>
  </w:footnote>
  <w:footnote w:id="3">
    <w:p w14:paraId="39267FBD" w14:textId="77777777" w:rsidR="004B3E6C" w:rsidRDefault="004B3E6C">
      <w:pPr>
        <w:pStyle w:val="FootnoteText"/>
      </w:pPr>
      <w:r>
        <w:rPr>
          <w:rStyle w:val="FootnoteReference"/>
        </w:rPr>
        <w:footnoteRef/>
      </w:r>
      <w:r>
        <w:t xml:space="preserve"> </w:t>
      </w:r>
      <w:r w:rsidRPr="00AD756D">
        <w:rPr>
          <w:i/>
        </w:rPr>
        <w:t xml:space="preserve">See </w:t>
      </w:r>
      <w:r w:rsidRPr="00AD756D">
        <w:t xml:space="preserve">Dodd-Frank Act, Pub. </w:t>
      </w:r>
      <w:r w:rsidRPr="00AD756D">
        <w:rPr>
          <w:spacing w:val="-3"/>
        </w:rPr>
        <w:t xml:space="preserve">L. </w:t>
      </w:r>
      <w:r w:rsidRPr="00AD756D">
        <w:t>No. 111-203, Sec.</w:t>
      </w:r>
      <w:r w:rsidRPr="00AD756D">
        <w:rPr>
          <w:spacing w:val="-5"/>
        </w:rPr>
        <w:t xml:space="preserve"> </w:t>
      </w:r>
      <w:r w:rsidRPr="00AD756D">
        <w:t>1022</w:t>
      </w:r>
    </w:p>
  </w:footnote>
  <w:footnote w:id="4">
    <w:p w14:paraId="14FF3F05" w14:textId="77777777" w:rsidR="004B3E6C" w:rsidRDefault="004B3E6C">
      <w:pPr>
        <w:pStyle w:val="FootnoteText"/>
      </w:pPr>
      <w:r>
        <w:rPr>
          <w:rStyle w:val="FootnoteReference"/>
        </w:rPr>
        <w:footnoteRef/>
      </w:r>
      <w:r>
        <w:t xml:space="preserve"> </w:t>
      </w:r>
      <w:r w:rsidRPr="00AD756D">
        <w:rPr>
          <w:i/>
        </w:rPr>
        <w:t xml:space="preserve">See </w:t>
      </w:r>
      <w:r w:rsidRPr="00AD756D">
        <w:t>Dodd-Frank Act, Pub. L. No. 111-203, Sec. 1021(b)(3)</w:t>
      </w:r>
    </w:p>
  </w:footnote>
  <w:footnote w:id="5">
    <w:p w14:paraId="1F214FA0" w14:textId="77777777" w:rsidR="004B3E6C" w:rsidRDefault="004B3E6C">
      <w:pPr>
        <w:pStyle w:val="FootnoteText"/>
      </w:pPr>
      <w:r>
        <w:rPr>
          <w:rStyle w:val="FootnoteReference"/>
        </w:rPr>
        <w:footnoteRef/>
      </w:r>
      <w:r>
        <w:t xml:space="preserve"> </w:t>
      </w:r>
      <w:r w:rsidRPr="00AD756D">
        <w:rPr>
          <w:i/>
        </w:rPr>
        <w:t xml:space="preserve">See </w:t>
      </w:r>
      <w:r w:rsidRPr="00AD756D">
        <w:t>Dodd-Frank Act, Pub. L. No. 111-203, Sec. 1022(b)(2), 1026</w:t>
      </w:r>
    </w:p>
  </w:footnote>
  <w:footnote w:id="6">
    <w:p w14:paraId="5BF8786D" w14:textId="77777777" w:rsidR="004B3E6C" w:rsidRDefault="004B3E6C">
      <w:pPr>
        <w:pStyle w:val="FootnoteText"/>
      </w:pPr>
      <w:r>
        <w:rPr>
          <w:rStyle w:val="FootnoteReference"/>
        </w:rPr>
        <w:footnoteRef/>
      </w:r>
      <w:r>
        <w:t xml:space="preserve"> </w:t>
      </w:r>
      <w:r w:rsidRPr="00AD756D">
        <w:rPr>
          <w:i/>
        </w:rPr>
        <w:t xml:space="preserve">See </w:t>
      </w:r>
      <w:r w:rsidRPr="00AD756D">
        <w:t>5 U.S.C.§§ 603 et. Seq.</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9358F" w14:textId="1ED6EE49" w:rsidR="00921D9F" w:rsidRDefault="00921D9F" w:rsidP="00921D9F">
    <w:pPr>
      <w:pStyle w:val="Header"/>
      <w:jc w:val="right"/>
    </w:pPr>
    <w:r>
      <w:t>30-day Federal Register Version</w:t>
    </w:r>
  </w:p>
  <w:p w14:paraId="50C98657" w14:textId="77777777" w:rsidR="00921D9F" w:rsidRDefault="00921D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9EF"/>
    <w:multiLevelType w:val="hybridMultilevel"/>
    <w:tmpl w:val="6E2064E8"/>
    <w:lvl w:ilvl="0" w:tplc="2B667052">
      <w:start w:val="1"/>
      <w:numFmt w:val="decimal"/>
      <w:lvlText w:val="%1."/>
      <w:lvlJc w:val="left"/>
      <w:pPr>
        <w:ind w:left="560" w:hanging="240"/>
        <w:jc w:val="right"/>
      </w:pPr>
      <w:rPr>
        <w:rFonts w:hint="default"/>
        <w:spacing w:val="-6"/>
        <w:w w:val="99"/>
        <w:u w:val="thick" w:color="000000"/>
        <w:lang w:val="en-US" w:eastAsia="en-US" w:bidi="en-US"/>
      </w:rPr>
    </w:lvl>
    <w:lvl w:ilvl="1" w:tplc="6046DED6">
      <w:numFmt w:val="bullet"/>
      <w:lvlText w:val=""/>
      <w:lvlJc w:val="left"/>
      <w:pPr>
        <w:ind w:left="939" w:hanging="360"/>
      </w:pPr>
      <w:rPr>
        <w:rFonts w:ascii="Symbol" w:eastAsia="Symbol" w:hAnsi="Symbol" w:cs="Symbol" w:hint="default"/>
        <w:w w:val="100"/>
        <w:position w:val="1"/>
        <w:sz w:val="16"/>
        <w:szCs w:val="16"/>
        <w:lang w:val="en-US" w:eastAsia="en-US" w:bidi="en-US"/>
      </w:rPr>
    </w:lvl>
    <w:lvl w:ilvl="2" w:tplc="4A44A22A">
      <w:numFmt w:val="bullet"/>
      <w:lvlText w:val="•"/>
      <w:lvlJc w:val="left"/>
      <w:pPr>
        <w:ind w:left="1935" w:hanging="360"/>
      </w:pPr>
      <w:rPr>
        <w:rFonts w:hint="default"/>
        <w:lang w:val="en-US" w:eastAsia="en-US" w:bidi="en-US"/>
      </w:rPr>
    </w:lvl>
    <w:lvl w:ilvl="3" w:tplc="B7B08BE4">
      <w:numFmt w:val="bullet"/>
      <w:lvlText w:val="•"/>
      <w:lvlJc w:val="left"/>
      <w:pPr>
        <w:ind w:left="2931" w:hanging="360"/>
      </w:pPr>
      <w:rPr>
        <w:rFonts w:hint="default"/>
        <w:lang w:val="en-US" w:eastAsia="en-US" w:bidi="en-US"/>
      </w:rPr>
    </w:lvl>
    <w:lvl w:ilvl="4" w:tplc="12AE1BCC">
      <w:numFmt w:val="bullet"/>
      <w:lvlText w:val="•"/>
      <w:lvlJc w:val="left"/>
      <w:pPr>
        <w:ind w:left="3926" w:hanging="360"/>
      </w:pPr>
      <w:rPr>
        <w:rFonts w:hint="default"/>
        <w:lang w:val="en-US" w:eastAsia="en-US" w:bidi="en-US"/>
      </w:rPr>
    </w:lvl>
    <w:lvl w:ilvl="5" w:tplc="AD96C8E0">
      <w:numFmt w:val="bullet"/>
      <w:lvlText w:val="•"/>
      <w:lvlJc w:val="left"/>
      <w:pPr>
        <w:ind w:left="4922" w:hanging="360"/>
      </w:pPr>
      <w:rPr>
        <w:rFonts w:hint="default"/>
        <w:lang w:val="en-US" w:eastAsia="en-US" w:bidi="en-US"/>
      </w:rPr>
    </w:lvl>
    <w:lvl w:ilvl="6" w:tplc="C112760C">
      <w:numFmt w:val="bullet"/>
      <w:lvlText w:val="•"/>
      <w:lvlJc w:val="left"/>
      <w:pPr>
        <w:ind w:left="5917" w:hanging="360"/>
      </w:pPr>
      <w:rPr>
        <w:rFonts w:hint="default"/>
        <w:lang w:val="en-US" w:eastAsia="en-US" w:bidi="en-US"/>
      </w:rPr>
    </w:lvl>
    <w:lvl w:ilvl="7" w:tplc="1368F3CA">
      <w:numFmt w:val="bullet"/>
      <w:lvlText w:val="•"/>
      <w:lvlJc w:val="left"/>
      <w:pPr>
        <w:ind w:left="6913" w:hanging="360"/>
      </w:pPr>
      <w:rPr>
        <w:rFonts w:hint="default"/>
        <w:lang w:val="en-US" w:eastAsia="en-US" w:bidi="en-US"/>
      </w:rPr>
    </w:lvl>
    <w:lvl w:ilvl="8" w:tplc="3A5432D6">
      <w:numFmt w:val="bullet"/>
      <w:lvlText w:val="•"/>
      <w:lvlJc w:val="left"/>
      <w:pPr>
        <w:ind w:left="7908" w:hanging="360"/>
      </w:pPr>
      <w:rPr>
        <w:rFonts w:hint="default"/>
        <w:lang w:val="en-US" w:eastAsia="en-US" w:bidi="en-US"/>
      </w:rPr>
    </w:lvl>
  </w:abstractNum>
  <w:abstractNum w:abstractNumId="1">
    <w:nsid w:val="14F9574F"/>
    <w:multiLevelType w:val="hybridMultilevel"/>
    <w:tmpl w:val="7912414A"/>
    <w:lvl w:ilvl="0" w:tplc="2B667052">
      <w:start w:val="1"/>
      <w:numFmt w:val="decimal"/>
      <w:lvlText w:val="%1."/>
      <w:lvlJc w:val="left"/>
      <w:pPr>
        <w:ind w:left="560" w:hanging="240"/>
        <w:jc w:val="right"/>
      </w:pPr>
      <w:rPr>
        <w:rFonts w:hint="default"/>
        <w:spacing w:val="-6"/>
        <w:w w:val="99"/>
        <w:u w:val="thick" w:color="000000"/>
        <w:lang w:val="en-US" w:eastAsia="en-US" w:bidi="en-US"/>
      </w:rPr>
    </w:lvl>
    <w:lvl w:ilvl="1" w:tplc="6046DED6">
      <w:numFmt w:val="bullet"/>
      <w:lvlText w:val=""/>
      <w:lvlJc w:val="left"/>
      <w:pPr>
        <w:ind w:left="939" w:hanging="360"/>
      </w:pPr>
      <w:rPr>
        <w:rFonts w:ascii="Symbol" w:eastAsia="Symbol" w:hAnsi="Symbol" w:cs="Symbol" w:hint="default"/>
        <w:w w:val="100"/>
        <w:position w:val="1"/>
        <w:sz w:val="16"/>
        <w:szCs w:val="16"/>
        <w:lang w:val="en-US" w:eastAsia="en-US" w:bidi="en-US"/>
      </w:rPr>
    </w:lvl>
    <w:lvl w:ilvl="2" w:tplc="4A44A22A">
      <w:numFmt w:val="bullet"/>
      <w:lvlText w:val="•"/>
      <w:lvlJc w:val="left"/>
      <w:pPr>
        <w:ind w:left="1935" w:hanging="360"/>
      </w:pPr>
      <w:rPr>
        <w:rFonts w:hint="default"/>
        <w:lang w:val="en-US" w:eastAsia="en-US" w:bidi="en-US"/>
      </w:rPr>
    </w:lvl>
    <w:lvl w:ilvl="3" w:tplc="B7B08BE4">
      <w:numFmt w:val="bullet"/>
      <w:lvlText w:val="•"/>
      <w:lvlJc w:val="left"/>
      <w:pPr>
        <w:ind w:left="2931" w:hanging="360"/>
      </w:pPr>
      <w:rPr>
        <w:rFonts w:hint="default"/>
        <w:lang w:val="en-US" w:eastAsia="en-US" w:bidi="en-US"/>
      </w:rPr>
    </w:lvl>
    <w:lvl w:ilvl="4" w:tplc="12AE1BCC">
      <w:numFmt w:val="bullet"/>
      <w:lvlText w:val="•"/>
      <w:lvlJc w:val="left"/>
      <w:pPr>
        <w:ind w:left="3926" w:hanging="360"/>
      </w:pPr>
      <w:rPr>
        <w:rFonts w:hint="default"/>
        <w:lang w:val="en-US" w:eastAsia="en-US" w:bidi="en-US"/>
      </w:rPr>
    </w:lvl>
    <w:lvl w:ilvl="5" w:tplc="AD96C8E0">
      <w:numFmt w:val="bullet"/>
      <w:lvlText w:val="•"/>
      <w:lvlJc w:val="left"/>
      <w:pPr>
        <w:ind w:left="4922" w:hanging="360"/>
      </w:pPr>
      <w:rPr>
        <w:rFonts w:hint="default"/>
        <w:lang w:val="en-US" w:eastAsia="en-US" w:bidi="en-US"/>
      </w:rPr>
    </w:lvl>
    <w:lvl w:ilvl="6" w:tplc="C112760C">
      <w:numFmt w:val="bullet"/>
      <w:lvlText w:val="•"/>
      <w:lvlJc w:val="left"/>
      <w:pPr>
        <w:ind w:left="5917" w:hanging="360"/>
      </w:pPr>
      <w:rPr>
        <w:rFonts w:hint="default"/>
        <w:lang w:val="en-US" w:eastAsia="en-US" w:bidi="en-US"/>
      </w:rPr>
    </w:lvl>
    <w:lvl w:ilvl="7" w:tplc="1368F3CA">
      <w:numFmt w:val="bullet"/>
      <w:lvlText w:val="•"/>
      <w:lvlJc w:val="left"/>
      <w:pPr>
        <w:ind w:left="6913" w:hanging="360"/>
      </w:pPr>
      <w:rPr>
        <w:rFonts w:hint="default"/>
        <w:lang w:val="en-US" w:eastAsia="en-US" w:bidi="en-US"/>
      </w:rPr>
    </w:lvl>
    <w:lvl w:ilvl="8" w:tplc="3A5432D6">
      <w:numFmt w:val="bullet"/>
      <w:lvlText w:val="•"/>
      <w:lvlJc w:val="left"/>
      <w:pPr>
        <w:ind w:left="7908" w:hanging="360"/>
      </w:pPr>
      <w:rPr>
        <w:rFonts w:hint="default"/>
        <w:lang w:val="en-US" w:eastAsia="en-US" w:bidi="en-US"/>
      </w:rPr>
    </w:lvl>
  </w:abstractNum>
  <w:abstractNum w:abstractNumId="2">
    <w:nsid w:val="3E6E3E63"/>
    <w:multiLevelType w:val="hybridMultilevel"/>
    <w:tmpl w:val="3716A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19"/>
    <w:rsid w:val="00005249"/>
    <w:rsid w:val="0001549A"/>
    <w:rsid w:val="00016B0A"/>
    <w:rsid w:val="00020170"/>
    <w:rsid w:val="00027BD0"/>
    <w:rsid w:val="00036D99"/>
    <w:rsid w:val="00040D85"/>
    <w:rsid w:val="0004487D"/>
    <w:rsid w:val="00051F20"/>
    <w:rsid w:val="000566C6"/>
    <w:rsid w:val="00064544"/>
    <w:rsid w:val="00066AEC"/>
    <w:rsid w:val="0006743C"/>
    <w:rsid w:val="00094BAC"/>
    <w:rsid w:val="00097DCD"/>
    <w:rsid w:val="000D5F6B"/>
    <w:rsid w:val="000E2066"/>
    <w:rsid w:val="0010346C"/>
    <w:rsid w:val="001048F9"/>
    <w:rsid w:val="00116027"/>
    <w:rsid w:val="00125AEB"/>
    <w:rsid w:val="00126D3B"/>
    <w:rsid w:val="001323D6"/>
    <w:rsid w:val="00135967"/>
    <w:rsid w:val="00137B19"/>
    <w:rsid w:val="00142BDC"/>
    <w:rsid w:val="001449F1"/>
    <w:rsid w:val="00153245"/>
    <w:rsid w:val="0015686D"/>
    <w:rsid w:val="001578E4"/>
    <w:rsid w:val="00164891"/>
    <w:rsid w:val="00165CDF"/>
    <w:rsid w:val="00166800"/>
    <w:rsid w:val="001745CE"/>
    <w:rsid w:val="00195742"/>
    <w:rsid w:val="001958CC"/>
    <w:rsid w:val="001C1EA2"/>
    <w:rsid w:val="001D3812"/>
    <w:rsid w:val="001F1655"/>
    <w:rsid w:val="001F2789"/>
    <w:rsid w:val="00201B06"/>
    <w:rsid w:val="002101FB"/>
    <w:rsid w:val="00233154"/>
    <w:rsid w:val="00234172"/>
    <w:rsid w:val="00247581"/>
    <w:rsid w:val="002950CA"/>
    <w:rsid w:val="002B0E44"/>
    <w:rsid w:val="002B447C"/>
    <w:rsid w:val="002C4D12"/>
    <w:rsid w:val="002C51D0"/>
    <w:rsid w:val="002D017A"/>
    <w:rsid w:val="002D0C12"/>
    <w:rsid w:val="002D697A"/>
    <w:rsid w:val="002F3ABA"/>
    <w:rsid w:val="002F6B8C"/>
    <w:rsid w:val="00312E29"/>
    <w:rsid w:val="0032456A"/>
    <w:rsid w:val="00327225"/>
    <w:rsid w:val="00345F2A"/>
    <w:rsid w:val="00353033"/>
    <w:rsid w:val="00355F14"/>
    <w:rsid w:val="00360482"/>
    <w:rsid w:val="00362374"/>
    <w:rsid w:val="0036563C"/>
    <w:rsid w:val="00384C49"/>
    <w:rsid w:val="00394627"/>
    <w:rsid w:val="00397D4C"/>
    <w:rsid w:val="003A05B0"/>
    <w:rsid w:val="003A2ED2"/>
    <w:rsid w:val="003A7CD1"/>
    <w:rsid w:val="003B2477"/>
    <w:rsid w:val="003B45F6"/>
    <w:rsid w:val="003C0667"/>
    <w:rsid w:val="003C0B34"/>
    <w:rsid w:val="003C3600"/>
    <w:rsid w:val="003C58A6"/>
    <w:rsid w:val="003D6305"/>
    <w:rsid w:val="003D641A"/>
    <w:rsid w:val="003E6965"/>
    <w:rsid w:val="00415C35"/>
    <w:rsid w:val="00427AA8"/>
    <w:rsid w:val="00427C10"/>
    <w:rsid w:val="00431A21"/>
    <w:rsid w:val="00432409"/>
    <w:rsid w:val="0044083B"/>
    <w:rsid w:val="00440A29"/>
    <w:rsid w:val="00444B5E"/>
    <w:rsid w:val="00446380"/>
    <w:rsid w:val="004506B3"/>
    <w:rsid w:val="00464978"/>
    <w:rsid w:val="00472CC3"/>
    <w:rsid w:val="004816A4"/>
    <w:rsid w:val="00491895"/>
    <w:rsid w:val="004B3E6C"/>
    <w:rsid w:val="004C56D5"/>
    <w:rsid w:val="004D57E4"/>
    <w:rsid w:val="004F2768"/>
    <w:rsid w:val="004F4C6C"/>
    <w:rsid w:val="004F5456"/>
    <w:rsid w:val="005059DA"/>
    <w:rsid w:val="00511799"/>
    <w:rsid w:val="00525EFA"/>
    <w:rsid w:val="00533338"/>
    <w:rsid w:val="0054757C"/>
    <w:rsid w:val="00554D7B"/>
    <w:rsid w:val="00562690"/>
    <w:rsid w:val="00562DC6"/>
    <w:rsid w:val="00567533"/>
    <w:rsid w:val="0058414A"/>
    <w:rsid w:val="005862EB"/>
    <w:rsid w:val="00592613"/>
    <w:rsid w:val="005961F5"/>
    <w:rsid w:val="005962CA"/>
    <w:rsid w:val="005A68C9"/>
    <w:rsid w:val="005A71AF"/>
    <w:rsid w:val="005B2B78"/>
    <w:rsid w:val="005B3DE3"/>
    <w:rsid w:val="005C5C4C"/>
    <w:rsid w:val="005D26E9"/>
    <w:rsid w:val="005D2995"/>
    <w:rsid w:val="005E6685"/>
    <w:rsid w:val="005E703C"/>
    <w:rsid w:val="005E7B74"/>
    <w:rsid w:val="006207D6"/>
    <w:rsid w:val="00622F77"/>
    <w:rsid w:val="00624A76"/>
    <w:rsid w:val="0062509F"/>
    <w:rsid w:val="006373C9"/>
    <w:rsid w:val="00643F74"/>
    <w:rsid w:val="00644DA6"/>
    <w:rsid w:val="00645B19"/>
    <w:rsid w:val="00670F06"/>
    <w:rsid w:val="00672FE5"/>
    <w:rsid w:val="00677A52"/>
    <w:rsid w:val="00692584"/>
    <w:rsid w:val="006A4505"/>
    <w:rsid w:val="006B0929"/>
    <w:rsid w:val="006C3723"/>
    <w:rsid w:val="006C627E"/>
    <w:rsid w:val="006C6D9C"/>
    <w:rsid w:val="006E7816"/>
    <w:rsid w:val="006F0CF1"/>
    <w:rsid w:val="006F41B7"/>
    <w:rsid w:val="0070401B"/>
    <w:rsid w:val="00712B1D"/>
    <w:rsid w:val="00713D0D"/>
    <w:rsid w:val="00716CFF"/>
    <w:rsid w:val="00734864"/>
    <w:rsid w:val="00735796"/>
    <w:rsid w:val="007511EC"/>
    <w:rsid w:val="0077768D"/>
    <w:rsid w:val="007809D0"/>
    <w:rsid w:val="00781A7A"/>
    <w:rsid w:val="00791CAA"/>
    <w:rsid w:val="007A1307"/>
    <w:rsid w:val="007B1C26"/>
    <w:rsid w:val="007C703A"/>
    <w:rsid w:val="007D6420"/>
    <w:rsid w:val="007E3B0E"/>
    <w:rsid w:val="007E4043"/>
    <w:rsid w:val="007E6782"/>
    <w:rsid w:val="007F12E1"/>
    <w:rsid w:val="007F6DA2"/>
    <w:rsid w:val="008103DF"/>
    <w:rsid w:val="008142C0"/>
    <w:rsid w:val="00816F54"/>
    <w:rsid w:val="00825D35"/>
    <w:rsid w:val="008459F6"/>
    <w:rsid w:val="008700E7"/>
    <w:rsid w:val="00881469"/>
    <w:rsid w:val="008844D2"/>
    <w:rsid w:val="00885864"/>
    <w:rsid w:val="00886425"/>
    <w:rsid w:val="008870E3"/>
    <w:rsid w:val="008A1A88"/>
    <w:rsid w:val="008A5BB8"/>
    <w:rsid w:val="008B1AF8"/>
    <w:rsid w:val="008B5398"/>
    <w:rsid w:val="008C0D4F"/>
    <w:rsid w:val="008C7218"/>
    <w:rsid w:val="008D1039"/>
    <w:rsid w:val="008E7A1D"/>
    <w:rsid w:val="008F1BB9"/>
    <w:rsid w:val="008F4411"/>
    <w:rsid w:val="00902DD5"/>
    <w:rsid w:val="00905228"/>
    <w:rsid w:val="00911ED1"/>
    <w:rsid w:val="009129FB"/>
    <w:rsid w:val="00921D9F"/>
    <w:rsid w:val="0092696D"/>
    <w:rsid w:val="00926C94"/>
    <w:rsid w:val="00927F32"/>
    <w:rsid w:val="00927FEC"/>
    <w:rsid w:val="00933E07"/>
    <w:rsid w:val="00934014"/>
    <w:rsid w:val="00934A8D"/>
    <w:rsid w:val="009372DE"/>
    <w:rsid w:val="009423B2"/>
    <w:rsid w:val="00946741"/>
    <w:rsid w:val="009529FD"/>
    <w:rsid w:val="009531D9"/>
    <w:rsid w:val="00961BFF"/>
    <w:rsid w:val="0098720A"/>
    <w:rsid w:val="009944FF"/>
    <w:rsid w:val="009A0D4A"/>
    <w:rsid w:val="009B3A5B"/>
    <w:rsid w:val="009C1291"/>
    <w:rsid w:val="009C49CA"/>
    <w:rsid w:val="009C751A"/>
    <w:rsid w:val="009D67FF"/>
    <w:rsid w:val="009E141B"/>
    <w:rsid w:val="009E2028"/>
    <w:rsid w:val="00A04CF7"/>
    <w:rsid w:val="00A12CFC"/>
    <w:rsid w:val="00A131A3"/>
    <w:rsid w:val="00A13FD2"/>
    <w:rsid w:val="00A1551E"/>
    <w:rsid w:val="00A16CD3"/>
    <w:rsid w:val="00A172CF"/>
    <w:rsid w:val="00A23FFE"/>
    <w:rsid w:val="00A247D4"/>
    <w:rsid w:val="00A26700"/>
    <w:rsid w:val="00A27461"/>
    <w:rsid w:val="00A3628C"/>
    <w:rsid w:val="00A46186"/>
    <w:rsid w:val="00A572F0"/>
    <w:rsid w:val="00A61B6D"/>
    <w:rsid w:val="00A6738C"/>
    <w:rsid w:val="00A83836"/>
    <w:rsid w:val="00A875FB"/>
    <w:rsid w:val="00A87A09"/>
    <w:rsid w:val="00A94467"/>
    <w:rsid w:val="00A967BD"/>
    <w:rsid w:val="00AA781F"/>
    <w:rsid w:val="00AB040F"/>
    <w:rsid w:val="00AC679E"/>
    <w:rsid w:val="00AC6D4B"/>
    <w:rsid w:val="00AC7B8D"/>
    <w:rsid w:val="00AD756D"/>
    <w:rsid w:val="00AE041D"/>
    <w:rsid w:val="00AE4E80"/>
    <w:rsid w:val="00AF1C36"/>
    <w:rsid w:val="00B00916"/>
    <w:rsid w:val="00B07AE6"/>
    <w:rsid w:val="00B244D3"/>
    <w:rsid w:val="00B5084E"/>
    <w:rsid w:val="00B52196"/>
    <w:rsid w:val="00B5528D"/>
    <w:rsid w:val="00B65924"/>
    <w:rsid w:val="00B76E2F"/>
    <w:rsid w:val="00B8061E"/>
    <w:rsid w:val="00B85008"/>
    <w:rsid w:val="00B96318"/>
    <w:rsid w:val="00BA72F6"/>
    <w:rsid w:val="00BB38EB"/>
    <w:rsid w:val="00BB47B8"/>
    <w:rsid w:val="00BC0A95"/>
    <w:rsid w:val="00BC673F"/>
    <w:rsid w:val="00BE064D"/>
    <w:rsid w:val="00BE6F62"/>
    <w:rsid w:val="00C01C89"/>
    <w:rsid w:val="00C07C61"/>
    <w:rsid w:val="00C10245"/>
    <w:rsid w:val="00C1300C"/>
    <w:rsid w:val="00C14F25"/>
    <w:rsid w:val="00C16BA5"/>
    <w:rsid w:val="00C3787C"/>
    <w:rsid w:val="00C46D55"/>
    <w:rsid w:val="00C64BEC"/>
    <w:rsid w:val="00C65161"/>
    <w:rsid w:val="00C66EA7"/>
    <w:rsid w:val="00C73051"/>
    <w:rsid w:val="00C80D3B"/>
    <w:rsid w:val="00C80E44"/>
    <w:rsid w:val="00C82B07"/>
    <w:rsid w:val="00C9196C"/>
    <w:rsid w:val="00C94718"/>
    <w:rsid w:val="00CA010F"/>
    <w:rsid w:val="00CA545F"/>
    <w:rsid w:val="00CA7DC4"/>
    <w:rsid w:val="00CC06D4"/>
    <w:rsid w:val="00CD52F0"/>
    <w:rsid w:val="00CD5582"/>
    <w:rsid w:val="00CD79CC"/>
    <w:rsid w:val="00D002A0"/>
    <w:rsid w:val="00D00EE7"/>
    <w:rsid w:val="00D14DD3"/>
    <w:rsid w:val="00D15896"/>
    <w:rsid w:val="00D163B9"/>
    <w:rsid w:val="00D2611A"/>
    <w:rsid w:val="00D34F74"/>
    <w:rsid w:val="00D405B0"/>
    <w:rsid w:val="00D42178"/>
    <w:rsid w:val="00D570E3"/>
    <w:rsid w:val="00D574BC"/>
    <w:rsid w:val="00D60127"/>
    <w:rsid w:val="00D617BA"/>
    <w:rsid w:val="00D730D7"/>
    <w:rsid w:val="00D77761"/>
    <w:rsid w:val="00D9296B"/>
    <w:rsid w:val="00D94A60"/>
    <w:rsid w:val="00DA50DC"/>
    <w:rsid w:val="00DB08B3"/>
    <w:rsid w:val="00DB4D30"/>
    <w:rsid w:val="00DC200F"/>
    <w:rsid w:val="00DC470F"/>
    <w:rsid w:val="00DD33FB"/>
    <w:rsid w:val="00DD4F04"/>
    <w:rsid w:val="00DE1317"/>
    <w:rsid w:val="00DE6717"/>
    <w:rsid w:val="00DE7B2F"/>
    <w:rsid w:val="00DF11FA"/>
    <w:rsid w:val="00DF3476"/>
    <w:rsid w:val="00E279C1"/>
    <w:rsid w:val="00E27D8D"/>
    <w:rsid w:val="00E339BE"/>
    <w:rsid w:val="00E35EA2"/>
    <w:rsid w:val="00E44377"/>
    <w:rsid w:val="00E6756A"/>
    <w:rsid w:val="00E718CE"/>
    <w:rsid w:val="00E77E12"/>
    <w:rsid w:val="00E83C99"/>
    <w:rsid w:val="00E84ABC"/>
    <w:rsid w:val="00E87237"/>
    <w:rsid w:val="00E9313D"/>
    <w:rsid w:val="00EA3FF8"/>
    <w:rsid w:val="00EA6841"/>
    <w:rsid w:val="00EC2C19"/>
    <w:rsid w:val="00ED10E0"/>
    <w:rsid w:val="00ED3BC9"/>
    <w:rsid w:val="00EE4416"/>
    <w:rsid w:val="00EF1CDC"/>
    <w:rsid w:val="00F07B26"/>
    <w:rsid w:val="00F33892"/>
    <w:rsid w:val="00F54EC4"/>
    <w:rsid w:val="00F615A3"/>
    <w:rsid w:val="00F641C4"/>
    <w:rsid w:val="00F64B86"/>
    <w:rsid w:val="00F726AF"/>
    <w:rsid w:val="00F75D77"/>
    <w:rsid w:val="00F76177"/>
    <w:rsid w:val="00F90141"/>
    <w:rsid w:val="00F97DA9"/>
    <w:rsid w:val="00FA4ACA"/>
    <w:rsid w:val="00FB1E3E"/>
    <w:rsid w:val="00FC2EE7"/>
    <w:rsid w:val="00FC73E8"/>
    <w:rsid w:val="00FD223B"/>
    <w:rsid w:val="00FE1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60" w:hanging="2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60" w:hanging="360"/>
    </w:pPr>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basedOn w:val="DefaultParagraphFont"/>
    <w:uiPriority w:val="99"/>
    <w:semiHidden/>
    <w:unhideWhenUsed/>
    <w:rsid w:val="00734864"/>
    <w:rPr>
      <w:sz w:val="16"/>
      <w:szCs w:val="16"/>
    </w:rPr>
  </w:style>
  <w:style w:type="paragraph" w:styleId="CommentText">
    <w:name w:val="annotation text"/>
    <w:basedOn w:val="Normal"/>
    <w:link w:val="CommentTextChar"/>
    <w:uiPriority w:val="99"/>
    <w:unhideWhenUsed/>
    <w:rsid w:val="00734864"/>
    <w:rPr>
      <w:sz w:val="20"/>
      <w:szCs w:val="20"/>
    </w:rPr>
  </w:style>
  <w:style w:type="character" w:customStyle="1" w:styleId="CommentTextChar">
    <w:name w:val="Comment Text Char"/>
    <w:basedOn w:val="DefaultParagraphFont"/>
    <w:link w:val="CommentText"/>
    <w:uiPriority w:val="99"/>
    <w:rsid w:val="0073486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34864"/>
    <w:rPr>
      <w:b/>
      <w:bCs/>
    </w:rPr>
  </w:style>
  <w:style w:type="character" w:customStyle="1" w:styleId="CommentSubjectChar">
    <w:name w:val="Comment Subject Char"/>
    <w:basedOn w:val="CommentTextChar"/>
    <w:link w:val="CommentSubject"/>
    <w:uiPriority w:val="99"/>
    <w:semiHidden/>
    <w:rsid w:val="00734864"/>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7348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864"/>
    <w:rPr>
      <w:rFonts w:ascii="Segoe UI" w:eastAsia="Times New Roman" w:hAnsi="Segoe UI" w:cs="Segoe UI"/>
      <w:sz w:val="18"/>
      <w:szCs w:val="18"/>
      <w:lang w:bidi="en-US"/>
    </w:rPr>
  </w:style>
  <w:style w:type="paragraph" w:styleId="FootnoteText">
    <w:name w:val="footnote text"/>
    <w:basedOn w:val="Normal"/>
    <w:link w:val="FootnoteTextChar"/>
    <w:uiPriority w:val="99"/>
    <w:semiHidden/>
    <w:unhideWhenUsed/>
    <w:rsid w:val="00DA50DC"/>
    <w:rPr>
      <w:sz w:val="20"/>
      <w:szCs w:val="20"/>
    </w:rPr>
  </w:style>
  <w:style w:type="character" w:customStyle="1" w:styleId="FootnoteTextChar">
    <w:name w:val="Footnote Text Char"/>
    <w:basedOn w:val="DefaultParagraphFont"/>
    <w:link w:val="FootnoteText"/>
    <w:uiPriority w:val="99"/>
    <w:semiHidden/>
    <w:rsid w:val="00DA50DC"/>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DA50DC"/>
    <w:rPr>
      <w:vertAlign w:val="superscript"/>
    </w:rPr>
  </w:style>
  <w:style w:type="paragraph" w:styleId="Header">
    <w:name w:val="header"/>
    <w:basedOn w:val="Normal"/>
    <w:link w:val="HeaderChar"/>
    <w:uiPriority w:val="99"/>
    <w:unhideWhenUsed/>
    <w:rsid w:val="00AC6D4B"/>
    <w:pPr>
      <w:tabs>
        <w:tab w:val="center" w:pos="4680"/>
        <w:tab w:val="right" w:pos="9360"/>
      </w:tabs>
    </w:pPr>
  </w:style>
  <w:style w:type="character" w:customStyle="1" w:styleId="HeaderChar">
    <w:name w:val="Header Char"/>
    <w:basedOn w:val="DefaultParagraphFont"/>
    <w:link w:val="Header"/>
    <w:uiPriority w:val="99"/>
    <w:rsid w:val="00AC6D4B"/>
    <w:rPr>
      <w:rFonts w:ascii="Times New Roman" w:eastAsia="Times New Roman" w:hAnsi="Times New Roman" w:cs="Times New Roman"/>
      <w:lang w:bidi="en-US"/>
    </w:rPr>
  </w:style>
  <w:style w:type="paragraph" w:styleId="Footer">
    <w:name w:val="footer"/>
    <w:basedOn w:val="Normal"/>
    <w:link w:val="FooterChar"/>
    <w:uiPriority w:val="99"/>
    <w:unhideWhenUsed/>
    <w:rsid w:val="00AC6D4B"/>
    <w:pPr>
      <w:tabs>
        <w:tab w:val="center" w:pos="4680"/>
        <w:tab w:val="right" w:pos="9360"/>
      </w:tabs>
    </w:pPr>
  </w:style>
  <w:style w:type="character" w:customStyle="1" w:styleId="FooterChar">
    <w:name w:val="Footer Char"/>
    <w:basedOn w:val="DefaultParagraphFont"/>
    <w:link w:val="Footer"/>
    <w:uiPriority w:val="99"/>
    <w:rsid w:val="00AC6D4B"/>
    <w:rPr>
      <w:rFonts w:ascii="Times New Roman" w:eastAsia="Times New Roman" w:hAnsi="Times New Roman" w:cs="Times New Roman"/>
      <w:lang w:bidi="en-US"/>
    </w:rPr>
  </w:style>
  <w:style w:type="character" w:styleId="Hyperlink">
    <w:name w:val="Hyperlink"/>
    <w:basedOn w:val="DefaultParagraphFont"/>
    <w:uiPriority w:val="99"/>
    <w:unhideWhenUsed/>
    <w:rsid w:val="00FB1E3E"/>
    <w:rPr>
      <w:color w:val="0000FF"/>
      <w:u w:val="single"/>
    </w:rPr>
  </w:style>
  <w:style w:type="paragraph" w:styleId="Revision">
    <w:name w:val="Revision"/>
    <w:hidden/>
    <w:uiPriority w:val="99"/>
    <w:semiHidden/>
    <w:rsid w:val="00AA781F"/>
    <w:pPr>
      <w:widowControl/>
      <w:autoSpaceDE/>
      <w:autoSpaceDN/>
    </w:pPr>
    <w:rPr>
      <w:rFonts w:ascii="Times New Roman" w:eastAsia="Times New Roman" w:hAnsi="Times New Roman" w:cs="Times New Roman"/>
      <w:lang w:bidi="en-US"/>
    </w:rPr>
  </w:style>
  <w:style w:type="paragraph" w:customStyle="1" w:styleId="Default">
    <w:name w:val="Default"/>
    <w:rsid w:val="00D617BA"/>
    <w:pPr>
      <w:widowControl/>
      <w:adjustRightInd w:val="0"/>
    </w:pPr>
    <w:rPr>
      <w:rFonts w:ascii="Times New Roman" w:hAnsi="Times New Roman" w:cs="Times New Roman"/>
      <w:color w:val="000000"/>
      <w:sz w:val="24"/>
      <w:szCs w:val="24"/>
    </w:rPr>
  </w:style>
  <w:style w:type="table" w:styleId="TableGrid">
    <w:name w:val="Table Grid"/>
    <w:basedOn w:val="TableNormal"/>
    <w:uiPriority w:val="39"/>
    <w:rsid w:val="00481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7B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60" w:hanging="2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60" w:hanging="360"/>
    </w:pPr>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basedOn w:val="DefaultParagraphFont"/>
    <w:uiPriority w:val="99"/>
    <w:semiHidden/>
    <w:unhideWhenUsed/>
    <w:rsid w:val="00734864"/>
    <w:rPr>
      <w:sz w:val="16"/>
      <w:szCs w:val="16"/>
    </w:rPr>
  </w:style>
  <w:style w:type="paragraph" w:styleId="CommentText">
    <w:name w:val="annotation text"/>
    <w:basedOn w:val="Normal"/>
    <w:link w:val="CommentTextChar"/>
    <w:uiPriority w:val="99"/>
    <w:unhideWhenUsed/>
    <w:rsid w:val="00734864"/>
    <w:rPr>
      <w:sz w:val="20"/>
      <w:szCs w:val="20"/>
    </w:rPr>
  </w:style>
  <w:style w:type="character" w:customStyle="1" w:styleId="CommentTextChar">
    <w:name w:val="Comment Text Char"/>
    <w:basedOn w:val="DefaultParagraphFont"/>
    <w:link w:val="CommentText"/>
    <w:uiPriority w:val="99"/>
    <w:rsid w:val="0073486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34864"/>
    <w:rPr>
      <w:b/>
      <w:bCs/>
    </w:rPr>
  </w:style>
  <w:style w:type="character" w:customStyle="1" w:styleId="CommentSubjectChar">
    <w:name w:val="Comment Subject Char"/>
    <w:basedOn w:val="CommentTextChar"/>
    <w:link w:val="CommentSubject"/>
    <w:uiPriority w:val="99"/>
    <w:semiHidden/>
    <w:rsid w:val="00734864"/>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7348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864"/>
    <w:rPr>
      <w:rFonts w:ascii="Segoe UI" w:eastAsia="Times New Roman" w:hAnsi="Segoe UI" w:cs="Segoe UI"/>
      <w:sz w:val="18"/>
      <w:szCs w:val="18"/>
      <w:lang w:bidi="en-US"/>
    </w:rPr>
  </w:style>
  <w:style w:type="paragraph" w:styleId="FootnoteText">
    <w:name w:val="footnote text"/>
    <w:basedOn w:val="Normal"/>
    <w:link w:val="FootnoteTextChar"/>
    <w:uiPriority w:val="99"/>
    <w:semiHidden/>
    <w:unhideWhenUsed/>
    <w:rsid w:val="00DA50DC"/>
    <w:rPr>
      <w:sz w:val="20"/>
      <w:szCs w:val="20"/>
    </w:rPr>
  </w:style>
  <w:style w:type="character" w:customStyle="1" w:styleId="FootnoteTextChar">
    <w:name w:val="Footnote Text Char"/>
    <w:basedOn w:val="DefaultParagraphFont"/>
    <w:link w:val="FootnoteText"/>
    <w:uiPriority w:val="99"/>
    <w:semiHidden/>
    <w:rsid w:val="00DA50DC"/>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DA50DC"/>
    <w:rPr>
      <w:vertAlign w:val="superscript"/>
    </w:rPr>
  </w:style>
  <w:style w:type="paragraph" w:styleId="Header">
    <w:name w:val="header"/>
    <w:basedOn w:val="Normal"/>
    <w:link w:val="HeaderChar"/>
    <w:uiPriority w:val="99"/>
    <w:unhideWhenUsed/>
    <w:rsid w:val="00AC6D4B"/>
    <w:pPr>
      <w:tabs>
        <w:tab w:val="center" w:pos="4680"/>
        <w:tab w:val="right" w:pos="9360"/>
      </w:tabs>
    </w:pPr>
  </w:style>
  <w:style w:type="character" w:customStyle="1" w:styleId="HeaderChar">
    <w:name w:val="Header Char"/>
    <w:basedOn w:val="DefaultParagraphFont"/>
    <w:link w:val="Header"/>
    <w:uiPriority w:val="99"/>
    <w:rsid w:val="00AC6D4B"/>
    <w:rPr>
      <w:rFonts w:ascii="Times New Roman" w:eastAsia="Times New Roman" w:hAnsi="Times New Roman" w:cs="Times New Roman"/>
      <w:lang w:bidi="en-US"/>
    </w:rPr>
  </w:style>
  <w:style w:type="paragraph" w:styleId="Footer">
    <w:name w:val="footer"/>
    <w:basedOn w:val="Normal"/>
    <w:link w:val="FooterChar"/>
    <w:uiPriority w:val="99"/>
    <w:unhideWhenUsed/>
    <w:rsid w:val="00AC6D4B"/>
    <w:pPr>
      <w:tabs>
        <w:tab w:val="center" w:pos="4680"/>
        <w:tab w:val="right" w:pos="9360"/>
      </w:tabs>
    </w:pPr>
  </w:style>
  <w:style w:type="character" w:customStyle="1" w:styleId="FooterChar">
    <w:name w:val="Footer Char"/>
    <w:basedOn w:val="DefaultParagraphFont"/>
    <w:link w:val="Footer"/>
    <w:uiPriority w:val="99"/>
    <w:rsid w:val="00AC6D4B"/>
    <w:rPr>
      <w:rFonts w:ascii="Times New Roman" w:eastAsia="Times New Roman" w:hAnsi="Times New Roman" w:cs="Times New Roman"/>
      <w:lang w:bidi="en-US"/>
    </w:rPr>
  </w:style>
  <w:style w:type="character" w:styleId="Hyperlink">
    <w:name w:val="Hyperlink"/>
    <w:basedOn w:val="DefaultParagraphFont"/>
    <w:uiPriority w:val="99"/>
    <w:unhideWhenUsed/>
    <w:rsid w:val="00FB1E3E"/>
    <w:rPr>
      <w:color w:val="0000FF"/>
      <w:u w:val="single"/>
    </w:rPr>
  </w:style>
  <w:style w:type="paragraph" w:styleId="Revision">
    <w:name w:val="Revision"/>
    <w:hidden/>
    <w:uiPriority w:val="99"/>
    <w:semiHidden/>
    <w:rsid w:val="00AA781F"/>
    <w:pPr>
      <w:widowControl/>
      <w:autoSpaceDE/>
      <w:autoSpaceDN/>
    </w:pPr>
    <w:rPr>
      <w:rFonts w:ascii="Times New Roman" w:eastAsia="Times New Roman" w:hAnsi="Times New Roman" w:cs="Times New Roman"/>
      <w:lang w:bidi="en-US"/>
    </w:rPr>
  </w:style>
  <w:style w:type="paragraph" w:customStyle="1" w:styleId="Default">
    <w:name w:val="Default"/>
    <w:rsid w:val="00D617BA"/>
    <w:pPr>
      <w:widowControl/>
      <w:adjustRightInd w:val="0"/>
    </w:pPr>
    <w:rPr>
      <w:rFonts w:ascii="Times New Roman" w:hAnsi="Times New Roman" w:cs="Times New Roman"/>
      <w:color w:val="000000"/>
      <w:sz w:val="24"/>
      <w:szCs w:val="24"/>
    </w:rPr>
  </w:style>
  <w:style w:type="table" w:styleId="TableGrid">
    <w:name w:val="Table Grid"/>
    <w:basedOn w:val="TableNormal"/>
    <w:uiPriority w:val="39"/>
    <w:rsid w:val="00481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7B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39713">
      <w:bodyDiv w:val="1"/>
      <w:marLeft w:val="0"/>
      <w:marRight w:val="0"/>
      <w:marTop w:val="0"/>
      <w:marBottom w:val="0"/>
      <w:divBdr>
        <w:top w:val="none" w:sz="0" w:space="0" w:color="auto"/>
        <w:left w:val="none" w:sz="0" w:space="0" w:color="auto"/>
        <w:bottom w:val="none" w:sz="0" w:space="0" w:color="auto"/>
        <w:right w:val="none" w:sz="0" w:space="0" w:color="auto"/>
      </w:divBdr>
    </w:div>
    <w:div w:id="643586757">
      <w:bodyDiv w:val="1"/>
      <w:marLeft w:val="0"/>
      <w:marRight w:val="0"/>
      <w:marTop w:val="0"/>
      <w:marBottom w:val="0"/>
      <w:divBdr>
        <w:top w:val="none" w:sz="0" w:space="0" w:color="auto"/>
        <w:left w:val="none" w:sz="0" w:space="0" w:color="auto"/>
        <w:bottom w:val="none" w:sz="0" w:space="0" w:color="auto"/>
        <w:right w:val="none" w:sz="0" w:space="0" w:color="auto"/>
      </w:divBdr>
      <w:divsChild>
        <w:div w:id="1083988749">
          <w:marLeft w:val="0"/>
          <w:marRight w:val="0"/>
          <w:marTop w:val="0"/>
          <w:marBottom w:val="0"/>
          <w:divBdr>
            <w:top w:val="none" w:sz="0" w:space="0" w:color="auto"/>
            <w:left w:val="none" w:sz="0" w:space="0" w:color="auto"/>
            <w:bottom w:val="none" w:sz="0" w:space="0" w:color="auto"/>
            <w:right w:val="none" w:sz="0" w:space="0" w:color="auto"/>
          </w:divBdr>
        </w:div>
      </w:divsChild>
    </w:div>
    <w:div w:id="1011495553">
      <w:bodyDiv w:val="1"/>
      <w:marLeft w:val="0"/>
      <w:marRight w:val="0"/>
      <w:marTop w:val="0"/>
      <w:marBottom w:val="0"/>
      <w:divBdr>
        <w:top w:val="none" w:sz="0" w:space="0" w:color="auto"/>
        <w:left w:val="none" w:sz="0" w:space="0" w:color="auto"/>
        <w:bottom w:val="none" w:sz="0" w:space="0" w:color="auto"/>
        <w:right w:val="none" w:sz="0" w:space="0" w:color="auto"/>
      </w:divBdr>
    </w:div>
    <w:div w:id="1109080149">
      <w:bodyDiv w:val="1"/>
      <w:marLeft w:val="0"/>
      <w:marRight w:val="0"/>
      <w:marTop w:val="0"/>
      <w:marBottom w:val="0"/>
      <w:divBdr>
        <w:top w:val="none" w:sz="0" w:space="0" w:color="auto"/>
        <w:left w:val="none" w:sz="0" w:space="0" w:color="auto"/>
        <w:bottom w:val="none" w:sz="0" w:space="0" w:color="auto"/>
        <w:right w:val="none" w:sz="0" w:space="0" w:color="auto"/>
      </w:divBdr>
    </w:div>
    <w:div w:id="1301689459">
      <w:bodyDiv w:val="1"/>
      <w:marLeft w:val="0"/>
      <w:marRight w:val="0"/>
      <w:marTop w:val="0"/>
      <w:marBottom w:val="0"/>
      <w:divBdr>
        <w:top w:val="none" w:sz="0" w:space="0" w:color="auto"/>
        <w:left w:val="none" w:sz="0" w:space="0" w:color="auto"/>
        <w:bottom w:val="none" w:sz="0" w:space="0" w:color="auto"/>
        <w:right w:val="none" w:sz="0" w:space="0" w:color="auto"/>
      </w:divBdr>
      <w:divsChild>
        <w:div w:id="1887790029">
          <w:marLeft w:val="0"/>
          <w:marRight w:val="0"/>
          <w:marTop w:val="0"/>
          <w:marBottom w:val="0"/>
          <w:divBdr>
            <w:top w:val="none" w:sz="0" w:space="0" w:color="auto"/>
            <w:left w:val="none" w:sz="0" w:space="0" w:color="auto"/>
            <w:bottom w:val="none" w:sz="0" w:space="0" w:color="auto"/>
            <w:right w:val="none" w:sz="0" w:space="0" w:color="auto"/>
          </w:divBdr>
          <w:divsChild>
            <w:div w:id="2001959387">
              <w:marLeft w:val="0"/>
              <w:marRight w:val="0"/>
              <w:marTop w:val="0"/>
              <w:marBottom w:val="0"/>
              <w:divBdr>
                <w:top w:val="none" w:sz="0" w:space="0" w:color="auto"/>
                <w:left w:val="single" w:sz="6" w:space="0" w:color="E2E2E2"/>
                <w:bottom w:val="none" w:sz="0" w:space="0" w:color="auto"/>
                <w:right w:val="single" w:sz="6" w:space="0" w:color="E2E2E2"/>
              </w:divBdr>
              <w:divsChild>
                <w:div w:id="250089036">
                  <w:marLeft w:val="0"/>
                  <w:marRight w:val="0"/>
                  <w:marTop w:val="0"/>
                  <w:marBottom w:val="0"/>
                  <w:divBdr>
                    <w:top w:val="none" w:sz="0" w:space="0" w:color="auto"/>
                    <w:left w:val="none" w:sz="0" w:space="0" w:color="auto"/>
                    <w:bottom w:val="none" w:sz="0" w:space="0" w:color="auto"/>
                    <w:right w:val="none" w:sz="0" w:space="0" w:color="auto"/>
                  </w:divBdr>
                  <w:divsChild>
                    <w:div w:id="602807120">
                      <w:marLeft w:val="0"/>
                      <w:marRight w:val="0"/>
                      <w:marTop w:val="0"/>
                      <w:marBottom w:val="0"/>
                      <w:divBdr>
                        <w:top w:val="none" w:sz="0" w:space="0" w:color="auto"/>
                        <w:left w:val="none" w:sz="0" w:space="0" w:color="auto"/>
                        <w:bottom w:val="none" w:sz="0" w:space="0" w:color="auto"/>
                        <w:right w:val="none" w:sz="0" w:space="0" w:color="auto"/>
                      </w:divBdr>
                      <w:divsChild>
                        <w:div w:id="15351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539560">
      <w:bodyDiv w:val="1"/>
      <w:marLeft w:val="0"/>
      <w:marRight w:val="0"/>
      <w:marTop w:val="0"/>
      <w:marBottom w:val="0"/>
      <w:divBdr>
        <w:top w:val="none" w:sz="0" w:space="0" w:color="auto"/>
        <w:left w:val="none" w:sz="0" w:space="0" w:color="auto"/>
        <w:bottom w:val="none" w:sz="0" w:space="0" w:color="auto"/>
        <w:right w:val="none" w:sz="0" w:space="0" w:color="auto"/>
      </w:divBdr>
      <w:divsChild>
        <w:div w:id="1545485033">
          <w:marLeft w:val="0"/>
          <w:marRight w:val="0"/>
          <w:marTop w:val="0"/>
          <w:marBottom w:val="0"/>
          <w:divBdr>
            <w:top w:val="none" w:sz="0" w:space="0" w:color="auto"/>
            <w:left w:val="none" w:sz="0" w:space="0" w:color="auto"/>
            <w:bottom w:val="none" w:sz="0" w:space="0" w:color="auto"/>
            <w:right w:val="none" w:sz="0" w:space="0" w:color="auto"/>
          </w:divBdr>
        </w:div>
      </w:divsChild>
    </w:div>
    <w:div w:id="2010205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onsumerfinanc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190E2FEB88440A39C3F89755716B8" ma:contentTypeVersion="7" ma:contentTypeDescription="Create a new document." ma:contentTypeScope="" ma:versionID="cf70b2ec05dc4fff6944da4e77536ed3">
  <xsd:schema xmlns:xsd="http://www.w3.org/2001/XMLSchema" xmlns:xs="http://www.w3.org/2001/XMLSchema" xmlns:p="http://schemas.microsoft.com/office/2006/metadata/properties" xmlns:ns3="de889ae0-8a1a-4232-9f8d-124a150fc1b6" targetNamespace="http://schemas.microsoft.com/office/2006/metadata/properties" ma:root="true" ma:fieldsID="798643c212dda6100ce175fd20d48e49" ns3:_="">
    <xsd:import namespace="de889ae0-8a1a-4232-9f8d-124a150fc1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89ae0-8a1a-4232-9f8d-124a150fc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A32B2-6C27-4237-8123-0AFC21102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89ae0-8a1a-4232-9f8d-124a150fc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FD9DE-FE53-4659-A769-C7B818C94C26}">
  <ds:schemaRefs>
    <ds:schemaRef ds:uri="http://schemas.microsoft.com/sharepoint/v3/contenttype/forms"/>
  </ds:schemaRefs>
</ds:datastoreItem>
</file>

<file path=customXml/itemProps3.xml><?xml version="1.0" encoding="utf-8"?>
<ds:datastoreItem xmlns:ds="http://schemas.openxmlformats.org/officeDocument/2006/customXml" ds:itemID="{486AA761-743E-489C-AEBE-9253E7DDB3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592FE5-658D-4730-8346-891AD869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3310</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22133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Haddadi, Tannaz (CFPB)</dc:creator>
  <cp:lastModifiedBy>SYSTEM</cp:lastModifiedBy>
  <cp:revision>2</cp:revision>
  <cp:lastPrinted>2019-02-19T17:05:00Z</cp:lastPrinted>
  <dcterms:created xsi:type="dcterms:W3CDTF">2019-12-09T18:12:00Z</dcterms:created>
  <dcterms:modified xsi:type="dcterms:W3CDTF">2019-12-09T18:12:00Z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2010</vt:lpwstr>
  </property>
  <property fmtid="{D5CDD505-2E9C-101B-9397-08002B2CF9AE}" pid="4" name="LastSaved">
    <vt:filetime>2019-01-23T00:00:00Z</vt:filetime>
  </property>
  <property fmtid="{D5CDD505-2E9C-101B-9397-08002B2CF9AE}" pid="5" name="ContentTypeId">
    <vt:lpwstr>0x0101009A3190E2FEB88440A39C3F89755716B8</vt:lpwstr>
  </property>
</Properties>
</file>