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4C2A7" w14:textId="2B67B927" w:rsidR="00D72220" w:rsidRPr="00A93577" w:rsidRDefault="00CA4352" w:rsidP="00D72220">
      <w:pPr>
        <w:widowControl/>
        <w:autoSpaceDE/>
        <w:autoSpaceDN/>
        <w:adjustRightInd/>
        <w:jc w:val="center"/>
        <w:rPr>
          <w:b/>
          <w:sz w:val="24"/>
          <w:szCs w:val="24"/>
          <w:lang w:val="en-CA"/>
        </w:rPr>
      </w:pPr>
      <w:bookmarkStart w:id="0" w:name="_GoBack"/>
      <w:bookmarkEnd w:id="0"/>
      <w:r>
        <w:rPr>
          <w:b/>
          <w:sz w:val="24"/>
          <w:szCs w:val="24"/>
          <w:lang w:val="en-CA"/>
        </w:rPr>
        <w:t>CONSUMER FINANCIAL PROTECTION BUREAU</w:t>
      </w:r>
    </w:p>
    <w:p w14:paraId="0909D139" w14:textId="77777777" w:rsidR="00317C77" w:rsidRDefault="00317C77" w:rsidP="00D72220">
      <w:pPr>
        <w:widowControl/>
        <w:autoSpaceDE/>
        <w:autoSpaceDN/>
        <w:adjustRightInd/>
        <w:jc w:val="center"/>
        <w:rPr>
          <w:b/>
          <w:sz w:val="24"/>
          <w:szCs w:val="24"/>
          <w:lang w:val="en-CA"/>
        </w:rPr>
      </w:pPr>
    </w:p>
    <w:p w14:paraId="57EC5A95" w14:textId="203414AC" w:rsidR="00D72220" w:rsidRPr="00A93577" w:rsidRDefault="00D72220" w:rsidP="00D72220">
      <w:pPr>
        <w:widowControl/>
        <w:autoSpaceDE/>
        <w:autoSpaceDN/>
        <w:adjustRightInd/>
        <w:jc w:val="center"/>
        <w:rPr>
          <w:b/>
          <w:sz w:val="24"/>
          <w:szCs w:val="24"/>
          <w:lang w:val="en-CA"/>
        </w:rPr>
      </w:pPr>
      <w:r w:rsidRPr="00A93577">
        <w:rPr>
          <w:b/>
          <w:sz w:val="24"/>
          <w:szCs w:val="24"/>
          <w:lang w:val="en-CA"/>
        </w:rPr>
        <w:t xml:space="preserve">PAPERWORK </w:t>
      </w:r>
      <w:r w:rsidR="00512E72" w:rsidRPr="00A93577">
        <w:rPr>
          <w:b/>
          <w:sz w:val="24"/>
          <w:szCs w:val="24"/>
          <w:lang w:val="en-CA"/>
        </w:rPr>
        <w:t>REDUCTION</w:t>
      </w:r>
      <w:r w:rsidRPr="00A93577">
        <w:rPr>
          <w:b/>
          <w:sz w:val="24"/>
          <w:szCs w:val="24"/>
          <w:lang w:val="en-CA"/>
        </w:rPr>
        <w:t xml:space="preserve"> ACT </w:t>
      </w:r>
      <w:r w:rsidR="00512E72" w:rsidRPr="00A93577">
        <w:rPr>
          <w:b/>
          <w:sz w:val="24"/>
          <w:szCs w:val="24"/>
          <w:lang w:val="en-CA"/>
        </w:rPr>
        <w:t>SUBMISSION</w:t>
      </w:r>
    </w:p>
    <w:p w14:paraId="215BDEC5" w14:textId="77777777" w:rsidR="00D72220" w:rsidRPr="00A93577" w:rsidRDefault="00D72220" w:rsidP="00D72220">
      <w:pPr>
        <w:pStyle w:val="CM12"/>
        <w:spacing w:line="276" w:lineRule="atLeast"/>
        <w:jc w:val="center"/>
        <w:rPr>
          <w:b/>
          <w:bCs/>
        </w:rPr>
      </w:pPr>
      <w:r w:rsidRPr="00A93577">
        <w:rPr>
          <w:b/>
          <w:bCs/>
        </w:rPr>
        <w:t>INFORMATION COLLECTION REQUEST</w:t>
      </w:r>
    </w:p>
    <w:p w14:paraId="5C7E00D5" w14:textId="77777777" w:rsidR="00D72220" w:rsidRPr="00A93577" w:rsidRDefault="00D72220" w:rsidP="00D72220">
      <w:pPr>
        <w:pStyle w:val="CM12"/>
        <w:spacing w:line="276" w:lineRule="atLeast"/>
        <w:jc w:val="center"/>
        <w:rPr>
          <w:b/>
          <w:bCs/>
        </w:rPr>
      </w:pPr>
    </w:p>
    <w:p w14:paraId="68F2E057" w14:textId="77777777" w:rsidR="00D72220" w:rsidRPr="00A93577" w:rsidRDefault="00D72220" w:rsidP="00D72220">
      <w:pPr>
        <w:pStyle w:val="CM12"/>
        <w:spacing w:line="276" w:lineRule="atLeast"/>
        <w:jc w:val="center"/>
        <w:rPr>
          <w:b/>
          <w:bCs/>
        </w:rPr>
      </w:pPr>
    </w:p>
    <w:p w14:paraId="48955833" w14:textId="77777777" w:rsidR="00D72220" w:rsidRDefault="00D72220" w:rsidP="00D72220">
      <w:pPr>
        <w:pStyle w:val="CM12"/>
        <w:spacing w:line="276" w:lineRule="atLeast"/>
        <w:jc w:val="center"/>
        <w:rPr>
          <w:b/>
          <w:bCs/>
        </w:rPr>
      </w:pPr>
      <w:r w:rsidRPr="00A93577">
        <w:rPr>
          <w:b/>
          <w:bCs/>
        </w:rPr>
        <w:t>SUPPORTING STATEMENT PART A</w:t>
      </w:r>
    </w:p>
    <w:p w14:paraId="53F8D192" w14:textId="77777777" w:rsidR="00BA1B81" w:rsidRPr="00BA1B81" w:rsidRDefault="00BA1B81" w:rsidP="00BA1B81"/>
    <w:p w14:paraId="24657A44" w14:textId="5897DDB3" w:rsidR="009B792A" w:rsidRPr="00A93577" w:rsidRDefault="009B792A" w:rsidP="00D722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Bold" w:hAnsi="Times New Roman Bold"/>
          <w:b/>
          <w:bCs/>
          <w:caps/>
          <w:sz w:val="24"/>
          <w:szCs w:val="24"/>
        </w:rPr>
      </w:pPr>
      <w:r w:rsidRPr="00A93577">
        <w:rPr>
          <w:rFonts w:ascii="Times New Roman Bold" w:hAnsi="Times New Roman Bold"/>
          <w:b/>
          <w:bCs/>
          <w:caps/>
          <w:sz w:val="24"/>
          <w:szCs w:val="24"/>
        </w:rPr>
        <w:t xml:space="preserve">Home Mortgage Disclosure </w:t>
      </w:r>
      <w:r w:rsidR="00BE5EF5">
        <w:rPr>
          <w:rFonts w:ascii="Times New Roman Bold" w:hAnsi="Times New Roman Bold"/>
          <w:b/>
          <w:bCs/>
          <w:caps/>
          <w:sz w:val="24"/>
          <w:szCs w:val="24"/>
        </w:rPr>
        <w:t xml:space="preserve">Act </w:t>
      </w:r>
      <w:r w:rsidRPr="00A93577">
        <w:rPr>
          <w:rFonts w:ascii="Times New Roman Bold" w:hAnsi="Times New Roman Bold"/>
          <w:b/>
          <w:bCs/>
          <w:caps/>
          <w:sz w:val="24"/>
          <w:szCs w:val="24"/>
        </w:rPr>
        <w:t>(Regulation C) 12 CFR 1003</w:t>
      </w:r>
    </w:p>
    <w:p w14:paraId="64103F18" w14:textId="77777777" w:rsidR="00D72220" w:rsidRPr="00A93577" w:rsidRDefault="00D72220" w:rsidP="00D722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A93577">
        <w:rPr>
          <w:b/>
          <w:bCs/>
          <w:sz w:val="24"/>
          <w:szCs w:val="24"/>
        </w:rPr>
        <w:t>(OMB CONTROL NUMBER: 3170-</w:t>
      </w:r>
      <w:r w:rsidR="009B792A" w:rsidRPr="00A93577">
        <w:rPr>
          <w:b/>
          <w:bCs/>
          <w:sz w:val="24"/>
          <w:szCs w:val="24"/>
        </w:rPr>
        <w:t>0008</w:t>
      </w:r>
      <w:r w:rsidRPr="00A93577">
        <w:rPr>
          <w:b/>
          <w:bCs/>
          <w:sz w:val="24"/>
          <w:szCs w:val="24"/>
        </w:rPr>
        <w:t>)</w:t>
      </w:r>
    </w:p>
    <w:p w14:paraId="5E5164FE" w14:textId="77777777" w:rsidR="00D72220" w:rsidRPr="00A93577" w:rsidRDefault="00D72220" w:rsidP="00952B75">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39C45FA" w14:textId="77777777" w:rsidR="00D72220" w:rsidRPr="00A93577" w:rsidRDefault="00D72220" w:rsidP="00952B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12950E5" w14:textId="77777777" w:rsidR="00317C77" w:rsidRDefault="00317C77"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D3582A1" w14:textId="3C0AB0B1" w:rsidR="00AF5D5C" w:rsidRPr="00A93577" w:rsidRDefault="00AF5D5C"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93577">
        <w:rPr>
          <w:b/>
          <w:sz w:val="24"/>
          <w:szCs w:val="24"/>
        </w:rPr>
        <w:t xml:space="preserve">OMB TERMS OF CLEARANCE: </w:t>
      </w:r>
    </w:p>
    <w:p w14:paraId="18E1293E" w14:textId="77777777" w:rsidR="00AF5D5C" w:rsidRPr="00A93577" w:rsidRDefault="00AF5D5C"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0F7DF55" w14:textId="0C1AA98F" w:rsidR="00AF5D5C" w:rsidRPr="00A93577" w:rsidRDefault="00970346"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3577">
        <w:rPr>
          <w:sz w:val="24"/>
          <w:szCs w:val="24"/>
        </w:rPr>
        <w:tab/>
      </w:r>
      <w:r w:rsidRPr="00A93577">
        <w:rPr>
          <w:sz w:val="24"/>
          <w:szCs w:val="24"/>
        </w:rPr>
        <w:tab/>
      </w:r>
      <w:r w:rsidR="00230481" w:rsidRPr="00A93577">
        <w:rPr>
          <w:sz w:val="24"/>
          <w:szCs w:val="24"/>
        </w:rPr>
        <w:t xml:space="preserve">When the Office of Management and Budget (OMB) last approved </w:t>
      </w:r>
      <w:r w:rsidR="006866CD">
        <w:rPr>
          <w:sz w:val="24"/>
          <w:szCs w:val="24"/>
        </w:rPr>
        <w:t xml:space="preserve">these information collections </w:t>
      </w:r>
      <w:r w:rsidR="00230481" w:rsidRPr="00A93577">
        <w:rPr>
          <w:sz w:val="24"/>
          <w:szCs w:val="24"/>
        </w:rPr>
        <w:t xml:space="preserve">on </w:t>
      </w:r>
      <w:r w:rsidR="00D84BCD">
        <w:rPr>
          <w:sz w:val="24"/>
          <w:szCs w:val="24"/>
        </w:rPr>
        <w:t>January</w:t>
      </w:r>
      <w:r w:rsidR="00D84BCD" w:rsidRPr="00A93577">
        <w:rPr>
          <w:sz w:val="24"/>
          <w:szCs w:val="24"/>
        </w:rPr>
        <w:t xml:space="preserve"> </w:t>
      </w:r>
      <w:r w:rsidR="00403009">
        <w:rPr>
          <w:sz w:val="24"/>
          <w:szCs w:val="24"/>
        </w:rPr>
        <w:t>20</w:t>
      </w:r>
      <w:r w:rsidR="00230481" w:rsidRPr="00A93577">
        <w:rPr>
          <w:sz w:val="24"/>
          <w:szCs w:val="24"/>
        </w:rPr>
        <w:t>, 201</w:t>
      </w:r>
      <w:r w:rsidR="00F7717B">
        <w:rPr>
          <w:sz w:val="24"/>
          <w:szCs w:val="24"/>
        </w:rPr>
        <w:t>6</w:t>
      </w:r>
      <w:r w:rsidR="00230481" w:rsidRPr="00A93577">
        <w:rPr>
          <w:sz w:val="24"/>
          <w:szCs w:val="24"/>
        </w:rPr>
        <w:t xml:space="preserve">, </w:t>
      </w:r>
      <w:r w:rsidR="00F7717B">
        <w:rPr>
          <w:sz w:val="24"/>
          <w:szCs w:val="24"/>
        </w:rPr>
        <w:t>there were no terms of clearance imposed by OMB</w:t>
      </w:r>
      <w:r w:rsidR="004702F0">
        <w:rPr>
          <w:sz w:val="24"/>
          <w:szCs w:val="24"/>
        </w:rPr>
        <w:t>.</w:t>
      </w:r>
      <w:r w:rsidR="00073A88">
        <w:rPr>
          <w:sz w:val="24"/>
          <w:szCs w:val="24"/>
        </w:rPr>
        <w:t xml:space="preserve"> </w:t>
      </w:r>
      <w:r w:rsidR="009D64A3">
        <w:rPr>
          <w:sz w:val="24"/>
          <w:szCs w:val="24"/>
        </w:rPr>
        <w:t>When OMB reviewed the proposed changes to the</w:t>
      </w:r>
      <w:r w:rsidR="00EE1D8E">
        <w:rPr>
          <w:sz w:val="24"/>
          <w:szCs w:val="24"/>
        </w:rPr>
        <w:t>ses</w:t>
      </w:r>
      <w:r w:rsidR="009D64A3">
        <w:rPr>
          <w:sz w:val="24"/>
          <w:szCs w:val="24"/>
        </w:rPr>
        <w:t xml:space="preserve"> information collections</w:t>
      </w:r>
      <w:r w:rsidR="00EE1D8E">
        <w:rPr>
          <w:sz w:val="24"/>
          <w:szCs w:val="24"/>
        </w:rPr>
        <w:t xml:space="preserve"> as contained in the </w:t>
      </w:r>
      <w:r w:rsidR="00124E3A">
        <w:rPr>
          <w:sz w:val="24"/>
          <w:szCs w:val="24"/>
        </w:rPr>
        <w:t xml:space="preserve">May 13, 2019 notice of </w:t>
      </w:r>
      <w:r w:rsidR="00760907">
        <w:rPr>
          <w:sz w:val="24"/>
          <w:szCs w:val="24"/>
        </w:rPr>
        <w:t>proposed</w:t>
      </w:r>
      <w:r w:rsidR="00124E3A">
        <w:rPr>
          <w:sz w:val="24"/>
          <w:szCs w:val="24"/>
        </w:rPr>
        <w:t xml:space="preserve"> rulemaking </w:t>
      </w:r>
      <w:r w:rsidR="00A20517">
        <w:rPr>
          <w:sz w:val="24"/>
          <w:szCs w:val="24"/>
        </w:rPr>
        <w:t xml:space="preserve">(NPRM) </w:t>
      </w:r>
      <w:r w:rsidR="00EE1D8E">
        <w:rPr>
          <w:sz w:val="24"/>
          <w:szCs w:val="24"/>
        </w:rPr>
        <w:t xml:space="preserve">it instructed </w:t>
      </w:r>
      <w:r w:rsidR="00124E3A">
        <w:rPr>
          <w:sz w:val="24"/>
          <w:szCs w:val="24"/>
        </w:rPr>
        <w:t xml:space="preserve">the Bureau to </w:t>
      </w:r>
      <w:r w:rsidR="00A20517">
        <w:rPr>
          <w:sz w:val="24"/>
          <w:szCs w:val="24"/>
        </w:rPr>
        <w:t>“</w:t>
      </w:r>
      <w:r w:rsidR="00A20517" w:rsidRPr="00A20517">
        <w:rPr>
          <w:sz w:val="24"/>
          <w:szCs w:val="24"/>
        </w:rPr>
        <w:t>examine public comment in response to the NPRM and will describe in the supporting statement of its next collection any public comments received regarding the collection as well as why (or why it did not) incorporate the commenter’s recommendation. The next submission to OMB must include the draft final rule</w:t>
      </w:r>
      <w:r w:rsidR="00A20517">
        <w:rPr>
          <w:sz w:val="24"/>
          <w:szCs w:val="24"/>
        </w:rPr>
        <w:t xml:space="preserve">” </w:t>
      </w:r>
      <w:r w:rsidR="00315175">
        <w:rPr>
          <w:sz w:val="24"/>
          <w:szCs w:val="24"/>
        </w:rPr>
        <w:t xml:space="preserve">(See OMB Notice of Action dated July 10, 2019). </w:t>
      </w:r>
      <w:r w:rsidR="00846017">
        <w:rPr>
          <w:sz w:val="24"/>
          <w:szCs w:val="24"/>
        </w:rPr>
        <w:t xml:space="preserve">This submission to OMB is in response to </w:t>
      </w:r>
      <w:r w:rsidR="00760907">
        <w:rPr>
          <w:sz w:val="24"/>
          <w:szCs w:val="24"/>
        </w:rPr>
        <w:t>that OMB Term of Clearance as well as the requirements outlined in 5 CFR 1320.11.</w:t>
      </w:r>
    </w:p>
    <w:p w14:paraId="103F6F03" w14:textId="77777777" w:rsidR="00AF5D5C" w:rsidRPr="00A93577" w:rsidRDefault="00AF5D5C"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D0B300D" w14:textId="77777777" w:rsidR="00317C77" w:rsidRDefault="00317C77"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C92833B" w14:textId="29110575" w:rsidR="00AF5D5C" w:rsidRPr="00A93577" w:rsidRDefault="00AF5D5C"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93577">
        <w:rPr>
          <w:b/>
          <w:sz w:val="24"/>
          <w:szCs w:val="24"/>
        </w:rPr>
        <w:t xml:space="preserve">ABSTRACT: </w:t>
      </w:r>
    </w:p>
    <w:p w14:paraId="4BC150AA" w14:textId="77777777" w:rsidR="00AF5D5C" w:rsidRPr="00A93577" w:rsidRDefault="00AF5D5C"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24068B1" w14:textId="05858973" w:rsidR="00AF5D5C" w:rsidRPr="00A93577" w:rsidRDefault="00970346" w:rsidP="00AF5D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3577">
        <w:rPr>
          <w:sz w:val="24"/>
          <w:szCs w:val="24"/>
        </w:rPr>
        <w:tab/>
      </w:r>
      <w:r w:rsidRPr="00A93577">
        <w:rPr>
          <w:sz w:val="24"/>
          <w:szCs w:val="24"/>
        </w:rPr>
        <w:tab/>
      </w:r>
      <w:r w:rsidR="00C42821" w:rsidRPr="00A93577">
        <w:rPr>
          <w:sz w:val="24"/>
          <w:szCs w:val="24"/>
        </w:rPr>
        <w:t xml:space="preserve">The Home Mortgage Disclosure Act (HMDA) requires certain depository institutions and for-profit nondepository institutions to collect, report, and disclose data about originations and purchases of mortgage loans, as well as mortgage loan applications that do not result in originations (for example, applications that are denied or withdrawn). The </w:t>
      </w:r>
      <w:r w:rsidR="00457C54">
        <w:rPr>
          <w:sz w:val="24"/>
          <w:szCs w:val="24"/>
        </w:rPr>
        <w:t>Consumer Financial Protection Bureau’s</w:t>
      </w:r>
      <w:r w:rsidR="00457C54" w:rsidRPr="00A93577">
        <w:rPr>
          <w:sz w:val="24"/>
          <w:szCs w:val="24"/>
        </w:rPr>
        <w:t xml:space="preserve"> </w:t>
      </w:r>
      <w:r w:rsidR="00457C54">
        <w:rPr>
          <w:sz w:val="24"/>
          <w:szCs w:val="24"/>
        </w:rPr>
        <w:t>(</w:t>
      </w:r>
      <w:r w:rsidR="00C42821" w:rsidRPr="00A93577">
        <w:rPr>
          <w:sz w:val="24"/>
          <w:szCs w:val="24"/>
        </w:rPr>
        <w:t>Bureau</w:t>
      </w:r>
      <w:r w:rsidR="00457C54">
        <w:rPr>
          <w:sz w:val="24"/>
          <w:szCs w:val="24"/>
        </w:rPr>
        <w:t>)</w:t>
      </w:r>
      <w:r w:rsidR="00C42821" w:rsidRPr="00A93577">
        <w:rPr>
          <w:sz w:val="24"/>
          <w:szCs w:val="24"/>
        </w:rPr>
        <w:t xml:space="preserve"> Regulation C, 12 CFR part 1003, implements HMDA. </w:t>
      </w:r>
      <w:r w:rsidR="00AF5D5C" w:rsidRPr="00A93577">
        <w:rPr>
          <w:sz w:val="24"/>
          <w:szCs w:val="24"/>
        </w:rPr>
        <w:t xml:space="preserve">The purpose of the information collection is: (i) to help determine whether financial institutions are serving the housing needs of their communities; (ii) to assist public officials in distributing public-sector investment so as to attract private investment to areas where it is needed; and (iii) to assist in identifying possible discriminatory lending patterns and enforcing antidiscrimination statutes. The information collection will </w:t>
      </w:r>
      <w:r w:rsidR="00C645DF" w:rsidRPr="00A93577">
        <w:rPr>
          <w:sz w:val="24"/>
          <w:szCs w:val="24"/>
        </w:rPr>
        <w:t xml:space="preserve">also </w:t>
      </w:r>
      <w:r w:rsidR="00AF5D5C" w:rsidRPr="00A93577">
        <w:rPr>
          <w:sz w:val="24"/>
          <w:szCs w:val="24"/>
        </w:rPr>
        <w:t xml:space="preserve">assist the </w:t>
      </w:r>
      <w:r w:rsidR="00457C54">
        <w:rPr>
          <w:sz w:val="24"/>
          <w:szCs w:val="24"/>
        </w:rPr>
        <w:t>Bureau’s</w:t>
      </w:r>
      <w:r w:rsidR="00457C54" w:rsidRPr="00A93577">
        <w:rPr>
          <w:sz w:val="24"/>
          <w:szCs w:val="24"/>
        </w:rPr>
        <w:t xml:space="preserve"> </w:t>
      </w:r>
      <w:r w:rsidR="00AF5D5C" w:rsidRPr="00A93577">
        <w:rPr>
          <w:sz w:val="24"/>
          <w:szCs w:val="24"/>
        </w:rPr>
        <w:t>examiners, and examiners of other federal supervisory agencies, in determining that the financial institutions they supervise comply with applicable provisions of HMDA.</w:t>
      </w:r>
    </w:p>
    <w:p w14:paraId="0AC5D592" w14:textId="354FA151" w:rsidR="00230481" w:rsidRPr="00A93577" w:rsidRDefault="00230481" w:rsidP="00B10A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29F0360" w14:textId="77777777" w:rsidR="00D72220" w:rsidRDefault="00D72220" w:rsidP="00952B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CCEDDED" w14:textId="77777777" w:rsidR="00317C77" w:rsidRDefault="00317C77" w:rsidP="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p>
    <w:p w14:paraId="095162B4" w14:textId="013F19D6" w:rsidR="00295103" w:rsidRPr="00BC5C20" w:rsidRDefault="00BC5C20" w:rsidP="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BC5C20">
        <w:rPr>
          <w:b/>
          <w:bCs/>
          <w:sz w:val="24"/>
          <w:szCs w:val="24"/>
          <w:u w:val="single"/>
        </w:rPr>
        <w:lastRenderedPageBreak/>
        <w:t>JUSTIFICATION</w:t>
      </w:r>
    </w:p>
    <w:p w14:paraId="12444B4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1091CB0" w14:textId="77777777" w:rsidR="00BC5C2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u w:val="single"/>
        </w:rPr>
      </w:pPr>
      <w:r w:rsidRPr="00BC5C20">
        <w:rPr>
          <w:b/>
          <w:sz w:val="24"/>
          <w:szCs w:val="24"/>
        </w:rPr>
        <w:t>1.</w:t>
      </w:r>
      <w:r w:rsidRPr="00BC5C20">
        <w:rPr>
          <w:b/>
          <w:sz w:val="24"/>
          <w:szCs w:val="24"/>
        </w:rPr>
        <w:tab/>
      </w:r>
      <w:r w:rsidR="00BC5C20" w:rsidRPr="00BC5C20">
        <w:rPr>
          <w:b/>
          <w:sz w:val="24"/>
          <w:szCs w:val="24"/>
          <w:u w:val="single"/>
        </w:rPr>
        <w:t>Circumstances Necessitating the Data Collection</w:t>
      </w:r>
    </w:p>
    <w:p w14:paraId="359E7EBB" w14:textId="77777777" w:rsidR="00BC5C20" w:rsidRPr="00BC5C20" w:rsidRDefault="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C7089E7" w14:textId="4C9ABDA5" w:rsidR="009B792A" w:rsidRDefault="009B792A" w:rsidP="009B792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E37C83">
        <w:rPr>
          <w:sz w:val="24"/>
          <w:szCs w:val="24"/>
        </w:rPr>
        <w:t>D</w:t>
      </w:r>
      <w:r w:rsidRPr="009B792A">
        <w:rPr>
          <w:sz w:val="24"/>
          <w:szCs w:val="24"/>
        </w:rPr>
        <w:t xml:space="preserve">ata </w:t>
      </w:r>
      <w:r w:rsidR="00E37C83">
        <w:rPr>
          <w:sz w:val="24"/>
          <w:szCs w:val="24"/>
        </w:rPr>
        <w:t xml:space="preserve">reported under the Home Mortgage Disclosure Act (HMDA), 12 U.S.C. 2801-2810, </w:t>
      </w:r>
      <w:r w:rsidRPr="009B792A">
        <w:rPr>
          <w:sz w:val="24"/>
          <w:szCs w:val="24"/>
        </w:rPr>
        <w:t xml:space="preserve">represent the primary data source for regulators, industry, advocates, researchers, and economists studying and analyzing trends in the mortgage market for a variety of purposes, including general market and economic monitoring, as well as assessing housing needs, public investment, and possible discrimination.  </w:t>
      </w:r>
    </w:p>
    <w:p w14:paraId="24671EB6" w14:textId="77777777" w:rsidR="009B792A" w:rsidRPr="009B792A" w:rsidRDefault="009B792A" w:rsidP="009B7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3120403" w14:textId="39013A94" w:rsidR="00295103" w:rsidRDefault="009B792A" w:rsidP="009B792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2840F1">
        <w:rPr>
          <w:sz w:val="24"/>
          <w:szCs w:val="24"/>
        </w:rPr>
        <w:t xml:space="preserve">In 2010, Congress enacted the Dodd-Frank Act Wall Street Reform and Consumer Protection Act (Dodd-Frank Act), </w:t>
      </w:r>
      <w:r w:rsidR="00CA4352">
        <w:rPr>
          <w:sz w:val="24"/>
          <w:szCs w:val="24"/>
        </w:rPr>
        <w:t>which amended HMDA and transferred rulemaking authority from the Federal Reserve Board to the Bureau.</w:t>
      </w:r>
      <w:r w:rsidR="00531716">
        <w:rPr>
          <w:sz w:val="24"/>
          <w:szCs w:val="24"/>
        </w:rPr>
        <w:t xml:space="preserve">  </w:t>
      </w:r>
      <w:r w:rsidR="00AC2A8E">
        <w:rPr>
          <w:sz w:val="24"/>
          <w:szCs w:val="24"/>
        </w:rPr>
        <w:t>S</w:t>
      </w:r>
      <w:r w:rsidR="00AC2A8E" w:rsidRPr="009B792A">
        <w:rPr>
          <w:sz w:val="24"/>
          <w:szCs w:val="24"/>
        </w:rPr>
        <w:t xml:space="preserve">ection </w:t>
      </w:r>
      <w:r w:rsidRPr="009B792A">
        <w:rPr>
          <w:sz w:val="24"/>
          <w:szCs w:val="24"/>
        </w:rPr>
        <w:t xml:space="preserve">1094 of the Dodd-Frank Act directed the Bureau to implement changes requiring the collection and reporting of several new data </w:t>
      </w:r>
      <w:r w:rsidR="001B1850" w:rsidRPr="009B792A">
        <w:rPr>
          <w:sz w:val="24"/>
          <w:szCs w:val="24"/>
        </w:rPr>
        <w:t>points and</w:t>
      </w:r>
      <w:r w:rsidRPr="009B792A">
        <w:rPr>
          <w:sz w:val="24"/>
          <w:szCs w:val="24"/>
        </w:rPr>
        <w:t xml:space="preserve"> authorized the Bureau to require financial institutions to collect and report such other information as the Bureau may require.</w:t>
      </w:r>
      <w:r w:rsidR="00444133">
        <w:rPr>
          <w:sz w:val="24"/>
          <w:szCs w:val="24"/>
        </w:rPr>
        <w:t xml:space="preserve">  </w:t>
      </w:r>
      <w:r w:rsidR="00B04C71">
        <w:rPr>
          <w:sz w:val="24"/>
          <w:szCs w:val="24"/>
        </w:rPr>
        <w:t>In October 2015, the Bureau issued a final rule modifying Regulation C to implement amendments made to HMDA by the Dodd-Frank Act and add new data points pursuant to the Bureau’s discretionary authority</w:t>
      </w:r>
      <w:r w:rsidR="00D51911">
        <w:rPr>
          <w:sz w:val="24"/>
          <w:szCs w:val="24"/>
        </w:rPr>
        <w:t xml:space="preserve"> (October 2015 Rule)</w:t>
      </w:r>
      <w:r w:rsidR="00B04C71">
        <w:rPr>
          <w:sz w:val="24"/>
          <w:szCs w:val="24"/>
        </w:rPr>
        <w:t>.</w:t>
      </w:r>
      <w:r w:rsidR="002D2297">
        <w:rPr>
          <w:sz w:val="24"/>
          <w:szCs w:val="24"/>
        </w:rPr>
        <w:t xml:space="preserve"> </w:t>
      </w:r>
      <w:r w:rsidR="008256AF">
        <w:rPr>
          <w:sz w:val="24"/>
          <w:szCs w:val="24"/>
        </w:rPr>
        <w:t xml:space="preserve">In October 2017, the Bureau issued a final rule further amending Regulation C to make technical corrections and clarify and amend requirements adopted by the October 2015 </w:t>
      </w:r>
      <w:r w:rsidR="007C4799">
        <w:rPr>
          <w:sz w:val="24"/>
          <w:szCs w:val="24"/>
        </w:rPr>
        <w:t>Rule</w:t>
      </w:r>
      <w:r w:rsidR="008256AF">
        <w:rPr>
          <w:sz w:val="24"/>
          <w:szCs w:val="24"/>
        </w:rPr>
        <w:t>.  In 2018, HMDA was further amended by the Economic Growth, Regulatory Relief, and Consumer Protection Act</w:t>
      </w:r>
      <w:r w:rsidR="00E4599C">
        <w:rPr>
          <w:sz w:val="24"/>
          <w:szCs w:val="24"/>
        </w:rPr>
        <w:t xml:space="preserve"> (</w:t>
      </w:r>
      <w:r w:rsidR="00967771">
        <w:rPr>
          <w:sz w:val="24"/>
          <w:szCs w:val="24"/>
        </w:rPr>
        <w:t>EGRRCPA</w:t>
      </w:r>
      <w:r w:rsidR="00E4599C">
        <w:rPr>
          <w:sz w:val="24"/>
          <w:szCs w:val="24"/>
        </w:rPr>
        <w:t>)</w:t>
      </w:r>
      <w:r w:rsidR="008256AF">
        <w:rPr>
          <w:sz w:val="24"/>
          <w:szCs w:val="24"/>
        </w:rPr>
        <w:t xml:space="preserve">.  </w:t>
      </w:r>
      <w:r w:rsidR="00E4599C">
        <w:rPr>
          <w:sz w:val="24"/>
          <w:szCs w:val="24"/>
        </w:rPr>
        <w:t xml:space="preserve">The Bureau issued an interpretive and procedural rule in August 2018 to implement and clarify changes made to HMDA by the </w:t>
      </w:r>
      <w:r w:rsidR="00967771">
        <w:rPr>
          <w:sz w:val="24"/>
          <w:szCs w:val="24"/>
        </w:rPr>
        <w:t xml:space="preserve">EGRRCPA </w:t>
      </w:r>
      <w:r w:rsidR="00C41BFD">
        <w:rPr>
          <w:sz w:val="24"/>
          <w:szCs w:val="24"/>
        </w:rPr>
        <w:t>(August 2018 Rule)</w:t>
      </w:r>
      <w:r w:rsidR="00E4599C">
        <w:rPr>
          <w:sz w:val="24"/>
          <w:szCs w:val="24"/>
        </w:rPr>
        <w:t xml:space="preserve">.  </w:t>
      </w:r>
    </w:p>
    <w:p w14:paraId="05309D0B" w14:textId="77777777" w:rsidR="009B792A" w:rsidRDefault="009B792A" w:rsidP="009B7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055A15" w14:textId="08FD5198" w:rsidR="009B792A" w:rsidRDefault="005249E6" w:rsidP="005249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5249E6">
        <w:rPr>
          <w:sz w:val="24"/>
          <w:szCs w:val="24"/>
        </w:rPr>
        <w:t>HMDA</w:t>
      </w:r>
      <w:r w:rsidR="00C42821">
        <w:rPr>
          <w:sz w:val="24"/>
          <w:szCs w:val="24"/>
        </w:rPr>
        <w:t xml:space="preserve"> </w:t>
      </w:r>
      <w:r w:rsidR="00444133">
        <w:rPr>
          <w:sz w:val="24"/>
          <w:szCs w:val="24"/>
        </w:rPr>
        <w:t>and Regulation C</w:t>
      </w:r>
      <w:r w:rsidRPr="005249E6">
        <w:rPr>
          <w:sz w:val="24"/>
          <w:szCs w:val="24"/>
        </w:rPr>
        <w:t xml:space="preserve"> require financial institutions to report certain information related to covered loans</w:t>
      </w:r>
      <w:r w:rsidR="00444133">
        <w:rPr>
          <w:sz w:val="24"/>
          <w:szCs w:val="24"/>
        </w:rPr>
        <w:t xml:space="preserve"> and applications</w:t>
      </w:r>
      <w:r w:rsidRPr="005249E6">
        <w:rPr>
          <w:sz w:val="24"/>
          <w:szCs w:val="24"/>
        </w:rPr>
        <w:t xml:space="preserve">.  </w:t>
      </w:r>
      <w:r w:rsidRPr="00554992">
        <w:rPr>
          <w:sz w:val="24"/>
          <w:szCs w:val="24"/>
        </w:rPr>
        <w:t>Financial institutions are required to report HMDA data annually to the Bureau or to the appropriate Federal agency</w:t>
      </w:r>
      <w:r w:rsidR="00AC2A8E">
        <w:rPr>
          <w:sz w:val="24"/>
          <w:szCs w:val="24"/>
        </w:rPr>
        <w:t xml:space="preserve"> and beginning in 2020, certain financial institutions will be required to report </w:t>
      </w:r>
      <w:r w:rsidR="00486D75">
        <w:rPr>
          <w:sz w:val="24"/>
          <w:szCs w:val="24"/>
        </w:rPr>
        <w:t xml:space="preserve">HMDA </w:t>
      </w:r>
      <w:r w:rsidR="00AC2A8E">
        <w:rPr>
          <w:sz w:val="24"/>
          <w:szCs w:val="24"/>
        </w:rPr>
        <w:t>data quarterly to the Bureau or appropriate Federal agency</w:t>
      </w:r>
      <w:r w:rsidRPr="005249E6">
        <w:rPr>
          <w:sz w:val="24"/>
          <w:szCs w:val="24"/>
        </w:rPr>
        <w:t xml:space="preserve">.  All reportable transactions must be recorded </w:t>
      </w:r>
      <w:r w:rsidR="004702F0">
        <w:rPr>
          <w:sz w:val="24"/>
          <w:szCs w:val="24"/>
        </w:rPr>
        <w:t xml:space="preserve">on a loan/application register </w:t>
      </w:r>
      <w:r w:rsidRPr="005249E6">
        <w:rPr>
          <w:sz w:val="24"/>
          <w:szCs w:val="24"/>
        </w:rPr>
        <w:t xml:space="preserve">within 30 calendar </w:t>
      </w:r>
      <w:r w:rsidR="00C7416F" w:rsidRPr="005249E6">
        <w:rPr>
          <w:sz w:val="24"/>
          <w:szCs w:val="24"/>
        </w:rPr>
        <w:t>days after</w:t>
      </w:r>
      <w:r w:rsidRPr="005249E6">
        <w:rPr>
          <w:sz w:val="24"/>
          <w:szCs w:val="24"/>
        </w:rPr>
        <w:t xml:space="preserve"> the end of the calendar quarter in which final action is taken on a loan application register, which must also be disclose</w:t>
      </w:r>
      <w:r>
        <w:rPr>
          <w:sz w:val="24"/>
          <w:szCs w:val="24"/>
        </w:rPr>
        <w:t xml:space="preserve">d to the public upon request.  </w:t>
      </w:r>
      <w:r w:rsidRPr="005249E6">
        <w:rPr>
          <w:sz w:val="24"/>
          <w:szCs w:val="24"/>
        </w:rPr>
        <w:t>Financial institutions must also make their disclosure statements, which are prepared by the FFIEC from data submitted by the institutions, available to the public upon request.</w:t>
      </w:r>
    </w:p>
    <w:p w14:paraId="09E1C1E4" w14:textId="4B34CD15" w:rsidR="00486D75" w:rsidRDefault="00486D75" w:rsidP="005249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6641B2" w14:textId="7F311209" w:rsidR="00245E32" w:rsidRDefault="00486D75" w:rsidP="009B7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7B55A4">
        <w:rPr>
          <w:sz w:val="24"/>
          <w:szCs w:val="24"/>
        </w:rPr>
        <w:tab/>
      </w:r>
      <w:r w:rsidR="004E4570" w:rsidRPr="00073EC3">
        <w:rPr>
          <w:sz w:val="24"/>
          <w:szCs w:val="24"/>
        </w:rPr>
        <w:t xml:space="preserve">On May </w:t>
      </w:r>
      <w:r w:rsidR="00AB5073" w:rsidRPr="00073EC3">
        <w:rPr>
          <w:sz w:val="24"/>
          <w:szCs w:val="24"/>
        </w:rPr>
        <w:t>2</w:t>
      </w:r>
      <w:r w:rsidR="004E4570" w:rsidRPr="00073EC3">
        <w:rPr>
          <w:sz w:val="24"/>
          <w:szCs w:val="24"/>
        </w:rPr>
        <w:t>, 2019, t</w:t>
      </w:r>
      <w:r w:rsidRPr="00073EC3">
        <w:rPr>
          <w:sz w:val="24"/>
          <w:szCs w:val="24"/>
        </w:rPr>
        <w:t xml:space="preserve">he </w:t>
      </w:r>
      <w:r w:rsidR="003626FA" w:rsidRPr="00073EC3">
        <w:rPr>
          <w:sz w:val="24"/>
          <w:szCs w:val="24"/>
        </w:rPr>
        <w:t>Bureau</w:t>
      </w:r>
      <w:r w:rsidRPr="00073EC3">
        <w:rPr>
          <w:sz w:val="24"/>
          <w:szCs w:val="24"/>
        </w:rPr>
        <w:t xml:space="preserve"> </w:t>
      </w:r>
      <w:r w:rsidR="004E4570" w:rsidRPr="00073EC3">
        <w:rPr>
          <w:sz w:val="24"/>
          <w:szCs w:val="24"/>
        </w:rPr>
        <w:t xml:space="preserve">issued </w:t>
      </w:r>
      <w:r w:rsidR="007E0E20">
        <w:rPr>
          <w:sz w:val="24"/>
          <w:szCs w:val="24"/>
        </w:rPr>
        <w:t xml:space="preserve">on its website </w:t>
      </w:r>
      <w:r w:rsidR="004E4570" w:rsidRPr="00073EC3">
        <w:rPr>
          <w:sz w:val="24"/>
          <w:szCs w:val="24"/>
        </w:rPr>
        <w:t>a</w:t>
      </w:r>
      <w:r w:rsidR="00F536B7" w:rsidRPr="00073EC3">
        <w:rPr>
          <w:sz w:val="24"/>
          <w:szCs w:val="24"/>
        </w:rPr>
        <w:t xml:space="preserve"> Notice of Proposed R</w:t>
      </w:r>
      <w:r w:rsidR="00444133" w:rsidRPr="00073EC3">
        <w:rPr>
          <w:sz w:val="24"/>
          <w:szCs w:val="24"/>
        </w:rPr>
        <w:t>ulemaking</w:t>
      </w:r>
      <w:r w:rsidR="00854F4B" w:rsidRPr="00073EC3">
        <w:rPr>
          <w:sz w:val="24"/>
          <w:szCs w:val="24"/>
        </w:rPr>
        <w:t xml:space="preserve"> </w:t>
      </w:r>
      <w:r w:rsidR="00F536B7" w:rsidRPr="00073EC3">
        <w:rPr>
          <w:sz w:val="24"/>
          <w:szCs w:val="24"/>
        </w:rPr>
        <w:t>(</w:t>
      </w:r>
      <w:r w:rsidR="00FC0746">
        <w:rPr>
          <w:sz w:val="24"/>
          <w:szCs w:val="24"/>
        </w:rPr>
        <w:t>NPRM</w:t>
      </w:r>
      <w:r w:rsidR="00F536B7" w:rsidRPr="00073EC3">
        <w:rPr>
          <w:sz w:val="24"/>
          <w:szCs w:val="24"/>
        </w:rPr>
        <w:t>)</w:t>
      </w:r>
      <w:r w:rsidR="00C41BFD" w:rsidRPr="00073EC3">
        <w:rPr>
          <w:sz w:val="24"/>
          <w:szCs w:val="24"/>
        </w:rPr>
        <w:t xml:space="preserve"> to amend Regulation C to adjust the coverage thresholds</w:t>
      </w:r>
      <w:r w:rsidR="007B55A4" w:rsidRPr="00073EC3">
        <w:rPr>
          <w:sz w:val="24"/>
          <w:szCs w:val="24"/>
        </w:rPr>
        <w:t xml:space="preserve"> and implement further the </w:t>
      </w:r>
      <w:r w:rsidR="00F83A28" w:rsidRPr="00073EC3">
        <w:rPr>
          <w:sz w:val="24"/>
          <w:szCs w:val="24"/>
        </w:rPr>
        <w:t>EGR</w:t>
      </w:r>
      <w:r w:rsidR="00F83A28">
        <w:rPr>
          <w:sz w:val="24"/>
          <w:szCs w:val="24"/>
        </w:rPr>
        <w:t>R</w:t>
      </w:r>
      <w:r w:rsidR="00F83A28" w:rsidRPr="00073EC3">
        <w:rPr>
          <w:sz w:val="24"/>
          <w:szCs w:val="24"/>
        </w:rPr>
        <w:t>CPA</w:t>
      </w:r>
      <w:r w:rsidR="00D034C5">
        <w:rPr>
          <w:sz w:val="24"/>
          <w:szCs w:val="24"/>
        </w:rPr>
        <w:t xml:space="preserve">. </w:t>
      </w:r>
      <w:r w:rsidR="007E0E20">
        <w:rPr>
          <w:sz w:val="24"/>
          <w:szCs w:val="24"/>
        </w:rPr>
        <w:t xml:space="preserve">The NPRM was published in the </w:t>
      </w:r>
      <w:r w:rsidR="007E0E20" w:rsidRPr="00876FF7">
        <w:rPr>
          <w:i/>
          <w:sz w:val="24"/>
          <w:szCs w:val="24"/>
        </w:rPr>
        <w:t>Federal Register</w:t>
      </w:r>
      <w:r w:rsidR="007E0E20">
        <w:rPr>
          <w:sz w:val="24"/>
          <w:szCs w:val="24"/>
        </w:rPr>
        <w:t xml:space="preserve"> on May 13, 2019.</w:t>
      </w:r>
      <w:r w:rsidR="007E0E20">
        <w:rPr>
          <w:rStyle w:val="FootnoteReference"/>
          <w:sz w:val="24"/>
          <w:szCs w:val="24"/>
        </w:rPr>
        <w:footnoteReference w:id="1"/>
      </w:r>
      <w:r w:rsidR="0011516D" w:rsidRPr="00073EC3">
        <w:rPr>
          <w:sz w:val="24"/>
          <w:szCs w:val="24"/>
        </w:rPr>
        <w:t>.</w:t>
      </w:r>
      <w:r w:rsidR="0011516D" w:rsidRPr="005A3DB2">
        <w:rPr>
          <w:sz w:val="24"/>
          <w:szCs w:val="24"/>
        </w:rPr>
        <w:t xml:space="preserve">  </w:t>
      </w:r>
      <w:r w:rsidR="00D51911" w:rsidRPr="005A3DB2">
        <w:rPr>
          <w:sz w:val="24"/>
          <w:szCs w:val="24"/>
        </w:rPr>
        <w:t>T</w:t>
      </w:r>
      <w:r w:rsidR="001C6838" w:rsidRPr="005A3DB2">
        <w:rPr>
          <w:sz w:val="24"/>
          <w:szCs w:val="24"/>
        </w:rPr>
        <w:t xml:space="preserve">he </w:t>
      </w:r>
      <w:r w:rsidR="007E0E20">
        <w:rPr>
          <w:sz w:val="24"/>
          <w:szCs w:val="24"/>
        </w:rPr>
        <w:t>NPRM</w:t>
      </w:r>
      <w:r w:rsidR="003626FA" w:rsidRPr="005A3DB2">
        <w:rPr>
          <w:sz w:val="24"/>
          <w:szCs w:val="24"/>
        </w:rPr>
        <w:t xml:space="preserve"> provide</w:t>
      </w:r>
      <w:r w:rsidR="00011542">
        <w:rPr>
          <w:sz w:val="24"/>
          <w:szCs w:val="24"/>
        </w:rPr>
        <w:t>d</w:t>
      </w:r>
      <w:r w:rsidR="003626FA" w:rsidRPr="005A3DB2">
        <w:rPr>
          <w:sz w:val="24"/>
          <w:szCs w:val="24"/>
        </w:rPr>
        <w:t xml:space="preserve"> </w:t>
      </w:r>
      <w:r w:rsidR="00D51911" w:rsidRPr="005A3DB2">
        <w:rPr>
          <w:sz w:val="24"/>
          <w:szCs w:val="24"/>
        </w:rPr>
        <w:t>t</w:t>
      </w:r>
      <w:r w:rsidR="001C6838" w:rsidRPr="005A3DB2">
        <w:rPr>
          <w:sz w:val="24"/>
          <w:szCs w:val="24"/>
        </w:rPr>
        <w:t>wo alternatives t</w:t>
      </w:r>
      <w:r w:rsidR="00D51911" w:rsidRPr="005A3DB2">
        <w:rPr>
          <w:sz w:val="24"/>
          <w:szCs w:val="24"/>
        </w:rPr>
        <w:t>o increase the</w:t>
      </w:r>
      <w:r w:rsidR="001C6838" w:rsidRPr="005A3DB2">
        <w:rPr>
          <w:sz w:val="24"/>
          <w:szCs w:val="24"/>
        </w:rPr>
        <w:t xml:space="preserve"> closed-end institutional and transactional coverage threshold to either 50 or 100 closed-end mortgage loans in each of the preceding two calendar years.  </w:t>
      </w:r>
      <w:r w:rsidR="00011542">
        <w:rPr>
          <w:sz w:val="24"/>
          <w:szCs w:val="24"/>
        </w:rPr>
        <w:t>The Bureau also proposed that t</w:t>
      </w:r>
      <w:r w:rsidR="009C6CEF" w:rsidRPr="005A3DB2">
        <w:rPr>
          <w:sz w:val="24"/>
          <w:szCs w:val="24"/>
        </w:rPr>
        <w:t xml:space="preserve">he current temporary threshold of 500 open-end lines of credit for open-end institutional and transactional </w:t>
      </w:r>
      <w:r w:rsidR="00E27052" w:rsidRPr="005A3DB2">
        <w:rPr>
          <w:sz w:val="24"/>
          <w:szCs w:val="24"/>
        </w:rPr>
        <w:t>coverage would</w:t>
      </w:r>
      <w:r w:rsidR="009C6CEF" w:rsidRPr="005A3DB2">
        <w:rPr>
          <w:sz w:val="24"/>
          <w:szCs w:val="24"/>
        </w:rPr>
        <w:t xml:space="preserve"> </w:t>
      </w:r>
      <w:r w:rsidR="001C6838" w:rsidRPr="005A3DB2">
        <w:rPr>
          <w:sz w:val="24"/>
          <w:szCs w:val="24"/>
        </w:rPr>
        <w:t xml:space="preserve">extend to January 1, 2022, </w:t>
      </w:r>
      <w:r w:rsidR="009C6CEF" w:rsidRPr="005A3DB2">
        <w:rPr>
          <w:sz w:val="24"/>
          <w:szCs w:val="24"/>
        </w:rPr>
        <w:t>and then once</w:t>
      </w:r>
      <w:r w:rsidR="001C6838" w:rsidRPr="005A3DB2">
        <w:rPr>
          <w:sz w:val="24"/>
          <w:szCs w:val="24"/>
        </w:rPr>
        <w:t xml:space="preserve"> that temporary extension expires, </w:t>
      </w:r>
      <w:r w:rsidR="009C6CEF" w:rsidRPr="005A3DB2">
        <w:rPr>
          <w:sz w:val="24"/>
          <w:szCs w:val="24"/>
        </w:rPr>
        <w:t xml:space="preserve">the </w:t>
      </w:r>
      <w:r w:rsidR="001C6838" w:rsidRPr="005A3DB2">
        <w:rPr>
          <w:sz w:val="24"/>
          <w:szCs w:val="24"/>
        </w:rPr>
        <w:t xml:space="preserve">open-end threshold </w:t>
      </w:r>
      <w:r w:rsidR="009C6CEF" w:rsidRPr="005A3DB2">
        <w:rPr>
          <w:sz w:val="24"/>
          <w:szCs w:val="24"/>
        </w:rPr>
        <w:t>would</w:t>
      </w:r>
      <w:r w:rsidR="001C6838" w:rsidRPr="005A3DB2">
        <w:rPr>
          <w:sz w:val="24"/>
          <w:szCs w:val="24"/>
        </w:rPr>
        <w:t xml:space="preserve"> </w:t>
      </w:r>
      <w:r w:rsidR="009C6CEF" w:rsidRPr="005A3DB2">
        <w:rPr>
          <w:sz w:val="24"/>
          <w:szCs w:val="24"/>
        </w:rPr>
        <w:t xml:space="preserve">be set </w:t>
      </w:r>
      <w:r w:rsidR="001C6838" w:rsidRPr="005A3DB2">
        <w:rPr>
          <w:sz w:val="24"/>
          <w:szCs w:val="24"/>
        </w:rPr>
        <w:t xml:space="preserve">at 200 open-end </w:t>
      </w:r>
      <w:r w:rsidR="001C6838" w:rsidRPr="005A3DB2">
        <w:rPr>
          <w:sz w:val="24"/>
          <w:szCs w:val="24"/>
        </w:rPr>
        <w:lastRenderedPageBreak/>
        <w:t>lines of credit in each of the</w:t>
      </w:r>
      <w:r w:rsidR="003626FA" w:rsidRPr="005A3DB2">
        <w:rPr>
          <w:sz w:val="24"/>
          <w:szCs w:val="24"/>
        </w:rPr>
        <w:t xml:space="preserve"> preceding two calendar years.  </w:t>
      </w:r>
      <w:r w:rsidR="0011516D" w:rsidRPr="005A3DB2">
        <w:rPr>
          <w:sz w:val="24"/>
          <w:szCs w:val="24"/>
        </w:rPr>
        <w:t>In</w:t>
      </w:r>
      <w:r w:rsidR="00542184">
        <w:rPr>
          <w:sz w:val="24"/>
          <w:szCs w:val="24"/>
        </w:rPr>
        <w:t xml:space="preserve"> </w:t>
      </w:r>
      <w:r w:rsidR="0011516D" w:rsidRPr="005A3DB2">
        <w:rPr>
          <w:sz w:val="24"/>
          <w:szCs w:val="24"/>
        </w:rPr>
        <w:t>addition, the Bureau</w:t>
      </w:r>
      <w:r w:rsidR="005A3DB2">
        <w:rPr>
          <w:sz w:val="24"/>
          <w:szCs w:val="24"/>
        </w:rPr>
        <w:t xml:space="preserve"> proposed</w:t>
      </w:r>
      <w:r w:rsidR="0011516D" w:rsidRPr="005A3DB2">
        <w:rPr>
          <w:sz w:val="24"/>
          <w:szCs w:val="24"/>
        </w:rPr>
        <w:t xml:space="preserve"> to incorporate into Regulation C the interpretations and procedures from the August 2018 Rule </w:t>
      </w:r>
      <w:r w:rsidR="00245E32">
        <w:rPr>
          <w:sz w:val="24"/>
          <w:szCs w:val="24"/>
        </w:rPr>
        <w:t>to</w:t>
      </w:r>
      <w:r w:rsidR="00245E32" w:rsidRPr="005A3DB2">
        <w:rPr>
          <w:sz w:val="24"/>
          <w:szCs w:val="24"/>
        </w:rPr>
        <w:t xml:space="preserve"> </w:t>
      </w:r>
      <w:r w:rsidR="0011516D" w:rsidRPr="005A3DB2">
        <w:rPr>
          <w:sz w:val="24"/>
          <w:szCs w:val="24"/>
        </w:rPr>
        <w:t>implement</w:t>
      </w:r>
      <w:r w:rsidR="00245E32">
        <w:rPr>
          <w:sz w:val="24"/>
          <w:szCs w:val="24"/>
        </w:rPr>
        <w:t xml:space="preserve"> and</w:t>
      </w:r>
      <w:r w:rsidR="0011516D" w:rsidRPr="005A3DB2">
        <w:rPr>
          <w:sz w:val="24"/>
          <w:szCs w:val="24"/>
        </w:rPr>
        <w:t xml:space="preserve"> further</w:t>
      </w:r>
      <w:r w:rsidR="00245E32">
        <w:rPr>
          <w:sz w:val="24"/>
          <w:szCs w:val="24"/>
        </w:rPr>
        <w:t xml:space="preserve"> clarify</w:t>
      </w:r>
      <w:r w:rsidR="0011516D" w:rsidRPr="005A3DB2">
        <w:rPr>
          <w:sz w:val="24"/>
          <w:szCs w:val="24"/>
        </w:rPr>
        <w:t xml:space="preserve"> the amendments made to HMDA by </w:t>
      </w:r>
      <w:r w:rsidR="00967771" w:rsidRPr="005A3DB2">
        <w:rPr>
          <w:sz w:val="24"/>
          <w:szCs w:val="24"/>
        </w:rPr>
        <w:t>EGRRCPA</w:t>
      </w:r>
      <w:r w:rsidR="00245E32">
        <w:rPr>
          <w:sz w:val="24"/>
          <w:szCs w:val="24"/>
        </w:rPr>
        <w:t xml:space="preserve"> section 104(a)</w:t>
      </w:r>
      <w:r w:rsidR="0011516D" w:rsidRPr="005A3DB2">
        <w:rPr>
          <w:sz w:val="24"/>
          <w:szCs w:val="24"/>
        </w:rPr>
        <w:t>.</w:t>
      </w:r>
      <w:r w:rsidR="0011516D" w:rsidRPr="00AB5ADC">
        <w:rPr>
          <w:sz w:val="24"/>
          <w:szCs w:val="24"/>
        </w:rPr>
        <w:t xml:space="preserve">  </w:t>
      </w:r>
    </w:p>
    <w:p w14:paraId="36E7C844" w14:textId="77777777" w:rsidR="00245E32" w:rsidRDefault="00245E32" w:rsidP="009B7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2FCB77C" w14:textId="7B347270" w:rsidR="005A3DB2" w:rsidRDefault="00245E32" w:rsidP="009B7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 xml:space="preserve">On October </w:t>
      </w:r>
      <w:r w:rsidR="000A1E0C">
        <w:rPr>
          <w:sz w:val="24"/>
          <w:szCs w:val="24"/>
        </w:rPr>
        <w:t>10</w:t>
      </w:r>
      <w:r>
        <w:rPr>
          <w:sz w:val="24"/>
          <w:szCs w:val="24"/>
        </w:rPr>
        <w:t>, 2019, t</w:t>
      </w:r>
      <w:r w:rsidR="009F4317">
        <w:rPr>
          <w:sz w:val="24"/>
          <w:szCs w:val="24"/>
        </w:rPr>
        <w:t xml:space="preserve">he Bureau </w:t>
      </w:r>
      <w:r>
        <w:rPr>
          <w:sz w:val="24"/>
          <w:szCs w:val="24"/>
        </w:rPr>
        <w:t>issued a final rule</w:t>
      </w:r>
      <w:r w:rsidR="00073F8E">
        <w:rPr>
          <w:sz w:val="24"/>
          <w:szCs w:val="24"/>
        </w:rPr>
        <w:t xml:space="preserve"> (October 2019 Rule) addressing the open-end coverage threshold and implementation of the EGRRCPA</w:t>
      </w:r>
      <w:r w:rsidR="007046AF">
        <w:rPr>
          <w:sz w:val="24"/>
          <w:szCs w:val="24"/>
        </w:rPr>
        <w:t>.</w:t>
      </w:r>
      <w:r w:rsidR="0053212E">
        <w:rPr>
          <w:sz w:val="24"/>
          <w:szCs w:val="24"/>
        </w:rPr>
        <w:t xml:space="preserve"> </w:t>
      </w:r>
      <w:r w:rsidR="00073F8E">
        <w:rPr>
          <w:sz w:val="24"/>
          <w:szCs w:val="24"/>
        </w:rPr>
        <w:t xml:space="preserve"> </w:t>
      </w:r>
      <w:r w:rsidR="00AB1CB5" w:rsidRPr="00AB1CB5">
        <w:rPr>
          <w:sz w:val="24"/>
          <w:szCs w:val="24"/>
        </w:rPr>
        <w:t>Th</w:t>
      </w:r>
      <w:r w:rsidR="00AB1CB5">
        <w:rPr>
          <w:sz w:val="24"/>
          <w:szCs w:val="24"/>
        </w:rPr>
        <w:t xml:space="preserve">is </w:t>
      </w:r>
      <w:r w:rsidR="00AB1CB5" w:rsidRPr="00AB1CB5">
        <w:rPr>
          <w:sz w:val="24"/>
          <w:szCs w:val="24"/>
        </w:rPr>
        <w:t xml:space="preserve">October 2019 Rule does not add any new </w:t>
      </w:r>
      <w:r w:rsidR="00AB1CB5">
        <w:rPr>
          <w:sz w:val="24"/>
          <w:szCs w:val="24"/>
        </w:rPr>
        <w:t xml:space="preserve">reporting </w:t>
      </w:r>
      <w:r w:rsidR="00AB1CB5" w:rsidRPr="00AB1CB5">
        <w:rPr>
          <w:sz w:val="24"/>
          <w:szCs w:val="24"/>
        </w:rPr>
        <w:t xml:space="preserve">requirements beyond those provided by the 2015 and 2017 Final Rules. </w:t>
      </w:r>
      <w:r w:rsidR="00073F8E">
        <w:rPr>
          <w:sz w:val="24"/>
          <w:szCs w:val="24"/>
        </w:rPr>
        <w:t xml:space="preserve"> </w:t>
      </w:r>
      <w:r w:rsidR="00AB1CB5" w:rsidRPr="00AB1CB5">
        <w:rPr>
          <w:sz w:val="24"/>
          <w:szCs w:val="24"/>
        </w:rPr>
        <w:t xml:space="preserve">The October 2019 Rule extended for two years, until January 1, 2022, the current temporary open-end coverage threshold of 500 open-end lines of credit.  The October 2019 Rule also incorporated into Regulation C the interpretations and clarifications from the Bureau’s August 2018 interpretive and procedural rule and implemented further the partial exemptions from HMDA reporting added by the </w:t>
      </w:r>
      <w:r w:rsidR="00073F8E">
        <w:rPr>
          <w:sz w:val="24"/>
          <w:szCs w:val="24"/>
        </w:rPr>
        <w:t>EGRRCPA</w:t>
      </w:r>
      <w:r w:rsidR="00AB1CB5" w:rsidRPr="00AB1CB5">
        <w:rPr>
          <w:sz w:val="24"/>
          <w:szCs w:val="24"/>
        </w:rPr>
        <w:t xml:space="preserve"> by, for example, clarifying how the partial exemptions apply after a merger or acquisition.</w:t>
      </w:r>
      <w:r w:rsidR="0028745C">
        <w:rPr>
          <w:rStyle w:val="FootnoteReference"/>
          <w:sz w:val="24"/>
          <w:szCs w:val="24"/>
        </w:rPr>
        <w:footnoteReference w:id="2"/>
      </w:r>
    </w:p>
    <w:p w14:paraId="2DC658D0" w14:textId="7FFCF51F" w:rsidR="00EE240B" w:rsidRDefault="00EE240B" w:rsidP="009B7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2C2EEC9" w14:textId="77777777" w:rsidR="007B55A4" w:rsidRDefault="007B55A4" w:rsidP="009B7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9A2929" w14:textId="43FCE5FD" w:rsidR="00BC5C20" w:rsidRDefault="00BC5C20" w:rsidP="00BC5C20">
      <w:pPr>
        <w:pStyle w:val="CM12"/>
        <w:spacing w:line="276" w:lineRule="atLeast"/>
        <w:rPr>
          <w:b/>
          <w:bCs/>
          <w:u w:val="single"/>
        </w:rPr>
      </w:pPr>
      <w:r w:rsidRPr="00202188">
        <w:rPr>
          <w:b/>
          <w:bCs/>
        </w:rPr>
        <w:t xml:space="preserve">2. </w:t>
      </w:r>
      <w:r>
        <w:rPr>
          <w:b/>
          <w:bCs/>
        </w:rPr>
        <w:t xml:space="preserve"> </w:t>
      </w:r>
      <w:r w:rsidRPr="00202188">
        <w:rPr>
          <w:b/>
          <w:bCs/>
          <w:u w:val="single"/>
        </w:rPr>
        <w:t>Use of the Information</w:t>
      </w:r>
    </w:p>
    <w:p w14:paraId="580FF845" w14:textId="77777777" w:rsidR="00E40065" w:rsidRPr="00E40065" w:rsidRDefault="00E40065" w:rsidP="00107573"/>
    <w:p w14:paraId="7EA0F915" w14:textId="28AE4458" w:rsidR="00327318" w:rsidRDefault="007B55A4"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327318">
        <w:rPr>
          <w:sz w:val="24"/>
          <w:szCs w:val="24"/>
        </w:rPr>
        <w:t>HMDA’s purposes are as follows</w:t>
      </w:r>
      <w:r w:rsidR="00986FE6">
        <w:rPr>
          <w:sz w:val="24"/>
          <w:szCs w:val="24"/>
        </w:rPr>
        <w:t xml:space="preserve">: </w:t>
      </w:r>
    </w:p>
    <w:p w14:paraId="3E0C7B6A" w14:textId="31A0FEAD" w:rsidR="00327318" w:rsidRDefault="00986FE6" w:rsidP="00E4006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(1) to help determine whether financial institutions are serving the housing needs of their </w:t>
      </w:r>
      <w:r w:rsidR="002B17A2">
        <w:rPr>
          <w:sz w:val="24"/>
          <w:szCs w:val="24"/>
        </w:rPr>
        <w:t>communities</w:t>
      </w:r>
      <w:r>
        <w:rPr>
          <w:sz w:val="24"/>
          <w:szCs w:val="24"/>
        </w:rPr>
        <w:t xml:space="preserve">; </w:t>
      </w:r>
    </w:p>
    <w:p w14:paraId="33F8B9CC" w14:textId="4C56580A" w:rsidR="00327318" w:rsidRDefault="00986FE6" w:rsidP="00E4006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(2) to </w:t>
      </w:r>
      <w:r w:rsidR="002F154C">
        <w:rPr>
          <w:sz w:val="24"/>
          <w:szCs w:val="24"/>
        </w:rPr>
        <w:t xml:space="preserve">assist </w:t>
      </w:r>
      <w:r>
        <w:rPr>
          <w:sz w:val="24"/>
          <w:szCs w:val="24"/>
        </w:rPr>
        <w:t xml:space="preserve">public officials in distributing public-section investment so as to attract private investment to areas where it is needed; and </w:t>
      </w:r>
    </w:p>
    <w:p w14:paraId="21A97037" w14:textId="0BFE65DB" w:rsidR="0011516D" w:rsidRDefault="00986FE6" w:rsidP="00E4006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(3) to assist in identifying possible discriminatory lending patterns and enforcing antidiscrimination statutes.  </w:t>
      </w:r>
    </w:p>
    <w:p w14:paraId="44B50F43" w14:textId="77777777" w:rsidR="0011516D" w:rsidRDefault="0011516D"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27C4A1" w14:textId="658C0334" w:rsidR="00295103" w:rsidRDefault="001D4547" w:rsidP="001D454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986FE6">
        <w:rPr>
          <w:sz w:val="24"/>
          <w:szCs w:val="24"/>
        </w:rPr>
        <w:t>The information collection</w:t>
      </w:r>
      <w:r w:rsidR="0059171A">
        <w:rPr>
          <w:sz w:val="24"/>
          <w:szCs w:val="24"/>
        </w:rPr>
        <w:t>s</w:t>
      </w:r>
      <w:r w:rsidR="00A53C3F">
        <w:rPr>
          <w:sz w:val="24"/>
          <w:szCs w:val="24"/>
        </w:rPr>
        <w:t>, which include reporting, recordkeeping, and disclosure requirements,</w:t>
      </w:r>
      <w:r w:rsidR="00986FE6">
        <w:rPr>
          <w:sz w:val="24"/>
          <w:szCs w:val="24"/>
        </w:rPr>
        <w:t xml:space="preserve"> will assist </w:t>
      </w:r>
      <w:r w:rsidR="0059171A">
        <w:rPr>
          <w:sz w:val="24"/>
          <w:szCs w:val="24"/>
        </w:rPr>
        <w:t xml:space="preserve">community groups, academics, </w:t>
      </w:r>
      <w:r w:rsidR="002A3B31">
        <w:rPr>
          <w:sz w:val="24"/>
          <w:szCs w:val="24"/>
        </w:rPr>
        <w:t xml:space="preserve">and </w:t>
      </w:r>
      <w:r w:rsidR="0059171A">
        <w:rPr>
          <w:sz w:val="24"/>
          <w:szCs w:val="24"/>
        </w:rPr>
        <w:t>public officials</w:t>
      </w:r>
      <w:r w:rsidR="002A3B31">
        <w:rPr>
          <w:sz w:val="24"/>
          <w:szCs w:val="24"/>
        </w:rPr>
        <w:t>,</w:t>
      </w:r>
      <w:r w:rsidR="0059171A">
        <w:rPr>
          <w:sz w:val="24"/>
          <w:szCs w:val="24"/>
        </w:rPr>
        <w:t xml:space="preserve"> in </w:t>
      </w:r>
      <w:r w:rsidR="0059171A" w:rsidRPr="0059171A">
        <w:rPr>
          <w:sz w:val="24"/>
          <w:szCs w:val="24"/>
        </w:rPr>
        <w:t>determin</w:t>
      </w:r>
      <w:r w:rsidR="0059171A">
        <w:rPr>
          <w:sz w:val="24"/>
          <w:szCs w:val="24"/>
        </w:rPr>
        <w:t>ing</w:t>
      </w:r>
      <w:r w:rsidR="0059171A" w:rsidRPr="0059171A">
        <w:rPr>
          <w:sz w:val="24"/>
          <w:szCs w:val="24"/>
        </w:rPr>
        <w:t xml:space="preserve"> whether financial institutions are serving the housing needs of their communities, target</w:t>
      </w:r>
      <w:r w:rsidR="0059171A">
        <w:rPr>
          <w:sz w:val="24"/>
          <w:szCs w:val="24"/>
        </w:rPr>
        <w:t>ing</w:t>
      </w:r>
      <w:r w:rsidR="0059171A" w:rsidRPr="0059171A">
        <w:rPr>
          <w:sz w:val="24"/>
          <w:szCs w:val="24"/>
        </w:rPr>
        <w:t xml:space="preserve"> public investment to attract private investment in communities, and identify</w:t>
      </w:r>
      <w:r w:rsidR="0059171A">
        <w:rPr>
          <w:sz w:val="24"/>
          <w:szCs w:val="24"/>
        </w:rPr>
        <w:t>ing</w:t>
      </w:r>
      <w:r w:rsidR="0059171A" w:rsidRPr="0059171A">
        <w:rPr>
          <w:sz w:val="24"/>
          <w:szCs w:val="24"/>
        </w:rPr>
        <w:t xml:space="preserve"> possible discriminatory lending patterns and enforce antidiscrimination statutes</w:t>
      </w:r>
      <w:r w:rsidR="0059171A">
        <w:rPr>
          <w:sz w:val="24"/>
          <w:szCs w:val="24"/>
        </w:rPr>
        <w:t xml:space="preserve">.  The information collections will also </w:t>
      </w:r>
      <w:r w:rsidR="0059171A" w:rsidRPr="0059171A">
        <w:rPr>
          <w:sz w:val="24"/>
          <w:szCs w:val="24"/>
        </w:rPr>
        <w:t xml:space="preserve">assist in earlier identification of trends in the mortgage market, including the cyclical loosening and tightening of credit. </w:t>
      </w:r>
    </w:p>
    <w:p w14:paraId="5715E7F9" w14:textId="73E5C560" w:rsidR="00F1399F" w:rsidRDefault="00F1399F"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93263B" w14:textId="65A6956C" w:rsidR="007B55A4" w:rsidRPr="00F03861" w:rsidRDefault="000941AE"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Pr>
          <w:b/>
          <w:i/>
          <w:sz w:val="24"/>
          <w:szCs w:val="24"/>
          <w:u w:val="single"/>
        </w:rPr>
        <w:t>Recordkeeping</w:t>
      </w:r>
      <w:r w:rsidR="00F1399F" w:rsidRPr="00F03861">
        <w:rPr>
          <w:b/>
          <w:i/>
          <w:sz w:val="24"/>
          <w:szCs w:val="24"/>
        </w:rPr>
        <w:t xml:space="preserve">    </w:t>
      </w:r>
    </w:p>
    <w:p w14:paraId="7B6D3D71" w14:textId="77777777" w:rsidR="00E40065" w:rsidRDefault="00E40065"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5C0C126" w14:textId="55C6ABA0" w:rsidR="00F1399F" w:rsidRDefault="00E40065"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F1399F">
        <w:rPr>
          <w:sz w:val="24"/>
          <w:szCs w:val="24"/>
        </w:rPr>
        <w:t>Section 1003.4(a) of Regulation C</w:t>
      </w:r>
      <w:r w:rsidR="00F554A5">
        <w:rPr>
          <w:sz w:val="24"/>
          <w:szCs w:val="24"/>
        </w:rPr>
        <w:t xml:space="preserve"> requires an entity </w:t>
      </w:r>
      <w:r w:rsidR="00413689">
        <w:rPr>
          <w:sz w:val="24"/>
          <w:szCs w:val="24"/>
        </w:rPr>
        <w:t xml:space="preserve">that meets the definition of </w:t>
      </w:r>
      <w:r w:rsidR="00413689">
        <w:rPr>
          <w:i/>
          <w:sz w:val="24"/>
          <w:szCs w:val="24"/>
        </w:rPr>
        <w:t>financial institution</w:t>
      </w:r>
      <w:r w:rsidR="00413689">
        <w:rPr>
          <w:sz w:val="24"/>
          <w:szCs w:val="24"/>
        </w:rPr>
        <w:t xml:space="preserve"> under </w:t>
      </w:r>
      <w:r w:rsidR="002E22B1">
        <w:rPr>
          <w:sz w:val="24"/>
          <w:szCs w:val="24"/>
        </w:rPr>
        <w:t>§ 1003.2(g)</w:t>
      </w:r>
      <w:r w:rsidR="00F554A5">
        <w:rPr>
          <w:sz w:val="24"/>
          <w:szCs w:val="24"/>
        </w:rPr>
        <w:t xml:space="preserve"> to collect data regarding applications for covered loans that it receives, covered loans that it originates, and covered loans that it purchases for each calendar year.</w:t>
      </w:r>
      <w:r w:rsidR="002E22B1">
        <w:rPr>
          <w:rStyle w:val="FootnoteReference"/>
          <w:sz w:val="24"/>
          <w:szCs w:val="24"/>
        </w:rPr>
        <w:footnoteReference w:id="3"/>
      </w:r>
      <w:r w:rsidR="00F554A5">
        <w:rPr>
          <w:sz w:val="24"/>
          <w:szCs w:val="24"/>
        </w:rPr>
        <w:t xml:space="preserve">  The data </w:t>
      </w:r>
      <w:r w:rsidR="00967771">
        <w:rPr>
          <w:sz w:val="24"/>
          <w:szCs w:val="24"/>
        </w:rPr>
        <w:t xml:space="preserve">to </w:t>
      </w:r>
      <w:r w:rsidR="00F554A5">
        <w:rPr>
          <w:sz w:val="24"/>
          <w:szCs w:val="24"/>
        </w:rPr>
        <w:t xml:space="preserve">be collected are provided in Regulation C, 12 CFR 1003.4(a)(1) </w:t>
      </w:r>
      <w:r w:rsidR="005957D1">
        <w:rPr>
          <w:sz w:val="24"/>
          <w:szCs w:val="24"/>
        </w:rPr>
        <w:t>–</w:t>
      </w:r>
      <w:r w:rsidR="00F554A5">
        <w:rPr>
          <w:sz w:val="24"/>
          <w:szCs w:val="24"/>
        </w:rPr>
        <w:t xml:space="preserve"> </w:t>
      </w:r>
      <w:r w:rsidR="00967771">
        <w:rPr>
          <w:sz w:val="24"/>
          <w:szCs w:val="24"/>
        </w:rPr>
        <w:t>(</w:t>
      </w:r>
      <w:r w:rsidR="005957D1">
        <w:rPr>
          <w:sz w:val="24"/>
          <w:szCs w:val="24"/>
        </w:rPr>
        <w:t>38</w:t>
      </w:r>
      <w:r w:rsidR="00967771">
        <w:rPr>
          <w:sz w:val="24"/>
          <w:szCs w:val="24"/>
        </w:rPr>
        <w:t>)</w:t>
      </w:r>
      <w:r w:rsidR="005957D1">
        <w:rPr>
          <w:sz w:val="24"/>
          <w:szCs w:val="24"/>
        </w:rPr>
        <w:t xml:space="preserve"> and (b).</w:t>
      </w:r>
    </w:p>
    <w:p w14:paraId="3E92B7FA" w14:textId="77777777" w:rsidR="00E40065" w:rsidRDefault="00E40065" w:rsidP="003738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5B8ABFE1" w14:textId="77777777" w:rsidR="00E40065" w:rsidRPr="00F03861" w:rsidRDefault="005957D1" w:rsidP="003738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u w:val="single"/>
        </w:rPr>
      </w:pPr>
      <w:r w:rsidRPr="00F03861">
        <w:rPr>
          <w:b/>
          <w:i/>
          <w:sz w:val="24"/>
          <w:szCs w:val="24"/>
          <w:u w:val="single"/>
        </w:rPr>
        <w:t>Reporting</w:t>
      </w:r>
    </w:p>
    <w:p w14:paraId="5480DC30" w14:textId="77777777" w:rsidR="00E40065" w:rsidRDefault="00E40065" w:rsidP="003738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254E011C" w14:textId="18B52542" w:rsidR="005957D1" w:rsidRDefault="00E40065" w:rsidP="003738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5957D1">
        <w:rPr>
          <w:sz w:val="24"/>
          <w:szCs w:val="24"/>
        </w:rPr>
        <w:t xml:space="preserve">Section 1003.5(a) </w:t>
      </w:r>
      <w:r w:rsidR="00582D3C">
        <w:rPr>
          <w:sz w:val="24"/>
          <w:szCs w:val="24"/>
        </w:rPr>
        <w:t xml:space="preserve">of Regulation C </w:t>
      </w:r>
      <w:r w:rsidR="0037385C">
        <w:rPr>
          <w:sz w:val="24"/>
          <w:szCs w:val="24"/>
        </w:rPr>
        <w:t xml:space="preserve">requires that by March 1 following the calendar year for which data are collected and recorded as required by § 1003.4(a), a financial institution must submit </w:t>
      </w:r>
      <w:r w:rsidR="001401EE">
        <w:rPr>
          <w:sz w:val="24"/>
          <w:szCs w:val="24"/>
        </w:rPr>
        <w:t>its loan/application register</w:t>
      </w:r>
      <w:r w:rsidR="0037385C">
        <w:rPr>
          <w:sz w:val="24"/>
          <w:szCs w:val="24"/>
        </w:rPr>
        <w:t xml:space="preserve"> in electronic </w:t>
      </w:r>
      <w:r w:rsidR="008E7373">
        <w:rPr>
          <w:sz w:val="24"/>
          <w:szCs w:val="24"/>
        </w:rPr>
        <w:t xml:space="preserve">format </w:t>
      </w:r>
      <w:r w:rsidR="0037385C">
        <w:rPr>
          <w:sz w:val="24"/>
          <w:szCs w:val="24"/>
        </w:rPr>
        <w:t xml:space="preserve">to the </w:t>
      </w:r>
      <w:r w:rsidR="0037385C" w:rsidRPr="00F34C88">
        <w:rPr>
          <w:i/>
          <w:sz w:val="24"/>
          <w:szCs w:val="24"/>
        </w:rPr>
        <w:t xml:space="preserve">appropriate </w:t>
      </w:r>
      <w:r w:rsidR="004E4570">
        <w:rPr>
          <w:i/>
          <w:sz w:val="24"/>
          <w:szCs w:val="24"/>
        </w:rPr>
        <w:t>F</w:t>
      </w:r>
      <w:r w:rsidR="004E4570" w:rsidRPr="00F34C88">
        <w:rPr>
          <w:i/>
          <w:sz w:val="24"/>
          <w:szCs w:val="24"/>
        </w:rPr>
        <w:t xml:space="preserve">ederal </w:t>
      </w:r>
      <w:r w:rsidR="0037385C" w:rsidRPr="00F34C88">
        <w:rPr>
          <w:i/>
          <w:sz w:val="24"/>
          <w:szCs w:val="24"/>
        </w:rPr>
        <w:t>agency</w:t>
      </w:r>
      <w:r w:rsidR="0037385C">
        <w:rPr>
          <w:sz w:val="24"/>
          <w:szCs w:val="24"/>
        </w:rPr>
        <w:t>.</w:t>
      </w:r>
      <w:r w:rsidR="007D7339">
        <w:rPr>
          <w:sz w:val="24"/>
          <w:szCs w:val="24"/>
        </w:rPr>
        <w:t xml:space="preserve">  </w:t>
      </w:r>
      <w:r w:rsidR="00B709E5">
        <w:rPr>
          <w:sz w:val="24"/>
          <w:szCs w:val="24"/>
        </w:rPr>
        <w:t xml:space="preserve">Section 1003.5(a)(4) provides that </w:t>
      </w:r>
      <w:r w:rsidR="00B709E5">
        <w:rPr>
          <w:i/>
          <w:sz w:val="24"/>
          <w:szCs w:val="24"/>
        </w:rPr>
        <w:t>appropriate</w:t>
      </w:r>
      <w:r w:rsidR="004E4570">
        <w:rPr>
          <w:i/>
          <w:sz w:val="24"/>
          <w:szCs w:val="24"/>
        </w:rPr>
        <w:t xml:space="preserve"> F</w:t>
      </w:r>
      <w:r w:rsidR="00B709E5">
        <w:rPr>
          <w:i/>
          <w:sz w:val="24"/>
          <w:szCs w:val="24"/>
        </w:rPr>
        <w:t>ederal agency</w:t>
      </w:r>
      <w:r w:rsidR="00B709E5">
        <w:rPr>
          <w:sz w:val="24"/>
          <w:szCs w:val="24"/>
        </w:rPr>
        <w:t xml:space="preserve"> means the appropriate agency for the financial institution as determined pursuant to section 304(h)(2) of </w:t>
      </w:r>
      <w:r w:rsidR="001D15AD">
        <w:rPr>
          <w:sz w:val="24"/>
          <w:szCs w:val="24"/>
        </w:rPr>
        <w:t xml:space="preserve">HMDA </w:t>
      </w:r>
      <w:r w:rsidR="00B709E5">
        <w:rPr>
          <w:sz w:val="24"/>
          <w:szCs w:val="24"/>
        </w:rPr>
        <w:t>(12 U.S.C. 2803(h)(2) or, with respect to a financial institution subject to the Bureau’s supervisory authority under section 1025(a) of the Consumer Financial Protection Act of 2010 (12 U.S.C. 5515(a)</w:t>
      </w:r>
      <w:r w:rsidR="00883642">
        <w:rPr>
          <w:sz w:val="24"/>
          <w:szCs w:val="24"/>
        </w:rPr>
        <w:t xml:space="preserve">), the Bureau.  </w:t>
      </w:r>
      <w:r w:rsidR="007D7339" w:rsidRPr="007D7339">
        <w:rPr>
          <w:sz w:val="24"/>
          <w:szCs w:val="24"/>
        </w:rPr>
        <w:t>Effective January 1, 2020, §</w:t>
      </w:r>
      <w:r w:rsidR="007D7339" w:rsidRPr="00F34C88">
        <w:rPr>
          <w:sz w:val="24"/>
          <w:szCs w:val="24"/>
        </w:rPr>
        <w:t xml:space="preserve"> 1003.5(a)(1)(ii) requires that within </w:t>
      </w:r>
      <w:r w:rsidR="007D7339">
        <w:rPr>
          <w:sz w:val="24"/>
          <w:szCs w:val="24"/>
        </w:rPr>
        <w:t xml:space="preserve">60 calendar days after the end of each calendar quarter except the fourth quarter, a financial institution that reported for the preceding calendar year at least 60,000 covered loans and applications, combined, excluding purchased covered loans, must submit to the appropriate </w:t>
      </w:r>
      <w:r w:rsidR="000268F9">
        <w:rPr>
          <w:sz w:val="24"/>
          <w:szCs w:val="24"/>
        </w:rPr>
        <w:t>F</w:t>
      </w:r>
      <w:r w:rsidR="007D7339">
        <w:rPr>
          <w:sz w:val="24"/>
          <w:szCs w:val="24"/>
        </w:rPr>
        <w:t xml:space="preserve">ederal agency </w:t>
      </w:r>
      <w:r w:rsidR="00B812F0">
        <w:rPr>
          <w:sz w:val="24"/>
          <w:szCs w:val="24"/>
        </w:rPr>
        <w:t xml:space="preserve">its </w:t>
      </w:r>
      <w:r w:rsidR="001401EE">
        <w:rPr>
          <w:sz w:val="24"/>
          <w:szCs w:val="24"/>
        </w:rPr>
        <w:t>quarterly loan/application register</w:t>
      </w:r>
      <w:r w:rsidR="00B812F0">
        <w:rPr>
          <w:sz w:val="24"/>
          <w:szCs w:val="24"/>
        </w:rPr>
        <w:t xml:space="preserve"> required to be recorded for that quarter.</w:t>
      </w:r>
    </w:p>
    <w:p w14:paraId="1C6327CF" w14:textId="77777777" w:rsidR="00107573" w:rsidRPr="00F34C88" w:rsidRDefault="00107573" w:rsidP="003738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056AA38" w14:textId="5B159736" w:rsidR="00F03861" w:rsidRPr="00F03861" w:rsidRDefault="00B812F0"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u w:val="single"/>
        </w:rPr>
      </w:pPr>
      <w:r w:rsidRPr="00F03861">
        <w:rPr>
          <w:b/>
          <w:i/>
          <w:sz w:val="24"/>
          <w:szCs w:val="24"/>
          <w:u w:val="single"/>
        </w:rPr>
        <w:t>Disclosure</w:t>
      </w:r>
    </w:p>
    <w:p w14:paraId="5489BDAD" w14:textId="29472741" w:rsidR="00F03861" w:rsidRDefault="00F03861"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09CC8912" w14:textId="7CC037CF" w:rsidR="00B812F0" w:rsidRDefault="00107573"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E20143">
        <w:rPr>
          <w:sz w:val="24"/>
          <w:szCs w:val="24"/>
        </w:rPr>
        <w:t>Section 1003.5</w:t>
      </w:r>
      <w:r w:rsidR="002F716A">
        <w:rPr>
          <w:sz w:val="24"/>
          <w:szCs w:val="24"/>
        </w:rPr>
        <w:t>(b</w:t>
      </w:r>
      <w:r w:rsidR="00E20143">
        <w:rPr>
          <w:sz w:val="24"/>
          <w:szCs w:val="24"/>
        </w:rPr>
        <w:t>)</w:t>
      </w:r>
      <w:r w:rsidR="00AB0F24">
        <w:rPr>
          <w:sz w:val="24"/>
          <w:szCs w:val="24"/>
        </w:rPr>
        <w:t>(2)</w:t>
      </w:r>
      <w:r w:rsidR="00E20143">
        <w:rPr>
          <w:sz w:val="24"/>
          <w:szCs w:val="24"/>
        </w:rPr>
        <w:t xml:space="preserve"> </w:t>
      </w:r>
      <w:r w:rsidR="002F716A">
        <w:rPr>
          <w:sz w:val="24"/>
          <w:szCs w:val="24"/>
        </w:rPr>
        <w:t xml:space="preserve">of Regulation C requires that </w:t>
      </w:r>
      <w:r w:rsidR="00AB0F24">
        <w:rPr>
          <w:sz w:val="24"/>
          <w:szCs w:val="24"/>
        </w:rPr>
        <w:t xml:space="preserve">a financial institution provide at its offices a written notice that conveys that the institution’s disclosure statement may be obtained on the Bureau’s web site.  In addition, § 1003.5(c) requires that a financial institution provide at its offices a written notice </w:t>
      </w:r>
      <w:r w:rsidR="001401EE">
        <w:rPr>
          <w:sz w:val="24"/>
          <w:szCs w:val="24"/>
        </w:rPr>
        <w:t>that conveys that the institution’s loan/application register, as modified by the Bureau to protect applicant and borrower privacy, may be obtained on the Bureau’s web site.</w:t>
      </w:r>
    </w:p>
    <w:p w14:paraId="5AE18528" w14:textId="3BA38667" w:rsidR="00AB0F24" w:rsidRDefault="00AB0F24" w:rsidP="00986FE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F3C9172" w14:textId="566C40EF" w:rsidR="00BC5C20" w:rsidRPr="00202188" w:rsidRDefault="00BC5C20" w:rsidP="00BC5C20">
      <w:pPr>
        <w:pStyle w:val="Default"/>
        <w:rPr>
          <w:color w:val="auto"/>
        </w:rPr>
      </w:pPr>
      <w:r w:rsidRPr="00202188">
        <w:rPr>
          <w:b/>
          <w:bCs/>
        </w:rPr>
        <w:t xml:space="preserve">3. </w:t>
      </w:r>
      <w:r>
        <w:rPr>
          <w:b/>
          <w:bCs/>
        </w:rPr>
        <w:t xml:space="preserve"> </w:t>
      </w:r>
      <w:r w:rsidRPr="00202188">
        <w:rPr>
          <w:b/>
          <w:bCs/>
          <w:u w:val="single"/>
        </w:rPr>
        <w:t>Use of Information Technology</w:t>
      </w:r>
    </w:p>
    <w:p w14:paraId="21A483C1" w14:textId="77777777" w:rsidR="00BC5C20" w:rsidRDefault="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p>
    <w:p w14:paraId="3F5F4593" w14:textId="2DFF32DF" w:rsidR="00BC5C20" w:rsidRDefault="00986FE6" w:rsidP="00BC5C20">
      <w:pPr>
        <w:pStyle w:val="CM12"/>
        <w:spacing w:line="276" w:lineRule="atLeast"/>
        <w:rPr>
          <w:bCs/>
        </w:rPr>
      </w:pPr>
      <w:r>
        <w:rPr>
          <w:b/>
          <w:bCs/>
        </w:rPr>
        <w:tab/>
      </w:r>
      <w:r w:rsidR="00F7717B">
        <w:rPr>
          <w:bCs/>
        </w:rPr>
        <w:t>Regulation C</w:t>
      </w:r>
      <w:r w:rsidR="000663DF">
        <w:rPr>
          <w:bCs/>
        </w:rPr>
        <w:t xml:space="preserve"> requires financial institutions to submit HMDA data in electronic form.  </w:t>
      </w:r>
      <w:r w:rsidR="000663DF" w:rsidRPr="000663DF">
        <w:rPr>
          <w:bCs/>
        </w:rPr>
        <w:t xml:space="preserve"> </w:t>
      </w:r>
      <w:r w:rsidR="000663DF">
        <w:rPr>
          <w:bCs/>
        </w:rPr>
        <w:t>T</w:t>
      </w:r>
      <w:r w:rsidR="000663DF" w:rsidRPr="000663DF">
        <w:rPr>
          <w:bCs/>
        </w:rPr>
        <w:t xml:space="preserve">he Bureau </w:t>
      </w:r>
      <w:r w:rsidR="00185499">
        <w:t xml:space="preserve">implemented </w:t>
      </w:r>
      <w:r w:rsidR="00040258">
        <w:t>several operational improvements</w:t>
      </w:r>
      <w:r w:rsidR="001D15AD">
        <w:t xml:space="preserve"> in the past few years to facilitate this process</w:t>
      </w:r>
      <w:r w:rsidR="00040258">
        <w:t xml:space="preserve">.  </w:t>
      </w:r>
      <w:r w:rsidR="00040258" w:rsidRPr="006425A6">
        <w:t xml:space="preserve">For example, the Bureau </w:t>
      </w:r>
      <w:r w:rsidR="00D72100">
        <w:t>developed the HMDA Platform, a web-b</w:t>
      </w:r>
      <w:r w:rsidR="00C323F9">
        <w:t xml:space="preserve">ased submission tool that enables financial institutions to upload their HMDA data, review edits, </w:t>
      </w:r>
      <w:r w:rsidR="001F78B4">
        <w:t>certify data accuracy and submit data for the filing year.</w:t>
      </w:r>
      <w:r w:rsidR="00107573">
        <w:t xml:space="preserve">  </w:t>
      </w:r>
      <w:r w:rsidR="00AD583F">
        <w:t xml:space="preserve">The Bureau also </w:t>
      </w:r>
      <w:r w:rsidR="00AC2A8E" w:rsidRPr="006425A6">
        <w:t>improv</w:t>
      </w:r>
      <w:r w:rsidR="00AC2A8E">
        <w:t>ed</w:t>
      </w:r>
      <w:r w:rsidR="00994D40">
        <w:t xml:space="preserve"> the</w:t>
      </w:r>
      <w:r w:rsidR="00AC2A8E" w:rsidRPr="006425A6">
        <w:t xml:space="preserve"> </w:t>
      </w:r>
      <w:r w:rsidR="00040258" w:rsidRPr="006425A6">
        <w:t>points of contact processes for help inquiries</w:t>
      </w:r>
      <w:r w:rsidR="00040258">
        <w:t xml:space="preserve">.  </w:t>
      </w:r>
      <w:r w:rsidR="00040258" w:rsidRPr="006425A6">
        <w:t xml:space="preserve">In addition, the Bureau </w:t>
      </w:r>
      <w:r w:rsidR="00BB0ADC">
        <w:t xml:space="preserve">developed a tool </w:t>
      </w:r>
      <w:r w:rsidR="00107573">
        <w:t xml:space="preserve">that </w:t>
      </w:r>
      <w:r w:rsidR="00BB0ADC">
        <w:t xml:space="preserve">financial institutions with small volumes of HMDA data </w:t>
      </w:r>
      <w:r w:rsidR="001D15AD">
        <w:t xml:space="preserve">can use </w:t>
      </w:r>
      <w:r w:rsidR="00BB0ADC">
        <w:t xml:space="preserve">to create an electronic for submission to the HMDA Platform and </w:t>
      </w:r>
      <w:r w:rsidR="001329F5">
        <w:t xml:space="preserve">streamlined the submission and </w:t>
      </w:r>
      <w:r w:rsidR="005333F3">
        <w:t>validation</w:t>
      </w:r>
      <w:r w:rsidR="001329F5">
        <w:t xml:space="preserve"> process</w:t>
      </w:r>
      <w:r w:rsidR="00BB0ADC">
        <w:t xml:space="preserve"> to make it more efficient.</w:t>
      </w:r>
      <w:r w:rsidR="000663DF" w:rsidRPr="000663DF">
        <w:rPr>
          <w:bCs/>
        </w:rPr>
        <w:t xml:space="preserve">  </w:t>
      </w:r>
    </w:p>
    <w:p w14:paraId="44FCF6AA" w14:textId="77777777" w:rsidR="00986FE6" w:rsidRPr="00986FE6" w:rsidRDefault="00986FE6" w:rsidP="00986FE6"/>
    <w:p w14:paraId="378F9E91" w14:textId="77777777" w:rsidR="00BC5C20" w:rsidRPr="00202188" w:rsidRDefault="00BC5C20" w:rsidP="00BC5C20">
      <w:pPr>
        <w:pStyle w:val="CM12"/>
        <w:spacing w:line="276" w:lineRule="atLeast"/>
      </w:pPr>
      <w:r w:rsidRPr="00202188">
        <w:rPr>
          <w:b/>
          <w:bCs/>
        </w:rPr>
        <w:t xml:space="preserve">4. </w:t>
      </w:r>
      <w:r>
        <w:rPr>
          <w:b/>
          <w:bCs/>
        </w:rPr>
        <w:t xml:space="preserve"> </w:t>
      </w:r>
      <w:r w:rsidRPr="00202188">
        <w:rPr>
          <w:b/>
          <w:bCs/>
          <w:u w:val="single"/>
        </w:rPr>
        <w:t>Efforts to Identify Duplication</w:t>
      </w:r>
    </w:p>
    <w:p w14:paraId="1BC2ED1B" w14:textId="77777777" w:rsidR="00BC5C20" w:rsidRDefault="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00EE2C7" w14:textId="554CCCB9" w:rsidR="00295103" w:rsidRDefault="00986FE6" w:rsidP="00BA2490">
      <w:pPr>
        <w:pStyle w:val="CM12"/>
        <w:spacing w:line="276" w:lineRule="atLeast"/>
      </w:pPr>
      <w:r>
        <w:tab/>
      </w:r>
      <w:r w:rsidRPr="00BA2490">
        <w:rPr>
          <w:bCs/>
        </w:rPr>
        <w:t>Substantially</w:t>
      </w:r>
      <w:r>
        <w:t xml:space="preserve"> all of the information collected is not otherwise available.</w:t>
      </w:r>
      <w:r w:rsidR="00320D46">
        <w:t xml:space="preserve"> N</w:t>
      </w:r>
      <w:r w:rsidR="00320D46" w:rsidRPr="00320D46">
        <w:t xml:space="preserve">o privately-produced loan-level mortgage databases with comprehensive national coverage exist that are easily-accessible by the public.  Private data vendors offer a few large databases for sale, but these are typically collected via either the largest </w:t>
      </w:r>
      <w:r w:rsidR="00C7416F" w:rsidRPr="00320D46">
        <w:t>servicers</w:t>
      </w:r>
      <w:r w:rsidR="00320D46" w:rsidRPr="00320D46">
        <w:t xml:space="preserve"> or securitizers, and therefore none match the near-universal coverage of the HMDA data.</w:t>
      </w:r>
      <w:r w:rsidR="004F1CE4">
        <w:t xml:space="preserve">  Notably, unlike HMDA, almost all</w:t>
      </w:r>
      <w:r w:rsidR="001F068D">
        <w:t xml:space="preserve"> of</w:t>
      </w:r>
      <w:r w:rsidR="004F1CE4">
        <w:t xml:space="preserve"> the commercially-available loan-level databases provided by vendors are for originated loans only and do not include applications that did not result in an origination.</w:t>
      </w:r>
    </w:p>
    <w:p w14:paraId="761EA815" w14:textId="77777777" w:rsidR="00320D46" w:rsidRDefault="00320D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32BE3" w14:textId="77777777" w:rsidR="00BC5C20" w:rsidRPr="003A69C1" w:rsidRDefault="00BC5C20" w:rsidP="00BC5C20">
      <w:pPr>
        <w:pStyle w:val="CM12"/>
        <w:spacing w:line="276" w:lineRule="atLeast"/>
      </w:pPr>
      <w:r w:rsidRPr="00202188">
        <w:rPr>
          <w:b/>
          <w:bCs/>
        </w:rPr>
        <w:t xml:space="preserve">5. </w:t>
      </w:r>
      <w:r>
        <w:rPr>
          <w:b/>
          <w:bCs/>
        </w:rPr>
        <w:t xml:space="preserve"> </w:t>
      </w:r>
      <w:r w:rsidRPr="00202188">
        <w:rPr>
          <w:b/>
          <w:bCs/>
          <w:u w:val="single"/>
        </w:rPr>
        <w:t>Efforts to Minimize Burdens on Small Entities</w:t>
      </w:r>
    </w:p>
    <w:p w14:paraId="0D57597E" w14:textId="77777777" w:rsidR="0074370F" w:rsidRDefault="0074370F" w:rsidP="0074370F">
      <w:pPr>
        <w:pStyle w:val="CM12"/>
        <w:spacing w:line="276" w:lineRule="atLeast"/>
      </w:pPr>
    </w:p>
    <w:p w14:paraId="6B10E8D3" w14:textId="375F82D2" w:rsidR="00931BAC" w:rsidRDefault="006520FE" w:rsidP="000313FE">
      <w:pPr>
        <w:pStyle w:val="CM12"/>
        <w:spacing w:line="276" w:lineRule="atLeast"/>
        <w:ind w:firstLine="720"/>
      </w:pPr>
      <w:r>
        <w:t>In February 2014, the Bureau convened a Small Business Review Panel regarding burden minimization</w:t>
      </w:r>
      <w:r w:rsidR="00B777C0">
        <w:t>.  The Bureau also solicited feedback through the public comment period</w:t>
      </w:r>
      <w:r w:rsidR="001D15AD">
        <w:t xml:space="preserve"> on the October 2015 Rule</w:t>
      </w:r>
      <w:r w:rsidR="00B777C0">
        <w:t xml:space="preserve">.  </w:t>
      </w:r>
      <w:r w:rsidR="00185499">
        <w:t>Regulation C</w:t>
      </w:r>
      <w:r w:rsidR="00B777C0">
        <w:t>,</w:t>
      </w:r>
      <w:r w:rsidR="00185499">
        <w:t xml:space="preserve"> in its current form</w:t>
      </w:r>
      <w:r w:rsidR="00B777C0">
        <w:t>,</w:t>
      </w:r>
      <w:r w:rsidR="00185499">
        <w:t xml:space="preserve"> </w:t>
      </w:r>
      <w:r w:rsidR="0074370F">
        <w:t xml:space="preserve">reflects several </w:t>
      </w:r>
      <w:r w:rsidR="00756C25">
        <w:t>changes designed to further this purpose</w:t>
      </w:r>
      <w:r w:rsidR="000B0A1A">
        <w:t xml:space="preserve">.  </w:t>
      </w:r>
      <w:r w:rsidR="00B777C0">
        <w:t xml:space="preserve">First, the Bureau provided substantial relief to small entities by increasing the loan volume threshold </w:t>
      </w:r>
      <w:r w:rsidR="004719C0">
        <w:t xml:space="preserve">applicable </w:t>
      </w:r>
      <w:r w:rsidR="00B777C0">
        <w:t xml:space="preserve">to closed-end mortgage loans.  </w:t>
      </w:r>
      <w:r w:rsidR="00877050" w:rsidRPr="00415176">
        <w:t xml:space="preserve">Second, the Bureau </w:t>
      </w:r>
      <w:r w:rsidR="00185499">
        <w:t>provided</w:t>
      </w:r>
      <w:r w:rsidR="00877050" w:rsidRPr="00415176">
        <w:t xml:space="preserve"> that financial institutions shall make available to the public notice</w:t>
      </w:r>
      <w:r w:rsidR="00877050">
        <w:t>s</w:t>
      </w:r>
      <w:r w:rsidR="00877050" w:rsidRPr="00415176">
        <w:t xml:space="preserve"> that clearly convey that the institution’s disclosure statement and </w:t>
      </w:r>
      <w:r w:rsidR="00877050">
        <w:t>modified loan/</w:t>
      </w:r>
      <w:r w:rsidR="00877050" w:rsidRPr="00415176">
        <w:t>application register may be obtained on the Bureau’s website</w:t>
      </w:r>
      <w:r w:rsidR="00877050">
        <w:t xml:space="preserve">. </w:t>
      </w:r>
      <w:r w:rsidR="00FE4885">
        <w:rPr>
          <w:rStyle w:val="FootnoteReference"/>
        </w:rPr>
        <w:footnoteReference w:id="4"/>
      </w:r>
      <w:r w:rsidR="00877050">
        <w:t xml:space="preserve"> </w:t>
      </w:r>
      <w:r w:rsidR="00877050" w:rsidRPr="00415176">
        <w:t xml:space="preserve">This approach relieves all financial institutions, including small entities, of the obligation to provide the disclosure statement and </w:t>
      </w:r>
      <w:r w:rsidR="00877050">
        <w:t>modified loan/</w:t>
      </w:r>
      <w:r w:rsidR="00877050" w:rsidRPr="00415176">
        <w:t>application register to the public directly</w:t>
      </w:r>
      <w:r w:rsidR="00877050">
        <w:t xml:space="preserve">.  </w:t>
      </w:r>
      <w:r w:rsidR="00877050" w:rsidRPr="00415176">
        <w:t>Third, the Bureau adopted revisions to transactional coverage criteria that benefits small entities</w:t>
      </w:r>
      <w:r w:rsidR="00877050">
        <w:t xml:space="preserve">.  </w:t>
      </w:r>
      <w:r w:rsidR="00877050" w:rsidRPr="00415176">
        <w:t>As on</w:t>
      </w:r>
      <w:r w:rsidR="0059171A">
        <w:t>e</w:t>
      </w:r>
      <w:r w:rsidR="00877050" w:rsidRPr="00415176">
        <w:t xml:space="preserve"> example of this benefit, the revisions to the transactional coverage criteria </w:t>
      </w:r>
      <w:r w:rsidR="004719C0">
        <w:t>eliminated</w:t>
      </w:r>
      <w:r w:rsidR="00877050" w:rsidRPr="00415176">
        <w:t xml:space="preserve"> reporting of unsecured home improvement loans</w:t>
      </w:r>
      <w:r w:rsidR="00877050">
        <w:t xml:space="preserve">.  </w:t>
      </w:r>
      <w:r w:rsidR="00877050" w:rsidRPr="00415176">
        <w:t xml:space="preserve">This change </w:t>
      </w:r>
      <w:r w:rsidR="004719C0" w:rsidRPr="00415176">
        <w:t>reduce</w:t>
      </w:r>
      <w:r w:rsidR="004719C0">
        <w:t>d</w:t>
      </w:r>
      <w:r w:rsidR="004719C0" w:rsidRPr="00415176">
        <w:t xml:space="preserve"> </w:t>
      </w:r>
      <w:r w:rsidR="00877050" w:rsidRPr="00415176">
        <w:t>reporting burden to small entities to the extent that these entities offer unsecured home improvement products</w:t>
      </w:r>
      <w:r w:rsidR="00877050">
        <w:t xml:space="preserve">.  </w:t>
      </w:r>
      <w:r w:rsidR="00877050" w:rsidRPr="00415176">
        <w:t xml:space="preserve">Finally, the Bureau </w:t>
      </w:r>
      <w:r w:rsidR="00B777C0">
        <w:t>made</w:t>
      </w:r>
      <w:r w:rsidR="00877050" w:rsidRPr="00415176">
        <w:t xml:space="preserve"> operational enhancements and modifications to improve the data submission process</w:t>
      </w:r>
      <w:r w:rsidR="00877050">
        <w:t xml:space="preserve">, as described </w:t>
      </w:r>
      <w:r w:rsidR="00B777C0">
        <w:t xml:space="preserve">in number 3 </w:t>
      </w:r>
      <w:r w:rsidR="00877050">
        <w:t>above</w:t>
      </w:r>
      <w:r w:rsidR="00743D2E">
        <w:t>.  The Bureau’</w:t>
      </w:r>
      <w:r w:rsidR="0048092E">
        <w:t xml:space="preserve">s share of respondents </w:t>
      </w:r>
      <w:r w:rsidR="00F85363">
        <w:t>does</w:t>
      </w:r>
      <w:r w:rsidR="0048092E">
        <w:t xml:space="preserve"> not include small entities.</w:t>
      </w:r>
    </w:p>
    <w:p w14:paraId="49795B80" w14:textId="6765DFE0" w:rsidR="00B777C0" w:rsidRPr="00FD3812" w:rsidRDefault="00B777C0" w:rsidP="00F34C88"/>
    <w:p w14:paraId="4A4A9434" w14:textId="3B603677" w:rsidR="00B777C0" w:rsidRPr="00FD3812" w:rsidRDefault="00B777C0" w:rsidP="00F34C88">
      <w:r w:rsidRPr="00FD3812">
        <w:rPr>
          <w:sz w:val="24"/>
          <w:szCs w:val="24"/>
        </w:rPr>
        <w:tab/>
        <w:t xml:space="preserve">  </w:t>
      </w:r>
      <w:r w:rsidR="0088185E">
        <w:rPr>
          <w:sz w:val="24"/>
          <w:szCs w:val="24"/>
        </w:rPr>
        <w:t xml:space="preserve">The final rule </w:t>
      </w:r>
      <w:r w:rsidR="008E75A4">
        <w:rPr>
          <w:sz w:val="24"/>
          <w:szCs w:val="24"/>
        </w:rPr>
        <w:t>exten</w:t>
      </w:r>
      <w:r w:rsidR="00071E8A">
        <w:rPr>
          <w:sz w:val="24"/>
          <w:szCs w:val="24"/>
        </w:rPr>
        <w:t>ds</w:t>
      </w:r>
      <w:r w:rsidR="008E75A4">
        <w:rPr>
          <w:sz w:val="24"/>
          <w:szCs w:val="24"/>
        </w:rPr>
        <w:t xml:space="preserve"> the current temporary open-end coverage threshold</w:t>
      </w:r>
      <w:r w:rsidR="00A03364">
        <w:rPr>
          <w:sz w:val="24"/>
          <w:szCs w:val="24"/>
        </w:rPr>
        <w:t xml:space="preserve"> of 500 </w:t>
      </w:r>
      <w:r w:rsidR="00AA3434">
        <w:rPr>
          <w:sz w:val="24"/>
          <w:szCs w:val="24"/>
        </w:rPr>
        <w:t>for reporting data about open-end lines of credit</w:t>
      </w:r>
      <w:r w:rsidR="008E75A4">
        <w:rPr>
          <w:sz w:val="24"/>
          <w:szCs w:val="24"/>
        </w:rPr>
        <w:t xml:space="preserve">, which relieves the burden of HMDA on lower-volume </w:t>
      </w:r>
      <w:r w:rsidR="000256FE">
        <w:rPr>
          <w:sz w:val="24"/>
          <w:szCs w:val="24"/>
        </w:rPr>
        <w:t>institutions</w:t>
      </w:r>
      <w:r w:rsidR="008E75A4">
        <w:rPr>
          <w:sz w:val="24"/>
          <w:szCs w:val="24"/>
        </w:rPr>
        <w:t>.</w:t>
      </w:r>
    </w:p>
    <w:p w14:paraId="02C0CD62" w14:textId="77777777" w:rsidR="009F592C" w:rsidRPr="009F592C" w:rsidRDefault="009F592C" w:rsidP="00931BAC">
      <w:pPr>
        <w:pStyle w:val="CM12"/>
        <w:spacing w:line="276" w:lineRule="atLeast"/>
      </w:pPr>
    </w:p>
    <w:p w14:paraId="3993DD47" w14:textId="77777777" w:rsidR="00BC5C20" w:rsidRPr="004D683B" w:rsidRDefault="00BC5C20" w:rsidP="00BC5C20">
      <w:pPr>
        <w:pStyle w:val="CM12"/>
        <w:spacing w:line="276" w:lineRule="atLeast"/>
      </w:pPr>
      <w:r w:rsidRPr="004D683B">
        <w:rPr>
          <w:b/>
          <w:bCs/>
        </w:rPr>
        <w:t xml:space="preserve">6.  </w:t>
      </w:r>
      <w:r w:rsidRPr="004D683B">
        <w:rPr>
          <w:b/>
          <w:bCs/>
          <w:u w:val="single"/>
        </w:rPr>
        <w:t>Consequences of Less Frequent Collection and Obstacles to Burden Reduction</w:t>
      </w:r>
    </w:p>
    <w:p w14:paraId="789CBADE" w14:textId="77777777" w:rsidR="00BC5C20" w:rsidRDefault="00BC5C20" w:rsidP="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B9D1D5" w14:textId="6160655B" w:rsidR="009F592C" w:rsidRDefault="009F592C" w:rsidP="009F592C">
      <w:pPr>
        <w:pStyle w:val="CM12"/>
        <w:spacing w:line="276" w:lineRule="atLeast"/>
      </w:pPr>
      <w:r>
        <w:tab/>
        <w:t xml:space="preserve">HMDA provides for information to be collected annually.  </w:t>
      </w:r>
      <w:r w:rsidR="009541F2">
        <w:t xml:space="preserve">The </w:t>
      </w:r>
      <w:r w:rsidR="009440B3">
        <w:t xml:space="preserve">October </w:t>
      </w:r>
      <w:r w:rsidR="00FE51E5">
        <w:t xml:space="preserve">2015 </w:t>
      </w:r>
      <w:r w:rsidR="009440B3">
        <w:t>Rule</w:t>
      </w:r>
      <w:r w:rsidR="00FE51E5">
        <w:t xml:space="preserve"> added the requirement that</w:t>
      </w:r>
      <w:r w:rsidR="009541F2">
        <w:t xml:space="preserve"> </w:t>
      </w:r>
      <w:r w:rsidR="009541F2" w:rsidRPr="00834D2D">
        <w:t>financial institution</w:t>
      </w:r>
      <w:r w:rsidR="00411E19">
        <w:t>s</w:t>
      </w:r>
      <w:r w:rsidR="009541F2" w:rsidRPr="00834D2D">
        <w:t xml:space="preserve"> that reported </w:t>
      </w:r>
      <w:r w:rsidR="009541F2">
        <w:t xml:space="preserve">for the preceding calendar year </w:t>
      </w:r>
      <w:r w:rsidR="009541F2" w:rsidRPr="00834D2D">
        <w:t xml:space="preserve">at least 60,000 covered loans and applications, excluding purchased covered loans, </w:t>
      </w:r>
      <w:r w:rsidR="009541F2">
        <w:t>submit their HMDA data for the first three quarters of the calendar year on a quarterly basis in addition to submitting their HMDA data for the entire calendar year on an annual basis</w:t>
      </w:r>
      <w:r>
        <w:t xml:space="preserve">.  </w:t>
      </w:r>
      <w:r w:rsidR="00FD3812">
        <w:t xml:space="preserve">This quarterly reporting requirement will become effective on January 1, 2020.  </w:t>
      </w:r>
      <w:r w:rsidR="007C2656" w:rsidRPr="007C2656">
        <w:t>Quarterly reporting by large volume financial institutions may have a number of benefits to consumers.  Currently, there is significant delay between the time that final action is taken on an application and the time information about the application or loan is reported to regulators pursuant to Regulation C.  This time delay ranges from two months if the date of final action occurs during December to 14 months if the date of final action occurs during January of the reporting year.  The Bureau believes that timelier data will improve the ability of the regulators to identify current trends in mortgage markets, detect early warning signs of future housing finance crises, and determine, in much closer to “real time,” whether financial institutions are fulfilling their obligations to serve the housing needs of communities in which they are located, whether opportunities exist for public investment to attract private investment in communities, and whether there are possible discriminatory lending patterns.  Also, timelier identification of risks and troublesome trends in mortgage markets by the Bureau and the appropriate agencies will allow for more effective interventions by public officials.  Finally, the Bureau intends to release aggregate quarterly data or analysis to the public more frequently than annually, which would improve the ability of members of the public to use the data in a timely manner.   80 FR 66128, 66293 (Oct. 28, 2015).</w:t>
      </w:r>
      <w:r w:rsidR="007C2656">
        <w:t xml:space="preserve"> </w:t>
      </w:r>
      <w:r w:rsidR="008C6C28">
        <w:t>The Bureau</w:t>
      </w:r>
      <w:r w:rsidR="00185499">
        <w:t xml:space="preserve"> believes </w:t>
      </w:r>
      <w:r w:rsidR="008C6C28">
        <w:t xml:space="preserve">that less frequent reporting for the highest-volume institutions would impair the ability of the appropriate agencies to use HMDA data to effectuate the purposes of the statute in a timely manner.  </w:t>
      </w:r>
      <w:r w:rsidR="007C2656">
        <w:t xml:space="preserve">In addition, because </w:t>
      </w:r>
      <w:r w:rsidR="008C6C28">
        <w:t xml:space="preserve">quarterly reporting would permit the Bureau to process a significant volume of HMDA data throughout the year, the Bureau believes </w:t>
      </w:r>
      <w:r w:rsidR="009B291A">
        <w:t xml:space="preserve">that quarterly reporting </w:t>
      </w:r>
      <w:r w:rsidR="009417C2">
        <w:t xml:space="preserve">may </w:t>
      </w:r>
      <w:r w:rsidR="008C6C28">
        <w:t>allow for the earlier release to the public of HMDA data products</w:t>
      </w:r>
      <w:r w:rsidR="00A139FC" w:rsidRPr="00A139FC">
        <w:t xml:space="preserve">.  </w:t>
      </w:r>
      <w:r w:rsidR="009B291A">
        <w:t xml:space="preserve">As an alternative to the adopted approach, the Bureau </w:t>
      </w:r>
      <w:r w:rsidR="001C2FF5">
        <w:t xml:space="preserve">in 2015 </w:t>
      </w:r>
      <w:r w:rsidR="009B291A">
        <w:t>considered requiring</w:t>
      </w:r>
      <w:r w:rsidR="009B291A" w:rsidRPr="00217489">
        <w:t xml:space="preserve"> semi</w:t>
      </w:r>
      <w:r w:rsidR="004719C0">
        <w:t>-</w:t>
      </w:r>
      <w:r w:rsidR="009B291A" w:rsidRPr="00217489">
        <w:t xml:space="preserve">annual reporting rather than quarterly reporting.  Under this approach, large volume reporters would submit their “final” HMDA data for the first and second quarters of the calendar year within 60 days after the end of the second quarter, and their “final” HMDA data for the third and fourth quarters by March 1 of the following year.  </w:t>
      </w:r>
      <w:r w:rsidR="000663DF">
        <w:t xml:space="preserve">This alternative approach </w:t>
      </w:r>
      <w:r w:rsidR="000663DF" w:rsidRPr="00217489">
        <w:t>would not provide data</w:t>
      </w:r>
      <w:r w:rsidR="000663DF">
        <w:t xml:space="preserve"> to the agencies</w:t>
      </w:r>
      <w:r w:rsidR="009541F2">
        <w:t xml:space="preserve"> that was as timely</w:t>
      </w:r>
      <w:r w:rsidR="000663DF" w:rsidRPr="00217489">
        <w:t xml:space="preserve"> as the quarterly reporting approach</w:t>
      </w:r>
      <w:r w:rsidR="000663DF">
        <w:t>,</w:t>
      </w:r>
      <w:r w:rsidR="00666DEC">
        <w:t xml:space="preserve"> thus</w:t>
      </w:r>
      <w:r w:rsidR="000663DF">
        <w:t xml:space="preserve"> </w:t>
      </w:r>
      <w:r w:rsidR="00666DEC">
        <w:t>reducing the u</w:t>
      </w:r>
      <w:r w:rsidR="000663DF">
        <w:t>tility of the data to the agencies as well as the disclosure benefit to the public</w:t>
      </w:r>
      <w:r w:rsidR="000663DF" w:rsidRPr="00217489">
        <w:t xml:space="preserve">.  </w:t>
      </w:r>
      <w:r w:rsidR="001C2FF5">
        <w:t>The</w:t>
      </w:r>
      <w:r w:rsidR="007C2656">
        <w:t>refore</w:t>
      </w:r>
      <w:r w:rsidR="00B3086E">
        <w:t>,</w:t>
      </w:r>
      <w:r w:rsidR="007C2656">
        <w:t xml:space="preserve"> the</w:t>
      </w:r>
      <w:r w:rsidR="001C2FF5">
        <w:t xml:space="preserve"> Bureau did not adopt this alternative approach in the October 2015 HMDA Rule.</w:t>
      </w:r>
      <w:r w:rsidR="000663DF" w:rsidRPr="00217489">
        <w:t xml:space="preserve">  </w:t>
      </w:r>
      <w:r w:rsidR="008C6C28">
        <w:t xml:space="preserve">    </w:t>
      </w:r>
    </w:p>
    <w:p w14:paraId="06B3A38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495795D" w14:textId="77777777" w:rsidR="00BC5C20" w:rsidRPr="004D683B" w:rsidRDefault="00BC5C20" w:rsidP="00BC5C20">
      <w:pPr>
        <w:pStyle w:val="Default"/>
        <w:rPr>
          <w:b/>
          <w:bCs/>
          <w:u w:val="single"/>
        </w:rPr>
      </w:pPr>
      <w:r w:rsidRPr="004D683B">
        <w:rPr>
          <w:b/>
          <w:bCs/>
        </w:rPr>
        <w:t xml:space="preserve">7.  </w:t>
      </w:r>
      <w:r w:rsidRPr="004D683B">
        <w:rPr>
          <w:b/>
          <w:bCs/>
          <w:u w:val="single"/>
        </w:rPr>
        <w:t>Circumstances Requiring Special Information Collection</w:t>
      </w:r>
    </w:p>
    <w:p w14:paraId="655DC045" w14:textId="77777777" w:rsidR="00BC5C20" w:rsidRDefault="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8A60EF3" w14:textId="47F6E9BA" w:rsidR="004668F6" w:rsidRDefault="00153F47" w:rsidP="004668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666DEC">
        <w:rPr>
          <w:sz w:val="24"/>
          <w:szCs w:val="24"/>
        </w:rPr>
        <w:tab/>
      </w:r>
      <w:r w:rsidR="004668F6" w:rsidRPr="00B80B98">
        <w:rPr>
          <w:sz w:val="24"/>
          <w:szCs w:val="24"/>
        </w:rPr>
        <w:t>No special circumstances require the collection to be conducted in a manner inconsistent with the guidelines in 5 CFR 1320.</w:t>
      </w:r>
      <w:r w:rsidR="004668F6">
        <w:rPr>
          <w:sz w:val="24"/>
          <w:szCs w:val="24"/>
        </w:rPr>
        <w:t>5(d)(2)</w:t>
      </w:r>
      <w:r w:rsidR="004668F6" w:rsidRPr="00B80B98">
        <w:rPr>
          <w:sz w:val="24"/>
          <w:szCs w:val="24"/>
        </w:rPr>
        <w:t>.</w:t>
      </w:r>
    </w:p>
    <w:p w14:paraId="75987217" w14:textId="77777777" w:rsidR="004668F6" w:rsidRDefault="004668F6" w:rsidP="004668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5DD92F" w14:textId="56A9AA5A" w:rsidR="00BA2490" w:rsidRDefault="00666DEC" w:rsidP="000B1A90">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11449C" w:rsidRPr="0011449C">
        <w:rPr>
          <w:sz w:val="24"/>
          <w:szCs w:val="24"/>
        </w:rPr>
        <w:t xml:space="preserve">Regulation C requires that all reportable transactions be recorded on </w:t>
      </w:r>
      <w:r>
        <w:rPr>
          <w:sz w:val="24"/>
          <w:szCs w:val="24"/>
        </w:rPr>
        <w:t>the financial institution’s</w:t>
      </w:r>
      <w:r w:rsidRPr="0011449C">
        <w:rPr>
          <w:sz w:val="24"/>
          <w:szCs w:val="24"/>
        </w:rPr>
        <w:t xml:space="preserve"> </w:t>
      </w:r>
      <w:r w:rsidR="0011449C" w:rsidRPr="0011449C">
        <w:rPr>
          <w:sz w:val="24"/>
          <w:szCs w:val="24"/>
        </w:rPr>
        <w:t>loan/application register within thirty calendar days after the end of the calendar quarter in</w:t>
      </w:r>
      <w:r w:rsidR="0011449C">
        <w:rPr>
          <w:sz w:val="24"/>
          <w:szCs w:val="24"/>
        </w:rPr>
        <w:t xml:space="preserve"> which final action is taken. </w:t>
      </w:r>
      <w:r w:rsidR="0011449C" w:rsidRPr="0011449C">
        <w:rPr>
          <w:sz w:val="24"/>
          <w:szCs w:val="24"/>
        </w:rPr>
        <w:t>Regulation C further specifies that a financial institution shall retain a copy of its submitted loan/application register for its records for at least three years</w:t>
      </w:r>
      <w:r w:rsidR="0011449C">
        <w:rPr>
          <w:sz w:val="24"/>
          <w:szCs w:val="24"/>
        </w:rPr>
        <w:t xml:space="preserve">. </w:t>
      </w:r>
      <w:r w:rsidR="00DF763A" w:rsidRPr="00E14B43">
        <w:rPr>
          <w:sz w:val="24"/>
          <w:szCs w:val="24"/>
        </w:rPr>
        <w:t>These retention provisions are required by Congress, which</w:t>
      </w:r>
      <w:r w:rsidRPr="00E14B43">
        <w:rPr>
          <w:sz w:val="24"/>
          <w:szCs w:val="24"/>
        </w:rPr>
        <w:t xml:space="preserve"> are </w:t>
      </w:r>
      <w:r w:rsidR="00DF763A" w:rsidRPr="00E14B43">
        <w:rPr>
          <w:sz w:val="24"/>
          <w:szCs w:val="24"/>
        </w:rPr>
        <w:t xml:space="preserve">provided in HMDA section 304(c) that information required to be compiled and made available under HMDA section 304, other than loan application register information required under section 304(j), must be maintained and made available for a period of five years. </w:t>
      </w:r>
      <w:r w:rsidR="003051F1" w:rsidRPr="00E14B43">
        <w:rPr>
          <w:sz w:val="24"/>
          <w:szCs w:val="24"/>
        </w:rPr>
        <w:t>HMDA section 304(j)(6) requires that loan application register information for any year shall be maintained and made available, upon request, for three years.</w:t>
      </w:r>
    </w:p>
    <w:p w14:paraId="4F61D19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B26EE2" w14:textId="77777777" w:rsidR="00BC5C20" w:rsidRPr="004D683B" w:rsidRDefault="00BC5C20" w:rsidP="00BC5C20">
      <w:pPr>
        <w:pStyle w:val="CM12"/>
        <w:spacing w:line="276" w:lineRule="atLeast"/>
        <w:rPr>
          <w:b/>
          <w:bCs/>
          <w:u w:val="single"/>
        </w:rPr>
      </w:pPr>
      <w:r w:rsidRPr="004D683B">
        <w:rPr>
          <w:b/>
          <w:bCs/>
        </w:rPr>
        <w:t xml:space="preserve">8.  </w:t>
      </w:r>
      <w:r w:rsidRPr="004D683B">
        <w:rPr>
          <w:b/>
          <w:bCs/>
          <w:u w:val="single"/>
        </w:rPr>
        <w:t>Consultation Outside the Agency</w:t>
      </w:r>
    </w:p>
    <w:p w14:paraId="3A93674F" w14:textId="77777777" w:rsidR="001E776E" w:rsidRDefault="001E776E" w:rsidP="001E776E">
      <w:pPr>
        <w:rPr>
          <w:sz w:val="24"/>
          <w:szCs w:val="24"/>
        </w:rPr>
      </w:pPr>
    </w:p>
    <w:p w14:paraId="467D8112" w14:textId="7B95BD7D" w:rsidR="00B00C0E" w:rsidRPr="001E776E" w:rsidRDefault="00943731" w:rsidP="001E776E">
      <w:pPr>
        <w:ind w:firstLine="720"/>
        <w:rPr>
          <w:b/>
          <w:sz w:val="22"/>
          <w:szCs w:val="22"/>
        </w:rPr>
      </w:pPr>
      <w:r w:rsidRPr="001E776E">
        <w:rPr>
          <w:sz w:val="24"/>
          <w:szCs w:val="24"/>
        </w:rPr>
        <w:t xml:space="preserve">In addition to consultations described above in item 5; in accordance with 5 CFR 1320.8(d)(1), the Bureau published a </w:t>
      </w:r>
      <w:r w:rsidR="00527E6D" w:rsidRPr="001E776E">
        <w:rPr>
          <w:sz w:val="24"/>
          <w:szCs w:val="24"/>
        </w:rPr>
        <w:t>Notice of Proposed Rulemaking (NPRM)</w:t>
      </w:r>
      <w:r w:rsidRPr="001E776E">
        <w:rPr>
          <w:sz w:val="24"/>
          <w:szCs w:val="24"/>
        </w:rPr>
        <w:t xml:space="preserve"> in the </w:t>
      </w:r>
      <w:r w:rsidRPr="001E776E">
        <w:rPr>
          <w:i/>
          <w:sz w:val="24"/>
          <w:szCs w:val="24"/>
        </w:rPr>
        <w:t>Federal Register</w:t>
      </w:r>
      <w:r w:rsidRPr="001E776E">
        <w:rPr>
          <w:sz w:val="24"/>
          <w:szCs w:val="24"/>
        </w:rPr>
        <w:t xml:space="preserve"> allowing the public </w:t>
      </w:r>
      <w:r w:rsidR="000256FE" w:rsidRPr="001E776E">
        <w:rPr>
          <w:sz w:val="24"/>
          <w:szCs w:val="24"/>
        </w:rPr>
        <w:t>60 days</w:t>
      </w:r>
      <w:r w:rsidRPr="001E776E">
        <w:rPr>
          <w:sz w:val="24"/>
          <w:szCs w:val="24"/>
        </w:rPr>
        <w:t xml:space="preserve"> to comment on the information collections in th</w:t>
      </w:r>
      <w:r w:rsidR="002A4238" w:rsidRPr="001E776E">
        <w:rPr>
          <w:sz w:val="24"/>
          <w:szCs w:val="24"/>
        </w:rPr>
        <w:t>is final</w:t>
      </w:r>
      <w:r w:rsidRPr="001E776E">
        <w:rPr>
          <w:sz w:val="24"/>
          <w:szCs w:val="24"/>
        </w:rPr>
        <w:t xml:space="preserve"> rule. </w:t>
      </w:r>
      <w:r w:rsidR="00B24B5E" w:rsidRPr="001E776E">
        <w:rPr>
          <w:sz w:val="24"/>
          <w:szCs w:val="24"/>
        </w:rPr>
        <w:t xml:space="preserve"> </w:t>
      </w:r>
      <w:r w:rsidR="000B7C41" w:rsidRPr="001E776E">
        <w:rPr>
          <w:sz w:val="24"/>
          <w:szCs w:val="24"/>
        </w:rPr>
        <w:t xml:space="preserve">Comments received in response to the </w:t>
      </w:r>
      <w:r w:rsidR="00527E6D" w:rsidRPr="001E776E">
        <w:rPr>
          <w:sz w:val="24"/>
          <w:szCs w:val="24"/>
        </w:rPr>
        <w:t xml:space="preserve">NPRM </w:t>
      </w:r>
      <w:r w:rsidR="000B7C41" w:rsidRPr="001E776E">
        <w:rPr>
          <w:sz w:val="24"/>
          <w:szCs w:val="24"/>
        </w:rPr>
        <w:t xml:space="preserve">are addressed on the Preamble to the Notice of Final Rulemaking. </w:t>
      </w:r>
    </w:p>
    <w:p w14:paraId="0089A64F" w14:textId="77777777" w:rsidR="00B00C0E" w:rsidRDefault="00B00C0E" w:rsidP="00E740BA">
      <w:pPr>
        <w:pStyle w:val="ListParagraph"/>
        <w:rPr>
          <w:b/>
          <w:sz w:val="22"/>
          <w:szCs w:val="22"/>
        </w:rPr>
      </w:pPr>
    </w:p>
    <w:p w14:paraId="24C1B66C" w14:textId="57CD7836" w:rsidR="00E740BA" w:rsidRPr="00F40666" w:rsidRDefault="00E740BA" w:rsidP="00E740BA">
      <w:pPr>
        <w:pStyle w:val="ListParagraph"/>
        <w:rPr>
          <w:sz w:val="24"/>
          <w:szCs w:val="24"/>
        </w:rPr>
      </w:pPr>
      <w:r w:rsidRPr="00F40666">
        <w:rPr>
          <w:sz w:val="24"/>
          <w:szCs w:val="24"/>
        </w:rPr>
        <w:t>The comment period for the May 2019 Proposal closed on June 12, 2019 and the comment period for the PRA analysis closed on July 12, 2019.  The Bureau received 367 comments from lenders, industry trade associations, consumer groups, consumers, members of Congress, and others on the May 2019 Proposal (Docket number CFPB 2019-0021).  The Bureau did not receive comments specific to the PRA.</w:t>
      </w:r>
    </w:p>
    <w:p w14:paraId="36801085" w14:textId="77777777" w:rsidR="00E740BA" w:rsidRPr="00F40666" w:rsidRDefault="00E740BA" w:rsidP="00E740BA">
      <w:pPr>
        <w:pStyle w:val="ListParagraph"/>
        <w:rPr>
          <w:sz w:val="24"/>
          <w:szCs w:val="24"/>
        </w:rPr>
      </w:pPr>
    </w:p>
    <w:p w14:paraId="6A069C80" w14:textId="77777777" w:rsidR="00E740BA" w:rsidRPr="00F40666" w:rsidRDefault="00E740BA" w:rsidP="00E740BA">
      <w:pPr>
        <w:pStyle w:val="ListParagraph"/>
        <w:rPr>
          <w:sz w:val="24"/>
          <w:szCs w:val="24"/>
        </w:rPr>
      </w:pPr>
      <w:r w:rsidRPr="00F40666">
        <w:rPr>
          <w:sz w:val="24"/>
          <w:szCs w:val="24"/>
        </w:rPr>
        <w:t>Industry commenters generally expressed support for the proposed extension of the temporary open-end coverage threshold with many commenters describing the significant cost HMDA data collection and reporting and the anticipated cost savings the extension of the temporary open-end coverage threshold would provide.  Other commenters, including a number of consumer and civil rights groups, a bank, a State attorney general, and some members of Congress, expressed opposition to the proposal as a whole based on their concerns about the consequences of exempting institutions from HMDA because, for example, extending the temporary open-end coverage threshold would exclude a significant percentage of the market and that lenders and loans may prevent public scrutiny resulting in fewer safeguards to prevent events similar to the 2008 financial crisis.  84 FR 57946, 57953 (Oct. 29, 2019).</w:t>
      </w:r>
    </w:p>
    <w:p w14:paraId="1AAEC0B4" w14:textId="77777777" w:rsidR="00E740BA" w:rsidRPr="00F40666" w:rsidRDefault="00E740BA" w:rsidP="00E740BA">
      <w:pPr>
        <w:pStyle w:val="ListParagraph"/>
        <w:rPr>
          <w:sz w:val="24"/>
          <w:szCs w:val="24"/>
        </w:rPr>
      </w:pPr>
    </w:p>
    <w:p w14:paraId="3D2389F0" w14:textId="77777777" w:rsidR="00E740BA" w:rsidRPr="00F40666" w:rsidRDefault="00E740BA" w:rsidP="00E740BA">
      <w:pPr>
        <w:pStyle w:val="ListParagraph"/>
        <w:rPr>
          <w:sz w:val="24"/>
          <w:szCs w:val="24"/>
        </w:rPr>
      </w:pPr>
      <w:r w:rsidRPr="00F40666">
        <w:rPr>
          <w:sz w:val="24"/>
          <w:szCs w:val="24"/>
        </w:rPr>
        <w:t xml:space="preserve">Commenters that discussed the proposed amendments relating to EGRRCPA generally expressed support for the Bureau’s implementation of section 104(a) of the EGRRCPA. 84 FR 57946, 57955 (Oct. 29, 2019). </w:t>
      </w:r>
    </w:p>
    <w:p w14:paraId="176FA025" w14:textId="77777777" w:rsidR="00E740BA" w:rsidRPr="00F40666" w:rsidRDefault="00E740BA" w:rsidP="00E740BA">
      <w:pPr>
        <w:pStyle w:val="ListParagraph"/>
        <w:rPr>
          <w:sz w:val="24"/>
          <w:szCs w:val="24"/>
        </w:rPr>
      </w:pPr>
    </w:p>
    <w:p w14:paraId="305F6AC2" w14:textId="4D6F30E8" w:rsidR="00E740BA" w:rsidRPr="00A50059" w:rsidRDefault="00E740BA" w:rsidP="00E740BA">
      <w:pPr>
        <w:ind w:left="720"/>
        <w:rPr>
          <w:b/>
          <w:sz w:val="22"/>
          <w:szCs w:val="22"/>
        </w:rPr>
      </w:pPr>
      <w:r w:rsidRPr="00F40666">
        <w:rPr>
          <w:sz w:val="24"/>
          <w:szCs w:val="24"/>
        </w:rPr>
        <w:t>As explained in the 1022(b) analysis in the October 2019 Rule, the Bureau received a number of comments relating to the benefits to covered persons of the May 2019 Proposal, which it considered in finalizing the rule.</w:t>
      </w:r>
      <w:r w:rsidR="00073F8E">
        <w:rPr>
          <w:sz w:val="24"/>
          <w:szCs w:val="24"/>
        </w:rPr>
        <w:t xml:space="preserve"> </w:t>
      </w:r>
      <w:r w:rsidRPr="00F40666">
        <w:rPr>
          <w:sz w:val="24"/>
          <w:szCs w:val="24"/>
        </w:rPr>
        <w:t xml:space="preserve"> Many industry commenters reported that they expend substantial resources on HMDA compliance that could instead be used for other purposes or that they have structured their lines of business to ensure they are not required to report under HMDA.</w:t>
      </w:r>
      <w:r w:rsidR="00251C82">
        <w:rPr>
          <w:sz w:val="24"/>
          <w:szCs w:val="24"/>
        </w:rPr>
        <w:t xml:space="preserve"> </w:t>
      </w:r>
      <w:r w:rsidRPr="00F40666">
        <w:rPr>
          <w:sz w:val="24"/>
          <w:szCs w:val="24"/>
        </w:rPr>
        <w:t xml:space="preserve"> Some cited, for example, the burden of establishing procedures, purchasing reporting software, and training staff to comply with HMDA, and noted that compliance can be particularly difficult for smaller institutions with limited staff.</w:t>
      </w:r>
      <w:r w:rsidR="00251C82">
        <w:rPr>
          <w:sz w:val="24"/>
          <w:szCs w:val="24"/>
        </w:rPr>
        <w:t xml:space="preserve"> </w:t>
      </w:r>
      <w:r w:rsidRPr="00F40666">
        <w:rPr>
          <w:sz w:val="24"/>
          <w:szCs w:val="24"/>
        </w:rPr>
        <w:t xml:space="preserve"> On the other hand, consumer groups, civil rights groups, and other nonprofit organizations stated that Federal agency fair lending and Community Reinvestment Act exams will become more burdensome for Federal agencies and the HMDA-exempt lenders since the agencies will now have to ask for internal data from the lenders instead of being able to use the HMDA data.</w:t>
      </w:r>
      <w:r w:rsidR="00073F8E">
        <w:rPr>
          <w:sz w:val="24"/>
          <w:szCs w:val="24"/>
        </w:rPr>
        <w:t xml:space="preserve"> </w:t>
      </w:r>
      <w:r w:rsidRPr="00F40666">
        <w:rPr>
          <w:sz w:val="24"/>
          <w:szCs w:val="24"/>
        </w:rPr>
        <w:t xml:space="preserve"> They also noted that smaller-volume lenders already benefit from the EGRRCPA’s partial exemptions and stated that almost all of the data that such institutions must report under HMDA would already need to be collected to comply with other statutes like the Truth in Lending Act, to sell loans to Fannie Mae or Freddie Mac, or to acquire FHA insurance for loans.).</w:t>
      </w:r>
      <w:r w:rsidR="002F6E0F" w:rsidRPr="00A139FC">
        <w:rPr>
          <w:sz w:val="24"/>
          <w:szCs w:val="24"/>
        </w:rPr>
        <w:t xml:space="preserve"> </w:t>
      </w:r>
      <w:r w:rsidR="00251C82">
        <w:rPr>
          <w:sz w:val="24"/>
          <w:szCs w:val="24"/>
        </w:rPr>
        <w:t xml:space="preserve"> </w:t>
      </w:r>
      <w:r w:rsidR="002F6E0F" w:rsidRPr="00A139FC">
        <w:rPr>
          <w:sz w:val="24"/>
          <w:szCs w:val="24"/>
        </w:rPr>
        <w:t>A</w:t>
      </w:r>
      <w:r w:rsidR="002F6E0F" w:rsidRPr="003D1C6D">
        <w:rPr>
          <w:sz w:val="24"/>
          <w:szCs w:val="24"/>
        </w:rPr>
        <w:t xml:space="preserve"> nonprofit organization that does HMDA-related research commented that it is hard to imagine that a bank would not keep an electronic record of its lending, even if it were not subject to HMDA reporting. </w:t>
      </w:r>
      <w:r w:rsidR="002F6E0F">
        <w:rPr>
          <w:sz w:val="24"/>
          <w:szCs w:val="24"/>
        </w:rPr>
        <w:t xml:space="preserve"> The Bureau has carefully considered these comments and felt that the costs burdens now taken for this rule adequately address the concerns about software costs, and we adjusted the burden hours for responding to some record-keeping and reporting requirements in response to those comments that felt the </w:t>
      </w:r>
      <w:r w:rsidR="00251C82">
        <w:rPr>
          <w:sz w:val="24"/>
          <w:szCs w:val="24"/>
        </w:rPr>
        <w:t>B</w:t>
      </w:r>
      <w:r w:rsidR="002F6E0F">
        <w:rPr>
          <w:sz w:val="24"/>
          <w:szCs w:val="24"/>
        </w:rPr>
        <w:t>ureau has not accounted for all burden reductions caused by this rule.</w:t>
      </w:r>
    </w:p>
    <w:p w14:paraId="68DE91A5" w14:textId="41681B20" w:rsidR="003D1C6D" w:rsidRPr="003D1C6D" w:rsidRDefault="003D1C6D" w:rsidP="00F40666">
      <w:pPr>
        <w:rPr>
          <w:sz w:val="24"/>
          <w:szCs w:val="24"/>
        </w:rPr>
      </w:pPr>
    </w:p>
    <w:p w14:paraId="0FCA418E" w14:textId="0AEE01DD" w:rsidR="005918D6" w:rsidRPr="00943731" w:rsidRDefault="004302D0" w:rsidP="003D1C6D">
      <w:pPr>
        <w:ind w:firstLine="720"/>
      </w:pPr>
      <w:r>
        <w:rPr>
          <w:sz w:val="24"/>
          <w:szCs w:val="24"/>
        </w:rPr>
        <w:t>The Bureau</w:t>
      </w:r>
      <w:r w:rsidR="00170D22">
        <w:rPr>
          <w:sz w:val="24"/>
          <w:szCs w:val="24"/>
        </w:rPr>
        <w:t xml:space="preserve"> </w:t>
      </w:r>
      <w:r>
        <w:rPr>
          <w:sz w:val="24"/>
          <w:szCs w:val="24"/>
        </w:rPr>
        <w:t xml:space="preserve">will </w:t>
      </w:r>
      <w:r w:rsidR="00170D22">
        <w:rPr>
          <w:sz w:val="24"/>
          <w:szCs w:val="24"/>
        </w:rPr>
        <w:t xml:space="preserve">also publish a separate notice in the </w:t>
      </w:r>
      <w:r>
        <w:rPr>
          <w:i/>
          <w:sz w:val="24"/>
          <w:szCs w:val="24"/>
        </w:rPr>
        <w:t xml:space="preserve">Federal Register </w:t>
      </w:r>
      <w:r>
        <w:rPr>
          <w:sz w:val="24"/>
          <w:szCs w:val="24"/>
        </w:rPr>
        <w:t>upon OMB approval of these information collections</w:t>
      </w:r>
      <w:r w:rsidR="000A5964">
        <w:rPr>
          <w:sz w:val="24"/>
          <w:szCs w:val="24"/>
        </w:rPr>
        <w:t>.</w:t>
      </w:r>
      <w:r w:rsidR="00943731">
        <w:rPr>
          <w:sz w:val="24"/>
          <w:szCs w:val="24"/>
        </w:rPr>
        <w:t xml:space="preserve">   </w:t>
      </w:r>
      <w:r w:rsidR="00943731" w:rsidRPr="005918D6" w:rsidDel="006D4B63">
        <w:rPr>
          <w:sz w:val="24"/>
          <w:szCs w:val="24"/>
        </w:rPr>
        <w:t xml:space="preserve"> </w:t>
      </w:r>
    </w:p>
    <w:p w14:paraId="5D41A09A" w14:textId="77777777" w:rsidR="0096100C" w:rsidRDefault="0096100C" w:rsidP="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9BB20BE" w14:textId="77777777" w:rsidR="00BC5C20" w:rsidRPr="004D683B" w:rsidRDefault="00BC5C20" w:rsidP="00BC5C20">
      <w:pPr>
        <w:pStyle w:val="Default"/>
        <w:tabs>
          <w:tab w:val="left" w:pos="720"/>
        </w:tabs>
        <w:rPr>
          <w:color w:val="auto"/>
        </w:rPr>
      </w:pPr>
      <w:r w:rsidRPr="004D683B">
        <w:rPr>
          <w:b/>
          <w:bCs/>
          <w:color w:val="auto"/>
        </w:rPr>
        <w:t xml:space="preserve">9. </w:t>
      </w:r>
      <w:r>
        <w:rPr>
          <w:b/>
          <w:bCs/>
          <w:color w:val="auto"/>
        </w:rPr>
        <w:t xml:space="preserve"> </w:t>
      </w:r>
      <w:r w:rsidRPr="004D683B">
        <w:rPr>
          <w:b/>
          <w:bCs/>
          <w:color w:val="auto"/>
          <w:u w:val="single"/>
        </w:rPr>
        <w:t>Payments or Gifts to Respondents</w:t>
      </w:r>
    </w:p>
    <w:p w14:paraId="5AE3E8F8" w14:textId="77777777" w:rsidR="00BC5C20" w:rsidRDefault="00BC5C20" w:rsidP="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6D6B06" w14:textId="77777777" w:rsidR="00BA2490" w:rsidRDefault="00BA2490" w:rsidP="00BA2490">
      <w:pPr>
        <w:pStyle w:val="CM12"/>
        <w:spacing w:line="276" w:lineRule="atLeast"/>
      </w:pPr>
      <w:r>
        <w:tab/>
      </w:r>
      <w:r w:rsidR="00554992">
        <w:t>Not applicable.</w:t>
      </w:r>
    </w:p>
    <w:p w14:paraId="24AFCBD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2B473B" w14:textId="77777777" w:rsidR="00BC5C20" w:rsidRDefault="00BC5C20" w:rsidP="00BC5C20">
      <w:pPr>
        <w:ind w:right="990"/>
        <w:rPr>
          <w:sz w:val="24"/>
          <w:szCs w:val="24"/>
        </w:rPr>
      </w:pPr>
      <w:r w:rsidRPr="00DB229D">
        <w:rPr>
          <w:b/>
          <w:bCs/>
          <w:sz w:val="24"/>
          <w:szCs w:val="24"/>
        </w:rPr>
        <w:t xml:space="preserve">10.  </w:t>
      </w:r>
      <w:r w:rsidRPr="004D683B">
        <w:rPr>
          <w:b/>
          <w:bCs/>
          <w:sz w:val="24"/>
          <w:szCs w:val="24"/>
          <w:u w:val="single"/>
        </w:rPr>
        <w:t>Assurances of Confidentiality</w:t>
      </w:r>
    </w:p>
    <w:p w14:paraId="2258534A" w14:textId="77777777" w:rsidR="00BC5C20" w:rsidRDefault="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8604F5" w14:textId="0103B959" w:rsidR="000804A5" w:rsidRDefault="008F5ED2" w:rsidP="000804A5">
      <w:pPr>
        <w:pStyle w:val="CM12"/>
        <w:spacing w:line="276" w:lineRule="atLeast"/>
      </w:pPr>
      <w:r>
        <w:tab/>
      </w:r>
      <w:r w:rsidR="003D1816" w:rsidRPr="002A0D03">
        <w:t xml:space="preserve">Respondents are financial </w:t>
      </w:r>
      <w:r w:rsidR="002B17A2" w:rsidRPr="002A0D03">
        <w:t>institutions</w:t>
      </w:r>
      <w:r w:rsidR="003D1816" w:rsidRPr="002A0D03">
        <w:t xml:space="preserve"> for which </w:t>
      </w:r>
      <w:r w:rsidR="00457C54">
        <w:t xml:space="preserve">the Bureau </w:t>
      </w:r>
      <w:r w:rsidR="002B17A2" w:rsidRPr="002A0D03">
        <w:t>provides</w:t>
      </w:r>
      <w:r w:rsidR="003D1816" w:rsidRPr="002A0D03">
        <w:t xml:space="preserve"> no assurances of confidentiality. </w:t>
      </w:r>
      <w:r w:rsidR="00E14B43">
        <w:t xml:space="preserve"> </w:t>
      </w:r>
      <w:r w:rsidR="00921DCD" w:rsidRPr="00F34C88">
        <w:t xml:space="preserve">In December 2018, the Bureau issued final policy guidance describing modifications the Bureau </w:t>
      </w:r>
      <w:r w:rsidR="009609D5">
        <w:t>intends to</w:t>
      </w:r>
      <w:r w:rsidR="00921DCD" w:rsidRPr="00F34C88">
        <w:t xml:space="preserve"> apply to the HMDA data reported by financial institutions </w:t>
      </w:r>
      <w:r w:rsidR="000F4A88" w:rsidRPr="00F34C88">
        <w:t>in or after 2018</w:t>
      </w:r>
      <w:r w:rsidR="00F40666">
        <w:rPr>
          <w:rStyle w:val="FootnoteReference"/>
        </w:rPr>
        <w:footnoteReference w:id="5"/>
      </w:r>
      <w:r w:rsidR="000F4A88" w:rsidRPr="00F34C88">
        <w:t xml:space="preserve"> </w:t>
      </w:r>
      <w:r w:rsidR="00921DCD" w:rsidRPr="00F34C88">
        <w:t>before the data are made available to the public on a loan level</w:t>
      </w:r>
      <w:r w:rsidR="000F4A88" w:rsidRPr="00F34C88">
        <w:t xml:space="preserve"> beginning in 2019</w:t>
      </w:r>
      <w:r w:rsidR="00921DCD" w:rsidRPr="00F34C88">
        <w:t xml:space="preserve">.  </w:t>
      </w:r>
      <w:r w:rsidR="000F4A88" w:rsidRPr="00F34C88">
        <w:t xml:space="preserve">The Bureau </w:t>
      </w:r>
      <w:r w:rsidR="009609D5">
        <w:t>stated in the final policy guidance it intends to modify the public loan-level HMDA data by excluding certain fields and reducing the provision of the other fields.  The Bureau believes</w:t>
      </w:r>
      <w:r w:rsidR="000F4A88" w:rsidRPr="00F34C88">
        <w:t xml:space="preserve"> that the</w:t>
      </w:r>
      <w:r w:rsidR="009609D5">
        <w:t>se</w:t>
      </w:r>
      <w:r w:rsidR="000F4A88" w:rsidRPr="00F34C88">
        <w:t xml:space="preserve"> modifications will reduce risks to applicant and borrower privacy and appropriately balance them with the benefits of disclosure in light of HMDA’s purposes.  </w:t>
      </w:r>
      <w:r w:rsidR="003E06FB" w:rsidRPr="002A0D03">
        <w:t xml:space="preserve">Data not made publicly available are considered confidential under the Bureau’s confidentiality regulations, 12 CFR part 1070 </w:t>
      </w:r>
      <w:r w:rsidR="003E06FB" w:rsidRPr="002A0D03">
        <w:rPr>
          <w:i/>
        </w:rPr>
        <w:t>et seq.</w:t>
      </w:r>
      <w:r w:rsidR="003E06FB" w:rsidRPr="002A0D03">
        <w:t>, and the Freedom of Information Act.</w:t>
      </w:r>
      <w:r w:rsidR="003F0176" w:rsidRPr="002A0D03">
        <w:t xml:space="preserve">  </w:t>
      </w:r>
      <w:r w:rsidR="003F7D57" w:rsidRPr="002A0D03">
        <w:t>Information that is not disclosed is protected from unauthorized disclosure by several dat</w:t>
      </w:r>
      <w:r w:rsidR="003F7D57" w:rsidRPr="00187D9C">
        <w:t>a security safeguards, including</w:t>
      </w:r>
      <w:r w:rsidR="00B57AD7" w:rsidRPr="00187D9C">
        <w:t xml:space="preserve"> privacy and security awareness training for each individual with internal access to the system,</w:t>
      </w:r>
      <w:r w:rsidR="003F7D57" w:rsidRPr="00F554A5">
        <w:t xml:space="preserve"> </w:t>
      </w:r>
      <w:r w:rsidR="00B57AD7" w:rsidRPr="00F554A5">
        <w:t xml:space="preserve">technical access controls, </w:t>
      </w:r>
      <w:r w:rsidR="003F7D57" w:rsidRPr="002E22B1">
        <w:t>an</w:t>
      </w:r>
      <w:r w:rsidR="00B57AD7" w:rsidRPr="002E22B1">
        <w:t xml:space="preserve">d breach notification processes and plans.  </w:t>
      </w:r>
      <w:r w:rsidR="003F0176" w:rsidRPr="002E22B1">
        <w:t>More information regarding the privacy and security of</w:t>
      </w:r>
      <w:r w:rsidR="003F0176" w:rsidRPr="00396E77">
        <w:t xml:space="preserve"> the HMDA dataset can be found in the current Privacy Impact Assessment published by the Bureau.</w:t>
      </w:r>
      <w:r w:rsidR="003F0176" w:rsidRPr="002A0D03">
        <w:rPr>
          <w:rStyle w:val="FootnoteReference"/>
        </w:rPr>
        <w:footnoteReference w:id="6"/>
      </w:r>
      <w:r w:rsidR="000804A5">
        <w:t xml:space="preserve">  In December 2018, the Bureau issued final policy guidance describing the modifications the Bureau intends to apply to HMDA data reported by financial institutions at the loan level before the data are made available to the public.  The policy guidance applies to HMDA data collected by financial institutions in or after 2018 and made available to the public beginning in 2019 .  In the policy guidance, the Bureau stated that it would modify the public loan-level data by excluding certain fields and reduce the precision of other data fields.  In the Bureau’s determination, these modifications to how the Bureau stores and publishes the reported data, will reduce risks to applicant and borrower privacy and appropriately balance them with the benefits of disclosure in light of HMDA’s purposes.  Furthermore, as part of its </w:t>
      </w:r>
      <w:r w:rsidR="00A139FC">
        <w:t xml:space="preserve">Fall 2019 </w:t>
      </w:r>
      <w:r w:rsidR="000804A5">
        <w:t xml:space="preserve">Unified Agenda, the Bureau has announced that this policy guidance as to </w:t>
      </w:r>
      <w:r w:rsidR="0051081D">
        <w:t xml:space="preserve">the modifications the Bureau will make to the HMDA data prior to public </w:t>
      </w:r>
      <w:r w:rsidR="00B921CF">
        <w:t>disclosure</w:t>
      </w:r>
      <w:r w:rsidR="000804A5">
        <w:t xml:space="preserve"> will be the subject of a </w:t>
      </w:r>
      <w:r w:rsidR="00A139FC">
        <w:t>legislative</w:t>
      </w:r>
      <w:r w:rsidR="000804A5">
        <w:t xml:space="preserve"> rulemaking that is scheduled to begin in June of 2020 .</w:t>
      </w:r>
    </w:p>
    <w:p w14:paraId="7178F255" w14:textId="77777777" w:rsidR="000804A5" w:rsidRDefault="000804A5" w:rsidP="000804A5">
      <w:pPr>
        <w:pStyle w:val="CM12"/>
        <w:spacing w:line="276" w:lineRule="atLeast"/>
      </w:pPr>
    </w:p>
    <w:p w14:paraId="47F5A415" w14:textId="77777777" w:rsidR="000804A5" w:rsidRDefault="000804A5" w:rsidP="000804A5">
      <w:pPr>
        <w:pStyle w:val="CM12"/>
        <w:spacing w:line="276" w:lineRule="atLeast"/>
      </w:pPr>
      <w:r>
        <w:t>The policy guidance provides that the Bureau will exclude the following from the public loan-level HMDA data:</w:t>
      </w:r>
    </w:p>
    <w:p w14:paraId="35A4A78D" w14:textId="77777777" w:rsidR="000804A5" w:rsidRDefault="000804A5" w:rsidP="000804A5">
      <w:pPr>
        <w:pStyle w:val="CM12"/>
        <w:spacing w:line="276" w:lineRule="atLeast"/>
      </w:pPr>
      <w:r>
        <w:t>•</w:t>
      </w:r>
      <w:r>
        <w:tab/>
        <w:t>Universal loan identifier or non-universal loan identifier</w:t>
      </w:r>
    </w:p>
    <w:p w14:paraId="08BC919C" w14:textId="77777777" w:rsidR="000804A5" w:rsidRDefault="000804A5" w:rsidP="000804A5">
      <w:pPr>
        <w:pStyle w:val="CM12"/>
        <w:spacing w:line="276" w:lineRule="atLeast"/>
      </w:pPr>
      <w:r>
        <w:t>•</w:t>
      </w:r>
      <w:r>
        <w:tab/>
        <w:t>Application date</w:t>
      </w:r>
    </w:p>
    <w:p w14:paraId="452AC8CA" w14:textId="77777777" w:rsidR="000804A5" w:rsidRDefault="000804A5" w:rsidP="000804A5">
      <w:pPr>
        <w:pStyle w:val="CM12"/>
        <w:spacing w:line="276" w:lineRule="atLeast"/>
      </w:pPr>
      <w:r>
        <w:t>•</w:t>
      </w:r>
      <w:r>
        <w:tab/>
        <w:t>Action taken date</w:t>
      </w:r>
    </w:p>
    <w:p w14:paraId="1565D34A" w14:textId="77777777" w:rsidR="000804A5" w:rsidRDefault="000804A5" w:rsidP="000804A5">
      <w:pPr>
        <w:pStyle w:val="CM12"/>
        <w:spacing w:line="276" w:lineRule="atLeast"/>
      </w:pPr>
      <w:r>
        <w:t>•</w:t>
      </w:r>
      <w:r>
        <w:tab/>
        <w:t>Property address</w:t>
      </w:r>
    </w:p>
    <w:p w14:paraId="7E67728E" w14:textId="77777777" w:rsidR="000804A5" w:rsidRDefault="000804A5" w:rsidP="000804A5">
      <w:pPr>
        <w:pStyle w:val="CM12"/>
        <w:spacing w:line="276" w:lineRule="atLeast"/>
      </w:pPr>
      <w:r>
        <w:t>•</w:t>
      </w:r>
      <w:r>
        <w:tab/>
        <w:t>Credit score relied on in making the credit decision</w:t>
      </w:r>
    </w:p>
    <w:p w14:paraId="61A2A606" w14:textId="77777777" w:rsidR="000804A5" w:rsidRDefault="000804A5" w:rsidP="000804A5">
      <w:pPr>
        <w:pStyle w:val="CM12"/>
        <w:spacing w:line="276" w:lineRule="atLeast"/>
      </w:pPr>
      <w:r>
        <w:t>•</w:t>
      </w:r>
      <w:r>
        <w:tab/>
        <w:t>Unique identifier assigned by the Nationwide Mortgage Licensing System and Registry for the mortgage loan originator</w:t>
      </w:r>
    </w:p>
    <w:p w14:paraId="37C81882" w14:textId="77777777" w:rsidR="000804A5" w:rsidRDefault="000804A5" w:rsidP="000804A5">
      <w:pPr>
        <w:pStyle w:val="CM12"/>
        <w:spacing w:line="276" w:lineRule="atLeast"/>
      </w:pPr>
      <w:r>
        <w:t>•</w:t>
      </w:r>
      <w:r>
        <w:tab/>
        <w:t>Result generated by the automated underwriting system</w:t>
      </w:r>
    </w:p>
    <w:p w14:paraId="12611563" w14:textId="77777777" w:rsidR="000804A5" w:rsidRDefault="000804A5" w:rsidP="000804A5">
      <w:pPr>
        <w:pStyle w:val="CM12"/>
        <w:spacing w:line="276" w:lineRule="atLeast"/>
      </w:pPr>
      <w:r>
        <w:t>•</w:t>
      </w:r>
      <w:r>
        <w:tab/>
        <w:t>Free-form test fields for:  race, ethnicity, name and version of credit scoring model, reason for denial, and name of automated underwriting fields</w:t>
      </w:r>
    </w:p>
    <w:p w14:paraId="317E287E" w14:textId="77777777" w:rsidR="000804A5" w:rsidRDefault="000804A5" w:rsidP="000804A5">
      <w:pPr>
        <w:pStyle w:val="CM12"/>
        <w:spacing w:line="276" w:lineRule="atLeast"/>
      </w:pPr>
    </w:p>
    <w:p w14:paraId="4FE44616" w14:textId="77777777" w:rsidR="000804A5" w:rsidRDefault="000804A5" w:rsidP="000804A5">
      <w:pPr>
        <w:pStyle w:val="CM12"/>
        <w:spacing w:line="276" w:lineRule="atLeast"/>
      </w:pPr>
      <w:r>
        <w:t>The policy guidance provides that the Bureau will reduce the precision of most of the values reported for the following:</w:t>
      </w:r>
    </w:p>
    <w:p w14:paraId="03618B71" w14:textId="77777777" w:rsidR="000804A5" w:rsidRDefault="000804A5" w:rsidP="000804A5">
      <w:pPr>
        <w:pStyle w:val="CM12"/>
        <w:spacing w:line="276" w:lineRule="atLeast"/>
      </w:pPr>
      <w:r>
        <w:t>•</w:t>
      </w:r>
      <w:r>
        <w:tab/>
        <w:t>Loan amount</w:t>
      </w:r>
    </w:p>
    <w:p w14:paraId="502F3289" w14:textId="77777777" w:rsidR="000804A5" w:rsidRDefault="000804A5" w:rsidP="000804A5">
      <w:pPr>
        <w:pStyle w:val="CM12"/>
        <w:spacing w:line="276" w:lineRule="atLeast"/>
      </w:pPr>
      <w:r>
        <w:t>•</w:t>
      </w:r>
      <w:r>
        <w:tab/>
        <w:t>Age</w:t>
      </w:r>
    </w:p>
    <w:p w14:paraId="3DB28C5C" w14:textId="77777777" w:rsidR="000804A5" w:rsidRDefault="000804A5" w:rsidP="000804A5">
      <w:pPr>
        <w:pStyle w:val="CM12"/>
        <w:spacing w:line="276" w:lineRule="atLeast"/>
      </w:pPr>
      <w:r>
        <w:t>•</w:t>
      </w:r>
      <w:r>
        <w:tab/>
        <w:t>Debt-to-income ratio</w:t>
      </w:r>
    </w:p>
    <w:p w14:paraId="05BF700E" w14:textId="77777777" w:rsidR="000804A5" w:rsidRDefault="000804A5" w:rsidP="000804A5">
      <w:pPr>
        <w:pStyle w:val="CM12"/>
        <w:spacing w:line="276" w:lineRule="atLeast"/>
      </w:pPr>
      <w:r>
        <w:t>•</w:t>
      </w:r>
      <w:r>
        <w:tab/>
        <w:t>Property value</w:t>
      </w:r>
    </w:p>
    <w:p w14:paraId="1C3A7944" w14:textId="77777777" w:rsidR="000804A5" w:rsidRDefault="000804A5" w:rsidP="000804A5">
      <w:pPr>
        <w:pStyle w:val="CM12"/>
        <w:spacing w:line="276" w:lineRule="atLeast"/>
      </w:pPr>
      <w:r>
        <w:t>•</w:t>
      </w:r>
      <w:r>
        <w:tab/>
        <w:t>Total units</w:t>
      </w:r>
    </w:p>
    <w:p w14:paraId="0A4AF7AE" w14:textId="77777777" w:rsidR="000804A5" w:rsidRDefault="000804A5" w:rsidP="000804A5">
      <w:pPr>
        <w:pStyle w:val="CM12"/>
        <w:spacing w:line="276" w:lineRule="atLeast"/>
      </w:pPr>
      <w:r>
        <w:t>•</w:t>
      </w:r>
      <w:r>
        <w:tab/>
        <w:t>Multifamily affordable units</w:t>
      </w:r>
    </w:p>
    <w:p w14:paraId="318001D8" w14:textId="0C39DB12" w:rsidR="004A6DFA" w:rsidRDefault="004A6DFA" w:rsidP="008F5ED2">
      <w:pPr>
        <w:pStyle w:val="CM12"/>
        <w:spacing w:line="276" w:lineRule="atLeast"/>
      </w:pPr>
    </w:p>
    <w:p w14:paraId="16D38BA5" w14:textId="77777777" w:rsidR="008F5ED2" w:rsidRPr="008F5ED2" w:rsidRDefault="008F5ED2" w:rsidP="008F5ED2">
      <w:r>
        <w:tab/>
      </w:r>
    </w:p>
    <w:p w14:paraId="4CA0FA0E" w14:textId="77777777" w:rsidR="00BC5C20" w:rsidRPr="004D683B" w:rsidRDefault="00BC5C20" w:rsidP="00BC5C20">
      <w:pPr>
        <w:pStyle w:val="Default"/>
        <w:rPr>
          <w:color w:val="auto"/>
        </w:rPr>
      </w:pPr>
      <w:r w:rsidRPr="00DB229D">
        <w:rPr>
          <w:b/>
        </w:rPr>
        <w:t>11.</w:t>
      </w:r>
      <w:r>
        <w:rPr>
          <w:b/>
        </w:rPr>
        <w:t xml:space="preserve">  </w:t>
      </w:r>
      <w:r w:rsidRPr="004D683B">
        <w:rPr>
          <w:b/>
          <w:bCs/>
          <w:color w:val="auto"/>
          <w:u w:val="single"/>
        </w:rPr>
        <w:t>Justification for Sensitive Questions</w:t>
      </w:r>
    </w:p>
    <w:p w14:paraId="56A5BF01" w14:textId="77777777" w:rsidR="00BC5C20" w:rsidRDefault="00BC5C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F9D73FD" w14:textId="0AE73518" w:rsidR="002C4830" w:rsidRPr="00C72DE2" w:rsidRDefault="002C4830" w:rsidP="002C4830">
      <w:pPr>
        <w:ind w:firstLine="720"/>
        <w:rPr>
          <w:sz w:val="24"/>
          <w:szCs w:val="24"/>
        </w:rPr>
      </w:pPr>
      <w:r w:rsidRPr="00C72DE2">
        <w:rPr>
          <w:sz w:val="24"/>
          <w:szCs w:val="24"/>
        </w:rPr>
        <w:t xml:space="preserve">The information collection includes </w:t>
      </w:r>
      <w:r w:rsidR="00D04BDC">
        <w:rPr>
          <w:sz w:val="24"/>
          <w:szCs w:val="24"/>
        </w:rPr>
        <w:t xml:space="preserve">personal information </w:t>
      </w:r>
      <w:r>
        <w:rPr>
          <w:sz w:val="24"/>
          <w:szCs w:val="24"/>
        </w:rPr>
        <w:t xml:space="preserve">regarding mortgage applicants or </w:t>
      </w:r>
      <w:r w:rsidR="00986E82">
        <w:rPr>
          <w:sz w:val="24"/>
          <w:szCs w:val="24"/>
        </w:rPr>
        <w:t>borrowers</w:t>
      </w:r>
      <w:r w:rsidR="00D04BDC">
        <w:rPr>
          <w:sz w:val="24"/>
          <w:szCs w:val="24"/>
        </w:rPr>
        <w:t xml:space="preserve">, such as unique loan identifier, </w:t>
      </w:r>
      <w:r>
        <w:rPr>
          <w:sz w:val="24"/>
          <w:szCs w:val="24"/>
        </w:rPr>
        <w:t xml:space="preserve">address, race/ethnicity, sex, </w:t>
      </w:r>
      <w:r w:rsidR="001E5C50">
        <w:rPr>
          <w:sz w:val="24"/>
          <w:szCs w:val="24"/>
        </w:rPr>
        <w:t xml:space="preserve">age, </w:t>
      </w:r>
      <w:r>
        <w:rPr>
          <w:sz w:val="24"/>
          <w:szCs w:val="24"/>
        </w:rPr>
        <w:t>annual income, and credit scor</w:t>
      </w:r>
      <w:r w:rsidRPr="00457C54">
        <w:rPr>
          <w:sz w:val="24"/>
          <w:szCs w:val="24"/>
        </w:rPr>
        <w:t xml:space="preserve">e. </w:t>
      </w:r>
      <w:r w:rsidR="00C07694" w:rsidRPr="00457C54">
        <w:rPr>
          <w:sz w:val="24"/>
          <w:szCs w:val="24"/>
        </w:rPr>
        <w:t>T</w:t>
      </w:r>
      <w:r w:rsidR="00B77FEF" w:rsidRPr="00457C54">
        <w:rPr>
          <w:sz w:val="24"/>
          <w:szCs w:val="24"/>
        </w:rPr>
        <w:t>his information is necessary to realize the benefits of HMDA and to fulfil</w:t>
      </w:r>
      <w:r w:rsidR="00596F64" w:rsidRPr="00457C54">
        <w:rPr>
          <w:sz w:val="24"/>
          <w:szCs w:val="24"/>
        </w:rPr>
        <w:t>l</w:t>
      </w:r>
      <w:r w:rsidR="00B77FEF" w:rsidRPr="00457C54">
        <w:rPr>
          <w:sz w:val="24"/>
          <w:szCs w:val="24"/>
        </w:rPr>
        <w:t xml:space="preserve"> the statutory purposes:</w:t>
      </w:r>
      <w:r w:rsidR="00B77FEF">
        <w:rPr>
          <w:sz w:val="24"/>
          <w:szCs w:val="24"/>
        </w:rPr>
        <w:t xml:space="preserve"> (1) to help determine whether financial institutions are serving the housing needs of the communities</w:t>
      </w:r>
      <w:r w:rsidR="00B42745">
        <w:rPr>
          <w:sz w:val="24"/>
          <w:szCs w:val="24"/>
        </w:rPr>
        <w:t xml:space="preserve"> in which they are located</w:t>
      </w:r>
      <w:r w:rsidR="00B77FEF">
        <w:rPr>
          <w:sz w:val="24"/>
          <w:szCs w:val="24"/>
        </w:rPr>
        <w:t xml:space="preserve">; (2) to assist public officials in </w:t>
      </w:r>
      <w:r w:rsidR="00B42745">
        <w:rPr>
          <w:sz w:val="24"/>
          <w:szCs w:val="24"/>
        </w:rPr>
        <w:t xml:space="preserve">their determination of the distribution of public sector investments in a manner designed to improve the private investment environment; </w:t>
      </w:r>
      <w:r w:rsidR="00B77FEF">
        <w:rPr>
          <w:sz w:val="24"/>
          <w:szCs w:val="24"/>
        </w:rPr>
        <w:t xml:space="preserve">and (3) to assist in identifying possible discriminatory lending patterns and enforcing antidiscrimination statutes.  </w:t>
      </w:r>
    </w:p>
    <w:p w14:paraId="46777698" w14:textId="77777777" w:rsidR="002C4830" w:rsidRPr="00012E8D" w:rsidRDefault="002C4830" w:rsidP="002C48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0D7C35" w14:textId="77777777" w:rsidR="002C4830" w:rsidRPr="00012E8D" w:rsidRDefault="002C4830" w:rsidP="00371C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r w:rsidRPr="00012E8D">
        <w:rPr>
          <w:sz w:val="24"/>
          <w:szCs w:val="24"/>
        </w:rPr>
        <w:t xml:space="preserve">A system of </w:t>
      </w:r>
      <w:r>
        <w:rPr>
          <w:sz w:val="24"/>
          <w:szCs w:val="24"/>
        </w:rPr>
        <w:t>records</w:t>
      </w:r>
      <w:r w:rsidRPr="00012E8D">
        <w:rPr>
          <w:sz w:val="24"/>
          <w:szCs w:val="24"/>
        </w:rPr>
        <w:t xml:space="preserve"> notice is not </w:t>
      </w:r>
      <w:r>
        <w:rPr>
          <w:sz w:val="24"/>
          <w:szCs w:val="24"/>
        </w:rPr>
        <w:t>applicable because information is not retrieved by direct identifier.</w:t>
      </w:r>
    </w:p>
    <w:p w14:paraId="5062F909" w14:textId="43EF2820" w:rsidR="002C4830" w:rsidRDefault="002C4830" w:rsidP="002C48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E33914" w14:textId="50118BDB" w:rsidR="001E776E" w:rsidRDefault="001E776E" w:rsidP="002C48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2F375C" w14:textId="4A6BA65A" w:rsidR="001E776E" w:rsidRDefault="001E776E" w:rsidP="002C48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D9B40C" w14:textId="77777777" w:rsidR="001E776E" w:rsidRDefault="001E776E" w:rsidP="002C48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00CE87" w14:textId="77777777" w:rsidR="00317C77" w:rsidRPr="00012E8D" w:rsidRDefault="00317C77" w:rsidP="002C48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D8E443" w14:textId="77777777" w:rsidR="00F34C88" w:rsidRDefault="00F34C88" w:rsidP="00F34C88">
      <w:pPr>
        <w:pStyle w:val="Default"/>
        <w:rPr>
          <w:b/>
          <w:bCs/>
          <w:u w:val="single"/>
        </w:rPr>
      </w:pPr>
      <w:r>
        <w:rPr>
          <w:b/>
          <w:bCs/>
        </w:rPr>
        <w:t>1</w:t>
      </w:r>
      <w:r w:rsidRPr="004D683B">
        <w:rPr>
          <w:b/>
          <w:bCs/>
        </w:rPr>
        <w:t xml:space="preserve">2.  </w:t>
      </w:r>
      <w:r w:rsidRPr="004D683B">
        <w:rPr>
          <w:b/>
          <w:bCs/>
          <w:u w:val="single"/>
        </w:rPr>
        <w:t>Estimated Burden of Information Collection</w:t>
      </w:r>
    </w:p>
    <w:p w14:paraId="56B9DFBD" w14:textId="77777777" w:rsidR="00F34C88" w:rsidRDefault="00F34C88" w:rsidP="00F34C88">
      <w:pPr>
        <w:pStyle w:val="Default"/>
        <w:rPr>
          <w:b/>
          <w:bCs/>
          <w:u w:val="single"/>
        </w:rPr>
      </w:pPr>
    </w:p>
    <w:p w14:paraId="33C94A2D" w14:textId="63AC966A" w:rsidR="00F34C88" w:rsidRDefault="00F34C88" w:rsidP="00F34C88">
      <w:pPr>
        <w:pStyle w:val="Default"/>
        <w:rPr>
          <w:b/>
          <w:bCs/>
          <w:u w:val="single"/>
        </w:rPr>
      </w:pPr>
      <w:r>
        <w:rPr>
          <w:b/>
          <w:bCs/>
          <w:u w:val="single"/>
        </w:rPr>
        <w:t xml:space="preserve">A. Information Collections </w:t>
      </w:r>
    </w:p>
    <w:p w14:paraId="4C2F6522" w14:textId="68BE9BCD" w:rsidR="00F34C88" w:rsidRDefault="00A63D47" w:rsidP="002C0211">
      <w:pPr>
        <w:pStyle w:val="Default"/>
        <w:ind w:firstLine="720"/>
        <w:rPr>
          <w:bCs/>
        </w:rPr>
      </w:pPr>
      <w:r>
        <w:rPr>
          <w:bCs/>
        </w:rPr>
        <w:t>This rule is also enforced by the Bureau’</w:t>
      </w:r>
      <w:r w:rsidR="00CC6080">
        <w:rPr>
          <w:bCs/>
        </w:rPr>
        <w:t xml:space="preserve">s partner financial regulators. These agencies are </w:t>
      </w:r>
      <w:r>
        <w:rPr>
          <w:bCs/>
        </w:rPr>
        <w:t>the Office of Comptroller of the Currency (OCC)</w:t>
      </w:r>
      <w:r w:rsidR="00CC6080">
        <w:rPr>
          <w:bCs/>
        </w:rPr>
        <w:t xml:space="preserve">, the Federal Deposit Insurance Company (FDIC) the Federal Reserve </w:t>
      </w:r>
      <w:r w:rsidR="00486B86">
        <w:rPr>
          <w:bCs/>
        </w:rPr>
        <w:t>System (</w:t>
      </w:r>
      <w:r w:rsidR="00CC6080">
        <w:rPr>
          <w:bCs/>
        </w:rPr>
        <w:t xml:space="preserve">FRS), the Department of Housing and Urban Development (HUD) and the National Credit Union </w:t>
      </w:r>
      <w:r w:rsidR="00486B86">
        <w:rPr>
          <w:bCs/>
        </w:rPr>
        <w:t>Administration (</w:t>
      </w:r>
      <w:r w:rsidR="00CC6080">
        <w:rPr>
          <w:bCs/>
        </w:rPr>
        <w:t xml:space="preserve">NCUA). These agencies are responsible for accounting for the burden on the regulated </w:t>
      </w:r>
      <w:r w:rsidR="00486B86">
        <w:rPr>
          <w:bCs/>
        </w:rPr>
        <w:t>entities</w:t>
      </w:r>
      <w:r w:rsidR="00CC6080">
        <w:rPr>
          <w:bCs/>
        </w:rPr>
        <w:t xml:space="preserve"> that report to them.</w:t>
      </w:r>
      <w:r>
        <w:rPr>
          <w:bCs/>
        </w:rPr>
        <w:t xml:space="preserve"> To see the estimated </w:t>
      </w:r>
      <w:r w:rsidR="004E38CA">
        <w:rPr>
          <w:bCs/>
        </w:rPr>
        <w:t xml:space="preserve">burden </w:t>
      </w:r>
      <w:r>
        <w:rPr>
          <w:bCs/>
        </w:rPr>
        <w:t xml:space="preserve">and number </w:t>
      </w:r>
      <w:r w:rsidR="00CC6080">
        <w:rPr>
          <w:bCs/>
        </w:rPr>
        <w:t>of</w:t>
      </w:r>
      <w:r>
        <w:rPr>
          <w:bCs/>
        </w:rPr>
        <w:t xml:space="preserve"> respondents for each agency, please consult their supporting statements that can be found under the following </w:t>
      </w:r>
      <w:r w:rsidR="00CC6080">
        <w:rPr>
          <w:bCs/>
        </w:rPr>
        <w:t xml:space="preserve">OMB </w:t>
      </w:r>
      <w:r>
        <w:rPr>
          <w:bCs/>
        </w:rPr>
        <w:t>control numbers:</w:t>
      </w:r>
      <w:r w:rsidR="002C0211" w:rsidRPr="002C0211">
        <w:rPr>
          <w:rStyle w:val="FootnoteReference"/>
          <w:bCs/>
        </w:rPr>
        <w:t xml:space="preserve"> </w:t>
      </w:r>
      <w:r w:rsidR="002C0211">
        <w:rPr>
          <w:rStyle w:val="FootnoteReference"/>
          <w:bCs/>
        </w:rPr>
        <w:footnoteReference w:id="7"/>
      </w:r>
      <w:r>
        <w:rPr>
          <w:bCs/>
        </w:rPr>
        <w:t xml:space="preserve"> </w:t>
      </w:r>
      <w:r>
        <w:t>OCC - 1557-0159</w:t>
      </w:r>
      <w:r w:rsidRPr="00BA1B81">
        <w:t>,</w:t>
      </w:r>
      <w:r>
        <w:t xml:space="preserve"> FDIC - </w:t>
      </w:r>
      <w:r w:rsidRPr="00BA1B81">
        <w:t xml:space="preserve">3064-0046, </w:t>
      </w:r>
      <w:r>
        <w:t xml:space="preserve">FRS - </w:t>
      </w:r>
      <w:r w:rsidRPr="00BA1B81">
        <w:t>7100-0247</w:t>
      </w:r>
      <w:r>
        <w:t>; HUD – 2502-0529; NCUA – 3133-0166.</w:t>
      </w:r>
    </w:p>
    <w:p w14:paraId="6B3077A3" w14:textId="77777777" w:rsidR="00CA75E7" w:rsidRDefault="00CA75E7" w:rsidP="00F34C88">
      <w:pPr>
        <w:pStyle w:val="Default"/>
        <w:ind w:firstLine="720"/>
        <w:rPr>
          <w:bCs/>
        </w:rPr>
      </w:pPr>
    </w:p>
    <w:p w14:paraId="51479973" w14:textId="6D9451D2" w:rsidR="00F34C88" w:rsidRDefault="00F34C88" w:rsidP="00F34C88">
      <w:pPr>
        <w:pStyle w:val="Default"/>
        <w:ind w:firstLine="720"/>
      </w:pPr>
      <w:r w:rsidRPr="00755CE8">
        <w:rPr>
          <w:bCs/>
        </w:rPr>
        <w:t>The</w:t>
      </w:r>
      <w:r>
        <w:rPr>
          <w:bCs/>
        </w:rPr>
        <w:t xml:space="preserve"> Bureau estimates that the total burden of information collection</w:t>
      </w:r>
      <w:r w:rsidR="00A63D47">
        <w:rPr>
          <w:bCs/>
        </w:rPr>
        <w:t xml:space="preserve"> for its respondents is as</w:t>
      </w:r>
      <w:r>
        <w:rPr>
          <w:bCs/>
        </w:rPr>
        <w:t xml:space="preserve"> follows:</w:t>
      </w:r>
      <w:r w:rsidRPr="00755CE8">
        <w:rPr>
          <w:bCs/>
        </w:rPr>
        <w:t xml:space="preserve"> </w:t>
      </w:r>
      <w:r w:rsidRPr="00BF749B">
        <w:t xml:space="preserve"> </w:t>
      </w:r>
    </w:p>
    <w:p w14:paraId="6E13D455" w14:textId="77777777" w:rsidR="001145D0" w:rsidRDefault="001145D0" w:rsidP="00F34C88">
      <w:pPr>
        <w:pStyle w:val="Default"/>
        <w:ind w:firstLine="720"/>
      </w:pPr>
    </w:p>
    <w:p w14:paraId="42D6B149" w14:textId="5876DE8F" w:rsidR="00F34C88" w:rsidRPr="0045443C" w:rsidRDefault="002E504F" w:rsidP="004544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Exhibit 1: Burden Hour Summary</w:t>
      </w:r>
    </w:p>
    <w:tbl>
      <w:tblPr>
        <w:tblW w:w="10250" w:type="dxa"/>
        <w:jc w:val="center"/>
        <w:tblLook w:val="04A0" w:firstRow="1" w:lastRow="0" w:firstColumn="1" w:lastColumn="0" w:noHBand="0" w:noVBand="1"/>
      </w:tblPr>
      <w:tblGrid>
        <w:gridCol w:w="1427"/>
        <w:gridCol w:w="1306"/>
        <w:gridCol w:w="1427"/>
        <w:gridCol w:w="1127"/>
        <w:gridCol w:w="1094"/>
        <w:gridCol w:w="1311"/>
        <w:gridCol w:w="1342"/>
        <w:gridCol w:w="1216"/>
      </w:tblGrid>
      <w:tr w:rsidR="001320E5" w:rsidRPr="003E1901" w14:paraId="50B554F8" w14:textId="52FA0F09" w:rsidTr="00587B5C">
        <w:trPr>
          <w:trHeight w:val="733"/>
          <w:tblHeader/>
          <w:jc w:val="center"/>
        </w:trPr>
        <w:tc>
          <w:tcPr>
            <w:tcW w:w="142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E9CE4CD" w14:textId="77777777" w:rsidR="001320E5" w:rsidRPr="003E1901" w:rsidRDefault="001320E5" w:rsidP="00587B5C">
            <w:pPr>
              <w:widowControl/>
              <w:autoSpaceDE/>
              <w:autoSpaceDN/>
              <w:adjustRightInd/>
              <w:jc w:val="center"/>
              <w:rPr>
                <w:b/>
                <w:bCs/>
                <w:color w:val="000000"/>
              </w:rPr>
            </w:pPr>
            <w:r w:rsidRPr="003E1901">
              <w:rPr>
                <w:b/>
                <w:bCs/>
                <w:color w:val="000000"/>
              </w:rPr>
              <w:t>Information Collection Requirement</w:t>
            </w:r>
          </w:p>
        </w:tc>
        <w:tc>
          <w:tcPr>
            <w:tcW w:w="130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4025E60" w14:textId="77777777" w:rsidR="001320E5" w:rsidRPr="003E1901" w:rsidRDefault="001320E5" w:rsidP="00587B5C">
            <w:pPr>
              <w:widowControl/>
              <w:autoSpaceDE/>
              <w:autoSpaceDN/>
              <w:adjustRightInd/>
              <w:jc w:val="center"/>
              <w:rPr>
                <w:b/>
                <w:bCs/>
                <w:color w:val="000000"/>
              </w:rPr>
            </w:pPr>
            <w:r w:rsidRPr="003E1901">
              <w:rPr>
                <w:b/>
                <w:bCs/>
                <w:color w:val="000000"/>
              </w:rPr>
              <w:t>No. of Respondents</w:t>
            </w:r>
          </w:p>
        </w:tc>
        <w:tc>
          <w:tcPr>
            <w:tcW w:w="142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EB2A71" w14:textId="77777777" w:rsidR="001320E5" w:rsidRPr="003E1901" w:rsidRDefault="001320E5" w:rsidP="00587B5C">
            <w:pPr>
              <w:widowControl/>
              <w:autoSpaceDE/>
              <w:autoSpaceDN/>
              <w:adjustRightInd/>
              <w:jc w:val="center"/>
              <w:rPr>
                <w:b/>
                <w:bCs/>
                <w:color w:val="000000"/>
              </w:rPr>
            </w:pPr>
            <w:r w:rsidRPr="003E1901">
              <w:rPr>
                <w:b/>
                <w:bCs/>
                <w:color w:val="000000"/>
              </w:rPr>
              <w:t>Type of IC</w:t>
            </w:r>
          </w:p>
        </w:tc>
        <w:tc>
          <w:tcPr>
            <w:tcW w:w="112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C81946" w14:textId="4E24D9C0" w:rsidR="001320E5" w:rsidRPr="003E1901" w:rsidRDefault="001320E5" w:rsidP="00587B5C">
            <w:pPr>
              <w:widowControl/>
              <w:autoSpaceDE/>
              <w:autoSpaceDN/>
              <w:adjustRightInd/>
              <w:jc w:val="center"/>
              <w:rPr>
                <w:b/>
                <w:bCs/>
                <w:color w:val="000000"/>
              </w:rPr>
            </w:pPr>
            <w:r w:rsidRPr="003E1901">
              <w:rPr>
                <w:b/>
                <w:bCs/>
                <w:color w:val="000000"/>
              </w:rPr>
              <w:t>Frequency</w:t>
            </w:r>
          </w:p>
        </w:tc>
        <w:tc>
          <w:tcPr>
            <w:tcW w:w="109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07E85AC" w14:textId="77777777" w:rsidR="001320E5" w:rsidRPr="003E1901" w:rsidRDefault="001320E5" w:rsidP="00587B5C">
            <w:pPr>
              <w:widowControl/>
              <w:autoSpaceDE/>
              <w:autoSpaceDN/>
              <w:adjustRightInd/>
              <w:jc w:val="center"/>
              <w:rPr>
                <w:b/>
                <w:bCs/>
                <w:color w:val="000000"/>
              </w:rPr>
            </w:pPr>
            <w:r w:rsidRPr="003E1901">
              <w:rPr>
                <w:b/>
                <w:bCs/>
                <w:color w:val="000000"/>
              </w:rPr>
              <w:t>Annual Responses</w:t>
            </w:r>
          </w:p>
        </w:tc>
        <w:tc>
          <w:tcPr>
            <w:tcW w:w="135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0DAD90D" w14:textId="77777777" w:rsidR="001320E5" w:rsidRPr="003E1901" w:rsidRDefault="001320E5" w:rsidP="00587B5C">
            <w:pPr>
              <w:widowControl/>
              <w:autoSpaceDE/>
              <w:autoSpaceDN/>
              <w:adjustRightInd/>
              <w:jc w:val="center"/>
              <w:rPr>
                <w:b/>
                <w:bCs/>
                <w:color w:val="000000"/>
              </w:rPr>
            </w:pPr>
            <w:r w:rsidRPr="003E1901">
              <w:rPr>
                <w:b/>
                <w:bCs/>
                <w:color w:val="000000"/>
              </w:rPr>
              <w:t>Average Response Time (hours)</w:t>
            </w:r>
          </w:p>
        </w:tc>
        <w:tc>
          <w:tcPr>
            <w:tcW w:w="138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C578BA" w14:textId="77777777" w:rsidR="001320E5" w:rsidRPr="003E1901" w:rsidRDefault="001320E5" w:rsidP="00587B5C">
            <w:pPr>
              <w:widowControl/>
              <w:autoSpaceDE/>
              <w:autoSpaceDN/>
              <w:adjustRightInd/>
              <w:jc w:val="center"/>
              <w:rPr>
                <w:b/>
                <w:bCs/>
                <w:color w:val="000000"/>
              </w:rPr>
            </w:pPr>
            <w:r w:rsidRPr="003E1901">
              <w:rPr>
                <w:b/>
                <w:bCs/>
                <w:color w:val="000000"/>
              </w:rPr>
              <w:t>Annual Burden Hours</w:t>
            </w:r>
          </w:p>
        </w:tc>
        <w:tc>
          <w:tcPr>
            <w:tcW w:w="113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E1FBDC9" w14:textId="5F0F7A0E" w:rsidR="001320E5" w:rsidRPr="003E1901" w:rsidRDefault="006B5AE3" w:rsidP="00587B5C">
            <w:pPr>
              <w:widowControl/>
              <w:autoSpaceDE/>
              <w:autoSpaceDN/>
              <w:adjustRightInd/>
              <w:jc w:val="center"/>
              <w:rPr>
                <w:b/>
                <w:bCs/>
                <w:color w:val="000000"/>
              </w:rPr>
            </w:pPr>
            <w:r>
              <w:rPr>
                <w:b/>
                <w:bCs/>
                <w:color w:val="000000"/>
              </w:rPr>
              <w:t>Hourly Costs</w:t>
            </w:r>
            <w:r>
              <w:rPr>
                <w:rStyle w:val="FootnoteReference"/>
                <w:b/>
                <w:bCs/>
                <w:color w:val="000000"/>
              </w:rPr>
              <w:footnoteReference w:id="8"/>
            </w:r>
          </w:p>
        </w:tc>
      </w:tr>
      <w:tr w:rsidR="001320E5" w:rsidRPr="00661A64" w14:paraId="1C090952" w14:textId="02C0A8FB" w:rsidTr="004F69A6">
        <w:trPr>
          <w:trHeight w:val="790"/>
          <w:jc w:val="center"/>
        </w:trPr>
        <w:tc>
          <w:tcPr>
            <w:tcW w:w="1426" w:type="dxa"/>
            <w:tcBorders>
              <w:top w:val="nil"/>
              <w:left w:val="single" w:sz="8" w:space="0" w:color="auto"/>
              <w:bottom w:val="single" w:sz="8" w:space="0" w:color="auto"/>
              <w:right w:val="single" w:sz="8" w:space="0" w:color="auto"/>
            </w:tcBorders>
            <w:shd w:val="clear" w:color="auto" w:fill="auto"/>
            <w:vAlign w:val="center"/>
            <w:hideMark/>
          </w:tcPr>
          <w:p w14:paraId="578984B6" w14:textId="2017B6C2" w:rsidR="001320E5" w:rsidRPr="003E1901" w:rsidRDefault="001320E5" w:rsidP="00550F61">
            <w:pPr>
              <w:widowControl/>
              <w:autoSpaceDE/>
              <w:autoSpaceDN/>
              <w:adjustRightInd/>
              <w:ind w:firstLineChars="100" w:firstLine="200"/>
              <w:rPr>
                <w:color w:val="000000"/>
              </w:rPr>
            </w:pPr>
            <w:r>
              <w:rPr>
                <w:color w:val="000000"/>
              </w:rPr>
              <w:t>HMDA Reporting Requirements</w:t>
            </w:r>
          </w:p>
        </w:tc>
        <w:tc>
          <w:tcPr>
            <w:tcW w:w="1305" w:type="dxa"/>
            <w:tcBorders>
              <w:top w:val="nil"/>
              <w:left w:val="nil"/>
              <w:bottom w:val="single" w:sz="8" w:space="0" w:color="auto"/>
              <w:right w:val="single" w:sz="8" w:space="0" w:color="auto"/>
            </w:tcBorders>
            <w:shd w:val="clear" w:color="auto" w:fill="auto"/>
            <w:vAlign w:val="center"/>
            <w:hideMark/>
          </w:tcPr>
          <w:p w14:paraId="51B5130E" w14:textId="545E0434" w:rsidR="001320E5" w:rsidRPr="003E1901" w:rsidRDefault="006544A0" w:rsidP="00CB43BD">
            <w:pPr>
              <w:widowControl/>
              <w:autoSpaceDE/>
              <w:autoSpaceDN/>
              <w:adjustRightInd/>
              <w:jc w:val="right"/>
              <w:rPr>
                <w:color w:val="000000"/>
              </w:rPr>
            </w:pPr>
            <w:r>
              <w:rPr>
                <w:color w:val="000000"/>
              </w:rPr>
              <w:t>135</w:t>
            </w:r>
          </w:p>
        </w:tc>
        <w:tc>
          <w:tcPr>
            <w:tcW w:w="1426" w:type="dxa"/>
            <w:tcBorders>
              <w:top w:val="nil"/>
              <w:left w:val="nil"/>
              <w:bottom w:val="single" w:sz="8" w:space="0" w:color="auto"/>
              <w:right w:val="single" w:sz="8" w:space="0" w:color="auto"/>
            </w:tcBorders>
            <w:shd w:val="clear" w:color="auto" w:fill="auto"/>
            <w:vAlign w:val="center"/>
            <w:hideMark/>
          </w:tcPr>
          <w:p w14:paraId="2AA8F13B" w14:textId="77777777" w:rsidR="001320E5" w:rsidRPr="003E1901" w:rsidRDefault="001320E5" w:rsidP="00550F61">
            <w:pPr>
              <w:widowControl/>
              <w:autoSpaceDE/>
              <w:autoSpaceDN/>
              <w:adjustRightInd/>
              <w:jc w:val="center"/>
              <w:rPr>
                <w:color w:val="000000"/>
              </w:rPr>
            </w:pPr>
            <w:r w:rsidRPr="003E1901">
              <w:rPr>
                <w:color w:val="000000"/>
              </w:rPr>
              <w:t>Reporting</w:t>
            </w:r>
          </w:p>
        </w:tc>
        <w:tc>
          <w:tcPr>
            <w:tcW w:w="1126" w:type="dxa"/>
            <w:tcBorders>
              <w:top w:val="nil"/>
              <w:left w:val="nil"/>
              <w:bottom w:val="single" w:sz="8" w:space="0" w:color="auto"/>
              <w:right w:val="single" w:sz="8" w:space="0" w:color="auto"/>
            </w:tcBorders>
            <w:shd w:val="clear" w:color="auto" w:fill="auto"/>
            <w:vAlign w:val="center"/>
            <w:hideMark/>
          </w:tcPr>
          <w:p w14:paraId="2E3B228D" w14:textId="77777777" w:rsidR="001320E5" w:rsidRPr="008E7729" w:rsidRDefault="001320E5" w:rsidP="008E7729">
            <w:pPr>
              <w:widowControl/>
              <w:autoSpaceDE/>
              <w:autoSpaceDN/>
              <w:adjustRightInd/>
              <w:jc w:val="right"/>
              <w:rPr>
                <w:color w:val="000000"/>
              </w:rPr>
            </w:pPr>
            <w:r w:rsidRPr="008E7729">
              <w:rPr>
                <w:color w:val="000000"/>
              </w:rPr>
              <w:t>1</w:t>
            </w:r>
          </w:p>
        </w:tc>
        <w:tc>
          <w:tcPr>
            <w:tcW w:w="1093" w:type="dxa"/>
            <w:tcBorders>
              <w:top w:val="nil"/>
              <w:left w:val="nil"/>
              <w:bottom w:val="single" w:sz="8" w:space="0" w:color="auto"/>
              <w:right w:val="single" w:sz="8" w:space="0" w:color="auto"/>
            </w:tcBorders>
            <w:shd w:val="clear" w:color="auto" w:fill="auto"/>
            <w:vAlign w:val="center"/>
            <w:hideMark/>
          </w:tcPr>
          <w:p w14:paraId="2DA944F4" w14:textId="2685FB6F" w:rsidR="001320E5" w:rsidRPr="008E7729" w:rsidRDefault="008C0616" w:rsidP="008E7729">
            <w:pPr>
              <w:widowControl/>
              <w:autoSpaceDE/>
              <w:autoSpaceDN/>
              <w:adjustRightInd/>
              <w:jc w:val="right"/>
              <w:rPr>
                <w:color w:val="000000"/>
              </w:rPr>
            </w:pPr>
            <w:r>
              <w:rPr>
                <w:color w:val="000000"/>
              </w:rPr>
              <w:t>135</w:t>
            </w:r>
          </w:p>
        </w:tc>
        <w:tc>
          <w:tcPr>
            <w:tcW w:w="1353" w:type="dxa"/>
            <w:tcBorders>
              <w:top w:val="nil"/>
              <w:left w:val="nil"/>
              <w:bottom w:val="single" w:sz="8" w:space="0" w:color="auto"/>
              <w:right w:val="single" w:sz="8" w:space="0" w:color="auto"/>
            </w:tcBorders>
            <w:shd w:val="clear" w:color="auto" w:fill="auto"/>
            <w:vAlign w:val="center"/>
            <w:hideMark/>
          </w:tcPr>
          <w:p w14:paraId="51C7144A" w14:textId="6F52F9ED" w:rsidR="001320E5" w:rsidRPr="003E1901" w:rsidRDefault="0071145A" w:rsidP="00CB43BD">
            <w:pPr>
              <w:widowControl/>
              <w:autoSpaceDE/>
              <w:autoSpaceDN/>
              <w:adjustRightInd/>
              <w:jc w:val="right"/>
              <w:rPr>
                <w:color w:val="000000"/>
              </w:rPr>
            </w:pPr>
            <w:r>
              <w:rPr>
                <w:color w:val="000000"/>
              </w:rPr>
              <w:t>6,776</w:t>
            </w:r>
          </w:p>
        </w:tc>
        <w:tc>
          <w:tcPr>
            <w:tcW w:w="1389" w:type="dxa"/>
            <w:tcBorders>
              <w:top w:val="nil"/>
              <w:left w:val="nil"/>
              <w:bottom w:val="single" w:sz="8" w:space="0" w:color="auto"/>
              <w:right w:val="single" w:sz="8" w:space="0" w:color="auto"/>
            </w:tcBorders>
            <w:shd w:val="clear" w:color="auto" w:fill="auto"/>
            <w:vAlign w:val="center"/>
            <w:hideMark/>
          </w:tcPr>
          <w:p w14:paraId="5D6237F1" w14:textId="5D4AF387" w:rsidR="001320E5" w:rsidRPr="003E1901" w:rsidRDefault="00E41CE7" w:rsidP="00550F61">
            <w:pPr>
              <w:widowControl/>
              <w:autoSpaceDE/>
              <w:autoSpaceDN/>
              <w:adjustRightInd/>
              <w:jc w:val="right"/>
              <w:rPr>
                <w:color w:val="000000"/>
              </w:rPr>
            </w:pPr>
            <w:r>
              <w:rPr>
                <w:color w:val="000000"/>
              </w:rPr>
              <w:t>915</w:t>
            </w:r>
            <w:r w:rsidR="001320E5">
              <w:rPr>
                <w:color w:val="000000"/>
              </w:rPr>
              <w:t>,000</w:t>
            </w:r>
          </w:p>
        </w:tc>
        <w:tc>
          <w:tcPr>
            <w:tcW w:w="1132" w:type="dxa"/>
            <w:tcBorders>
              <w:top w:val="nil"/>
              <w:left w:val="nil"/>
              <w:bottom w:val="single" w:sz="8" w:space="0" w:color="auto"/>
              <w:right w:val="single" w:sz="8" w:space="0" w:color="auto"/>
            </w:tcBorders>
            <w:vAlign w:val="center"/>
          </w:tcPr>
          <w:p w14:paraId="341F5A4F" w14:textId="10AEDC3C" w:rsidR="001320E5" w:rsidRDefault="00661A64" w:rsidP="00587B5C">
            <w:pPr>
              <w:widowControl/>
              <w:autoSpaceDE/>
              <w:autoSpaceDN/>
              <w:adjustRightInd/>
              <w:jc w:val="right"/>
              <w:rPr>
                <w:color w:val="000000"/>
              </w:rPr>
            </w:pPr>
            <w:r>
              <w:rPr>
                <w:color w:val="000000"/>
              </w:rPr>
              <w:t>$</w:t>
            </w:r>
            <w:r w:rsidR="006C6500">
              <w:rPr>
                <w:color w:val="000000"/>
              </w:rPr>
              <w:t>51,</w:t>
            </w:r>
            <w:r w:rsidR="009F7510">
              <w:rPr>
                <w:color w:val="000000"/>
              </w:rPr>
              <w:t>017,000</w:t>
            </w:r>
          </w:p>
        </w:tc>
      </w:tr>
      <w:tr w:rsidR="001320E5" w:rsidRPr="00661A64" w14:paraId="1BFE4374" w14:textId="31D85A3A" w:rsidTr="004F69A6">
        <w:trPr>
          <w:trHeight w:val="733"/>
          <w:jc w:val="center"/>
        </w:trPr>
        <w:tc>
          <w:tcPr>
            <w:tcW w:w="1426" w:type="dxa"/>
            <w:tcBorders>
              <w:top w:val="nil"/>
              <w:left w:val="single" w:sz="8" w:space="0" w:color="auto"/>
              <w:bottom w:val="single" w:sz="8" w:space="0" w:color="auto"/>
              <w:right w:val="single" w:sz="8" w:space="0" w:color="auto"/>
            </w:tcBorders>
            <w:shd w:val="clear" w:color="auto" w:fill="auto"/>
            <w:vAlign w:val="center"/>
            <w:hideMark/>
          </w:tcPr>
          <w:p w14:paraId="21B7506E" w14:textId="33ECD349" w:rsidR="001320E5" w:rsidRPr="00CB43BD" w:rsidRDefault="001320E5" w:rsidP="00550F61">
            <w:pPr>
              <w:widowControl/>
              <w:autoSpaceDE/>
              <w:autoSpaceDN/>
              <w:adjustRightInd/>
              <w:rPr>
                <w:iCs/>
                <w:color w:val="000000"/>
              </w:rPr>
            </w:pPr>
            <w:r>
              <w:rPr>
                <w:iCs/>
                <w:color w:val="000000"/>
              </w:rPr>
              <w:t>Recordkeeping Requirements</w:t>
            </w:r>
          </w:p>
        </w:tc>
        <w:tc>
          <w:tcPr>
            <w:tcW w:w="1305" w:type="dxa"/>
            <w:tcBorders>
              <w:top w:val="nil"/>
              <w:left w:val="nil"/>
              <w:bottom w:val="single" w:sz="8" w:space="0" w:color="auto"/>
              <w:right w:val="single" w:sz="8" w:space="0" w:color="auto"/>
            </w:tcBorders>
            <w:shd w:val="clear" w:color="auto" w:fill="auto"/>
            <w:vAlign w:val="center"/>
            <w:hideMark/>
          </w:tcPr>
          <w:p w14:paraId="109543F0" w14:textId="1F43AAB0" w:rsidR="001320E5" w:rsidRPr="00CB43BD" w:rsidRDefault="006544A0" w:rsidP="00CB43BD">
            <w:pPr>
              <w:widowControl/>
              <w:autoSpaceDE/>
              <w:autoSpaceDN/>
              <w:adjustRightInd/>
              <w:jc w:val="right"/>
              <w:rPr>
                <w:iCs/>
                <w:color w:val="000000"/>
              </w:rPr>
            </w:pPr>
            <w:r>
              <w:rPr>
                <w:iCs/>
                <w:color w:val="000000"/>
              </w:rPr>
              <w:t>135</w:t>
            </w:r>
          </w:p>
        </w:tc>
        <w:tc>
          <w:tcPr>
            <w:tcW w:w="1426" w:type="dxa"/>
            <w:tcBorders>
              <w:top w:val="nil"/>
              <w:left w:val="nil"/>
              <w:bottom w:val="single" w:sz="8" w:space="0" w:color="auto"/>
              <w:right w:val="single" w:sz="8" w:space="0" w:color="auto"/>
            </w:tcBorders>
            <w:shd w:val="clear" w:color="auto" w:fill="auto"/>
            <w:vAlign w:val="center"/>
            <w:hideMark/>
          </w:tcPr>
          <w:p w14:paraId="495BF599" w14:textId="78A798D8" w:rsidR="001320E5" w:rsidRPr="00CB43BD" w:rsidRDefault="001320E5" w:rsidP="00550F61">
            <w:pPr>
              <w:widowControl/>
              <w:autoSpaceDE/>
              <w:autoSpaceDN/>
              <w:adjustRightInd/>
              <w:jc w:val="center"/>
              <w:rPr>
                <w:iCs/>
                <w:color w:val="000000"/>
              </w:rPr>
            </w:pPr>
            <w:r w:rsidRPr="00CB43BD">
              <w:rPr>
                <w:iCs/>
                <w:color w:val="000000"/>
              </w:rPr>
              <w:t>Recordkeeping</w:t>
            </w:r>
          </w:p>
        </w:tc>
        <w:tc>
          <w:tcPr>
            <w:tcW w:w="1126" w:type="dxa"/>
            <w:tcBorders>
              <w:top w:val="nil"/>
              <w:left w:val="nil"/>
              <w:bottom w:val="single" w:sz="8" w:space="0" w:color="auto"/>
              <w:right w:val="single" w:sz="8" w:space="0" w:color="auto"/>
            </w:tcBorders>
            <w:shd w:val="clear" w:color="auto" w:fill="auto"/>
            <w:vAlign w:val="center"/>
          </w:tcPr>
          <w:p w14:paraId="67E9DD40" w14:textId="2A08D555" w:rsidR="001320E5" w:rsidRPr="008E7729" w:rsidRDefault="001320E5" w:rsidP="008E7729">
            <w:pPr>
              <w:widowControl/>
              <w:autoSpaceDE/>
              <w:autoSpaceDN/>
              <w:adjustRightInd/>
              <w:jc w:val="right"/>
              <w:rPr>
                <w:iCs/>
                <w:color w:val="000000"/>
              </w:rPr>
            </w:pPr>
            <w:r w:rsidRPr="008E7729">
              <w:rPr>
                <w:iCs/>
                <w:color w:val="000000"/>
              </w:rPr>
              <w:t>1</w:t>
            </w:r>
          </w:p>
        </w:tc>
        <w:tc>
          <w:tcPr>
            <w:tcW w:w="1093" w:type="dxa"/>
            <w:tcBorders>
              <w:top w:val="nil"/>
              <w:left w:val="nil"/>
              <w:bottom w:val="single" w:sz="8" w:space="0" w:color="auto"/>
              <w:right w:val="single" w:sz="8" w:space="0" w:color="auto"/>
            </w:tcBorders>
            <w:shd w:val="clear" w:color="auto" w:fill="auto"/>
            <w:vAlign w:val="center"/>
          </w:tcPr>
          <w:p w14:paraId="11D9C4F5" w14:textId="01F7E0F5" w:rsidR="001320E5" w:rsidRPr="008E7729" w:rsidRDefault="008C0616" w:rsidP="008E7729">
            <w:pPr>
              <w:widowControl/>
              <w:autoSpaceDE/>
              <w:autoSpaceDN/>
              <w:adjustRightInd/>
              <w:jc w:val="right"/>
              <w:rPr>
                <w:iCs/>
                <w:color w:val="000000"/>
              </w:rPr>
            </w:pPr>
            <w:r>
              <w:rPr>
                <w:iCs/>
                <w:color w:val="000000"/>
              </w:rPr>
              <w:t>135</w:t>
            </w:r>
          </w:p>
        </w:tc>
        <w:tc>
          <w:tcPr>
            <w:tcW w:w="1353" w:type="dxa"/>
            <w:tcBorders>
              <w:top w:val="nil"/>
              <w:left w:val="nil"/>
              <w:bottom w:val="single" w:sz="8" w:space="0" w:color="auto"/>
              <w:right w:val="single" w:sz="8" w:space="0" w:color="auto"/>
            </w:tcBorders>
            <w:shd w:val="clear" w:color="auto" w:fill="auto"/>
            <w:vAlign w:val="center"/>
          </w:tcPr>
          <w:p w14:paraId="6A65A346" w14:textId="1D7DC144" w:rsidR="001320E5" w:rsidRPr="008E7729" w:rsidRDefault="001320E5" w:rsidP="008E7729">
            <w:pPr>
              <w:widowControl/>
              <w:autoSpaceDE/>
              <w:autoSpaceDN/>
              <w:adjustRightInd/>
              <w:jc w:val="right"/>
              <w:rPr>
                <w:iCs/>
                <w:color w:val="000000"/>
              </w:rPr>
            </w:pPr>
            <w:r>
              <w:rPr>
                <w:iCs/>
                <w:color w:val="000000"/>
              </w:rPr>
              <w:t>4,</w:t>
            </w:r>
            <w:r w:rsidR="00E41CE7">
              <w:rPr>
                <w:iCs/>
                <w:color w:val="000000"/>
              </w:rPr>
              <w:t>330</w:t>
            </w:r>
          </w:p>
        </w:tc>
        <w:tc>
          <w:tcPr>
            <w:tcW w:w="1389" w:type="dxa"/>
            <w:tcBorders>
              <w:top w:val="nil"/>
              <w:left w:val="nil"/>
              <w:bottom w:val="single" w:sz="8" w:space="0" w:color="auto"/>
              <w:right w:val="single" w:sz="8" w:space="0" w:color="auto"/>
            </w:tcBorders>
            <w:shd w:val="clear" w:color="auto" w:fill="auto"/>
            <w:vAlign w:val="center"/>
          </w:tcPr>
          <w:p w14:paraId="58359E14" w14:textId="7C6C1243" w:rsidR="001320E5" w:rsidRPr="008E7729" w:rsidRDefault="00E41CE7" w:rsidP="008E7729">
            <w:pPr>
              <w:widowControl/>
              <w:autoSpaceDE/>
              <w:autoSpaceDN/>
              <w:adjustRightInd/>
              <w:jc w:val="right"/>
              <w:rPr>
                <w:iCs/>
                <w:color w:val="000000"/>
              </w:rPr>
            </w:pPr>
            <w:r>
              <w:rPr>
                <w:iCs/>
                <w:color w:val="000000"/>
              </w:rPr>
              <w:t>584</w:t>
            </w:r>
            <w:r w:rsidR="001320E5">
              <w:rPr>
                <w:iCs/>
                <w:color w:val="000000"/>
              </w:rPr>
              <w:t>,000</w:t>
            </w:r>
          </w:p>
        </w:tc>
        <w:tc>
          <w:tcPr>
            <w:tcW w:w="1132" w:type="dxa"/>
            <w:tcBorders>
              <w:top w:val="nil"/>
              <w:left w:val="nil"/>
              <w:bottom w:val="single" w:sz="8" w:space="0" w:color="auto"/>
              <w:right w:val="single" w:sz="8" w:space="0" w:color="auto"/>
            </w:tcBorders>
            <w:vAlign w:val="center"/>
          </w:tcPr>
          <w:p w14:paraId="540A1F29" w14:textId="59058CE6" w:rsidR="001320E5" w:rsidRPr="00661A64" w:rsidRDefault="0099621A" w:rsidP="00587B5C">
            <w:pPr>
              <w:widowControl/>
              <w:autoSpaceDE/>
              <w:autoSpaceDN/>
              <w:adjustRightInd/>
              <w:jc w:val="right"/>
              <w:rPr>
                <w:color w:val="000000"/>
              </w:rPr>
            </w:pPr>
            <w:r>
              <w:rPr>
                <w:color w:val="000000"/>
              </w:rPr>
              <w:t>$</w:t>
            </w:r>
            <w:r w:rsidR="009F7510">
              <w:rPr>
                <w:color w:val="000000"/>
              </w:rPr>
              <w:t>32,597,000</w:t>
            </w:r>
          </w:p>
        </w:tc>
      </w:tr>
      <w:tr w:rsidR="001320E5" w:rsidRPr="00661A64" w14:paraId="489E4CAE" w14:textId="235A5BA9" w:rsidTr="004F69A6">
        <w:trPr>
          <w:trHeight w:val="1453"/>
          <w:jc w:val="center"/>
        </w:trPr>
        <w:tc>
          <w:tcPr>
            <w:tcW w:w="1426" w:type="dxa"/>
            <w:tcBorders>
              <w:top w:val="nil"/>
              <w:left w:val="single" w:sz="8" w:space="0" w:color="auto"/>
              <w:bottom w:val="single" w:sz="8" w:space="0" w:color="auto"/>
              <w:right w:val="single" w:sz="8" w:space="0" w:color="auto"/>
            </w:tcBorders>
            <w:shd w:val="clear" w:color="auto" w:fill="auto"/>
            <w:vAlign w:val="center"/>
            <w:hideMark/>
          </w:tcPr>
          <w:p w14:paraId="046E78FC" w14:textId="32FF7B2D" w:rsidR="001320E5" w:rsidRPr="003E1901" w:rsidRDefault="001320E5" w:rsidP="002E504F">
            <w:pPr>
              <w:widowControl/>
              <w:autoSpaceDE/>
              <w:autoSpaceDN/>
              <w:adjustRightInd/>
              <w:rPr>
                <w:color w:val="000000"/>
              </w:rPr>
            </w:pPr>
            <w:r>
              <w:rPr>
                <w:color w:val="000000"/>
              </w:rPr>
              <w:t>Third Party Disclosure requirements</w:t>
            </w:r>
          </w:p>
        </w:tc>
        <w:tc>
          <w:tcPr>
            <w:tcW w:w="1305" w:type="dxa"/>
            <w:tcBorders>
              <w:top w:val="nil"/>
              <w:left w:val="nil"/>
              <w:bottom w:val="single" w:sz="8" w:space="0" w:color="auto"/>
              <w:right w:val="single" w:sz="8" w:space="0" w:color="auto"/>
            </w:tcBorders>
            <w:shd w:val="clear" w:color="auto" w:fill="auto"/>
            <w:vAlign w:val="center"/>
            <w:hideMark/>
          </w:tcPr>
          <w:p w14:paraId="1D2405BC" w14:textId="44FB376F" w:rsidR="001320E5" w:rsidRPr="003E1901" w:rsidRDefault="00560383" w:rsidP="00CB43BD">
            <w:pPr>
              <w:widowControl/>
              <w:autoSpaceDE/>
              <w:autoSpaceDN/>
              <w:adjustRightInd/>
              <w:jc w:val="right"/>
              <w:rPr>
                <w:color w:val="000000"/>
              </w:rPr>
            </w:pPr>
            <w:r>
              <w:rPr>
                <w:color w:val="000000"/>
              </w:rPr>
              <w:t>135</w:t>
            </w:r>
          </w:p>
        </w:tc>
        <w:tc>
          <w:tcPr>
            <w:tcW w:w="1426" w:type="dxa"/>
            <w:tcBorders>
              <w:top w:val="nil"/>
              <w:left w:val="nil"/>
              <w:bottom w:val="single" w:sz="8" w:space="0" w:color="auto"/>
              <w:right w:val="single" w:sz="8" w:space="0" w:color="auto"/>
            </w:tcBorders>
            <w:shd w:val="clear" w:color="auto" w:fill="auto"/>
            <w:vAlign w:val="center"/>
          </w:tcPr>
          <w:p w14:paraId="09FCBAE4" w14:textId="22D6D550" w:rsidR="001320E5" w:rsidRPr="003E1901" w:rsidRDefault="001320E5" w:rsidP="00CB43BD">
            <w:pPr>
              <w:widowControl/>
              <w:autoSpaceDE/>
              <w:autoSpaceDN/>
              <w:adjustRightInd/>
              <w:jc w:val="center"/>
              <w:rPr>
                <w:color w:val="000000"/>
              </w:rPr>
            </w:pPr>
            <w:r>
              <w:rPr>
                <w:color w:val="000000"/>
              </w:rPr>
              <w:t>Third party disclosures</w:t>
            </w:r>
          </w:p>
        </w:tc>
        <w:tc>
          <w:tcPr>
            <w:tcW w:w="1126" w:type="dxa"/>
            <w:tcBorders>
              <w:top w:val="nil"/>
              <w:left w:val="nil"/>
              <w:bottom w:val="single" w:sz="8" w:space="0" w:color="auto"/>
              <w:right w:val="single" w:sz="8" w:space="0" w:color="auto"/>
            </w:tcBorders>
            <w:shd w:val="clear" w:color="auto" w:fill="auto"/>
            <w:vAlign w:val="center"/>
          </w:tcPr>
          <w:p w14:paraId="3F9A7C25" w14:textId="5FB4568A" w:rsidR="001320E5" w:rsidRPr="008E7729" w:rsidRDefault="001320E5" w:rsidP="008E7729">
            <w:pPr>
              <w:widowControl/>
              <w:autoSpaceDE/>
              <w:autoSpaceDN/>
              <w:adjustRightInd/>
              <w:jc w:val="right"/>
              <w:rPr>
                <w:color w:val="000000"/>
              </w:rPr>
            </w:pPr>
            <w:r w:rsidRPr="008E7729">
              <w:rPr>
                <w:color w:val="000000"/>
              </w:rPr>
              <w:t>1</w:t>
            </w:r>
          </w:p>
        </w:tc>
        <w:tc>
          <w:tcPr>
            <w:tcW w:w="1093" w:type="dxa"/>
            <w:tcBorders>
              <w:top w:val="nil"/>
              <w:left w:val="nil"/>
              <w:bottom w:val="single" w:sz="8" w:space="0" w:color="auto"/>
              <w:right w:val="single" w:sz="8" w:space="0" w:color="auto"/>
            </w:tcBorders>
            <w:shd w:val="clear" w:color="auto" w:fill="auto"/>
            <w:vAlign w:val="center"/>
          </w:tcPr>
          <w:p w14:paraId="24995D94" w14:textId="748A7C08" w:rsidR="001320E5" w:rsidRPr="008E7729" w:rsidRDefault="00560383" w:rsidP="008E7729">
            <w:pPr>
              <w:widowControl/>
              <w:autoSpaceDE/>
              <w:autoSpaceDN/>
              <w:adjustRightInd/>
              <w:jc w:val="right"/>
              <w:rPr>
                <w:color w:val="000000"/>
              </w:rPr>
            </w:pPr>
            <w:r>
              <w:rPr>
                <w:color w:val="000000"/>
              </w:rPr>
              <w:t>135</w:t>
            </w:r>
          </w:p>
        </w:tc>
        <w:tc>
          <w:tcPr>
            <w:tcW w:w="1353" w:type="dxa"/>
            <w:tcBorders>
              <w:top w:val="nil"/>
              <w:left w:val="nil"/>
              <w:bottom w:val="single" w:sz="8" w:space="0" w:color="auto"/>
              <w:right w:val="single" w:sz="8" w:space="0" w:color="auto"/>
            </w:tcBorders>
            <w:shd w:val="clear" w:color="auto" w:fill="auto"/>
            <w:vAlign w:val="center"/>
            <w:hideMark/>
          </w:tcPr>
          <w:p w14:paraId="2AA7AAD8" w14:textId="7FC52F85" w:rsidR="001320E5" w:rsidRPr="003E1901" w:rsidRDefault="009F7510" w:rsidP="00550F61">
            <w:pPr>
              <w:widowControl/>
              <w:autoSpaceDE/>
              <w:autoSpaceDN/>
              <w:adjustRightInd/>
              <w:jc w:val="right"/>
              <w:rPr>
                <w:color w:val="000000"/>
              </w:rPr>
            </w:pPr>
            <w:r>
              <w:rPr>
                <w:color w:val="000000"/>
              </w:rPr>
              <w:t>4</w:t>
            </w:r>
          </w:p>
        </w:tc>
        <w:tc>
          <w:tcPr>
            <w:tcW w:w="1389" w:type="dxa"/>
            <w:tcBorders>
              <w:top w:val="nil"/>
              <w:left w:val="nil"/>
              <w:bottom w:val="single" w:sz="8" w:space="0" w:color="auto"/>
              <w:right w:val="single" w:sz="8" w:space="0" w:color="auto"/>
            </w:tcBorders>
            <w:shd w:val="clear" w:color="auto" w:fill="auto"/>
            <w:vAlign w:val="center"/>
            <w:hideMark/>
          </w:tcPr>
          <w:p w14:paraId="7D51DD28" w14:textId="4ABD01D1" w:rsidR="001320E5" w:rsidRPr="003E1901" w:rsidRDefault="009F7510" w:rsidP="00550F61">
            <w:pPr>
              <w:widowControl/>
              <w:autoSpaceDE/>
              <w:autoSpaceDN/>
              <w:adjustRightInd/>
              <w:jc w:val="right"/>
              <w:rPr>
                <w:color w:val="000000"/>
              </w:rPr>
            </w:pPr>
            <w:r>
              <w:rPr>
                <w:color w:val="000000"/>
              </w:rPr>
              <w:t>510</w:t>
            </w:r>
          </w:p>
        </w:tc>
        <w:tc>
          <w:tcPr>
            <w:tcW w:w="1132" w:type="dxa"/>
            <w:tcBorders>
              <w:top w:val="nil"/>
              <w:left w:val="nil"/>
              <w:bottom w:val="single" w:sz="8" w:space="0" w:color="auto"/>
              <w:right w:val="single" w:sz="8" w:space="0" w:color="auto"/>
            </w:tcBorders>
            <w:vAlign w:val="center"/>
          </w:tcPr>
          <w:p w14:paraId="5C7B2E38" w14:textId="6D24D5E6" w:rsidR="001320E5" w:rsidRDefault="0099621A" w:rsidP="00587B5C">
            <w:pPr>
              <w:widowControl/>
              <w:autoSpaceDE/>
              <w:autoSpaceDN/>
              <w:adjustRightInd/>
              <w:jc w:val="right"/>
              <w:rPr>
                <w:color w:val="000000"/>
              </w:rPr>
            </w:pPr>
            <w:r>
              <w:rPr>
                <w:color w:val="000000"/>
              </w:rPr>
              <w:t>$</w:t>
            </w:r>
            <w:r w:rsidR="009F7510">
              <w:rPr>
                <w:color w:val="000000"/>
              </w:rPr>
              <w:t>29,000</w:t>
            </w:r>
          </w:p>
        </w:tc>
      </w:tr>
      <w:tr w:rsidR="001320E5" w:rsidRPr="00661A64" w14:paraId="01245912" w14:textId="7CA913A6" w:rsidTr="004F69A6">
        <w:trPr>
          <w:trHeight w:val="309"/>
          <w:jc w:val="center"/>
        </w:trPr>
        <w:tc>
          <w:tcPr>
            <w:tcW w:w="1426" w:type="dxa"/>
            <w:tcBorders>
              <w:top w:val="nil"/>
              <w:left w:val="single" w:sz="8" w:space="0" w:color="auto"/>
              <w:bottom w:val="single" w:sz="8" w:space="0" w:color="auto"/>
              <w:right w:val="single" w:sz="8" w:space="0" w:color="auto"/>
            </w:tcBorders>
            <w:shd w:val="clear" w:color="auto" w:fill="auto"/>
            <w:vAlign w:val="bottom"/>
            <w:hideMark/>
          </w:tcPr>
          <w:p w14:paraId="5E08BB6E" w14:textId="0EA10EB0" w:rsidR="001320E5" w:rsidRPr="003E1901" w:rsidRDefault="002A7E6F" w:rsidP="00587B5C">
            <w:pPr>
              <w:widowControl/>
              <w:autoSpaceDE/>
              <w:autoSpaceDN/>
              <w:adjustRightInd/>
              <w:jc w:val="right"/>
              <w:rPr>
                <w:b/>
                <w:bCs/>
                <w:color w:val="000000"/>
              </w:rPr>
            </w:pPr>
            <w:r>
              <w:rPr>
                <w:b/>
                <w:bCs/>
                <w:color w:val="000000"/>
              </w:rPr>
              <w:t xml:space="preserve">CFPB </w:t>
            </w:r>
            <w:r w:rsidR="001320E5" w:rsidRPr="003E1901">
              <w:rPr>
                <w:b/>
                <w:bCs/>
                <w:color w:val="000000"/>
              </w:rPr>
              <w:t>Totals:</w:t>
            </w:r>
          </w:p>
        </w:tc>
        <w:tc>
          <w:tcPr>
            <w:tcW w:w="1305" w:type="dxa"/>
            <w:tcBorders>
              <w:top w:val="nil"/>
              <w:left w:val="nil"/>
              <w:bottom w:val="single" w:sz="8" w:space="0" w:color="auto"/>
              <w:right w:val="single" w:sz="8" w:space="0" w:color="auto"/>
            </w:tcBorders>
            <w:shd w:val="clear" w:color="auto" w:fill="auto"/>
            <w:vAlign w:val="bottom"/>
          </w:tcPr>
          <w:p w14:paraId="100B634D" w14:textId="392EBCF6" w:rsidR="001320E5" w:rsidRPr="003E1901" w:rsidRDefault="000C2B38" w:rsidP="00587B5C">
            <w:pPr>
              <w:widowControl/>
              <w:autoSpaceDE/>
              <w:autoSpaceDN/>
              <w:adjustRightInd/>
              <w:jc w:val="right"/>
              <w:rPr>
                <w:b/>
                <w:bCs/>
                <w:color w:val="000000"/>
              </w:rPr>
            </w:pPr>
            <w:r>
              <w:rPr>
                <w:b/>
                <w:bCs/>
                <w:color w:val="000000"/>
              </w:rPr>
              <w:t>135</w:t>
            </w:r>
          </w:p>
        </w:tc>
        <w:tc>
          <w:tcPr>
            <w:tcW w:w="1426" w:type="dxa"/>
            <w:tcBorders>
              <w:top w:val="nil"/>
              <w:left w:val="nil"/>
              <w:bottom w:val="single" w:sz="8" w:space="0" w:color="auto"/>
              <w:right w:val="single" w:sz="8" w:space="0" w:color="auto"/>
            </w:tcBorders>
            <w:shd w:val="clear" w:color="auto" w:fill="auto"/>
            <w:vAlign w:val="bottom"/>
          </w:tcPr>
          <w:p w14:paraId="1FED2983" w14:textId="2EA2B17E" w:rsidR="001320E5" w:rsidRPr="003E1901" w:rsidRDefault="001320E5" w:rsidP="00587B5C">
            <w:pPr>
              <w:widowControl/>
              <w:autoSpaceDE/>
              <w:autoSpaceDN/>
              <w:adjustRightInd/>
              <w:jc w:val="right"/>
              <w:rPr>
                <w:b/>
                <w:bCs/>
                <w:color w:val="000000"/>
              </w:rPr>
            </w:pPr>
            <w:r>
              <w:rPr>
                <w:b/>
                <w:bCs/>
                <w:color w:val="000000"/>
              </w:rPr>
              <w:t>///////////////</w:t>
            </w:r>
          </w:p>
        </w:tc>
        <w:tc>
          <w:tcPr>
            <w:tcW w:w="1126" w:type="dxa"/>
            <w:tcBorders>
              <w:top w:val="nil"/>
              <w:left w:val="nil"/>
              <w:bottom w:val="single" w:sz="8" w:space="0" w:color="auto"/>
              <w:right w:val="single" w:sz="8" w:space="0" w:color="auto"/>
            </w:tcBorders>
            <w:shd w:val="clear" w:color="auto" w:fill="auto"/>
            <w:vAlign w:val="bottom"/>
            <w:hideMark/>
          </w:tcPr>
          <w:p w14:paraId="03703E22" w14:textId="036CA4B3" w:rsidR="001320E5" w:rsidRPr="003E1901" w:rsidRDefault="001320E5" w:rsidP="00587B5C">
            <w:pPr>
              <w:widowControl/>
              <w:autoSpaceDE/>
              <w:autoSpaceDN/>
              <w:adjustRightInd/>
              <w:jc w:val="right"/>
              <w:rPr>
                <w:b/>
                <w:bCs/>
                <w:color w:val="000000"/>
              </w:rPr>
            </w:pPr>
            <w:r w:rsidRPr="003E1901">
              <w:rPr>
                <w:b/>
                <w:bCs/>
                <w:color w:val="000000"/>
              </w:rPr>
              <w:t xml:space="preserve">     </w:t>
            </w:r>
            <w:r>
              <w:rPr>
                <w:b/>
                <w:bCs/>
                <w:color w:val="000000"/>
              </w:rPr>
              <w:t>////////////</w:t>
            </w:r>
            <w:r w:rsidRPr="003E1901">
              <w:rPr>
                <w:b/>
                <w:bCs/>
                <w:color w:val="000000"/>
              </w:rPr>
              <w:t xml:space="preserve"> </w:t>
            </w:r>
          </w:p>
        </w:tc>
        <w:tc>
          <w:tcPr>
            <w:tcW w:w="1093" w:type="dxa"/>
            <w:tcBorders>
              <w:top w:val="nil"/>
              <w:left w:val="nil"/>
              <w:bottom w:val="single" w:sz="8" w:space="0" w:color="auto"/>
              <w:right w:val="single" w:sz="8" w:space="0" w:color="auto"/>
            </w:tcBorders>
            <w:shd w:val="clear" w:color="auto" w:fill="auto"/>
            <w:vAlign w:val="bottom"/>
            <w:hideMark/>
          </w:tcPr>
          <w:p w14:paraId="693B91B5" w14:textId="51140335" w:rsidR="001320E5" w:rsidRPr="003E1901" w:rsidRDefault="000C2B38" w:rsidP="00587B5C">
            <w:pPr>
              <w:widowControl/>
              <w:autoSpaceDE/>
              <w:autoSpaceDN/>
              <w:adjustRightInd/>
              <w:jc w:val="right"/>
              <w:rPr>
                <w:b/>
                <w:bCs/>
                <w:color w:val="000000"/>
              </w:rPr>
            </w:pPr>
            <w:r>
              <w:rPr>
                <w:b/>
                <w:bCs/>
                <w:color w:val="000000"/>
              </w:rPr>
              <w:t>135</w:t>
            </w:r>
            <w:r w:rsidR="00877BEF">
              <w:rPr>
                <w:rStyle w:val="FootnoteReference"/>
                <w:b/>
                <w:bCs/>
                <w:color w:val="000000"/>
              </w:rPr>
              <w:footnoteReference w:id="9"/>
            </w:r>
            <w:r w:rsidR="00877BEF" w:rsidRPr="003E1901">
              <w:rPr>
                <w:b/>
                <w:bCs/>
                <w:color w:val="000000"/>
              </w:rPr>
              <w:t xml:space="preserve"> </w:t>
            </w:r>
          </w:p>
        </w:tc>
        <w:tc>
          <w:tcPr>
            <w:tcW w:w="1353" w:type="dxa"/>
            <w:tcBorders>
              <w:top w:val="nil"/>
              <w:left w:val="nil"/>
              <w:bottom w:val="single" w:sz="8" w:space="0" w:color="auto"/>
              <w:right w:val="single" w:sz="8" w:space="0" w:color="auto"/>
            </w:tcBorders>
            <w:shd w:val="clear" w:color="auto" w:fill="auto"/>
            <w:vAlign w:val="bottom"/>
            <w:hideMark/>
          </w:tcPr>
          <w:p w14:paraId="2D51CF21" w14:textId="77777777" w:rsidR="001320E5" w:rsidRPr="003E1901" w:rsidRDefault="001320E5" w:rsidP="00587B5C">
            <w:pPr>
              <w:widowControl/>
              <w:autoSpaceDE/>
              <w:autoSpaceDN/>
              <w:adjustRightInd/>
              <w:jc w:val="right"/>
              <w:rPr>
                <w:b/>
                <w:bCs/>
                <w:color w:val="000000"/>
              </w:rPr>
            </w:pPr>
            <w:r w:rsidRPr="003E1901">
              <w:rPr>
                <w:b/>
                <w:bCs/>
                <w:color w:val="000000"/>
              </w:rPr>
              <w:t>//////////////</w:t>
            </w:r>
          </w:p>
        </w:tc>
        <w:tc>
          <w:tcPr>
            <w:tcW w:w="1389" w:type="dxa"/>
            <w:tcBorders>
              <w:top w:val="nil"/>
              <w:left w:val="nil"/>
              <w:bottom w:val="single" w:sz="8" w:space="0" w:color="auto"/>
              <w:right w:val="single" w:sz="8" w:space="0" w:color="auto"/>
            </w:tcBorders>
            <w:shd w:val="clear" w:color="auto" w:fill="auto"/>
            <w:vAlign w:val="bottom"/>
            <w:hideMark/>
          </w:tcPr>
          <w:p w14:paraId="368400ED" w14:textId="07CBD9EE" w:rsidR="001320E5" w:rsidRPr="003E1901" w:rsidRDefault="001320E5" w:rsidP="00587B5C">
            <w:pPr>
              <w:widowControl/>
              <w:autoSpaceDE/>
              <w:autoSpaceDN/>
              <w:adjustRightInd/>
              <w:jc w:val="right"/>
              <w:rPr>
                <w:b/>
                <w:bCs/>
                <w:color w:val="000000"/>
              </w:rPr>
            </w:pPr>
            <w:r>
              <w:rPr>
                <w:b/>
                <w:bCs/>
                <w:color w:val="000000"/>
              </w:rPr>
              <w:t>1,</w:t>
            </w:r>
            <w:r w:rsidR="000C2B38">
              <w:rPr>
                <w:b/>
                <w:bCs/>
                <w:color w:val="000000"/>
              </w:rPr>
              <w:t>500,000</w:t>
            </w:r>
            <w:r w:rsidRPr="003E1901">
              <w:rPr>
                <w:b/>
                <w:bCs/>
                <w:color w:val="000000"/>
              </w:rPr>
              <w:t xml:space="preserve"> </w:t>
            </w:r>
          </w:p>
        </w:tc>
        <w:tc>
          <w:tcPr>
            <w:tcW w:w="1132" w:type="dxa"/>
            <w:tcBorders>
              <w:top w:val="nil"/>
              <w:left w:val="nil"/>
              <w:bottom w:val="single" w:sz="8" w:space="0" w:color="auto"/>
              <w:right w:val="single" w:sz="8" w:space="0" w:color="auto"/>
            </w:tcBorders>
            <w:vAlign w:val="bottom"/>
          </w:tcPr>
          <w:p w14:paraId="7D63CA6D" w14:textId="3274327D" w:rsidR="001320E5" w:rsidRPr="00BA75E8" w:rsidRDefault="00BA75E8" w:rsidP="00587B5C">
            <w:pPr>
              <w:widowControl/>
              <w:autoSpaceDE/>
              <w:autoSpaceDN/>
              <w:adjustRightInd/>
              <w:jc w:val="right"/>
              <w:rPr>
                <w:b/>
                <w:color w:val="000000"/>
              </w:rPr>
            </w:pPr>
            <w:r>
              <w:rPr>
                <w:b/>
                <w:color w:val="000000"/>
              </w:rPr>
              <w:t>$</w:t>
            </w:r>
            <w:r w:rsidR="009F7510">
              <w:rPr>
                <w:b/>
                <w:color w:val="000000"/>
              </w:rPr>
              <w:t>83,642,000</w:t>
            </w:r>
          </w:p>
        </w:tc>
      </w:tr>
    </w:tbl>
    <w:p w14:paraId="19266917" w14:textId="77777777" w:rsidR="00BB268D" w:rsidRDefault="00BB268D" w:rsidP="00F34C88">
      <w:pPr>
        <w:widowControl/>
        <w:rPr>
          <w:b/>
          <w:color w:val="000000"/>
          <w:sz w:val="24"/>
          <w:szCs w:val="24"/>
          <w:u w:val="single"/>
        </w:rPr>
      </w:pPr>
    </w:p>
    <w:p w14:paraId="575680CE" w14:textId="77777777" w:rsidR="001E776E" w:rsidRDefault="001E776E" w:rsidP="00F34C88">
      <w:pPr>
        <w:widowControl/>
        <w:rPr>
          <w:b/>
          <w:color w:val="000000"/>
          <w:sz w:val="24"/>
          <w:szCs w:val="24"/>
          <w:u w:val="single"/>
        </w:rPr>
      </w:pPr>
    </w:p>
    <w:p w14:paraId="6AE4E6ED" w14:textId="77777777" w:rsidR="001E776E" w:rsidRDefault="001E776E" w:rsidP="00F34C88">
      <w:pPr>
        <w:widowControl/>
        <w:rPr>
          <w:b/>
          <w:color w:val="000000"/>
          <w:sz w:val="24"/>
          <w:szCs w:val="24"/>
          <w:u w:val="single"/>
        </w:rPr>
      </w:pPr>
    </w:p>
    <w:p w14:paraId="076BE2BC" w14:textId="2C985440" w:rsidR="00F34C88" w:rsidRPr="00EA6FF5" w:rsidRDefault="00F34C88" w:rsidP="00F34C88">
      <w:pPr>
        <w:widowControl/>
        <w:rPr>
          <w:b/>
          <w:color w:val="000000"/>
          <w:sz w:val="24"/>
          <w:szCs w:val="24"/>
          <w:u w:val="single"/>
        </w:rPr>
      </w:pPr>
      <w:r w:rsidRPr="00EA6FF5">
        <w:rPr>
          <w:b/>
          <w:color w:val="000000"/>
          <w:sz w:val="24"/>
          <w:szCs w:val="24"/>
          <w:u w:val="single"/>
        </w:rPr>
        <w:t>Reporting:</w:t>
      </w:r>
    </w:p>
    <w:p w14:paraId="50E60B88" w14:textId="77777777" w:rsidR="00F34C88" w:rsidRPr="00EA6FF5" w:rsidRDefault="00F34C88" w:rsidP="00F34C88">
      <w:pPr>
        <w:widowControl/>
        <w:rPr>
          <w:b/>
          <w:color w:val="000000"/>
          <w:sz w:val="24"/>
          <w:szCs w:val="24"/>
          <w:u w:val="single"/>
        </w:rPr>
      </w:pPr>
    </w:p>
    <w:p w14:paraId="245533F4" w14:textId="16AD4556" w:rsidR="00F34C88" w:rsidRDefault="00F34C88" w:rsidP="00F34C88">
      <w:pPr>
        <w:widowControl/>
        <w:ind w:firstLine="720"/>
        <w:rPr>
          <w:color w:val="000000"/>
          <w:sz w:val="24"/>
          <w:szCs w:val="24"/>
        </w:rPr>
      </w:pPr>
      <w:r w:rsidRPr="00EA6FF5">
        <w:rPr>
          <w:color w:val="000000"/>
          <w:sz w:val="24"/>
          <w:szCs w:val="24"/>
        </w:rPr>
        <w:t xml:space="preserve">Given that HMDA is a data collection statute, the Bureau views most tasks that financial institutions undertake to </w:t>
      </w:r>
      <w:r w:rsidR="00486B86" w:rsidRPr="00EA6FF5">
        <w:rPr>
          <w:color w:val="000000"/>
          <w:sz w:val="24"/>
          <w:szCs w:val="24"/>
        </w:rPr>
        <w:t>gather,</w:t>
      </w:r>
      <w:r w:rsidRPr="00EA6FF5">
        <w:rPr>
          <w:color w:val="000000"/>
          <w:sz w:val="24"/>
          <w:szCs w:val="24"/>
        </w:rPr>
        <w:t xml:space="preserve"> and report data as covered by the Reporting Requirements. Based on initial outreach efforts, the Bureau identified 18 tasks that financial institutions conduct when gathering and reporting data under HMDA</w:t>
      </w:r>
      <w:r>
        <w:rPr>
          <w:color w:val="000000"/>
          <w:sz w:val="24"/>
          <w:szCs w:val="24"/>
        </w:rPr>
        <w:t>.</w:t>
      </w:r>
      <w:r w:rsidRPr="00EA6FF5">
        <w:rPr>
          <w:rStyle w:val="FootnoteReference"/>
          <w:color w:val="000000"/>
          <w:sz w:val="24"/>
          <w:szCs w:val="24"/>
        </w:rPr>
        <w:footnoteReference w:id="10"/>
      </w:r>
      <w:r w:rsidRPr="00EA6FF5">
        <w:rPr>
          <w:color w:val="000000"/>
          <w:sz w:val="24"/>
          <w:szCs w:val="24"/>
        </w:rPr>
        <w:t xml:space="preserve">  These outreach efforts also determined that the time and monetary cost of conducting these 18 tasks differed by financial institutions’ level of complexity. For the PRA burden analysis</w:t>
      </w:r>
      <w:r w:rsidR="00F241C4">
        <w:rPr>
          <w:color w:val="000000"/>
          <w:sz w:val="24"/>
          <w:szCs w:val="24"/>
        </w:rPr>
        <w:t xml:space="preserve"> </w:t>
      </w:r>
      <w:r w:rsidR="00BA75E8">
        <w:rPr>
          <w:color w:val="000000"/>
          <w:sz w:val="24"/>
          <w:szCs w:val="24"/>
        </w:rPr>
        <w:t xml:space="preserve">for the Bureau </w:t>
      </w:r>
      <w:r>
        <w:rPr>
          <w:color w:val="000000"/>
          <w:sz w:val="24"/>
          <w:szCs w:val="24"/>
        </w:rPr>
        <w:t>the Bureau</w:t>
      </w:r>
      <w:r w:rsidRPr="00EA6FF5">
        <w:rPr>
          <w:color w:val="000000"/>
          <w:sz w:val="24"/>
          <w:szCs w:val="24"/>
        </w:rPr>
        <w:t xml:space="preserve"> estimated the time </w:t>
      </w:r>
      <w:r>
        <w:rPr>
          <w:color w:val="000000"/>
          <w:sz w:val="24"/>
          <w:szCs w:val="24"/>
        </w:rPr>
        <w:t xml:space="preserve">that </w:t>
      </w:r>
      <w:r w:rsidR="00486B86">
        <w:rPr>
          <w:color w:val="000000"/>
          <w:sz w:val="24"/>
          <w:szCs w:val="24"/>
        </w:rPr>
        <w:t xml:space="preserve">the </w:t>
      </w:r>
      <w:r w:rsidR="00486B86" w:rsidRPr="00EA6FF5">
        <w:rPr>
          <w:color w:val="000000"/>
          <w:sz w:val="24"/>
          <w:szCs w:val="24"/>
        </w:rPr>
        <w:t>largest</w:t>
      </w:r>
      <w:r w:rsidR="00BA75E8">
        <w:rPr>
          <w:color w:val="000000"/>
          <w:sz w:val="24"/>
          <w:szCs w:val="24"/>
        </w:rPr>
        <w:t xml:space="preserve"> </w:t>
      </w:r>
      <w:r w:rsidRPr="00EA6FF5">
        <w:rPr>
          <w:color w:val="000000"/>
          <w:sz w:val="24"/>
          <w:szCs w:val="24"/>
        </w:rPr>
        <w:t>lenders</w:t>
      </w:r>
      <w:r w:rsidR="00BA75E8">
        <w:rPr>
          <w:color w:val="000000"/>
          <w:sz w:val="24"/>
          <w:szCs w:val="24"/>
        </w:rPr>
        <w:t>, who are most likely to be Bureau respondents</w:t>
      </w:r>
      <w:r w:rsidRPr="00EA6FF5">
        <w:rPr>
          <w:color w:val="000000"/>
          <w:sz w:val="24"/>
          <w:szCs w:val="24"/>
        </w:rPr>
        <w:t xml:space="preserve"> spend on each of the 18 tasks. </w:t>
      </w:r>
      <w:r>
        <w:rPr>
          <w:color w:val="000000"/>
          <w:sz w:val="24"/>
          <w:szCs w:val="24"/>
        </w:rPr>
        <w:t>The Bureau</w:t>
      </w:r>
      <w:r w:rsidRPr="00EA6FF5">
        <w:rPr>
          <w:color w:val="000000"/>
          <w:sz w:val="24"/>
          <w:szCs w:val="24"/>
        </w:rPr>
        <w:t xml:space="preserve"> then took these institution-level estimates and aggregated up to the market level. </w:t>
      </w:r>
    </w:p>
    <w:p w14:paraId="73B6DF6B" w14:textId="77777777" w:rsidR="00F34C88" w:rsidRPr="00EA6FF5" w:rsidRDefault="00F34C88" w:rsidP="00F34C88">
      <w:pPr>
        <w:widowControl/>
        <w:ind w:firstLine="720"/>
        <w:rPr>
          <w:color w:val="000000"/>
          <w:sz w:val="24"/>
          <w:szCs w:val="24"/>
        </w:rPr>
      </w:pPr>
    </w:p>
    <w:p w14:paraId="023B45E1" w14:textId="7F8948C6" w:rsidR="00F34C88" w:rsidRPr="009A3BA9" w:rsidRDefault="00F34C88" w:rsidP="00BA43E9">
      <w:pPr>
        <w:widowControl/>
        <w:ind w:firstLine="720"/>
        <w:rPr>
          <w:color w:val="000000"/>
          <w:sz w:val="24"/>
          <w:szCs w:val="24"/>
        </w:rPr>
      </w:pPr>
      <w:r w:rsidRPr="00C17692">
        <w:rPr>
          <w:color w:val="000000"/>
          <w:sz w:val="24"/>
          <w:szCs w:val="24"/>
        </w:rPr>
        <w:t xml:space="preserve">The </w:t>
      </w:r>
      <w:r w:rsidR="00387F88" w:rsidRPr="00C17692">
        <w:rPr>
          <w:color w:val="000000"/>
          <w:sz w:val="24"/>
          <w:szCs w:val="24"/>
        </w:rPr>
        <w:t xml:space="preserve">Bureau </w:t>
      </w:r>
      <w:r w:rsidRPr="00C17692">
        <w:rPr>
          <w:color w:val="000000"/>
          <w:sz w:val="24"/>
          <w:szCs w:val="24"/>
        </w:rPr>
        <w:t xml:space="preserve">estimates that under </w:t>
      </w:r>
      <w:r w:rsidR="0053180C" w:rsidRPr="00C17692">
        <w:rPr>
          <w:color w:val="000000"/>
          <w:sz w:val="24"/>
          <w:szCs w:val="24"/>
        </w:rPr>
        <w:t xml:space="preserve">the </w:t>
      </w:r>
      <w:r w:rsidRPr="00C17692">
        <w:rPr>
          <w:color w:val="000000"/>
          <w:sz w:val="24"/>
          <w:szCs w:val="24"/>
        </w:rPr>
        <w:t>partial exemption</w:t>
      </w:r>
      <w:r w:rsidR="0053180C" w:rsidRPr="00C17692">
        <w:rPr>
          <w:color w:val="000000"/>
          <w:sz w:val="24"/>
          <w:szCs w:val="24"/>
        </w:rPr>
        <w:t xml:space="preserve">s pursuant to the </w:t>
      </w:r>
      <w:r w:rsidR="00F83A28" w:rsidRPr="00C17692">
        <w:rPr>
          <w:color w:val="000000"/>
          <w:sz w:val="24"/>
          <w:szCs w:val="24"/>
        </w:rPr>
        <w:t>EGR</w:t>
      </w:r>
      <w:r w:rsidR="00F83A28">
        <w:rPr>
          <w:color w:val="000000"/>
          <w:sz w:val="24"/>
          <w:szCs w:val="24"/>
        </w:rPr>
        <w:t>R</w:t>
      </w:r>
      <w:r w:rsidR="00F83A28" w:rsidRPr="00C17692">
        <w:rPr>
          <w:color w:val="000000"/>
          <w:sz w:val="24"/>
          <w:szCs w:val="24"/>
        </w:rPr>
        <w:t>CPA</w:t>
      </w:r>
      <w:r w:rsidR="00F83A28" w:rsidRPr="00BA43E9">
        <w:rPr>
          <w:color w:val="000000"/>
          <w:sz w:val="24"/>
          <w:szCs w:val="24"/>
        </w:rPr>
        <w:t xml:space="preserve"> </w:t>
      </w:r>
      <w:r w:rsidRPr="00C17692">
        <w:rPr>
          <w:color w:val="000000"/>
          <w:sz w:val="24"/>
          <w:szCs w:val="24"/>
        </w:rPr>
        <w:t xml:space="preserve">and </w:t>
      </w:r>
      <w:r w:rsidR="0053180C" w:rsidRPr="00C17692">
        <w:rPr>
          <w:color w:val="000000"/>
          <w:sz w:val="24"/>
          <w:szCs w:val="24"/>
        </w:rPr>
        <w:t xml:space="preserve">the temporary extension of </w:t>
      </w:r>
      <w:r w:rsidRPr="00C17692">
        <w:rPr>
          <w:color w:val="000000"/>
          <w:sz w:val="24"/>
          <w:szCs w:val="24"/>
        </w:rPr>
        <w:t xml:space="preserve">the open-end </w:t>
      </w:r>
      <w:r w:rsidR="0053180C" w:rsidRPr="00C17692">
        <w:rPr>
          <w:color w:val="000000"/>
          <w:sz w:val="24"/>
          <w:szCs w:val="24"/>
        </w:rPr>
        <w:t xml:space="preserve">coverage </w:t>
      </w:r>
      <w:r w:rsidRPr="00C17692">
        <w:rPr>
          <w:color w:val="000000"/>
          <w:sz w:val="24"/>
          <w:szCs w:val="24"/>
        </w:rPr>
        <w:t xml:space="preserve">threshold at 500 </w:t>
      </w:r>
      <w:r w:rsidR="00E14B43" w:rsidRPr="00C744EB">
        <w:rPr>
          <w:color w:val="000000"/>
          <w:sz w:val="24"/>
          <w:szCs w:val="24"/>
        </w:rPr>
        <w:t>open-end lines of credit</w:t>
      </w:r>
      <w:r w:rsidRPr="00C744EB">
        <w:rPr>
          <w:color w:val="000000"/>
          <w:sz w:val="24"/>
          <w:szCs w:val="24"/>
        </w:rPr>
        <w:t xml:space="preserve">, the number of </w:t>
      </w:r>
      <w:r w:rsidR="00387F88" w:rsidRPr="00C744EB">
        <w:rPr>
          <w:color w:val="000000"/>
          <w:sz w:val="24"/>
          <w:szCs w:val="24"/>
        </w:rPr>
        <w:t xml:space="preserve">Bureau </w:t>
      </w:r>
      <w:r w:rsidRPr="00C17692">
        <w:rPr>
          <w:color w:val="000000"/>
          <w:sz w:val="24"/>
          <w:szCs w:val="24"/>
        </w:rPr>
        <w:t>respondent</w:t>
      </w:r>
      <w:r w:rsidR="00CE4E20" w:rsidRPr="00C17692">
        <w:rPr>
          <w:color w:val="000000"/>
          <w:sz w:val="24"/>
          <w:szCs w:val="24"/>
        </w:rPr>
        <w:t>s</w:t>
      </w:r>
      <w:r w:rsidRPr="00C17692">
        <w:rPr>
          <w:color w:val="000000"/>
          <w:sz w:val="24"/>
          <w:szCs w:val="24"/>
        </w:rPr>
        <w:t xml:space="preserve"> would be about </w:t>
      </w:r>
      <w:r w:rsidR="00560383">
        <w:rPr>
          <w:color w:val="000000"/>
          <w:sz w:val="24"/>
          <w:szCs w:val="24"/>
        </w:rPr>
        <w:t>135</w:t>
      </w:r>
      <w:r w:rsidRPr="00C17692">
        <w:rPr>
          <w:color w:val="000000"/>
          <w:sz w:val="24"/>
          <w:szCs w:val="24"/>
        </w:rPr>
        <w:t xml:space="preserve">, the total burden hours for reporting requirements would be about </w:t>
      </w:r>
      <w:r w:rsidR="00F6567B">
        <w:rPr>
          <w:color w:val="000000"/>
          <w:sz w:val="24"/>
          <w:szCs w:val="24"/>
        </w:rPr>
        <w:t>915</w:t>
      </w:r>
      <w:r w:rsidRPr="00C17692">
        <w:rPr>
          <w:color w:val="000000"/>
          <w:sz w:val="24"/>
          <w:szCs w:val="24"/>
        </w:rPr>
        <w:t>,000 hours (rounded to thousands) per year.</w:t>
      </w:r>
    </w:p>
    <w:p w14:paraId="36F46A02" w14:textId="77777777" w:rsidR="00F34C88" w:rsidRDefault="00F34C88" w:rsidP="00F34C88">
      <w:pPr>
        <w:widowControl/>
        <w:rPr>
          <w:sz w:val="23"/>
          <w:szCs w:val="23"/>
        </w:rPr>
      </w:pPr>
    </w:p>
    <w:p w14:paraId="59939B14" w14:textId="77777777" w:rsidR="00F34C88" w:rsidRDefault="00F34C88" w:rsidP="00F34C88">
      <w:pPr>
        <w:widowControl/>
        <w:rPr>
          <w:b/>
          <w:sz w:val="24"/>
          <w:szCs w:val="24"/>
          <w:u w:val="single"/>
        </w:rPr>
      </w:pPr>
      <w:r w:rsidRPr="00EA6FF5">
        <w:rPr>
          <w:b/>
          <w:sz w:val="24"/>
          <w:szCs w:val="24"/>
          <w:u w:val="single"/>
        </w:rPr>
        <w:t>Recordkeeping</w:t>
      </w:r>
      <w:r>
        <w:rPr>
          <w:b/>
          <w:sz w:val="24"/>
          <w:szCs w:val="24"/>
          <w:u w:val="single"/>
        </w:rPr>
        <w:t>:</w:t>
      </w:r>
    </w:p>
    <w:p w14:paraId="0EB142A2" w14:textId="77777777" w:rsidR="00F34C88" w:rsidRPr="00EA6FF5" w:rsidRDefault="00F34C88" w:rsidP="00F34C88">
      <w:pPr>
        <w:widowControl/>
        <w:rPr>
          <w:b/>
          <w:sz w:val="24"/>
          <w:szCs w:val="24"/>
          <w:u w:val="single"/>
        </w:rPr>
      </w:pPr>
    </w:p>
    <w:p w14:paraId="4155F7B3" w14:textId="7586692C" w:rsidR="00F34C88" w:rsidRDefault="00F34C88" w:rsidP="00F34C88">
      <w:pPr>
        <w:widowControl/>
        <w:rPr>
          <w:sz w:val="24"/>
          <w:szCs w:val="24"/>
        </w:rPr>
      </w:pPr>
      <w:r>
        <w:rPr>
          <w:sz w:val="24"/>
          <w:szCs w:val="24"/>
        </w:rPr>
        <w:tab/>
      </w:r>
      <w:r w:rsidRPr="00EA6FF5">
        <w:rPr>
          <w:sz w:val="24"/>
          <w:szCs w:val="24"/>
        </w:rPr>
        <w:t>The Record</w:t>
      </w:r>
      <w:r>
        <w:rPr>
          <w:sz w:val="24"/>
          <w:szCs w:val="24"/>
        </w:rPr>
        <w:t>k</w:t>
      </w:r>
      <w:r w:rsidRPr="00EA6FF5">
        <w:rPr>
          <w:sz w:val="24"/>
          <w:szCs w:val="24"/>
        </w:rPr>
        <w:t xml:space="preserve">eeping Requirement covers the requirements that financial institutions maintain HMDA data for three years and disclosure statements for five years, maintain loan application register information for three years, and update information regarding reportable transactions quarterly. To maintain data, disclosure statements, and loan application register information, the primary time burden is the time needed to copy this information to electronic data storage devices, such as a hard drive or disk. Given the prevalence and low cost of modern computer technology, </w:t>
      </w:r>
      <w:r>
        <w:rPr>
          <w:sz w:val="24"/>
          <w:szCs w:val="24"/>
        </w:rPr>
        <w:t>t</w:t>
      </w:r>
      <w:r w:rsidRPr="00EA6FF5">
        <w:rPr>
          <w:sz w:val="24"/>
          <w:szCs w:val="24"/>
        </w:rPr>
        <w:t xml:space="preserve">he Bureau believes that this time burden is negligible. </w:t>
      </w:r>
      <w:r>
        <w:rPr>
          <w:sz w:val="24"/>
          <w:szCs w:val="24"/>
        </w:rPr>
        <w:t>The Bureau</w:t>
      </w:r>
      <w:r w:rsidRPr="00EA6FF5">
        <w:rPr>
          <w:sz w:val="24"/>
          <w:szCs w:val="24"/>
        </w:rPr>
        <w:t xml:space="preserve"> regard</w:t>
      </w:r>
      <w:r>
        <w:rPr>
          <w:sz w:val="24"/>
          <w:szCs w:val="24"/>
        </w:rPr>
        <w:t>s</w:t>
      </w:r>
      <w:r w:rsidRPr="00EA6FF5">
        <w:rPr>
          <w:sz w:val="24"/>
          <w:szCs w:val="24"/>
        </w:rPr>
        <w:t xml:space="preserve"> the task of transcribing data as the key operational task that is directly related to recordkeeping. </w:t>
      </w:r>
      <w:r>
        <w:rPr>
          <w:sz w:val="24"/>
          <w:szCs w:val="24"/>
        </w:rPr>
        <w:t>The Bureau</w:t>
      </w:r>
      <w:r w:rsidRPr="00EA6FF5">
        <w:rPr>
          <w:sz w:val="24"/>
          <w:szCs w:val="24"/>
        </w:rPr>
        <w:t xml:space="preserve"> calculate</w:t>
      </w:r>
      <w:r>
        <w:rPr>
          <w:sz w:val="24"/>
          <w:szCs w:val="24"/>
        </w:rPr>
        <w:t>s</w:t>
      </w:r>
      <w:r w:rsidRPr="00EA6FF5">
        <w:rPr>
          <w:sz w:val="24"/>
          <w:szCs w:val="24"/>
        </w:rPr>
        <w:t xml:space="preserve"> the burden hours for </w:t>
      </w:r>
      <w:r>
        <w:rPr>
          <w:sz w:val="24"/>
          <w:szCs w:val="24"/>
        </w:rPr>
        <w:t>the R</w:t>
      </w:r>
      <w:r w:rsidRPr="00EA6FF5">
        <w:rPr>
          <w:sz w:val="24"/>
          <w:szCs w:val="24"/>
        </w:rPr>
        <w:t xml:space="preserve">ecordkeeping </w:t>
      </w:r>
      <w:r>
        <w:rPr>
          <w:sz w:val="24"/>
          <w:szCs w:val="24"/>
        </w:rPr>
        <w:t>R</w:t>
      </w:r>
      <w:r w:rsidRPr="00EA6FF5">
        <w:rPr>
          <w:sz w:val="24"/>
          <w:szCs w:val="24"/>
        </w:rPr>
        <w:t xml:space="preserve">equirement based on the estimated </w:t>
      </w:r>
      <w:r w:rsidR="00732F43">
        <w:rPr>
          <w:sz w:val="24"/>
          <w:szCs w:val="24"/>
        </w:rPr>
        <w:t xml:space="preserve">hour burden </w:t>
      </w:r>
      <w:r w:rsidRPr="00EA6FF5">
        <w:rPr>
          <w:sz w:val="24"/>
          <w:szCs w:val="24"/>
        </w:rPr>
        <w:t xml:space="preserve">of transcribing the data. </w:t>
      </w:r>
      <w:r>
        <w:rPr>
          <w:sz w:val="24"/>
          <w:szCs w:val="24"/>
        </w:rPr>
        <w:t xml:space="preserve"> </w:t>
      </w:r>
    </w:p>
    <w:p w14:paraId="4D7B1D29" w14:textId="023D857E" w:rsidR="00186B35" w:rsidRDefault="00186B35" w:rsidP="00F34C88">
      <w:pPr>
        <w:widowControl/>
        <w:rPr>
          <w:sz w:val="24"/>
          <w:szCs w:val="24"/>
        </w:rPr>
      </w:pPr>
    </w:p>
    <w:p w14:paraId="0D36E9B3" w14:textId="50B9C213" w:rsidR="00186B35" w:rsidRDefault="00186B35" w:rsidP="008225B6">
      <w:pPr>
        <w:widowControl/>
        <w:ind w:firstLine="720"/>
        <w:rPr>
          <w:sz w:val="24"/>
          <w:szCs w:val="24"/>
        </w:rPr>
      </w:pPr>
      <w:r w:rsidRPr="00C744EB">
        <w:rPr>
          <w:color w:val="000000"/>
          <w:sz w:val="24"/>
          <w:szCs w:val="24"/>
        </w:rPr>
        <w:t xml:space="preserve">The Bureau estimates that under </w:t>
      </w:r>
      <w:r w:rsidR="00224B55" w:rsidRPr="00BA43E9">
        <w:rPr>
          <w:color w:val="000000"/>
          <w:sz w:val="24"/>
          <w:szCs w:val="24"/>
        </w:rPr>
        <w:t>t</w:t>
      </w:r>
      <w:r w:rsidRPr="00C744EB">
        <w:rPr>
          <w:color w:val="000000"/>
          <w:sz w:val="24"/>
          <w:szCs w:val="24"/>
        </w:rPr>
        <w:t xml:space="preserve">he partial exemptions pursuant to the </w:t>
      </w:r>
      <w:r w:rsidR="00F83A28" w:rsidRPr="00C744EB">
        <w:rPr>
          <w:color w:val="000000"/>
          <w:sz w:val="24"/>
          <w:szCs w:val="24"/>
        </w:rPr>
        <w:t>EGR</w:t>
      </w:r>
      <w:r w:rsidR="00F83A28">
        <w:rPr>
          <w:color w:val="000000"/>
          <w:sz w:val="24"/>
          <w:szCs w:val="24"/>
        </w:rPr>
        <w:t>R</w:t>
      </w:r>
      <w:r w:rsidR="00F83A28" w:rsidRPr="00C744EB">
        <w:rPr>
          <w:color w:val="000000"/>
          <w:sz w:val="24"/>
          <w:szCs w:val="24"/>
        </w:rPr>
        <w:t xml:space="preserve">CPA </w:t>
      </w:r>
      <w:r w:rsidRPr="00C744EB">
        <w:rPr>
          <w:color w:val="000000"/>
          <w:sz w:val="24"/>
          <w:szCs w:val="24"/>
        </w:rPr>
        <w:t>and the temporary extension of the open-end coverage threshold at 500 open-end lines of credit, the number of Bureau respondent</w:t>
      </w:r>
      <w:r w:rsidR="00CE4E20" w:rsidRPr="00C744EB">
        <w:rPr>
          <w:color w:val="000000"/>
          <w:sz w:val="24"/>
          <w:szCs w:val="24"/>
        </w:rPr>
        <w:t>s</w:t>
      </w:r>
      <w:r w:rsidRPr="00C744EB">
        <w:rPr>
          <w:color w:val="000000"/>
          <w:sz w:val="24"/>
          <w:szCs w:val="24"/>
        </w:rPr>
        <w:t xml:space="preserve"> would be about </w:t>
      </w:r>
      <w:r w:rsidR="00560383">
        <w:rPr>
          <w:color w:val="000000"/>
          <w:sz w:val="24"/>
          <w:szCs w:val="24"/>
        </w:rPr>
        <w:t>135</w:t>
      </w:r>
      <w:r w:rsidRPr="00C744EB">
        <w:rPr>
          <w:color w:val="000000"/>
          <w:sz w:val="24"/>
          <w:szCs w:val="24"/>
        </w:rPr>
        <w:t xml:space="preserve">, the total burden hours for reporting requirements would be about </w:t>
      </w:r>
      <w:r w:rsidR="00F6567B">
        <w:rPr>
          <w:color w:val="000000"/>
          <w:sz w:val="24"/>
          <w:szCs w:val="24"/>
        </w:rPr>
        <w:t>584</w:t>
      </w:r>
      <w:r w:rsidRPr="00C744EB">
        <w:rPr>
          <w:color w:val="000000"/>
          <w:sz w:val="24"/>
          <w:szCs w:val="24"/>
        </w:rPr>
        <w:t>,000 hours (rounded to thousands) per year.</w:t>
      </w:r>
    </w:p>
    <w:p w14:paraId="1A0C665F" w14:textId="77777777" w:rsidR="00F34C88" w:rsidRDefault="00F34C88" w:rsidP="00F34C88">
      <w:pPr>
        <w:widowControl/>
        <w:rPr>
          <w:sz w:val="24"/>
          <w:szCs w:val="24"/>
        </w:rPr>
      </w:pPr>
    </w:p>
    <w:p w14:paraId="186E9990" w14:textId="77777777" w:rsidR="00F34C88" w:rsidRPr="007B2333" w:rsidRDefault="00F34C88" w:rsidP="00F34C88">
      <w:pPr>
        <w:widowControl/>
        <w:spacing w:line="272" w:lineRule="exact"/>
        <w:ind w:right="-20"/>
        <w:rPr>
          <w:b/>
          <w:sz w:val="24"/>
          <w:szCs w:val="24"/>
          <w:u w:val="single"/>
        </w:rPr>
      </w:pPr>
      <w:r w:rsidRPr="007B2333">
        <w:rPr>
          <w:b/>
          <w:sz w:val="24"/>
          <w:szCs w:val="24"/>
          <w:u w:val="single"/>
        </w:rPr>
        <w:t>Third Party Disclosure:</w:t>
      </w:r>
    </w:p>
    <w:p w14:paraId="6605EB66" w14:textId="77777777" w:rsidR="00F34C88" w:rsidRPr="007B2333" w:rsidRDefault="00F34C88" w:rsidP="00F34C88">
      <w:pPr>
        <w:widowControl/>
        <w:spacing w:line="272" w:lineRule="exact"/>
        <w:ind w:right="-20"/>
        <w:rPr>
          <w:b/>
          <w:sz w:val="24"/>
          <w:szCs w:val="24"/>
          <w:u w:val="single"/>
        </w:rPr>
      </w:pPr>
    </w:p>
    <w:p w14:paraId="0C2489D7" w14:textId="1049B343" w:rsidR="00F34C88" w:rsidRDefault="00F34C88" w:rsidP="00F34C88">
      <w:pPr>
        <w:widowControl/>
        <w:spacing w:line="272" w:lineRule="exact"/>
        <w:ind w:right="-20" w:firstLine="720"/>
        <w:rPr>
          <w:sz w:val="24"/>
          <w:szCs w:val="24"/>
        </w:rPr>
      </w:pPr>
      <w:r w:rsidRPr="00EA6FF5">
        <w:rPr>
          <w:sz w:val="24"/>
          <w:szCs w:val="24"/>
        </w:rPr>
        <w:t xml:space="preserve">The </w:t>
      </w:r>
      <w:r w:rsidR="00486B86" w:rsidRPr="00EA6FF5">
        <w:rPr>
          <w:sz w:val="24"/>
          <w:szCs w:val="24"/>
        </w:rPr>
        <w:t>Third-Party</w:t>
      </w:r>
      <w:r w:rsidRPr="00EA6FF5">
        <w:rPr>
          <w:sz w:val="24"/>
          <w:szCs w:val="24"/>
        </w:rPr>
        <w:t xml:space="preserve"> Disclosure Requirement covers the requirements that financial institutions create a public loan application register, distribute the public loan application regist</w:t>
      </w:r>
      <w:r>
        <w:rPr>
          <w:sz w:val="24"/>
          <w:szCs w:val="24"/>
        </w:rPr>
        <w:t>er</w:t>
      </w:r>
      <w:r w:rsidRPr="00EA6FF5">
        <w:rPr>
          <w:sz w:val="24"/>
          <w:szCs w:val="24"/>
        </w:rPr>
        <w:t xml:space="preserve"> upon request, and provide a notice that the disclosure statement can be obtained from the FFIEC website.  These requirements correspond to three operational tasks: creating the public loan application register, distributing the public loan application register, and creating the notice for obtaining the disclosure statement. </w:t>
      </w:r>
    </w:p>
    <w:p w14:paraId="3FF8AA96" w14:textId="77777777" w:rsidR="00387F88" w:rsidRDefault="00387F88" w:rsidP="00F34C88">
      <w:pPr>
        <w:widowControl/>
        <w:spacing w:line="272" w:lineRule="exact"/>
        <w:ind w:right="-20" w:firstLine="720"/>
        <w:rPr>
          <w:sz w:val="24"/>
          <w:szCs w:val="24"/>
        </w:rPr>
      </w:pPr>
    </w:p>
    <w:p w14:paraId="70C8B227" w14:textId="01572D58" w:rsidR="00F34C88" w:rsidRDefault="00CE4E20" w:rsidP="00F34C88">
      <w:pPr>
        <w:widowControl/>
        <w:ind w:firstLine="720"/>
        <w:rPr>
          <w:color w:val="000000"/>
          <w:sz w:val="24"/>
          <w:szCs w:val="24"/>
        </w:rPr>
      </w:pPr>
      <w:r w:rsidRPr="00C744EB">
        <w:rPr>
          <w:color w:val="000000"/>
          <w:sz w:val="24"/>
          <w:szCs w:val="24"/>
        </w:rPr>
        <w:t xml:space="preserve">The Bureau estimates that under the partial exemptions pursuant to the </w:t>
      </w:r>
      <w:r w:rsidR="00F83A28" w:rsidRPr="00C744EB">
        <w:rPr>
          <w:color w:val="000000"/>
          <w:sz w:val="24"/>
          <w:szCs w:val="24"/>
        </w:rPr>
        <w:t>EGR</w:t>
      </w:r>
      <w:r w:rsidR="00F83A28">
        <w:rPr>
          <w:color w:val="000000"/>
          <w:sz w:val="24"/>
          <w:szCs w:val="24"/>
        </w:rPr>
        <w:t>R</w:t>
      </w:r>
      <w:r w:rsidR="00F83A28" w:rsidRPr="00C744EB">
        <w:rPr>
          <w:color w:val="000000"/>
          <w:sz w:val="24"/>
          <w:szCs w:val="24"/>
        </w:rPr>
        <w:t xml:space="preserve">CPA </w:t>
      </w:r>
      <w:r w:rsidRPr="00C744EB">
        <w:rPr>
          <w:color w:val="000000"/>
          <w:sz w:val="24"/>
          <w:szCs w:val="24"/>
        </w:rPr>
        <w:t xml:space="preserve">and the temporary extension of the open-end coverage threshold at 500 open-end lines of credit, </w:t>
      </w:r>
      <w:r w:rsidR="00F34C88" w:rsidRPr="00C744EB">
        <w:rPr>
          <w:color w:val="000000"/>
          <w:sz w:val="24"/>
          <w:szCs w:val="24"/>
        </w:rPr>
        <w:t xml:space="preserve">the number of </w:t>
      </w:r>
      <w:r w:rsidR="00387F88" w:rsidRPr="00C744EB">
        <w:rPr>
          <w:color w:val="000000"/>
          <w:sz w:val="24"/>
          <w:szCs w:val="24"/>
        </w:rPr>
        <w:t xml:space="preserve">Bureau </w:t>
      </w:r>
      <w:r w:rsidR="00F34C88" w:rsidRPr="00C744EB">
        <w:rPr>
          <w:color w:val="000000"/>
          <w:sz w:val="24"/>
          <w:szCs w:val="24"/>
        </w:rPr>
        <w:t>respondent</w:t>
      </w:r>
      <w:r w:rsidR="00387F88" w:rsidRPr="00C744EB">
        <w:rPr>
          <w:color w:val="000000"/>
          <w:sz w:val="24"/>
          <w:szCs w:val="24"/>
        </w:rPr>
        <w:t>s</w:t>
      </w:r>
      <w:r w:rsidR="00F34C88" w:rsidRPr="00C744EB">
        <w:rPr>
          <w:color w:val="000000"/>
          <w:sz w:val="24"/>
          <w:szCs w:val="24"/>
        </w:rPr>
        <w:t xml:space="preserve"> would be about </w:t>
      </w:r>
      <w:r w:rsidR="00560383">
        <w:rPr>
          <w:color w:val="000000"/>
          <w:sz w:val="24"/>
          <w:szCs w:val="24"/>
        </w:rPr>
        <w:t>135</w:t>
      </w:r>
      <w:r w:rsidR="00F34C88" w:rsidRPr="00C744EB">
        <w:rPr>
          <w:color w:val="000000"/>
          <w:sz w:val="24"/>
          <w:szCs w:val="24"/>
        </w:rPr>
        <w:t xml:space="preserve">, the total burden hours for third party disclosure requirements would be about </w:t>
      </w:r>
      <w:r w:rsidR="006105E9">
        <w:rPr>
          <w:color w:val="000000"/>
          <w:sz w:val="24"/>
          <w:szCs w:val="24"/>
        </w:rPr>
        <w:t>510</w:t>
      </w:r>
      <w:r w:rsidR="006105E9" w:rsidRPr="00C744EB">
        <w:rPr>
          <w:color w:val="000000"/>
          <w:sz w:val="24"/>
          <w:szCs w:val="24"/>
        </w:rPr>
        <w:t xml:space="preserve"> </w:t>
      </w:r>
      <w:r w:rsidR="00F34C88" w:rsidRPr="00C744EB">
        <w:rPr>
          <w:color w:val="000000"/>
          <w:sz w:val="24"/>
          <w:szCs w:val="24"/>
        </w:rPr>
        <w:t>hours per year.</w:t>
      </w:r>
    </w:p>
    <w:p w14:paraId="2BBC9D28" w14:textId="77777777" w:rsidR="00387F88" w:rsidRPr="007949A6" w:rsidRDefault="00387F88" w:rsidP="00F34C88">
      <w:pPr>
        <w:widowControl/>
        <w:ind w:firstLine="720"/>
        <w:rPr>
          <w:color w:val="000000"/>
          <w:sz w:val="24"/>
          <w:szCs w:val="24"/>
        </w:rPr>
      </w:pPr>
    </w:p>
    <w:p w14:paraId="20218AA4" w14:textId="77777777" w:rsidR="00F34C88" w:rsidRPr="008917CB" w:rsidRDefault="00F34C88" w:rsidP="00F34C88">
      <w:pPr>
        <w:widowControl/>
        <w:spacing w:line="272" w:lineRule="exact"/>
        <w:ind w:right="-20"/>
        <w:rPr>
          <w:b/>
          <w:bCs/>
          <w:sz w:val="24"/>
          <w:szCs w:val="24"/>
          <w:u w:val="single"/>
        </w:rPr>
      </w:pPr>
      <w:r>
        <w:rPr>
          <w:b/>
          <w:bCs/>
          <w:sz w:val="24"/>
          <w:szCs w:val="24"/>
          <w:u w:val="single"/>
        </w:rPr>
        <w:t>T</w:t>
      </w:r>
      <w:r w:rsidRPr="008917CB">
        <w:rPr>
          <w:b/>
          <w:bCs/>
          <w:sz w:val="24"/>
          <w:szCs w:val="24"/>
          <w:u w:val="single"/>
        </w:rPr>
        <w:t>otal Burden:</w:t>
      </w:r>
    </w:p>
    <w:p w14:paraId="41D07FFB" w14:textId="77777777" w:rsidR="00F34C88" w:rsidRDefault="00F34C88" w:rsidP="00F34C88">
      <w:pPr>
        <w:widowControl/>
        <w:spacing w:line="272" w:lineRule="exact"/>
        <w:ind w:right="-20"/>
        <w:rPr>
          <w:bCs/>
          <w:sz w:val="24"/>
          <w:szCs w:val="24"/>
        </w:rPr>
      </w:pPr>
    </w:p>
    <w:p w14:paraId="76CAA82E" w14:textId="766EBB99" w:rsidR="00F34C88" w:rsidRDefault="00F34C88" w:rsidP="00F34C88">
      <w:pPr>
        <w:widowControl/>
        <w:ind w:firstLine="720"/>
        <w:rPr>
          <w:color w:val="000000"/>
          <w:sz w:val="24"/>
          <w:szCs w:val="24"/>
        </w:rPr>
      </w:pPr>
      <w:r w:rsidRPr="00C744EB">
        <w:rPr>
          <w:color w:val="000000"/>
          <w:sz w:val="24"/>
          <w:szCs w:val="24"/>
        </w:rPr>
        <w:t xml:space="preserve">Combining the three Information Collections, the Bureau estimates that the total reporting, ongoing recordkeeping, and </w:t>
      </w:r>
      <w:r w:rsidR="007F487C" w:rsidRPr="00C744EB">
        <w:rPr>
          <w:color w:val="000000"/>
          <w:sz w:val="24"/>
          <w:szCs w:val="24"/>
        </w:rPr>
        <w:t>third-party</w:t>
      </w:r>
      <w:r w:rsidRPr="00C744EB">
        <w:rPr>
          <w:color w:val="000000"/>
          <w:sz w:val="24"/>
          <w:szCs w:val="24"/>
        </w:rPr>
        <w:t xml:space="preserve"> disclosure requirement costs allocated to the </w:t>
      </w:r>
      <w:r w:rsidR="00612176" w:rsidRPr="00C744EB">
        <w:rPr>
          <w:color w:val="000000"/>
          <w:sz w:val="24"/>
          <w:szCs w:val="24"/>
        </w:rPr>
        <w:t xml:space="preserve">Bureau </w:t>
      </w:r>
      <w:r w:rsidRPr="00C744EB">
        <w:rPr>
          <w:color w:val="000000"/>
          <w:sz w:val="24"/>
          <w:szCs w:val="24"/>
        </w:rPr>
        <w:t xml:space="preserve">under Regulation C are </w:t>
      </w:r>
      <w:r w:rsidR="006105E9">
        <w:rPr>
          <w:color w:val="000000"/>
          <w:sz w:val="24"/>
          <w:szCs w:val="24"/>
        </w:rPr>
        <w:t>915</w:t>
      </w:r>
      <w:r w:rsidRPr="00C744EB">
        <w:rPr>
          <w:color w:val="000000"/>
          <w:sz w:val="24"/>
          <w:szCs w:val="24"/>
        </w:rPr>
        <w:t xml:space="preserve">,000, </w:t>
      </w:r>
      <w:r w:rsidR="006105E9">
        <w:rPr>
          <w:color w:val="000000"/>
          <w:sz w:val="24"/>
          <w:szCs w:val="24"/>
        </w:rPr>
        <w:t>584</w:t>
      </w:r>
      <w:r w:rsidRPr="00C744EB">
        <w:rPr>
          <w:color w:val="000000"/>
          <w:sz w:val="24"/>
          <w:szCs w:val="24"/>
        </w:rPr>
        <w:t xml:space="preserve">,000, and </w:t>
      </w:r>
      <w:r w:rsidR="006105E9">
        <w:rPr>
          <w:color w:val="000000"/>
          <w:sz w:val="24"/>
          <w:szCs w:val="24"/>
        </w:rPr>
        <w:t>510</w:t>
      </w:r>
      <w:r w:rsidR="008D5BF3" w:rsidRPr="00C744EB">
        <w:rPr>
          <w:color w:val="000000"/>
          <w:sz w:val="24"/>
          <w:szCs w:val="24"/>
        </w:rPr>
        <w:t xml:space="preserve"> </w:t>
      </w:r>
      <w:r w:rsidRPr="00C744EB">
        <w:rPr>
          <w:color w:val="000000"/>
          <w:sz w:val="24"/>
          <w:szCs w:val="24"/>
        </w:rPr>
        <w:t>hours per year, respectively, for a total estimate of 1,</w:t>
      </w:r>
      <w:r w:rsidR="00560383">
        <w:rPr>
          <w:color w:val="000000"/>
          <w:sz w:val="24"/>
          <w:szCs w:val="24"/>
        </w:rPr>
        <w:t>500,0</w:t>
      </w:r>
      <w:r w:rsidRPr="00C744EB">
        <w:rPr>
          <w:color w:val="000000"/>
          <w:sz w:val="24"/>
          <w:szCs w:val="24"/>
        </w:rPr>
        <w:t xml:space="preserve">00 burden hours per year, for </w:t>
      </w:r>
      <w:r w:rsidR="00560383">
        <w:rPr>
          <w:color w:val="000000"/>
          <w:sz w:val="24"/>
          <w:szCs w:val="24"/>
        </w:rPr>
        <w:t>135</w:t>
      </w:r>
      <w:r w:rsidR="00560383" w:rsidRPr="00C744EB">
        <w:rPr>
          <w:color w:val="000000"/>
          <w:sz w:val="24"/>
          <w:szCs w:val="24"/>
        </w:rPr>
        <w:t xml:space="preserve"> </w:t>
      </w:r>
      <w:r w:rsidR="00612176" w:rsidRPr="00C744EB">
        <w:rPr>
          <w:color w:val="000000"/>
          <w:sz w:val="24"/>
          <w:szCs w:val="24"/>
        </w:rPr>
        <w:t xml:space="preserve">Bureau </w:t>
      </w:r>
      <w:r w:rsidRPr="00C744EB">
        <w:rPr>
          <w:color w:val="000000"/>
          <w:sz w:val="24"/>
          <w:szCs w:val="24"/>
        </w:rPr>
        <w:t>respondent</w:t>
      </w:r>
      <w:r w:rsidR="00612176" w:rsidRPr="00C744EB">
        <w:rPr>
          <w:color w:val="000000"/>
          <w:sz w:val="24"/>
          <w:szCs w:val="24"/>
        </w:rPr>
        <w:t>s</w:t>
      </w:r>
      <w:r w:rsidRPr="00C744EB">
        <w:rPr>
          <w:color w:val="000000"/>
          <w:sz w:val="24"/>
          <w:szCs w:val="24"/>
        </w:rPr>
        <w:t>.</w:t>
      </w:r>
      <w:r w:rsidRPr="00380D67">
        <w:rPr>
          <w:color w:val="000000"/>
          <w:sz w:val="24"/>
          <w:szCs w:val="24"/>
        </w:rPr>
        <w:t xml:space="preserve"> </w:t>
      </w:r>
    </w:p>
    <w:p w14:paraId="211416FF" w14:textId="27B849D9" w:rsidR="00F34C88" w:rsidRDefault="00F34C88" w:rsidP="00BB268D">
      <w:pPr>
        <w:widowControl/>
        <w:spacing w:line="272" w:lineRule="exact"/>
        <w:ind w:right="-20"/>
        <w:rPr>
          <w:sz w:val="24"/>
          <w:szCs w:val="24"/>
        </w:rPr>
      </w:pPr>
    </w:p>
    <w:p w14:paraId="126766DC" w14:textId="77777777" w:rsidR="00CA75E7" w:rsidRDefault="00CA75E7" w:rsidP="00BB268D">
      <w:pPr>
        <w:widowControl/>
        <w:spacing w:line="272" w:lineRule="exact"/>
        <w:ind w:right="-20"/>
        <w:rPr>
          <w:sz w:val="24"/>
          <w:szCs w:val="24"/>
        </w:rPr>
      </w:pPr>
    </w:p>
    <w:p w14:paraId="4679E23A" w14:textId="38BA9382" w:rsidR="00F34C88" w:rsidRPr="005F2EC1" w:rsidRDefault="00F34C88" w:rsidP="00F34C88">
      <w:pPr>
        <w:pStyle w:val="CM12"/>
        <w:spacing w:line="276" w:lineRule="atLeast"/>
        <w:rPr>
          <w:b/>
          <w:bCs/>
          <w:u w:val="single"/>
        </w:rPr>
      </w:pPr>
      <w:r w:rsidRPr="004D683B">
        <w:rPr>
          <w:b/>
          <w:bCs/>
        </w:rPr>
        <w:t xml:space="preserve">13.  </w:t>
      </w:r>
      <w:r w:rsidRPr="004D683B">
        <w:rPr>
          <w:b/>
          <w:bCs/>
          <w:u w:val="single"/>
        </w:rPr>
        <w:t xml:space="preserve">Estimated Total Annual </w:t>
      </w:r>
      <w:r>
        <w:rPr>
          <w:b/>
          <w:bCs/>
          <w:u w:val="single"/>
        </w:rPr>
        <w:t xml:space="preserve">Non-Labor </w:t>
      </w:r>
      <w:r w:rsidRPr="004D683B">
        <w:rPr>
          <w:b/>
          <w:bCs/>
          <w:u w:val="single"/>
        </w:rPr>
        <w:t xml:space="preserve">Cost to </w:t>
      </w:r>
      <w:r w:rsidR="00612176">
        <w:rPr>
          <w:b/>
          <w:bCs/>
          <w:u w:val="single"/>
        </w:rPr>
        <w:t xml:space="preserve">Bureau </w:t>
      </w:r>
      <w:r w:rsidRPr="004D683B">
        <w:rPr>
          <w:b/>
          <w:bCs/>
          <w:u w:val="single"/>
        </w:rPr>
        <w:t xml:space="preserve">Respondents or Recordkeepers </w:t>
      </w:r>
    </w:p>
    <w:p w14:paraId="3818F33F" w14:textId="77777777" w:rsidR="006B7EB3"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620"/>
        <w:gridCol w:w="1980"/>
        <w:gridCol w:w="1890"/>
      </w:tblGrid>
      <w:tr w:rsidR="006B7EB3" w:rsidRPr="00382FE0" w14:paraId="36136AD3" w14:textId="77777777" w:rsidTr="00FB32AC">
        <w:trPr>
          <w:trHeight w:val="525"/>
          <w:tblHeader/>
        </w:trPr>
        <w:tc>
          <w:tcPr>
            <w:tcW w:w="4135" w:type="dxa"/>
            <w:shd w:val="clear" w:color="auto" w:fill="D9D9D9" w:themeFill="background1" w:themeFillShade="D9"/>
            <w:vAlign w:val="center"/>
            <w:hideMark/>
          </w:tcPr>
          <w:p w14:paraId="30389300" w14:textId="77777777" w:rsidR="006B7EB3" w:rsidRPr="00382FE0" w:rsidRDefault="006B7EB3" w:rsidP="00550F61">
            <w:pPr>
              <w:widowControl/>
              <w:autoSpaceDE/>
              <w:autoSpaceDN/>
              <w:adjustRightInd/>
              <w:jc w:val="center"/>
              <w:rPr>
                <w:b/>
                <w:bCs/>
                <w:color w:val="000000"/>
              </w:rPr>
            </w:pPr>
            <w:r w:rsidRPr="00382FE0">
              <w:rPr>
                <w:b/>
                <w:bCs/>
                <w:color w:val="000000"/>
              </w:rPr>
              <w:t>Description of Costs (O&amp;M)</w:t>
            </w:r>
          </w:p>
        </w:tc>
        <w:tc>
          <w:tcPr>
            <w:tcW w:w="1620" w:type="dxa"/>
            <w:shd w:val="clear" w:color="auto" w:fill="D9D9D9" w:themeFill="background1" w:themeFillShade="D9"/>
            <w:vAlign w:val="center"/>
            <w:hideMark/>
          </w:tcPr>
          <w:p w14:paraId="056C3C0C" w14:textId="77777777" w:rsidR="006B7EB3" w:rsidRPr="00382FE0" w:rsidRDefault="006B7EB3" w:rsidP="00550F61">
            <w:pPr>
              <w:widowControl/>
              <w:autoSpaceDE/>
              <w:autoSpaceDN/>
              <w:adjustRightInd/>
              <w:jc w:val="center"/>
              <w:rPr>
                <w:b/>
                <w:bCs/>
                <w:color w:val="000000"/>
              </w:rPr>
            </w:pPr>
            <w:r w:rsidRPr="00382FE0">
              <w:rPr>
                <w:b/>
                <w:bCs/>
                <w:color w:val="000000"/>
              </w:rPr>
              <w:t>Per Unit Costs</w:t>
            </w:r>
          </w:p>
        </w:tc>
        <w:tc>
          <w:tcPr>
            <w:tcW w:w="1980" w:type="dxa"/>
            <w:shd w:val="clear" w:color="auto" w:fill="D9D9D9" w:themeFill="background1" w:themeFillShade="D9"/>
            <w:vAlign w:val="center"/>
            <w:hideMark/>
          </w:tcPr>
          <w:p w14:paraId="2448520E" w14:textId="77777777" w:rsidR="006B7EB3" w:rsidRPr="00382FE0" w:rsidRDefault="006B7EB3" w:rsidP="00550F61">
            <w:pPr>
              <w:widowControl/>
              <w:autoSpaceDE/>
              <w:autoSpaceDN/>
              <w:adjustRightInd/>
              <w:jc w:val="center"/>
              <w:rPr>
                <w:b/>
                <w:bCs/>
                <w:color w:val="000000"/>
              </w:rPr>
            </w:pPr>
            <w:r w:rsidRPr="00382FE0">
              <w:rPr>
                <w:b/>
                <w:bCs/>
                <w:color w:val="000000"/>
              </w:rPr>
              <w:t>Quantity</w:t>
            </w:r>
          </w:p>
        </w:tc>
        <w:tc>
          <w:tcPr>
            <w:tcW w:w="1890" w:type="dxa"/>
            <w:shd w:val="clear" w:color="auto" w:fill="D9D9D9" w:themeFill="background1" w:themeFillShade="D9"/>
            <w:vAlign w:val="center"/>
            <w:hideMark/>
          </w:tcPr>
          <w:p w14:paraId="0580B7AF" w14:textId="77777777" w:rsidR="006B7EB3" w:rsidRPr="00382FE0" w:rsidRDefault="006B7EB3" w:rsidP="00550F61">
            <w:pPr>
              <w:widowControl/>
              <w:autoSpaceDE/>
              <w:autoSpaceDN/>
              <w:adjustRightInd/>
              <w:jc w:val="center"/>
              <w:rPr>
                <w:b/>
                <w:bCs/>
                <w:color w:val="000000"/>
              </w:rPr>
            </w:pPr>
            <w:r w:rsidRPr="00382FE0">
              <w:rPr>
                <w:b/>
                <w:bCs/>
                <w:color w:val="000000"/>
              </w:rPr>
              <w:t>Costs</w:t>
            </w:r>
          </w:p>
        </w:tc>
      </w:tr>
      <w:tr w:rsidR="006B7EB3" w:rsidRPr="00382FE0" w14:paraId="2A5D6073" w14:textId="77777777" w:rsidTr="00FB32AC">
        <w:trPr>
          <w:trHeight w:val="529"/>
        </w:trPr>
        <w:tc>
          <w:tcPr>
            <w:tcW w:w="4135" w:type="dxa"/>
            <w:shd w:val="clear" w:color="auto" w:fill="auto"/>
            <w:vAlign w:val="center"/>
            <w:hideMark/>
          </w:tcPr>
          <w:p w14:paraId="21F5E79D" w14:textId="67FB1BF0" w:rsidR="006B7EB3" w:rsidRPr="00382FE0" w:rsidRDefault="006B7EB3" w:rsidP="00672A95">
            <w:pPr>
              <w:widowControl/>
              <w:autoSpaceDE/>
              <w:autoSpaceDN/>
              <w:adjustRightInd/>
              <w:rPr>
                <w:color w:val="000000"/>
              </w:rPr>
            </w:pPr>
            <w:r>
              <w:rPr>
                <w:color w:val="000000"/>
              </w:rPr>
              <w:t>Annual Software</w:t>
            </w:r>
            <w:r w:rsidR="00797990">
              <w:rPr>
                <w:color w:val="000000"/>
              </w:rPr>
              <w:t xml:space="preserve"> </w:t>
            </w:r>
            <w:r>
              <w:rPr>
                <w:color w:val="000000"/>
              </w:rPr>
              <w:t>Licensing Fees</w:t>
            </w:r>
            <w:r w:rsidR="001E26B9">
              <w:rPr>
                <w:color w:val="000000"/>
              </w:rPr>
              <w:t xml:space="preserve"> </w:t>
            </w:r>
            <w:r w:rsidR="001320E5">
              <w:rPr>
                <w:color w:val="000000"/>
              </w:rPr>
              <w:t>for</w:t>
            </w:r>
            <w:r w:rsidR="001E26B9">
              <w:rPr>
                <w:color w:val="000000"/>
              </w:rPr>
              <w:t xml:space="preserve"> HMS </w:t>
            </w:r>
            <w:r w:rsidR="00672A95">
              <w:rPr>
                <w:color w:val="000000"/>
              </w:rPr>
              <w:t>software</w:t>
            </w:r>
          </w:p>
        </w:tc>
        <w:tc>
          <w:tcPr>
            <w:tcW w:w="1620" w:type="dxa"/>
            <w:shd w:val="clear" w:color="auto" w:fill="auto"/>
            <w:vAlign w:val="center"/>
            <w:hideMark/>
          </w:tcPr>
          <w:p w14:paraId="71C32608" w14:textId="3140BE45" w:rsidR="006B7EB3" w:rsidRPr="00382FE0" w:rsidRDefault="002C35CE" w:rsidP="00A8423C">
            <w:pPr>
              <w:widowControl/>
              <w:autoSpaceDE/>
              <w:autoSpaceDN/>
              <w:adjustRightInd/>
              <w:jc w:val="right"/>
              <w:rPr>
                <w:color w:val="000000"/>
              </w:rPr>
            </w:pPr>
            <w:r>
              <w:rPr>
                <w:color w:val="000000"/>
              </w:rPr>
              <w:t>$</w:t>
            </w:r>
            <w:r w:rsidR="00A8423C">
              <w:rPr>
                <w:color w:val="000000"/>
              </w:rPr>
              <w:t>9</w:t>
            </w:r>
            <w:r w:rsidR="00FB32AC">
              <w:rPr>
                <w:color w:val="000000"/>
              </w:rPr>
              <w:t>,</w:t>
            </w:r>
            <w:r w:rsidR="00A8423C">
              <w:rPr>
                <w:color w:val="000000"/>
              </w:rPr>
              <w:t>224</w:t>
            </w:r>
          </w:p>
        </w:tc>
        <w:tc>
          <w:tcPr>
            <w:tcW w:w="1980" w:type="dxa"/>
            <w:shd w:val="clear" w:color="auto" w:fill="auto"/>
            <w:vAlign w:val="center"/>
            <w:hideMark/>
          </w:tcPr>
          <w:p w14:paraId="6697035B" w14:textId="04D08235" w:rsidR="006B7EB3" w:rsidRPr="00382FE0" w:rsidRDefault="000C2B38" w:rsidP="00550F61">
            <w:pPr>
              <w:widowControl/>
              <w:autoSpaceDE/>
              <w:autoSpaceDN/>
              <w:adjustRightInd/>
              <w:jc w:val="right"/>
              <w:rPr>
                <w:color w:val="000000"/>
              </w:rPr>
            </w:pPr>
            <w:r>
              <w:rPr>
                <w:color w:val="000000"/>
              </w:rPr>
              <w:t>135</w:t>
            </w:r>
          </w:p>
        </w:tc>
        <w:tc>
          <w:tcPr>
            <w:tcW w:w="1890" w:type="dxa"/>
            <w:shd w:val="clear" w:color="auto" w:fill="auto"/>
            <w:vAlign w:val="center"/>
            <w:hideMark/>
          </w:tcPr>
          <w:p w14:paraId="4A689D0A" w14:textId="4E1FEE77" w:rsidR="006B7EB3" w:rsidRPr="00382FE0" w:rsidRDefault="002C35CE" w:rsidP="00A8423C">
            <w:pPr>
              <w:widowControl/>
              <w:autoSpaceDE/>
              <w:autoSpaceDN/>
              <w:adjustRightInd/>
              <w:jc w:val="right"/>
              <w:rPr>
                <w:color w:val="000000"/>
              </w:rPr>
            </w:pPr>
            <w:r>
              <w:rPr>
                <w:color w:val="000000"/>
              </w:rPr>
              <w:t>$</w:t>
            </w:r>
            <w:r w:rsidR="00D51DBC">
              <w:rPr>
                <w:color w:val="000000"/>
              </w:rPr>
              <w:t>1,</w:t>
            </w:r>
            <w:r w:rsidR="00E0485A">
              <w:rPr>
                <w:color w:val="000000"/>
              </w:rPr>
              <w:t>245,000</w:t>
            </w:r>
          </w:p>
        </w:tc>
      </w:tr>
      <w:tr w:rsidR="00732F43" w:rsidRPr="00382FE0" w14:paraId="3944BCCF" w14:textId="77777777" w:rsidTr="00FB32AC">
        <w:trPr>
          <w:trHeight w:val="529"/>
        </w:trPr>
        <w:tc>
          <w:tcPr>
            <w:tcW w:w="4135" w:type="dxa"/>
            <w:shd w:val="clear" w:color="auto" w:fill="auto"/>
            <w:vAlign w:val="center"/>
          </w:tcPr>
          <w:p w14:paraId="02205A94" w14:textId="0B358180" w:rsidR="00732F43" w:rsidRDefault="007F487C" w:rsidP="00732F43">
            <w:pPr>
              <w:widowControl/>
              <w:autoSpaceDE/>
              <w:autoSpaceDN/>
              <w:adjustRightInd/>
              <w:rPr>
                <w:color w:val="000000"/>
              </w:rPr>
            </w:pPr>
            <w:r>
              <w:rPr>
                <w:color w:val="000000"/>
              </w:rPr>
              <w:t>Obtaining</w:t>
            </w:r>
            <w:r w:rsidR="00732F43">
              <w:rPr>
                <w:color w:val="000000"/>
              </w:rPr>
              <w:t xml:space="preserve"> an LEI (</w:t>
            </w:r>
            <w:r>
              <w:rPr>
                <w:color w:val="000000"/>
              </w:rPr>
              <w:t>one-time</w:t>
            </w:r>
            <w:r w:rsidR="00732F43">
              <w:rPr>
                <w:color w:val="000000"/>
              </w:rPr>
              <w:t xml:space="preserve"> cost)</w:t>
            </w:r>
          </w:p>
        </w:tc>
        <w:tc>
          <w:tcPr>
            <w:tcW w:w="1620" w:type="dxa"/>
            <w:shd w:val="clear" w:color="auto" w:fill="auto"/>
            <w:vAlign w:val="center"/>
          </w:tcPr>
          <w:p w14:paraId="2E3F908C" w14:textId="1715AF7E" w:rsidR="00732F43" w:rsidRDefault="00732F43" w:rsidP="00732F43">
            <w:pPr>
              <w:widowControl/>
              <w:autoSpaceDE/>
              <w:autoSpaceDN/>
              <w:adjustRightInd/>
              <w:jc w:val="right"/>
              <w:rPr>
                <w:color w:val="000000"/>
              </w:rPr>
            </w:pPr>
            <w:r>
              <w:rPr>
                <w:color w:val="000000"/>
              </w:rPr>
              <w:t>$200</w:t>
            </w:r>
          </w:p>
        </w:tc>
        <w:tc>
          <w:tcPr>
            <w:tcW w:w="1980" w:type="dxa"/>
            <w:shd w:val="clear" w:color="auto" w:fill="auto"/>
            <w:vAlign w:val="center"/>
          </w:tcPr>
          <w:p w14:paraId="579907DA" w14:textId="3A0C2273" w:rsidR="00732F43" w:rsidRDefault="000C2B38" w:rsidP="00732F43">
            <w:pPr>
              <w:widowControl/>
              <w:autoSpaceDE/>
              <w:autoSpaceDN/>
              <w:adjustRightInd/>
              <w:jc w:val="right"/>
              <w:rPr>
                <w:color w:val="000000"/>
              </w:rPr>
            </w:pPr>
            <w:r>
              <w:rPr>
                <w:color w:val="000000"/>
              </w:rPr>
              <w:t>135</w:t>
            </w:r>
          </w:p>
        </w:tc>
        <w:tc>
          <w:tcPr>
            <w:tcW w:w="1890" w:type="dxa"/>
            <w:shd w:val="clear" w:color="auto" w:fill="auto"/>
            <w:vAlign w:val="center"/>
          </w:tcPr>
          <w:p w14:paraId="24CF217F" w14:textId="7E9259BC" w:rsidR="00732F43" w:rsidRDefault="00E0485A" w:rsidP="00732F43">
            <w:pPr>
              <w:widowControl/>
              <w:autoSpaceDE/>
              <w:autoSpaceDN/>
              <w:adjustRightInd/>
              <w:jc w:val="right"/>
              <w:rPr>
                <w:color w:val="000000"/>
              </w:rPr>
            </w:pPr>
            <w:r>
              <w:rPr>
                <w:color w:val="000000"/>
              </w:rPr>
              <w:t>27</w:t>
            </w:r>
            <w:r w:rsidR="00732F43">
              <w:rPr>
                <w:color w:val="000000"/>
              </w:rPr>
              <w:t>,000</w:t>
            </w:r>
          </w:p>
        </w:tc>
      </w:tr>
      <w:tr w:rsidR="00732F43" w:rsidRPr="00382FE0" w14:paraId="6BDC6829" w14:textId="77777777" w:rsidTr="00FB32AC">
        <w:trPr>
          <w:trHeight w:val="529"/>
        </w:trPr>
        <w:tc>
          <w:tcPr>
            <w:tcW w:w="4135" w:type="dxa"/>
            <w:shd w:val="clear" w:color="auto" w:fill="auto"/>
            <w:vAlign w:val="center"/>
          </w:tcPr>
          <w:p w14:paraId="083FB27B" w14:textId="2900BAEF" w:rsidR="00732F43" w:rsidRPr="00382FE0" w:rsidRDefault="00732F43" w:rsidP="00732F43">
            <w:pPr>
              <w:widowControl/>
              <w:autoSpaceDE/>
              <w:autoSpaceDN/>
              <w:adjustRightInd/>
              <w:rPr>
                <w:color w:val="000000"/>
              </w:rPr>
            </w:pPr>
            <w:r>
              <w:rPr>
                <w:color w:val="000000"/>
              </w:rPr>
              <w:t>LEI Annual Renewal</w:t>
            </w:r>
          </w:p>
        </w:tc>
        <w:tc>
          <w:tcPr>
            <w:tcW w:w="1620" w:type="dxa"/>
            <w:shd w:val="clear" w:color="auto" w:fill="auto"/>
            <w:vAlign w:val="center"/>
          </w:tcPr>
          <w:p w14:paraId="0EAEE0C5" w14:textId="1C102EF4" w:rsidR="00732F43" w:rsidRPr="00382FE0" w:rsidRDefault="00732F43" w:rsidP="00732F43">
            <w:pPr>
              <w:widowControl/>
              <w:autoSpaceDE/>
              <w:autoSpaceDN/>
              <w:adjustRightInd/>
              <w:jc w:val="right"/>
              <w:rPr>
                <w:color w:val="000000"/>
              </w:rPr>
            </w:pPr>
            <w:r>
              <w:rPr>
                <w:color w:val="000000"/>
              </w:rPr>
              <w:t>$100</w:t>
            </w:r>
          </w:p>
        </w:tc>
        <w:tc>
          <w:tcPr>
            <w:tcW w:w="1980" w:type="dxa"/>
            <w:shd w:val="clear" w:color="auto" w:fill="auto"/>
            <w:vAlign w:val="center"/>
          </w:tcPr>
          <w:p w14:paraId="65F18F00" w14:textId="4F8977D5" w:rsidR="00732F43" w:rsidRPr="00382FE0" w:rsidRDefault="000C2B38" w:rsidP="00732F43">
            <w:pPr>
              <w:widowControl/>
              <w:autoSpaceDE/>
              <w:autoSpaceDN/>
              <w:adjustRightInd/>
              <w:jc w:val="right"/>
              <w:rPr>
                <w:color w:val="000000"/>
              </w:rPr>
            </w:pPr>
            <w:r>
              <w:rPr>
                <w:color w:val="000000"/>
              </w:rPr>
              <w:t>135</w:t>
            </w:r>
          </w:p>
        </w:tc>
        <w:tc>
          <w:tcPr>
            <w:tcW w:w="1890" w:type="dxa"/>
            <w:shd w:val="clear" w:color="auto" w:fill="auto"/>
            <w:vAlign w:val="center"/>
          </w:tcPr>
          <w:p w14:paraId="7F07DDFE" w14:textId="67C70E01" w:rsidR="00732F43" w:rsidRPr="00382FE0" w:rsidRDefault="00E0485A" w:rsidP="00732F43">
            <w:pPr>
              <w:widowControl/>
              <w:autoSpaceDE/>
              <w:autoSpaceDN/>
              <w:adjustRightInd/>
              <w:jc w:val="right"/>
              <w:rPr>
                <w:color w:val="000000"/>
              </w:rPr>
            </w:pPr>
            <w:r>
              <w:rPr>
                <w:color w:val="000000"/>
              </w:rPr>
              <w:t>13</w:t>
            </w:r>
            <w:r w:rsidR="00732F43">
              <w:rPr>
                <w:color w:val="000000"/>
              </w:rPr>
              <w:t>,500</w:t>
            </w:r>
          </w:p>
        </w:tc>
      </w:tr>
      <w:tr w:rsidR="00732F43" w:rsidRPr="00382FE0" w14:paraId="1E88BDA8" w14:textId="77777777" w:rsidTr="00FB32AC">
        <w:trPr>
          <w:trHeight w:val="529"/>
        </w:trPr>
        <w:tc>
          <w:tcPr>
            <w:tcW w:w="4135" w:type="dxa"/>
            <w:shd w:val="clear" w:color="auto" w:fill="auto"/>
            <w:vAlign w:val="center"/>
          </w:tcPr>
          <w:p w14:paraId="4AA9BE49" w14:textId="648C7EC1" w:rsidR="00732F43" w:rsidRPr="00CE0345" w:rsidRDefault="00732F43" w:rsidP="00FB32AC">
            <w:pPr>
              <w:widowControl/>
              <w:autoSpaceDE/>
              <w:autoSpaceDN/>
              <w:adjustRightInd/>
              <w:jc w:val="right"/>
              <w:rPr>
                <w:b/>
                <w:color w:val="000000"/>
              </w:rPr>
            </w:pPr>
            <w:r>
              <w:rPr>
                <w:b/>
                <w:color w:val="000000"/>
              </w:rPr>
              <w:t>Total</w:t>
            </w:r>
          </w:p>
        </w:tc>
        <w:tc>
          <w:tcPr>
            <w:tcW w:w="1620" w:type="dxa"/>
            <w:shd w:val="clear" w:color="auto" w:fill="auto"/>
            <w:vAlign w:val="center"/>
          </w:tcPr>
          <w:p w14:paraId="6CF5E230" w14:textId="73D6690B" w:rsidR="00732F43" w:rsidRPr="00382FE0" w:rsidRDefault="00732F43" w:rsidP="00732F43">
            <w:pPr>
              <w:widowControl/>
              <w:autoSpaceDE/>
              <w:autoSpaceDN/>
              <w:adjustRightInd/>
              <w:jc w:val="right"/>
              <w:rPr>
                <w:color w:val="000000"/>
              </w:rPr>
            </w:pPr>
            <w:r>
              <w:rPr>
                <w:color w:val="000000"/>
              </w:rPr>
              <w:t>///////////</w:t>
            </w:r>
          </w:p>
        </w:tc>
        <w:tc>
          <w:tcPr>
            <w:tcW w:w="1980" w:type="dxa"/>
            <w:shd w:val="clear" w:color="auto" w:fill="auto"/>
            <w:vAlign w:val="center"/>
          </w:tcPr>
          <w:p w14:paraId="2FF34C51" w14:textId="5A711E38" w:rsidR="00732F43" w:rsidRPr="00382FE0" w:rsidRDefault="000C2B38" w:rsidP="00732F43">
            <w:pPr>
              <w:widowControl/>
              <w:autoSpaceDE/>
              <w:autoSpaceDN/>
              <w:adjustRightInd/>
              <w:jc w:val="right"/>
              <w:rPr>
                <w:color w:val="000000"/>
              </w:rPr>
            </w:pPr>
            <w:r>
              <w:rPr>
                <w:color w:val="000000"/>
              </w:rPr>
              <w:t>135</w:t>
            </w:r>
          </w:p>
        </w:tc>
        <w:tc>
          <w:tcPr>
            <w:tcW w:w="1890" w:type="dxa"/>
            <w:shd w:val="clear" w:color="auto" w:fill="auto"/>
            <w:vAlign w:val="center"/>
          </w:tcPr>
          <w:p w14:paraId="23C38317" w14:textId="40A12CBA" w:rsidR="00732F43" w:rsidRPr="00CE0345" w:rsidRDefault="00732F43" w:rsidP="00732F43">
            <w:pPr>
              <w:widowControl/>
              <w:autoSpaceDE/>
              <w:autoSpaceDN/>
              <w:adjustRightInd/>
              <w:jc w:val="right"/>
              <w:rPr>
                <w:b/>
                <w:color w:val="000000"/>
              </w:rPr>
            </w:pPr>
            <w:r>
              <w:rPr>
                <w:b/>
                <w:color w:val="000000"/>
              </w:rPr>
              <w:t>$1,</w:t>
            </w:r>
            <w:r w:rsidR="00E0485A">
              <w:rPr>
                <w:b/>
                <w:color w:val="000000"/>
              </w:rPr>
              <w:t>286</w:t>
            </w:r>
            <w:r>
              <w:rPr>
                <w:b/>
                <w:color w:val="000000"/>
              </w:rPr>
              <w:t>,000</w:t>
            </w:r>
          </w:p>
        </w:tc>
      </w:tr>
    </w:tbl>
    <w:p w14:paraId="5A2E3F05" w14:textId="77777777" w:rsidR="00E146ED" w:rsidRDefault="00E14B43"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p>
    <w:p w14:paraId="4A0F9745" w14:textId="087345AA" w:rsidR="00F34C88" w:rsidRPr="00D24D93" w:rsidRDefault="00E146ED"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00F34C88">
        <w:rPr>
          <w:sz w:val="24"/>
          <w:szCs w:val="24"/>
        </w:rPr>
        <w:t>The non-labor-specific costs specific to complying with the Reporting, Recordkeeping, and Third Party Disclosure Requirements include the annual fee for H</w:t>
      </w:r>
      <w:r w:rsidR="001320E5">
        <w:rPr>
          <w:sz w:val="24"/>
          <w:szCs w:val="24"/>
        </w:rPr>
        <w:t xml:space="preserve">MDA </w:t>
      </w:r>
      <w:r w:rsidR="00F34C88">
        <w:rPr>
          <w:sz w:val="24"/>
          <w:szCs w:val="24"/>
        </w:rPr>
        <w:t>M</w:t>
      </w:r>
      <w:r w:rsidR="001320E5">
        <w:rPr>
          <w:sz w:val="24"/>
          <w:szCs w:val="24"/>
        </w:rPr>
        <w:t xml:space="preserve">anagement </w:t>
      </w:r>
      <w:r w:rsidR="00F34C88">
        <w:rPr>
          <w:sz w:val="24"/>
          <w:szCs w:val="24"/>
        </w:rPr>
        <w:t>S</w:t>
      </w:r>
      <w:r w:rsidR="00732F43">
        <w:rPr>
          <w:sz w:val="24"/>
          <w:szCs w:val="24"/>
        </w:rPr>
        <w:t>ystem (HMS)</w:t>
      </w:r>
      <w:r w:rsidR="00F34C88">
        <w:rPr>
          <w:sz w:val="24"/>
          <w:szCs w:val="24"/>
        </w:rPr>
        <w:t xml:space="preserve"> software and the annual fee for the </w:t>
      </w:r>
      <w:r w:rsidR="000249BF">
        <w:rPr>
          <w:sz w:val="24"/>
          <w:szCs w:val="24"/>
        </w:rPr>
        <w:t>Legal Entity Identifier</w:t>
      </w:r>
      <w:r w:rsidR="00546F6D">
        <w:rPr>
          <w:sz w:val="24"/>
          <w:szCs w:val="24"/>
        </w:rPr>
        <w:t xml:space="preserve"> </w:t>
      </w:r>
      <w:r w:rsidR="00732F43">
        <w:rPr>
          <w:sz w:val="24"/>
          <w:szCs w:val="24"/>
        </w:rPr>
        <w:t>(LEI)</w:t>
      </w:r>
      <w:r w:rsidR="00BB268D">
        <w:rPr>
          <w:rStyle w:val="FootnoteReference"/>
          <w:sz w:val="24"/>
          <w:szCs w:val="24"/>
        </w:rPr>
        <w:footnoteReference w:id="11"/>
      </w:r>
      <w:r w:rsidR="00F34C88">
        <w:rPr>
          <w:sz w:val="24"/>
          <w:szCs w:val="24"/>
        </w:rPr>
        <w:t xml:space="preserve">  </w:t>
      </w:r>
      <w:r w:rsidR="00F34C88" w:rsidRPr="00C744EB">
        <w:rPr>
          <w:sz w:val="24"/>
          <w:szCs w:val="24"/>
        </w:rPr>
        <w:t>The Bure</w:t>
      </w:r>
      <w:r w:rsidR="000249BF" w:rsidRPr="00C744EB">
        <w:rPr>
          <w:sz w:val="24"/>
          <w:szCs w:val="24"/>
        </w:rPr>
        <w:t>au</w:t>
      </w:r>
      <w:r w:rsidR="00F34C88" w:rsidRPr="00C744EB">
        <w:rPr>
          <w:sz w:val="24"/>
          <w:szCs w:val="24"/>
        </w:rPr>
        <w:t xml:space="preserve"> estimates that under </w:t>
      </w:r>
      <w:r w:rsidR="00CE4E20" w:rsidRPr="00D2762E">
        <w:rPr>
          <w:color w:val="000000"/>
          <w:sz w:val="24"/>
          <w:szCs w:val="24"/>
        </w:rPr>
        <w:t xml:space="preserve">the partial exemptions pursuant to the </w:t>
      </w:r>
      <w:r w:rsidR="00F83A28" w:rsidRPr="00D2762E">
        <w:rPr>
          <w:color w:val="000000"/>
          <w:sz w:val="24"/>
          <w:szCs w:val="24"/>
        </w:rPr>
        <w:t>EGR</w:t>
      </w:r>
      <w:r w:rsidR="00F83A28">
        <w:rPr>
          <w:color w:val="000000"/>
          <w:sz w:val="24"/>
          <w:szCs w:val="24"/>
        </w:rPr>
        <w:t>R</w:t>
      </w:r>
      <w:r w:rsidR="00F83A28" w:rsidRPr="00D2762E">
        <w:rPr>
          <w:color w:val="000000"/>
          <w:sz w:val="24"/>
          <w:szCs w:val="24"/>
        </w:rPr>
        <w:t xml:space="preserve">CPA </w:t>
      </w:r>
      <w:r w:rsidR="00CE4E20" w:rsidRPr="00D2762E">
        <w:rPr>
          <w:color w:val="000000"/>
          <w:sz w:val="24"/>
          <w:szCs w:val="24"/>
        </w:rPr>
        <w:t>and the temporary extension of the open-end coverage threshold at 500 open-end lines of credit</w:t>
      </w:r>
      <w:r w:rsidR="000B3C08" w:rsidRPr="00D2762E">
        <w:rPr>
          <w:color w:val="000000"/>
          <w:sz w:val="24"/>
          <w:szCs w:val="24"/>
        </w:rPr>
        <w:t>,</w:t>
      </w:r>
      <w:r w:rsidR="00CE4E20" w:rsidRPr="00C744EB">
        <w:rPr>
          <w:sz w:val="24"/>
          <w:szCs w:val="24"/>
        </w:rPr>
        <w:t xml:space="preserve"> </w:t>
      </w:r>
      <w:r w:rsidR="00F34C88" w:rsidRPr="00C744EB">
        <w:rPr>
          <w:sz w:val="24"/>
          <w:szCs w:val="24"/>
        </w:rPr>
        <w:t xml:space="preserve">the number of </w:t>
      </w:r>
      <w:r w:rsidR="00612176" w:rsidRPr="00C744EB">
        <w:rPr>
          <w:sz w:val="24"/>
          <w:szCs w:val="24"/>
        </w:rPr>
        <w:t>Bureau</w:t>
      </w:r>
      <w:r w:rsidR="00F34C88" w:rsidRPr="00C744EB">
        <w:rPr>
          <w:sz w:val="24"/>
          <w:szCs w:val="24"/>
        </w:rPr>
        <w:t xml:space="preserve"> respondent</w:t>
      </w:r>
      <w:r w:rsidR="00CE4E20" w:rsidRPr="00C744EB">
        <w:rPr>
          <w:sz w:val="24"/>
          <w:szCs w:val="24"/>
        </w:rPr>
        <w:t>s</w:t>
      </w:r>
      <w:r w:rsidR="00F34C88" w:rsidRPr="00C744EB">
        <w:rPr>
          <w:sz w:val="24"/>
          <w:szCs w:val="24"/>
        </w:rPr>
        <w:t xml:space="preserve"> would be about </w:t>
      </w:r>
      <w:r w:rsidR="000C2B38">
        <w:rPr>
          <w:sz w:val="24"/>
          <w:szCs w:val="24"/>
        </w:rPr>
        <w:t>135</w:t>
      </w:r>
      <w:r w:rsidR="00F34C88" w:rsidRPr="00C744EB">
        <w:rPr>
          <w:sz w:val="24"/>
          <w:szCs w:val="24"/>
        </w:rPr>
        <w:t xml:space="preserve">, the total annual non-labor cost to </w:t>
      </w:r>
      <w:r w:rsidR="00612176" w:rsidRPr="00C744EB">
        <w:rPr>
          <w:sz w:val="24"/>
          <w:szCs w:val="24"/>
        </w:rPr>
        <w:t>Bureau</w:t>
      </w:r>
      <w:r w:rsidR="000249BF" w:rsidRPr="00C744EB">
        <w:rPr>
          <w:sz w:val="24"/>
          <w:szCs w:val="24"/>
        </w:rPr>
        <w:t xml:space="preserve"> </w:t>
      </w:r>
      <w:r w:rsidR="00F34C88" w:rsidRPr="00C744EB">
        <w:rPr>
          <w:sz w:val="24"/>
          <w:szCs w:val="24"/>
        </w:rPr>
        <w:t>respondent would be about $1</w:t>
      </w:r>
      <w:r w:rsidR="00CE088B">
        <w:rPr>
          <w:sz w:val="24"/>
          <w:szCs w:val="24"/>
        </w:rPr>
        <w:t>.286</w:t>
      </w:r>
      <w:r w:rsidR="00F34C88" w:rsidRPr="00C744EB">
        <w:rPr>
          <w:sz w:val="24"/>
          <w:szCs w:val="24"/>
        </w:rPr>
        <w:t xml:space="preserve"> </w:t>
      </w:r>
      <w:r w:rsidR="00E27052" w:rsidRPr="00C744EB">
        <w:rPr>
          <w:sz w:val="24"/>
          <w:szCs w:val="24"/>
        </w:rPr>
        <w:t>Million</w:t>
      </w:r>
      <w:r w:rsidR="00F34C88" w:rsidRPr="00C744EB">
        <w:rPr>
          <w:sz w:val="24"/>
          <w:szCs w:val="24"/>
        </w:rPr>
        <w:t>.</w:t>
      </w:r>
    </w:p>
    <w:p w14:paraId="532B1A24" w14:textId="77777777" w:rsidR="00F34C88"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96BC62" w14:textId="77777777" w:rsidR="00F34C88" w:rsidRPr="004D683B" w:rsidRDefault="00F34C88" w:rsidP="00F34C88">
      <w:pPr>
        <w:pStyle w:val="CM12"/>
        <w:spacing w:line="276" w:lineRule="atLeast"/>
      </w:pPr>
      <w:r w:rsidRPr="00EE240B">
        <w:rPr>
          <w:b/>
          <w:bCs/>
        </w:rPr>
        <w:t xml:space="preserve">14.  </w:t>
      </w:r>
      <w:r w:rsidRPr="00EE240B">
        <w:rPr>
          <w:b/>
          <w:bCs/>
          <w:u w:val="single"/>
        </w:rPr>
        <w:t>Estimated Cost to the Federal Government</w:t>
      </w:r>
    </w:p>
    <w:p w14:paraId="2CC5C542" w14:textId="77777777" w:rsidR="00F34C88"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F1946A" w14:textId="1B81C938" w:rsidR="006B7EB3" w:rsidRDefault="00F34C88" w:rsidP="006B7EB3">
      <w:pPr>
        <w:rPr>
          <w:sz w:val="24"/>
          <w:szCs w:val="24"/>
        </w:rPr>
      </w:pPr>
      <w:r w:rsidRPr="00CF1771">
        <w:rPr>
          <w:sz w:val="24"/>
          <w:szCs w:val="24"/>
        </w:rPr>
        <w:tab/>
      </w:r>
      <w:r w:rsidR="003552AD">
        <w:rPr>
          <w:sz w:val="24"/>
          <w:szCs w:val="24"/>
        </w:rPr>
        <w:t>The collection, storage and reporting of the data in this information collection requires the services of three full-time Bureau employees and approximate $633,000 dollars in annual costs for contracting and O&amp;M support</w:t>
      </w:r>
      <w:r w:rsidR="00546F6D">
        <w:rPr>
          <w:sz w:val="24"/>
          <w:szCs w:val="24"/>
        </w:rPr>
        <w:t>.</w:t>
      </w:r>
    </w:p>
    <w:p w14:paraId="5D113219" w14:textId="77777777" w:rsidR="00546F6D" w:rsidRPr="002F5A14" w:rsidRDefault="00546F6D" w:rsidP="006B7EB3">
      <w:pPr>
        <w:rPr>
          <w:sz w:val="24"/>
          <w:szCs w:val="24"/>
        </w:rPr>
      </w:pPr>
    </w:p>
    <w:p w14:paraId="348A0303" w14:textId="0573C596" w:rsidR="00F34C88" w:rsidRDefault="00F34C88" w:rsidP="006B7EB3">
      <w:pPr>
        <w:rPr>
          <w:b/>
          <w:bCs/>
          <w:u w:val="single"/>
        </w:rPr>
      </w:pPr>
      <w:r w:rsidRPr="00546F6D">
        <w:rPr>
          <w:b/>
          <w:bCs/>
          <w:sz w:val="24"/>
          <w:szCs w:val="24"/>
        </w:rPr>
        <w:t>15</w:t>
      </w:r>
      <w:r w:rsidRPr="00546F6D">
        <w:rPr>
          <w:b/>
          <w:bCs/>
          <w:sz w:val="24"/>
          <w:szCs w:val="24"/>
          <w:u w:val="single"/>
        </w:rPr>
        <w:t xml:space="preserve">.  Program Changes or Adjustments for </w:t>
      </w:r>
      <w:r w:rsidR="000249BF" w:rsidRPr="00546F6D">
        <w:rPr>
          <w:b/>
          <w:bCs/>
          <w:sz w:val="24"/>
          <w:szCs w:val="24"/>
          <w:u w:val="single"/>
        </w:rPr>
        <w:t xml:space="preserve">Bureau </w:t>
      </w:r>
      <w:r w:rsidRPr="00546F6D">
        <w:rPr>
          <w:b/>
          <w:bCs/>
          <w:sz w:val="24"/>
          <w:szCs w:val="24"/>
          <w:u w:val="single"/>
        </w:rPr>
        <w:t>Reporters</w:t>
      </w:r>
    </w:p>
    <w:p w14:paraId="2DA24F40" w14:textId="14910FD4" w:rsidR="00F34C88" w:rsidRDefault="00F34C88" w:rsidP="00F34C88">
      <w:pPr>
        <w:pStyle w:val="Default"/>
        <w:rPr>
          <w:b/>
          <w:bCs/>
          <w:u w:val="single"/>
        </w:rPr>
      </w:pPr>
    </w:p>
    <w:tbl>
      <w:tblPr>
        <w:tblStyle w:val="TableGrid"/>
        <w:tblW w:w="9576" w:type="dxa"/>
        <w:tblLayout w:type="fixed"/>
        <w:tblLook w:val="04A0" w:firstRow="1" w:lastRow="0" w:firstColumn="1" w:lastColumn="0" w:noHBand="0" w:noVBand="1"/>
      </w:tblPr>
      <w:tblGrid>
        <w:gridCol w:w="2268"/>
        <w:gridCol w:w="1800"/>
        <w:gridCol w:w="1620"/>
        <w:gridCol w:w="2070"/>
        <w:gridCol w:w="1818"/>
      </w:tblGrid>
      <w:tr w:rsidR="00F34C88" w14:paraId="7112ACE7" w14:textId="77777777" w:rsidTr="00E146ED">
        <w:tc>
          <w:tcPr>
            <w:tcW w:w="2268" w:type="dxa"/>
            <w:shd w:val="clear" w:color="auto" w:fill="D9D9D9" w:themeFill="background1" w:themeFillShade="D9"/>
          </w:tcPr>
          <w:p w14:paraId="0F4EA74A" w14:textId="77777777" w:rsidR="00F34C88" w:rsidRDefault="00F34C88" w:rsidP="00550F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tc>
        <w:tc>
          <w:tcPr>
            <w:tcW w:w="1800" w:type="dxa"/>
            <w:shd w:val="clear" w:color="auto" w:fill="D9D9D9" w:themeFill="background1" w:themeFillShade="D9"/>
          </w:tcPr>
          <w:p w14:paraId="57747429" w14:textId="77777777" w:rsidR="00F34C88" w:rsidRDefault="00F34C88" w:rsidP="00550F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Total Respondents</w:t>
            </w:r>
          </w:p>
        </w:tc>
        <w:tc>
          <w:tcPr>
            <w:tcW w:w="1620" w:type="dxa"/>
            <w:shd w:val="clear" w:color="auto" w:fill="D9D9D9" w:themeFill="background1" w:themeFillShade="D9"/>
          </w:tcPr>
          <w:p w14:paraId="29991E2A" w14:textId="77777777" w:rsidR="00F34C88" w:rsidRDefault="00F34C88" w:rsidP="00550F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 xml:space="preserve">Annual Responses </w:t>
            </w:r>
          </w:p>
        </w:tc>
        <w:tc>
          <w:tcPr>
            <w:tcW w:w="2070" w:type="dxa"/>
            <w:shd w:val="clear" w:color="auto" w:fill="D9D9D9" w:themeFill="background1" w:themeFillShade="D9"/>
          </w:tcPr>
          <w:p w14:paraId="7226FFDB" w14:textId="77777777" w:rsidR="00F34C88" w:rsidRPr="00C132C7" w:rsidRDefault="00F34C88" w:rsidP="00550F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Burden Hours</w:t>
            </w:r>
          </w:p>
        </w:tc>
        <w:tc>
          <w:tcPr>
            <w:tcW w:w="1818" w:type="dxa"/>
            <w:shd w:val="clear" w:color="auto" w:fill="D9D9D9" w:themeFill="background1" w:themeFillShade="D9"/>
          </w:tcPr>
          <w:p w14:paraId="5D326327" w14:textId="77777777" w:rsidR="00F34C88" w:rsidRDefault="00F34C88" w:rsidP="00550F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sz w:val="24"/>
                <w:szCs w:val="24"/>
              </w:rPr>
              <w:t>Cost Burden (O &amp; M)</w:t>
            </w:r>
          </w:p>
        </w:tc>
      </w:tr>
      <w:tr w:rsidR="00A92C81" w14:paraId="450C9A74" w14:textId="77777777" w:rsidTr="00542359">
        <w:tc>
          <w:tcPr>
            <w:tcW w:w="2268" w:type="dxa"/>
          </w:tcPr>
          <w:p w14:paraId="747FFCAC" w14:textId="09080F3D"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3942">
              <w:rPr>
                <w:sz w:val="24"/>
                <w:szCs w:val="24"/>
              </w:rPr>
              <w:t xml:space="preserve">Total Annual </w:t>
            </w:r>
            <w:r>
              <w:rPr>
                <w:sz w:val="24"/>
                <w:szCs w:val="24"/>
              </w:rPr>
              <w:t>Burden</w:t>
            </w:r>
            <w:r w:rsidRPr="005D3942">
              <w:rPr>
                <w:sz w:val="24"/>
                <w:szCs w:val="24"/>
              </w:rPr>
              <w:t xml:space="preserve"> Requested</w:t>
            </w:r>
          </w:p>
        </w:tc>
        <w:tc>
          <w:tcPr>
            <w:tcW w:w="1800" w:type="dxa"/>
          </w:tcPr>
          <w:p w14:paraId="6D0D3BE8" w14:textId="153D3E6D"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135</w:t>
            </w:r>
          </w:p>
        </w:tc>
        <w:tc>
          <w:tcPr>
            <w:tcW w:w="1620" w:type="dxa"/>
          </w:tcPr>
          <w:p w14:paraId="2FC02300" w14:textId="699095F7"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135</w:t>
            </w:r>
          </w:p>
        </w:tc>
        <w:tc>
          <w:tcPr>
            <w:tcW w:w="2070" w:type="dxa"/>
          </w:tcPr>
          <w:p w14:paraId="790B8A3E" w14:textId="6AD611AD"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112342">
              <w:rPr>
                <w:sz w:val="24"/>
                <w:szCs w:val="24"/>
              </w:rPr>
              <w:t>1,</w:t>
            </w:r>
            <w:r>
              <w:rPr>
                <w:sz w:val="24"/>
                <w:szCs w:val="24"/>
              </w:rPr>
              <w:t>500,000</w:t>
            </w:r>
          </w:p>
        </w:tc>
        <w:tc>
          <w:tcPr>
            <w:tcW w:w="1818" w:type="dxa"/>
          </w:tcPr>
          <w:p w14:paraId="4AC36528" w14:textId="0942E3B6" w:rsidR="00A92C81" w:rsidRDefault="00B62EC8"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62EC8">
              <w:rPr>
                <w:sz w:val="24"/>
                <w:szCs w:val="24"/>
              </w:rPr>
              <w:t>$1,286,000</w:t>
            </w:r>
          </w:p>
        </w:tc>
      </w:tr>
      <w:tr w:rsidR="00A92C81" w14:paraId="4A7FC5BD" w14:textId="77777777" w:rsidTr="004F69A6">
        <w:trPr>
          <w:trHeight w:val="620"/>
        </w:trPr>
        <w:tc>
          <w:tcPr>
            <w:tcW w:w="2268" w:type="dxa"/>
          </w:tcPr>
          <w:p w14:paraId="0F8E35B3" w14:textId="55DCB1B3"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Current OMB Inventory</w:t>
            </w:r>
          </w:p>
        </w:tc>
        <w:tc>
          <w:tcPr>
            <w:tcW w:w="1800" w:type="dxa"/>
          </w:tcPr>
          <w:p w14:paraId="5DAEDA89" w14:textId="0E9A0808"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145</w:t>
            </w:r>
          </w:p>
        </w:tc>
        <w:tc>
          <w:tcPr>
            <w:tcW w:w="1620" w:type="dxa"/>
          </w:tcPr>
          <w:p w14:paraId="180290B0" w14:textId="4632D2E1"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145</w:t>
            </w:r>
          </w:p>
        </w:tc>
        <w:tc>
          <w:tcPr>
            <w:tcW w:w="2070" w:type="dxa"/>
          </w:tcPr>
          <w:p w14:paraId="35757E63" w14:textId="26D0CF84"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690,000</w:t>
            </w:r>
          </w:p>
        </w:tc>
        <w:tc>
          <w:tcPr>
            <w:tcW w:w="1818" w:type="dxa"/>
          </w:tcPr>
          <w:p w14:paraId="777E7C9F" w14:textId="33B5C343"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r>
      <w:tr w:rsidR="00A92C81" w14:paraId="09A3244B" w14:textId="77777777" w:rsidTr="00542359">
        <w:tc>
          <w:tcPr>
            <w:tcW w:w="2268" w:type="dxa"/>
            <w:tcBorders>
              <w:bottom w:val="single" w:sz="4" w:space="0" w:color="auto"/>
            </w:tcBorders>
          </w:tcPr>
          <w:p w14:paraId="22D1C5BE" w14:textId="5F109FAE"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3942">
              <w:rPr>
                <w:sz w:val="24"/>
                <w:szCs w:val="24"/>
              </w:rPr>
              <w:t>Difference (+/-)</w:t>
            </w:r>
          </w:p>
        </w:tc>
        <w:tc>
          <w:tcPr>
            <w:tcW w:w="1800" w:type="dxa"/>
            <w:tcBorders>
              <w:bottom w:val="single" w:sz="4" w:space="0" w:color="auto"/>
            </w:tcBorders>
          </w:tcPr>
          <w:p w14:paraId="649BDAF2" w14:textId="1BCAB4D9"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-10</w:t>
            </w:r>
          </w:p>
        </w:tc>
        <w:tc>
          <w:tcPr>
            <w:tcW w:w="1620" w:type="dxa"/>
            <w:tcBorders>
              <w:bottom w:val="single" w:sz="4" w:space="0" w:color="auto"/>
            </w:tcBorders>
          </w:tcPr>
          <w:p w14:paraId="4A2B5659" w14:textId="4A88AC1E"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-10</w:t>
            </w:r>
          </w:p>
        </w:tc>
        <w:tc>
          <w:tcPr>
            <w:tcW w:w="2070" w:type="dxa"/>
            <w:tcBorders>
              <w:bottom w:val="single" w:sz="4" w:space="0" w:color="auto"/>
            </w:tcBorders>
          </w:tcPr>
          <w:p w14:paraId="7B9C6567" w14:textId="01BD1811" w:rsidR="00A92C81" w:rsidRPr="005D3942"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w:t>
            </w:r>
            <w:r w:rsidR="008A6B7A">
              <w:rPr>
                <w:sz w:val="24"/>
                <w:szCs w:val="24"/>
              </w:rPr>
              <w:t>810,000</w:t>
            </w:r>
          </w:p>
        </w:tc>
        <w:tc>
          <w:tcPr>
            <w:tcW w:w="1818" w:type="dxa"/>
            <w:tcBorders>
              <w:bottom w:val="single" w:sz="4" w:space="0" w:color="auto"/>
            </w:tcBorders>
          </w:tcPr>
          <w:p w14:paraId="39EB0ECA" w14:textId="5F894607" w:rsidR="00A92C81" w:rsidRDefault="00B62EC8"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62EC8">
              <w:rPr>
                <w:sz w:val="24"/>
                <w:szCs w:val="24"/>
              </w:rPr>
              <w:t>$1,286,000</w:t>
            </w:r>
          </w:p>
        </w:tc>
      </w:tr>
      <w:tr w:rsidR="00A92C81" w14:paraId="224CE7E8" w14:textId="77777777" w:rsidTr="00C518C1">
        <w:tc>
          <w:tcPr>
            <w:tcW w:w="2268" w:type="dxa"/>
            <w:tcBorders>
              <w:bottom w:val="single" w:sz="4" w:space="0" w:color="auto"/>
            </w:tcBorders>
            <w:shd w:val="pct10" w:color="auto" w:fill="auto"/>
          </w:tcPr>
          <w:p w14:paraId="52B3FA9B" w14:textId="45F91BED"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Program Change</w:t>
            </w:r>
          </w:p>
        </w:tc>
        <w:tc>
          <w:tcPr>
            <w:tcW w:w="1800" w:type="dxa"/>
            <w:tcBorders>
              <w:bottom w:val="single" w:sz="4" w:space="0" w:color="auto"/>
            </w:tcBorders>
            <w:shd w:val="clear" w:color="auto" w:fill="000000" w:themeFill="text1"/>
          </w:tcPr>
          <w:p w14:paraId="5DA1F056" w14:textId="32DBC191"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620" w:type="dxa"/>
            <w:tcBorders>
              <w:bottom w:val="single" w:sz="4" w:space="0" w:color="auto"/>
            </w:tcBorders>
            <w:shd w:val="clear" w:color="auto" w:fill="000000" w:themeFill="text1"/>
          </w:tcPr>
          <w:p w14:paraId="288DFFE4" w14:textId="339DAB5F"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2070" w:type="dxa"/>
            <w:tcBorders>
              <w:bottom w:val="single" w:sz="4" w:space="0" w:color="auto"/>
            </w:tcBorders>
            <w:shd w:val="clear" w:color="auto" w:fill="000000" w:themeFill="text1"/>
          </w:tcPr>
          <w:p w14:paraId="6A9E8FD6" w14:textId="4E50EEA9"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818" w:type="dxa"/>
            <w:tcBorders>
              <w:bottom w:val="single" w:sz="4" w:space="0" w:color="auto"/>
            </w:tcBorders>
            <w:shd w:val="clear" w:color="auto" w:fill="000000" w:themeFill="text1"/>
          </w:tcPr>
          <w:p w14:paraId="600105EB" w14:textId="642374C5" w:rsidR="00A92C81" w:rsidRDefault="00A92C81" w:rsidP="00B62E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A92C81" w14:paraId="18A45B8A" w14:textId="77777777" w:rsidTr="00542359">
        <w:tc>
          <w:tcPr>
            <w:tcW w:w="2268" w:type="dxa"/>
            <w:shd w:val="pct10" w:color="auto" w:fill="auto"/>
          </w:tcPr>
          <w:p w14:paraId="7B697975" w14:textId="10995D9A"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Discretionary</w:t>
            </w:r>
          </w:p>
        </w:tc>
        <w:tc>
          <w:tcPr>
            <w:tcW w:w="1800" w:type="dxa"/>
            <w:shd w:val="pct10" w:color="auto" w:fill="auto"/>
          </w:tcPr>
          <w:p w14:paraId="186576F7" w14:textId="66A895BD"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c>
          <w:tcPr>
            <w:tcW w:w="1620" w:type="dxa"/>
            <w:shd w:val="pct10" w:color="auto" w:fill="auto"/>
          </w:tcPr>
          <w:p w14:paraId="0791A625" w14:textId="6C8567B9"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c>
          <w:tcPr>
            <w:tcW w:w="2070" w:type="dxa"/>
            <w:shd w:val="pct10" w:color="auto" w:fill="auto"/>
          </w:tcPr>
          <w:p w14:paraId="799F86B2" w14:textId="54E90BE8"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c>
          <w:tcPr>
            <w:tcW w:w="1818" w:type="dxa"/>
            <w:shd w:val="pct10" w:color="auto" w:fill="auto"/>
          </w:tcPr>
          <w:p w14:paraId="77FF4FC6" w14:textId="0B7AAC1C"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516AD4">
              <w:rPr>
                <w:sz w:val="24"/>
                <w:szCs w:val="24"/>
              </w:rPr>
              <w:t>$</w:t>
            </w:r>
            <w:r>
              <w:rPr>
                <w:sz w:val="24"/>
                <w:szCs w:val="24"/>
              </w:rPr>
              <w:t>0</w:t>
            </w:r>
          </w:p>
        </w:tc>
      </w:tr>
      <w:tr w:rsidR="00A92C81" w14:paraId="6318599F" w14:textId="77777777" w:rsidTr="00542359">
        <w:tc>
          <w:tcPr>
            <w:tcW w:w="2268" w:type="dxa"/>
            <w:shd w:val="pct10" w:color="auto" w:fill="auto"/>
          </w:tcPr>
          <w:p w14:paraId="7458734E" w14:textId="7C296611"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New Statute</w:t>
            </w:r>
          </w:p>
        </w:tc>
        <w:tc>
          <w:tcPr>
            <w:tcW w:w="1800" w:type="dxa"/>
            <w:shd w:val="pct10" w:color="auto" w:fill="auto"/>
          </w:tcPr>
          <w:p w14:paraId="004C5DB1" w14:textId="5B3D8758"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-40</w:t>
            </w:r>
          </w:p>
        </w:tc>
        <w:tc>
          <w:tcPr>
            <w:tcW w:w="1620" w:type="dxa"/>
            <w:shd w:val="pct10" w:color="auto" w:fill="auto"/>
          </w:tcPr>
          <w:p w14:paraId="0CB30793" w14:textId="627E2DD5"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-40</w:t>
            </w:r>
          </w:p>
        </w:tc>
        <w:tc>
          <w:tcPr>
            <w:tcW w:w="2070" w:type="dxa"/>
            <w:shd w:val="pct10" w:color="auto" w:fill="auto"/>
          </w:tcPr>
          <w:p w14:paraId="4B3655B0" w14:textId="1DB12FAE"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w:t>
            </w:r>
            <w:r w:rsidRPr="001C7E93">
              <w:rPr>
                <w:sz w:val="24"/>
                <w:szCs w:val="24"/>
              </w:rPr>
              <w:t>470</w:t>
            </w:r>
            <w:r>
              <w:rPr>
                <w:sz w:val="24"/>
                <w:szCs w:val="24"/>
              </w:rPr>
              <w:t>,</w:t>
            </w:r>
            <w:r w:rsidRPr="001C7E93">
              <w:rPr>
                <w:sz w:val="24"/>
                <w:szCs w:val="24"/>
              </w:rPr>
              <w:t>520</w:t>
            </w:r>
          </w:p>
        </w:tc>
        <w:tc>
          <w:tcPr>
            <w:tcW w:w="1818" w:type="dxa"/>
            <w:shd w:val="pct10" w:color="auto" w:fill="auto"/>
          </w:tcPr>
          <w:p w14:paraId="7E822D7F" w14:textId="71D4BE1E"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-$370,000</w:t>
            </w:r>
          </w:p>
        </w:tc>
      </w:tr>
      <w:tr w:rsidR="00A92C81" w14:paraId="0924E9D6" w14:textId="77777777" w:rsidTr="00542359">
        <w:tc>
          <w:tcPr>
            <w:tcW w:w="2268" w:type="dxa"/>
            <w:shd w:val="pct10" w:color="auto" w:fill="auto"/>
          </w:tcPr>
          <w:p w14:paraId="38330599" w14:textId="6B12FF5D"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Violation</w:t>
            </w:r>
          </w:p>
        </w:tc>
        <w:tc>
          <w:tcPr>
            <w:tcW w:w="1800" w:type="dxa"/>
            <w:shd w:val="pct10" w:color="auto" w:fill="auto"/>
          </w:tcPr>
          <w:p w14:paraId="186A9A72" w14:textId="52DB91F0"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c>
          <w:tcPr>
            <w:tcW w:w="1620" w:type="dxa"/>
            <w:shd w:val="pct10" w:color="auto" w:fill="auto"/>
          </w:tcPr>
          <w:p w14:paraId="4CB3D56A" w14:textId="4C7A8778"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c>
          <w:tcPr>
            <w:tcW w:w="2070" w:type="dxa"/>
            <w:shd w:val="pct10" w:color="auto" w:fill="auto"/>
          </w:tcPr>
          <w:p w14:paraId="2A0F20B8" w14:textId="13ABD3EC"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c>
          <w:tcPr>
            <w:tcW w:w="1818" w:type="dxa"/>
            <w:shd w:val="pct10" w:color="auto" w:fill="auto"/>
          </w:tcPr>
          <w:p w14:paraId="21670B30" w14:textId="41EDC998"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$0</w:t>
            </w:r>
          </w:p>
        </w:tc>
      </w:tr>
      <w:tr w:rsidR="00A92C81" w14:paraId="6594B64C" w14:textId="77777777" w:rsidTr="00542359">
        <w:tc>
          <w:tcPr>
            <w:tcW w:w="2268" w:type="dxa"/>
            <w:shd w:val="pct10" w:color="auto" w:fill="auto"/>
          </w:tcPr>
          <w:p w14:paraId="682B6F76" w14:textId="5A5BA349"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Adjustment</w:t>
            </w:r>
          </w:p>
        </w:tc>
        <w:tc>
          <w:tcPr>
            <w:tcW w:w="1800" w:type="dxa"/>
            <w:shd w:val="pct10" w:color="auto" w:fill="auto"/>
          </w:tcPr>
          <w:p w14:paraId="655FEEF6" w14:textId="79BBEB91"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30</w:t>
            </w:r>
          </w:p>
        </w:tc>
        <w:tc>
          <w:tcPr>
            <w:tcW w:w="1620" w:type="dxa"/>
            <w:shd w:val="pct10" w:color="auto" w:fill="auto"/>
          </w:tcPr>
          <w:p w14:paraId="2C5F3F31" w14:textId="51665925" w:rsidR="00A92C81" w:rsidRDefault="00A92C81"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30</w:t>
            </w:r>
          </w:p>
        </w:tc>
        <w:tc>
          <w:tcPr>
            <w:tcW w:w="2070" w:type="dxa"/>
            <w:shd w:val="pct10" w:color="auto" w:fill="auto"/>
          </w:tcPr>
          <w:p w14:paraId="5D07FCE3" w14:textId="7B05C673" w:rsidR="00A92C81" w:rsidRDefault="007A1D87"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7A1D87">
              <w:rPr>
                <w:sz w:val="24"/>
                <w:szCs w:val="24"/>
              </w:rPr>
              <w:t>1</w:t>
            </w:r>
            <w:r>
              <w:rPr>
                <w:sz w:val="24"/>
                <w:szCs w:val="24"/>
              </w:rPr>
              <w:t>,</w:t>
            </w:r>
            <w:r w:rsidRPr="007A1D87">
              <w:rPr>
                <w:sz w:val="24"/>
                <w:szCs w:val="24"/>
              </w:rPr>
              <w:t>280</w:t>
            </w:r>
            <w:r>
              <w:rPr>
                <w:sz w:val="24"/>
                <w:szCs w:val="24"/>
              </w:rPr>
              <w:t>,</w:t>
            </w:r>
            <w:r w:rsidRPr="007A1D87">
              <w:rPr>
                <w:sz w:val="24"/>
                <w:szCs w:val="24"/>
              </w:rPr>
              <w:t>520</w:t>
            </w:r>
          </w:p>
        </w:tc>
        <w:tc>
          <w:tcPr>
            <w:tcW w:w="1818" w:type="dxa"/>
            <w:shd w:val="pct10" w:color="auto" w:fill="auto"/>
          </w:tcPr>
          <w:p w14:paraId="167D7240" w14:textId="19E47440" w:rsidR="00A92C81" w:rsidRDefault="00B62EC8" w:rsidP="00A92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w:t>
            </w:r>
            <w:r w:rsidR="00B64E60">
              <w:rPr>
                <w:sz w:val="24"/>
                <w:szCs w:val="24"/>
              </w:rPr>
              <w:t>656,00</w:t>
            </w:r>
            <w:r w:rsidR="007A1D87">
              <w:rPr>
                <w:sz w:val="24"/>
                <w:szCs w:val="24"/>
              </w:rPr>
              <w:t>0</w:t>
            </w:r>
          </w:p>
        </w:tc>
      </w:tr>
    </w:tbl>
    <w:p w14:paraId="15227287" w14:textId="77777777" w:rsidR="00F34C88"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20ECCDA" w14:textId="77777777" w:rsidR="003C39FE"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p>
    <w:p w14:paraId="71D6A77D" w14:textId="65BFE389" w:rsidR="00F34C88" w:rsidRDefault="000F4C21"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B21480">
        <w:rPr>
          <w:sz w:val="24"/>
          <w:szCs w:val="24"/>
        </w:rPr>
        <w:t xml:space="preserve">The program </w:t>
      </w:r>
      <w:r w:rsidR="00C20E50">
        <w:rPr>
          <w:sz w:val="24"/>
          <w:szCs w:val="24"/>
        </w:rPr>
        <w:t xml:space="preserve">changes </w:t>
      </w:r>
      <w:r w:rsidR="00217A1E">
        <w:rPr>
          <w:sz w:val="24"/>
          <w:szCs w:val="24"/>
        </w:rPr>
        <w:t xml:space="preserve">are a result of the </w:t>
      </w:r>
      <w:r w:rsidR="0012209F">
        <w:rPr>
          <w:sz w:val="24"/>
          <w:szCs w:val="24"/>
        </w:rPr>
        <w:t xml:space="preserve">October 2019 </w:t>
      </w:r>
      <w:r w:rsidR="00217A1E">
        <w:rPr>
          <w:sz w:val="24"/>
          <w:szCs w:val="24"/>
        </w:rPr>
        <w:t>final rule</w:t>
      </w:r>
      <w:r w:rsidR="0012209F">
        <w:rPr>
          <w:sz w:val="24"/>
          <w:szCs w:val="24"/>
        </w:rPr>
        <w:t xml:space="preserve"> that the </w:t>
      </w:r>
      <w:r w:rsidR="00664259">
        <w:rPr>
          <w:sz w:val="24"/>
          <w:szCs w:val="24"/>
        </w:rPr>
        <w:t>Bureau</w:t>
      </w:r>
      <w:r w:rsidR="0012209F">
        <w:rPr>
          <w:sz w:val="24"/>
          <w:szCs w:val="24"/>
        </w:rPr>
        <w:t xml:space="preserve"> </w:t>
      </w:r>
      <w:r w:rsidR="00DF5C75">
        <w:rPr>
          <w:sz w:val="24"/>
          <w:szCs w:val="24"/>
        </w:rPr>
        <w:t xml:space="preserve">has issued </w:t>
      </w:r>
      <w:r w:rsidR="009927F2">
        <w:rPr>
          <w:sz w:val="24"/>
          <w:szCs w:val="24"/>
        </w:rPr>
        <w:t xml:space="preserve">on its website </w:t>
      </w:r>
      <w:r w:rsidR="00DF5C75">
        <w:rPr>
          <w:sz w:val="24"/>
          <w:szCs w:val="24"/>
        </w:rPr>
        <w:t xml:space="preserve">pursuant to </w:t>
      </w:r>
      <w:r w:rsidR="00C20E50" w:rsidRPr="00C20E50">
        <w:rPr>
          <w:sz w:val="24"/>
          <w:szCs w:val="24"/>
        </w:rPr>
        <w:t>EGRRCPA</w:t>
      </w:r>
      <w:r w:rsidR="00C20E50">
        <w:rPr>
          <w:sz w:val="24"/>
          <w:szCs w:val="24"/>
        </w:rPr>
        <w:t xml:space="preserve"> </w:t>
      </w:r>
      <w:r w:rsidR="00664259">
        <w:rPr>
          <w:sz w:val="24"/>
          <w:szCs w:val="24"/>
        </w:rPr>
        <w:t>in regard to</w:t>
      </w:r>
      <w:r w:rsidR="00C20E50">
        <w:rPr>
          <w:sz w:val="24"/>
          <w:szCs w:val="24"/>
        </w:rPr>
        <w:t xml:space="preserve"> </w:t>
      </w:r>
      <w:r w:rsidR="002F1518">
        <w:rPr>
          <w:sz w:val="24"/>
          <w:szCs w:val="24"/>
        </w:rPr>
        <w:t>the reporting thresh</w:t>
      </w:r>
      <w:r w:rsidR="006462ED">
        <w:rPr>
          <w:sz w:val="24"/>
          <w:szCs w:val="24"/>
        </w:rPr>
        <w:t>o</w:t>
      </w:r>
      <w:r w:rsidR="002F1518">
        <w:rPr>
          <w:sz w:val="24"/>
          <w:szCs w:val="24"/>
        </w:rPr>
        <w:t>ld</w:t>
      </w:r>
      <w:r w:rsidR="00767C8A">
        <w:rPr>
          <w:rStyle w:val="FootnoteReference"/>
          <w:sz w:val="24"/>
          <w:szCs w:val="24"/>
        </w:rPr>
        <w:footnoteReference w:id="12"/>
      </w:r>
      <w:r w:rsidR="002F1518">
        <w:rPr>
          <w:sz w:val="24"/>
          <w:szCs w:val="24"/>
        </w:rPr>
        <w:t xml:space="preserve">. The adjustments result from the inclusion of burden for portions of the 2016 </w:t>
      </w:r>
      <w:r w:rsidR="006462ED">
        <w:rPr>
          <w:sz w:val="24"/>
          <w:szCs w:val="24"/>
        </w:rPr>
        <w:t>final rule</w:t>
      </w:r>
      <w:r w:rsidR="00664259">
        <w:rPr>
          <w:rStyle w:val="FootnoteReference"/>
          <w:sz w:val="24"/>
          <w:szCs w:val="24"/>
        </w:rPr>
        <w:footnoteReference w:id="13"/>
      </w:r>
      <w:r w:rsidR="00FF1721">
        <w:rPr>
          <w:sz w:val="24"/>
          <w:szCs w:val="24"/>
        </w:rPr>
        <w:t xml:space="preserve"> which </w:t>
      </w:r>
      <w:r w:rsidR="00455F87">
        <w:rPr>
          <w:sz w:val="24"/>
          <w:szCs w:val="24"/>
        </w:rPr>
        <w:t xml:space="preserve">included </w:t>
      </w:r>
      <w:r w:rsidR="00664259">
        <w:rPr>
          <w:sz w:val="24"/>
          <w:szCs w:val="24"/>
        </w:rPr>
        <w:t>provisions</w:t>
      </w:r>
      <w:r w:rsidR="00455F87">
        <w:rPr>
          <w:sz w:val="24"/>
          <w:szCs w:val="24"/>
        </w:rPr>
        <w:t xml:space="preserve"> that were not </w:t>
      </w:r>
      <w:r w:rsidR="00664259">
        <w:rPr>
          <w:sz w:val="24"/>
          <w:szCs w:val="24"/>
        </w:rPr>
        <w:t>previously</w:t>
      </w:r>
      <w:r w:rsidR="00455F87">
        <w:rPr>
          <w:sz w:val="24"/>
          <w:szCs w:val="24"/>
        </w:rPr>
        <w:t xml:space="preserve"> active</w:t>
      </w:r>
      <w:r w:rsidR="00664259">
        <w:rPr>
          <w:sz w:val="24"/>
          <w:szCs w:val="24"/>
        </w:rPr>
        <w:t>.</w:t>
      </w:r>
      <w:r w:rsidR="006462ED">
        <w:rPr>
          <w:sz w:val="24"/>
          <w:szCs w:val="24"/>
        </w:rPr>
        <w:t xml:space="preserve"> </w:t>
      </w:r>
    </w:p>
    <w:p w14:paraId="64AD76F7" w14:textId="77777777" w:rsidR="00542359" w:rsidRDefault="00542359" w:rsidP="00F34C88">
      <w:pPr>
        <w:pStyle w:val="CM12"/>
        <w:spacing w:line="276" w:lineRule="atLeast"/>
        <w:rPr>
          <w:b/>
          <w:bCs/>
        </w:rPr>
      </w:pPr>
    </w:p>
    <w:p w14:paraId="3AD0EA0F" w14:textId="64AD3A96" w:rsidR="00F34C88" w:rsidRPr="004D683B" w:rsidRDefault="00F34C88" w:rsidP="00F34C88">
      <w:pPr>
        <w:pStyle w:val="CM12"/>
        <w:spacing w:line="276" w:lineRule="atLeast"/>
      </w:pPr>
      <w:r w:rsidRPr="004D683B">
        <w:rPr>
          <w:b/>
          <w:bCs/>
        </w:rPr>
        <w:t xml:space="preserve">16.  </w:t>
      </w:r>
      <w:r w:rsidRPr="004D683B">
        <w:rPr>
          <w:b/>
          <w:bCs/>
          <w:u w:val="single"/>
        </w:rPr>
        <w:t>Plans for Tabulation, Statistical Analysis, and Publication</w:t>
      </w:r>
    </w:p>
    <w:p w14:paraId="7BB01C42" w14:textId="77777777" w:rsidR="00F34C88"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3915E0" w14:textId="28B670C7" w:rsidR="00F34C88" w:rsidRDefault="00F34C88" w:rsidP="00F34C88">
      <w:pPr>
        <w:rPr>
          <w:sz w:val="24"/>
          <w:szCs w:val="24"/>
        </w:rPr>
      </w:pPr>
      <w:r>
        <w:rPr>
          <w:sz w:val="24"/>
          <w:szCs w:val="24"/>
        </w:rPr>
        <w:tab/>
        <w:t xml:space="preserve">The information is collected for use by the </w:t>
      </w:r>
      <w:r w:rsidR="000249BF">
        <w:rPr>
          <w:sz w:val="24"/>
          <w:szCs w:val="24"/>
        </w:rPr>
        <w:t xml:space="preserve">Bureau’s </w:t>
      </w:r>
      <w:r>
        <w:rPr>
          <w:sz w:val="24"/>
          <w:szCs w:val="24"/>
        </w:rPr>
        <w:t>examination program and for disclosure to the public after deletion of certain sensitive data elements.</w:t>
      </w:r>
    </w:p>
    <w:p w14:paraId="5F08FCA1" w14:textId="77777777" w:rsidR="00F34C88"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D0868D" w14:textId="77777777" w:rsidR="00F34C88" w:rsidRPr="004D683B" w:rsidRDefault="00F34C88" w:rsidP="00F34C88">
      <w:pPr>
        <w:pStyle w:val="Default"/>
        <w:rPr>
          <w:b/>
          <w:bCs/>
          <w:color w:val="auto"/>
          <w:u w:val="single"/>
        </w:rPr>
      </w:pPr>
      <w:r w:rsidRPr="004D683B">
        <w:rPr>
          <w:b/>
          <w:bCs/>
          <w:color w:val="auto"/>
        </w:rPr>
        <w:t>17.</w:t>
      </w:r>
      <w:r>
        <w:rPr>
          <w:b/>
          <w:bCs/>
          <w:color w:val="auto"/>
        </w:rPr>
        <w:t xml:space="preserve">  </w:t>
      </w:r>
      <w:r w:rsidRPr="004D683B">
        <w:rPr>
          <w:b/>
          <w:bCs/>
          <w:color w:val="auto"/>
          <w:u w:val="single"/>
        </w:rPr>
        <w:t>Display of Expiration Date</w:t>
      </w:r>
    </w:p>
    <w:p w14:paraId="38C6B5CD" w14:textId="77777777" w:rsidR="00F34C88"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394693" w14:textId="58972162" w:rsidR="00F34C88" w:rsidRDefault="00F34C88" w:rsidP="00F34C88">
      <w:pPr>
        <w:rPr>
          <w:sz w:val="24"/>
          <w:szCs w:val="24"/>
        </w:rPr>
      </w:pPr>
      <w:r>
        <w:rPr>
          <w:sz w:val="24"/>
          <w:szCs w:val="24"/>
        </w:rPr>
        <w:tab/>
        <w:t xml:space="preserve">The OMB number will be displayed in the PRA section of the notice of final rulemaking and published in the </w:t>
      </w:r>
      <w:r w:rsidRPr="004F69A6">
        <w:rPr>
          <w:i/>
          <w:sz w:val="24"/>
          <w:szCs w:val="24"/>
        </w:rPr>
        <w:t>Federal Register</w:t>
      </w:r>
      <w:r w:rsidR="0033576F">
        <w:rPr>
          <w:sz w:val="24"/>
          <w:szCs w:val="24"/>
        </w:rPr>
        <w:t xml:space="preserve"> and all </w:t>
      </w:r>
      <w:r w:rsidR="00E27052">
        <w:rPr>
          <w:sz w:val="24"/>
          <w:szCs w:val="24"/>
        </w:rPr>
        <w:t>appropriate</w:t>
      </w:r>
      <w:r w:rsidR="0033576F">
        <w:rPr>
          <w:sz w:val="24"/>
          <w:szCs w:val="24"/>
        </w:rPr>
        <w:t xml:space="preserve"> forms and instructions </w:t>
      </w:r>
      <w:r w:rsidR="00877BEF">
        <w:rPr>
          <w:sz w:val="24"/>
          <w:szCs w:val="24"/>
        </w:rPr>
        <w:t xml:space="preserve">and guidance documents </w:t>
      </w:r>
      <w:r w:rsidR="0033576F">
        <w:rPr>
          <w:sz w:val="24"/>
          <w:szCs w:val="24"/>
        </w:rPr>
        <w:t>for collection this information.</w:t>
      </w:r>
      <w:r>
        <w:rPr>
          <w:sz w:val="24"/>
          <w:szCs w:val="24"/>
        </w:rPr>
        <w:t xml:space="preserve"> Further, the OMB control number and expiration date will be displayed on the Federal government’s electronic PRA docket at </w:t>
      </w:r>
      <w:r w:rsidRPr="00BD5991">
        <w:rPr>
          <w:sz w:val="24"/>
          <w:szCs w:val="24"/>
        </w:rPr>
        <w:t>www.reginfo.gov</w:t>
      </w:r>
      <w:r>
        <w:rPr>
          <w:sz w:val="24"/>
          <w:szCs w:val="24"/>
        </w:rPr>
        <w:t>.</w:t>
      </w:r>
    </w:p>
    <w:p w14:paraId="42554BB8" w14:textId="77777777" w:rsidR="00F34C88" w:rsidRPr="00BC5C20" w:rsidRDefault="00F34C88" w:rsidP="00F34C88">
      <w:pPr>
        <w:rPr>
          <w:sz w:val="24"/>
          <w:szCs w:val="24"/>
        </w:rPr>
      </w:pPr>
    </w:p>
    <w:p w14:paraId="5D46B546" w14:textId="77777777" w:rsidR="00F34C88" w:rsidRPr="00BC5C20"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r w:rsidRPr="00BC5C20">
        <w:rPr>
          <w:b/>
          <w:bCs/>
          <w:sz w:val="24"/>
          <w:szCs w:val="24"/>
        </w:rPr>
        <w:t xml:space="preserve">18.  </w:t>
      </w:r>
      <w:r w:rsidRPr="00BC5C20">
        <w:rPr>
          <w:b/>
          <w:bCs/>
          <w:sz w:val="24"/>
          <w:szCs w:val="24"/>
          <w:u w:val="single"/>
        </w:rPr>
        <w:t>Exceptions to the Certification Requirement</w:t>
      </w:r>
    </w:p>
    <w:p w14:paraId="7CA519B0" w14:textId="77777777" w:rsidR="00F34C88" w:rsidRPr="00BC5C20" w:rsidRDefault="00F34C88" w:rsidP="00F34C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12C3AF" w14:textId="281BCEAE" w:rsidR="00623BD8" w:rsidRPr="00850FFE" w:rsidRDefault="00F34C88" w:rsidP="00850FFE">
      <w:pPr>
        <w:rPr>
          <w:sz w:val="24"/>
          <w:szCs w:val="24"/>
        </w:rPr>
      </w:pPr>
      <w:r>
        <w:rPr>
          <w:sz w:val="24"/>
          <w:szCs w:val="24"/>
        </w:rPr>
        <w:tab/>
        <w:t xml:space="preserve">The Bureau certifies that this collection of information is consistent with the requirements </w:t>
      </w:r>
      <w:r w:rsidR="007F487C">
        <w:rPr>
          <w:sz w:val="24"/>
          <w:szCs w:val="24"/>
        </w:rPr>
        <w:t xml:space="preserve">of </w:t>
      </w:r>
      <w:r w:rsidR="007F487C" w:rsidRPr="00477A06">
        <w:rPr>
          <w:sz w:val="24"/>
          <w:szCs w:val="24"/>
        </w:rPr>
        <w:t>5</w:t>
      </w:r>
      <w:r w:rsidRPr="002B5F87">
        <w:rPr>
          <w:sz w:val="24"/>
          <w:szCs w:val="24"/>
        </w:rPr>
        <w:t xml:space="preserve"> CFR 1320.9, and the related provisions of 5 CFR 1320.8(b)(3)</w:t>
      </w:r>
      <w:r>
        <w:rPr>
          <w:sz w:val="24"/>
          <w:szCs w:val="24"/>
        </w:rPr>
        <w:t xml:space="preserve"> and is not seeking an exemption to these certification requirements.</w:t>
      </w:r>
    </w:p>
    <w:sectPr w:rsidR="00623BD8" w:rsidRPr="00850FFE">
      <w:headerReference w:type="default" r:id="rId12"/>
      <w:footerReference w:type="defaul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C260C" w14:textId="77777777" w:rsidR="00665561" w:rsidRDefault="00665561" w:rsidP="001B6C4B">
      <w:r>
        <w:separator/>
      </w:r>
    </w:p>
  </w:endnote>
  <w:endnote w:type="continuationSeparator" w:id="0">
    <w:p w14:paraId="6D6F1897" w14:textId="77777777" w:rsidR="00665561" w:rsidRDefault="00665561" w:rsidP="001B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643947"/>
      <w:docPartObj>
        <w:docPartGallery w:val="Page Numbers (Bottom of Page)"/>
        <w:docPartUnique/>
      </w:docPartObj>
    </w:sdtPr>
    <w:sdtEndPr/>
    <w:sdtContent>
      <w:sdt>
        <w:sdtPr>
          <w:id w:val="860082579"/>
          <w:docPartObj>
            <w:docPartGallery w:val="Page Numbers (Top of Page)"/>
            <w:docPartUnique/>
          </w:docPartObj>
        </w:sdtPr>
        <w:sdtEndPr/>
        <w:sdtContent>
          <w:p w14:paraId="57A2EC25" w14:textId="10ED986F" w:rsidR="00F363AF" w:rsidRDefault="00F363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17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17B3">
              <w:rPr>
                <w:b/>
                <w:bCs/>
                <w:noProof/>
              </w:rPr>
              <w:t>3</w:t>
            </w:r>
            <w:r>
              <w:rPr>
                <w:b/>
                <w:bCs/>
                <w:sz w:val="24"/>
                <w:szCs w:val="24"/>
              </w:rPr>
              <w:fldChar w:fldCharType="end"/>
            </w:r>
          </w:p>
        </w:sdtContent>
      </w:sdt>
    </w:sdtContent>
  </w:sdt>
  <w:p w14:paraId="204A26FA" w14:textId="77777777" w:rsidR="00F363AF" w:rsidRDefault="00F3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0E1B" w14:textId="77777777" w:rsidR="00665561" w:rsidRDefault="00665561" w:rsidP="001B6C4B">
      <w:r>
        <w:separator/>
      </w:r>
    </w:p>
  </w:footnote>
  <w:footnote w:type="continuationSeparator" w:id="0">
    <w:p w14:paraId="5647C0D9" w14:textId="77777777" w:rsidR="00665561" w:rsidRDefault="00665561" w:rsidP="001B6C4B">
      <w:r>
        <w:continuationSeparator/>
      </w:r>
    </w:p>
  </w:footnote>
  <w:footnote w:id="1">
    <w:p w14:paraId="4516FC78" w14:textId="1E5BBEB7" w:rsidR="007E0E20" w:rsidRDefault="007E0E20">
      <w:pPr>
        <w:pStyle w:val="FootnoteText"/>
      </w:pPr>
      <w:r>
        <w:rPr>
          <w:rStyle w:val="FootnoteReference"/>
        </w:rPr>
        <w:footnoteRef/>
      </w:r>
      <w:r>
        <w:t xml:space="preserve"> </w:t>
      </w:r>
      <w:r w:rsidRPr="007E0E20">
        <w:t>84 FR 20972</w:t>
      </w:r>
      <w:r>
        <w:t xml:space="preserve"> (May 13, 2019). </w:t>
      </w:r>
    </w:p>
  </w:footnote>
  <w:footnote w:id="2">
    <w:p w14:paraId="755C66F1" w14:textId="77777777" w:rsidR="0028745C" w:rsidRDefault="0028745C" w:rsidP="0028745C">
      <w:pPr>
        <w:pStyle w:val="FootnoteText"/>
      </w:pPr>
      <w:r>
        <w:rPr>
          <w:rStyle w:val="FootnoteReference"/>
        </w:rPr>
        <w:footnoteRef/>
      </w:r>
      <w:r>
        <w:t xml:space="preserve"> The Bureau reopened the comment period on certain aspects of the Proposal until October 15, 2019.  Specifically, the Bureau reopened the comment period with respect to: 1) the proposed amendments to the closed-end institutional and transactional coverage threshold, 2) the proposed amendment to the permanent open-end institutional and transactional coverage threshold, and 3) the appropriate effective date for any amendment to the closed-end institutional and transactional coverage threshold.  84 FR 37804 (Aug. 2, 2019). </w:t>
      </w:r>
    </w:p>
  </w:footnote>
  <w:footnote w:id="3">
    <w:p w14:paraId="5D412687" w14:textId="23D42F9E" w:rsidR="00F363AF" w:rsidRDefault="00F363AF">
      <w:pPr>
        <w:pStyle w:val="FootnoteText"/>
      </w:pPr>
      <w:r>
        <w:rPr>
          <w:rStyle w:val="FootnoteReference"/>
        </w:rPr>
        <w:footnoteRef/>
      </w:r>
      <w:r>
        <w:t xml:space="preserve"> An entity may be exempted from Regulation C requirements as an exempt institution described in </w:t>
      </w:r>
      <w:r>
        <w:rPr>
          <w:rFonts w:cs="Times New Roman"/>
        </w:rPr>
        <w:t>§</w:t>
      </w:r>
      <w:r>
        <w:t> 1003.3(a).</w:t>
      </w:r>
    </w:p>
  </w:footnote>
  <w:footnote w:id="4">
    <w:p w14:paraId="29BA5645" w14:textId="42B57A73" w:rsidR="00FE4885" w:rsidRDefault="00FE4885">
      <w:pPr>
        <w:pStyle w:val="FootnoteText"/>
      </w:pPr>
      <w:r>
        <w:rPr>
          <w:rStyle w:val="FootnoteReference"/>
        </w:rPr>
        <w:footnoteRef/>
      </w:r>
      <w:r>
        <w:t xml:space="preserve"> </w:t>
      </w:r>
      <w:hyperlink r:id="rId1" w:history="1">
        <w:r>
          <w:rPr>
            <w:rStyle w:val="Hyperlink"/>
          </w:rPr>
          <w:t>https://www.consumerfinance.gov/data-research/hmda/</w:t>
        </w:r>
      </w:hyperlink>
    </w:p>
  </w:footnote>
  <w:footnote w:id="5">
    <w:p w14:paraId="3145F52B" w14:textId="77777777" w:rsidR="00F40666" w:rsidRPr="00F40666" w:rsidRDefault="00F40666" w:rsidP="00F40666">
      <w:pPr>
        <w:rPr>
          <w:sz w:val="24"/>
          <w:szCs w:val="24"/>
        </w:rPr>
      </w:pPr>
      <w:r>
        <w:rPr>
          <w:rStyle w:val="FootnoteReference"/>
        </w:rPr>
        <w:footnoteRef/>
      </w:r>
      <w:r>
        <w:t xml:space="preserve"> </w:t>
      </w:r>
      <w:r w:rsidRPr="00F40666">
        <w:rPr>
          <w:sz w:val="24"/>
          <w:szCs w:val="24"/>
        </w:rPr>
        <w:t>84 FR 649, 673 (Jan. 31, 2019)</w:t>
      </w:r>
    </w:p>
    <w:p w14:paraId="49A3966F" w14:textId="57AD5FED" w:rsidR="00F40666" w:rsidRDefault="00F40666">
      <w:pPr>
        <w:pStyle w:val="FootnoteText"/>
      </w:pPr>
    </w:p>
  </w:footnote>
  <w:footnote w:id="6">
    <w:p w14:paraId="2A9FF16B" w14:textId="6A35B1B0" w:rsidR="00F363AF" w:rsidRDefault="00F363AF">
      <w:pPr>
        <w:pStyle w:val="FootnoteText"/>
      </w:pPr>
      <w:r>
        <w:rPr>
          <w:rStyle w:val="FootnoteReference"/>
        </w:rPr>
        <w:footnoteRef/>
      </w:r>
      <w:r>
        <w:t xml:space="preserve"> Home Mortgage Disclosure Act (HMDA) Data Collection, </w:t>
      </w:r>
      <w:r w:rsidRPr="00E44917">
        <w:t>https://s3.amazonaws.com/files.consumerfinance.gov/f/documents/cfpb_hmda-data-collection-pia_022018.pdf</w:t>
      </w:r>
      <w:r>
        <w:t>.</w:t>
      </w:r>
    </w:p>
  </w:footnote>
  <w:footnote w:id="7">
    <w:p w14:paraId="266401BA" w14:textId="77777777" w:rsidR="002C0211" w:rsidRDefault="002C0211" w:rsidP="002C0211">
      <w:pPr>
        <w:pStyle w:val="FootnoteText"/>
        <w:rPr>
          <w:bCs/>
        </w:rPr>
      </w:pPr>
      <w:r>
        <w:rPr>
          <w:rStyle w:val="FootnoteReference"/>
        </w:rPr>
        <w:footnoteRef/>
      </w:r>
      <w:r>
        <w:rPr>
          <w:bCs/>
        </w:rPr>
        <w:t xml:space="preserve"> </w:t>
      </w:r>
      <w:hyperlink r:id="rId2" w:history="1">
        <w:r w:rsidRPr="00CC1958">
          <w:rPr>
            <w:rStyle w:val="Hyperlink"/>
            <w:bCs/>
          </w:rPr>
          <w:t>https://www.reginfo.gov</w:t>
        </w:r>
      </w:hyperlink>
    </w:p>
    <w:p w14:paraId="65A3112A" w14:textId="77777777" w:rsidR="002C0211" w:rsidRDefault="002C0211" w:rsidP="002C0211">
      <w:pPr>
        <w:pStyle w:val="FootnoteText"/>
      </w:pPr>
    </w:p>
  </w:footnote>
  <w:footnote w:id="8">
    <w:p w14:paraId="6FCA51F6" w14:textId="4201BFBF" w:rsidR="006B5AE3" w:rsidRDefault="006B5AE3">
      <w:pPr>
        <w:pStyle w:val="FootnoteText"/>
      </w:pPr>
      <w:r>
        <w:rPr>
          <w:rStyle w:val="FootnoteReference"/>
        </w:rPr>
        <w:footnoteRef/>
      </w:r>
      <w:r>
        <w:t xml:space="preserve"> </w:t>
      </w:r>
      <w:r w:rsidR="00880F81">
        <w:t xml:space="preserve">Calculated </w:t>
      </w:r>
      <w:r>
        <w:t>using</w:t>
      </w:r>
      <w:r w:rsidR="00BA75E8">
        <w:t xml:space="preserve"> </w:t>
      </w:r>
      <w:r>
        <w:t>occupational data from the Bureau of Labor Statistics on the mean hourly wage fo</w:t>
      </w:r>
      <w:r w:rsidR="00BA75E8">
        <w:t>r</w:t>
      </w:r>
      <w:r>
        <w:t xml:space="preserve"> compliance offi</w:t>
      </w:r>
      <w:r w:rsidR="00BA75E8">
        <w:t>c</w:t>
      </w:r>
      <w:r>
        <w:t>e</w:t>
      </w:r>
      <w:r w:rsidR="00BA75E8">
        <w:t xml:space="preserve">rs in the </w:t>
      </w:r>
      <w:r w:rsidR="007F487C">
        <w:t>financial</w:t>
      </w:r>
      <w:r>
        <w:t xml:space="preserve"> service sector (occupation code 13-1041) of $34.86 per hour and assuming a “fully loaded” rate </w:t>
      </w:r>
      <w:r w:rsidR="007F487C">
        <w:t>of $</w:t>
      </w:r>
      <w:r>
        <w:t>55.</w:t>
      </w:r>
      <w:r w:rsidR="00AC10C1">
        <w:t>77.</w:t>
      </w:r>
      <w:r>
        <w:t xml:space="preserve"> BLS statistics can be found here </w:t>
      </w:r>
      <w:hyperlink r:id="rId3" w:anchor="13-0000" w:history="1">
        <w:r>
          <w:rPr>
            <w:rStyle w:val="Hyperlink"/>
          </w:rPr>
          <w:t>https://www.bls.gov/oes/current/oes_nat.htm#13-0000</w:t>
        </w:r>
      </w:hyperlink>
      <w:r w:rsidR="00587B5C">
        <w:rPr>
          <w:rStyle w:val="Hyperlink"/>
        </w:rPr>
        <w:t>.</w:t>
      </w:r>
    </w:p>
    <w:p w14:paraId="084FA06E" w14:textId="77777777" w:rsidR="00877BEF" w:rsidRDefault="00877BEF">
      <w:pPr>
        <w:pStyle w:val="FootnoteText"/>
      </w:pPr>
    </w:p>
  </w:footnote>
  <w:footnote w:id="9">
    <w:p w14:paraId="6CFE2437" w14:textId="40926254" w:rsidR="00877BEF" w:rsidRDefault="00877BEF">
      <w:pPr>
        <w:pStyle w:val="FootnoteText"/>
      </w:pPr>
      <w:r>
        <w:rPr>
          <w:rStyle w:val="FootnoteReference"/>
        </w:rPr>
        <w:footnoteRef/>
      </w:r>
      <w:r>
        <w:t xml:space="preserve"> For purposes of estimation of the time </w:t>
      </w:r>
      <w:r w:rsidR="00AC10C1">
        <w:t>burden, the</w:t>
      </w:r>
      <w:r>
        <w:t xml:space="preserve"> Bureau has disaggregated the recordkeeping, disclosure and reporting requirements, but all three tasks together </w:t>
      </w:r>
      <w:r w:rsidR="00AC10C1">
        <w:t>constitute</w:t>
      </w:r>
      <w:r>
        <w:t xml:space="preserve"> a single annual response by each respondent</w:t>
      </w:r>
      <w:r w:rsidR="00A545BE">
        <w:t>.</w:t>
      </w:r>
    </w:p>
    <w:p w14:paraId="2CE9DDB0" w14:textId="77777777" w:rsidR="00877BEF" w:rsidRDefault="00877BEF">
      <w:pPr>
        <w:pStyle w:val="FootnoteText"/>
      </w:pPr>
    </w:p>
  </w:footnote>
  <w:footnote w:id="10">
    <w:p w14:paraId="3CAE914A" w14:textId="77777777" w:rsidR="00F34C88" w:rsidRDefault="00F34C88" w:rsidP="00F34C88">
      <w:pPr>
        <w:widowControl/>
      </w:pPr>
      <w:r>
        <w:rPr>
          <w:rStyle w:val="FootnoteReference"/>
        </w:rPr>
        <w:footnoteRef/>
      </w:r>
      <w:r>
        <w:t xml:space="preserve"> </w:t>
      </w:r>
      <w:r w:rsidRPr="00755CE8">
        <w:rPr>
          <w:color w:val="000000"/>
        </w:rPr>
        <w:t xml:space="preserve">These are transcribing data, resolving reportability questions, transferring data to HMDA Management System (HMS), geocoding, standard annual edit and internal checks, researching questions, resolving question responses, checking post-submission edits, filing post-submission documents, creating public loan application register, distributing public loan application register, distributing disclosure report, using vendor HMS software, training, internal audits, external audits, exam preparation, </w:t>
      </w:r>
      <w:r>
        <w:rPr>
          <w:color w:val="000000"/>
        </w:rPr>
        <w:t xml:space="preserve">and </w:t>
      </w:r>
      <w:r w:rsidRPr="00755CE8">
        <w:rPr>
          <w:color w:val="000000"/>
        </w:rPr>
        <w:t>exam assistance.</w:t>
      </w:r>
    </w:p>
  </w:footnote>
  <w:footnote w:id="11">
    <w:p w14:paraId="7CC8B1AF" w14:textId="4C021C89" w:rsidR="00BB268D" w:rsidRDefault="00BB268D">
      <w:pPr>
        <w:pStyle w:val="FootnoteText"/>
      </w:pPr>
      <w:r>
        <w:rPr>
          <w:rStyle w:val="FootnoteReference"/>
        </w:rPr>
        <w:footnoteRef/>
      </w:r>
      <w:r>
        <w:t xml:space="preserve"> The Legal Entity Identifier is an identifier issued to the financial institution by a utility endorsed by the Global LEI Foundation or LEI Regulatory Oversight Committee.</w:t>
      </w:r>
    </w:p>
  </w:footnote>
  <w:footnote w:id="12">
    <w:p w14:paraId="759F37C3" w14:textId="638910B4" w:rsidR="00767C8A" w:rsidRDefault="00767C8A">
      <w:pPr>
        <w:pStyle w:val="FootnoteText"/>
      </w:pPr>
      <w:r>
        <w:rPr>
          <w:rStyle w:val="FootnoteReference"/>
        </w:rPr>
        <w:footnoteRef/>
      </w:r>
      <w:r>
        <w:t xml:space="preserve"> RIN 3170-AA76</w:t>
      </w:r>
      <w:r w:rsidR="00372DA3">
        <w:t xml:space="preserve"> - </w:t>
      </w:r>
      <w:r w:rsidR="00FF1721" w:rsidRPr="00FF1721">
        <w:t>https://www.consumerfinance.gov/policy-compliance/rulemaking/final-rules/home-mortgage-disclosure-regulation-c-2019-final-rule/</w:t>
      </w:r>
      <w:r w:rsidR="009927F2">
        <w:t>.</w:t>
      </w:r>
    </w:p>
  </w:footnote>
  <w:footnote w:id="13">
    <w:p w14:paraId="58C5BA12" w14:textId="5451DC9B" w:rsidR="00664259" w:rsidRDefault="00664259">
      <w:pPr>
        <w:pStyle w:val="FootnoteText"/>
      </w:pPr>
      <w:r>
        <w:rPr>
          <w:rStyle w:val="FootnoteReference"/>
        </w:rPr>
        <w:footnoteRef/>
      </w:r>
      <w:r>
        <w:t xml:space="preserve"> </w:t>
      </w:r>
      <w:r w:rsidR="00312CF8">
        <w:t xml:space="preserve">80 FR </w:t>
      </w:r>
      <w:r w:rsidR="00E47960">
        <w:t>66128, RIN 3170-AA10 (</w:t>
      </w:r>
      <w:r w:rsidR="009927F2">
        <w:t>October 28,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1FBD" w14:textId="0900D942" w:rsidR="006866CD" w:rsidRDefault="006866CD" w:rsidP="00BA1B81">
    <w:pPr>
      <w:pStyle w:val="Header"/>
      <w:jc w:val="right"/>
    </w:pPr>
    <w:r>
      <w:t xml:space="preserve">3170-0008 </w:t>
    </w:r>
    <w:r w:rsidR="00AB5073">
      <w:t>Final Rule</w:t>
    </w:r>
    <w:r>
      <w:t xml:space="preserve"> for RIN 3170-</w:t>
    </w:r>
    <w:r w:rsidR="005A7CEF">
      <w:t>AA76</w:t>
    </w:r>
    <w:r w:rsidR="00850FFE">
      <w:t xml:space="preserve"> (Rev. </w:t>
    </w:r>
    <w:r w:rsidR="00287BAF">
      <w:t>11/26/2019)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DF841CF"/>
    <w:multiLevelType w:val="hybridMultilevel"/>
    <w:tmpl w:val="C976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863B8"/>
    <w:multiLevelType w:val="hybridMultilevel"/>
    <w:tmpl w:val="DF0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B1372"/>
    <w:multiLevelType w:val="hybridMultilevel"/>
    <w:tmpl w:val="4C32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07861"/>
    <w:multiLevelType w:val="hybridMultilevel"/>
    <w:tmpl w:val="0B1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B181C"/>
    <w:multiLevelType w:val="hybridMultilevel"/>
    <w:tmpl w:val="49500B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2742408"/>
    <w:multiLevelType w:val="hybridMultilevel"/>
    <w:tmpl w:val="090A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86E41"/>
    <w:multiLevelType w:val="hybridMultilevel"/>
    <w:tmpl w:val="F74259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4B9970FD"/>
    <w:multiLevelType w:val="hybridMultilevel"/>
    <w:tmpl w:val="C964B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084A8C"/>
    <w:multiLevelType w:val="hybridMultilevel"/>
    <w:tmpl w:val="2EE45C7E"/>
    <w:lvl w:ilvl="0" w:tplc="42F40A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7271F"/>
    <w:multiLevelType w:val="hybridMultilevel"/>
    <w:tmpl w:val="1BD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443F2"/>
    <w:multiLevelType w:val="hybridMultilevel"/>
    <w:tmpl w:val="C7FE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8"/>
  </w:num>
  <w:num w:numId="5">
    <w:abstractNumId w:val="4"/>
  </w:num>
  <w:num w:numId="6">
    <w:abstractNumId w:val="10"/>
  </w:num>
  <w:num w:numId="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num>
  <w:num w:numId="9">
    <w:abstractNumId w:val="2"/>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7235"/>
    <w:rsid w:val="00010346"/>
    <w:rsid w:val="00011542"/>
    <w:rsid w:val="00014798"/>
    <w:rsid w:val="00017235"/>
    <w:rsid w:val="000174C7"/>
    <w:rsid w:val="00020471"/>
    <w:rsid w:val="000249BF"/>
    <w:rsid w:val="000256FE"/>
    <w:rsid w:val="000257C8"/>
    <w:rsid w:val="00025F0B"/>
    <w:rsid w:val="000260F3"/>
    <w:rsid w:val="00026233"/>
    <w:rsid w:val="000268F9"/>
    <w:rsid w:val="000313FE"/>
    <w:rsid w:val="00037863"/>
    <w:rsid w:val="00040258"/>
    <w:rsid w:val="00045768"/>
    <w:rsid w:val="00050EA6"/>
    <w:rsid w:val="00053481"/>
    <w:rsid w:val="00056299"/>
    <w:rsid w:val="00057904"/>
    <w:rsid w:val="00063AC0"/>
    <w:rsid w:val="000663DF"/>
    <w:rsid w:val="00067D60"/>
    <w:rsid w:val="00067D6F"/>
    <w:rsid w:val="00071E8A"/>
    <w:rsid w:val="00073A88"/>
    <w:rsid w:val="00073EC3"/>
    <w:rsid w:val="00073F8E"/>
    <w:rsid w:val="0007778F"/>
    <w:rsid w:val="000804A5"/>
    <w:rsid w:val="0009104A"/>
    <w:rsid w:val="000917B3"/>
    <w:rsid w:val="00093C4E"/>
    <w:rsid w:val="000941AE"/>
    <w:rsid w:val="00094ACB"/>
    <w:rsid w:val="000956DC"/>
    <w:rsid w:val="000A04C1"/>
    <w:rsid w:val="000A1E0C"/>
    <w:rsid w:val="000A5964"/>
    <w:rsid w:val="000A63D2"/>
    <w:rsid w:val="000A72B4"/>
    <w:rsid w:val="000B0A1A"/>
    <w:rsid w:val="000B1A90"/>
    <w:rsid w:val="000B215D"/>
    <w:rsid w:val="000B3C08"/>
    <w:rsid w:val="000B798A"/>
    <w:rsid w:val="000B7C41"/>
    <w:rsid w:val="000C234D"/>
    <w:rsid w:val="000C2B38"/>
    <w:rsid w:val="000C6CCF"/>
    <w:rsid w:val="000D2F9C"/>
    <w:rsid w:val="000F1730"/>
    <w:rsid w:val="000F1C17"/>
    <w:rsid w:val="000F2370"/>
    <w:rsid w:val="000F3AF1"/>
    <w:rsid w:val="000F4A88"/>
    <w:rsid w:val="000F4C21"/>
    <w:rsid w:val="001019E7"/>
    <w:rsid w:val="00102491"/>
    <w:rsid w:val="00105129"/>
    <w:rsid w:val="00107573"/>
    <w:rsid w:val="00107BF5"/>
    <w:rsid w:val="00110A5D"/>
    <w:rsid w:val="00112342"/>
    <w:rsid w:val="0011449C"/>
    <w:rsid w:val="001145D0"/>
    <w:rsid w:val="0011516D"/>
    <w:rsid w:val="0012209F"/>
    <w:rsid w:val="00124E3A"/>
    <w:rsid w:val="0012649F"/>
    <w:rsid w:val="00126674"/>
    <w:rsid w:val="001271AB"/>
    <w:rsid w:val="001277B3"/>
    <w:rsid w:val="0013063F"/>
    <w:rsid w:val="001319F8"/>
    <w:rsid w:val="001320E5"/>
    <w:rsid w:val="001329F5"/>
    <w:rsid w:val="001401EE"/>
    <w:rsid w:val="00142683"/>
    <w:rsid w:val="00142968"/>
    <w:rsid w:val="00153F47"/>
    <w:rsid w:val="00162B02"/>
    <w:rsid w:val="001708A5"/>
    <w:rsid w:val="00170D22"/>
    <w:rsid w:val="0017159A"/>
    <w:rsid w:val="00171D53"/>
    <w:rsid w:val="00172076"/>
    <w:rsid w:val="00173C62"/>
    <w:rsid w:val="00177E49"/>
    <w:rsid w:val="00184FF3"/>
    <w:rsid w:val="00185499"/>
    <w:rsid w:val="001854C4"/>
    <w:rsid w:val="00186B35"/>
    <w:rsid w:val="00187384"/>
    <w:rsid w:val="00187D9C"/>
    <w:rsid w:val="0019203F"/>
    <w:rsid w:val="001970BB"/>
    <w:rsid w:val="001A12E5"/>
    <w:rsid w:val="001A18D0"/>
    <w:rsid w:val="001B024E"/>
    <w:rsid w:val="001B1850"/>
    <w:rsid w:val="001B331C"/>
    <w:rsid w:val="001B3C6F"/>
    <w:rsid w:val="001B6C4B"/>
    <w:rsid w:val="001B72F7"/>
    <w:rsid w:val="001C2FF5"/>
    <w:rsid w:val="001C5B77"/>
    <w:rsid w:val="001C65D1"/>
    <w:rsid w:val="001C6838"/>
    <w:rsid w:val="001C75CF"/>
    <w:rsid w:val="001C7E93"/>
    <w:rsid w:val="001D0102"/>
    <w:rsid w:val="001D15AD"/>
    <w:rsid w:val="001D3995"/>
    <w:rsid w:val="001D4547"/>
    <w:rsid w:val="001D530F"/>
    <w:rsid w:val="001E196C"/>
    <w:rsid w:val="001E1A3F"/>
    <w:rsid w:val="001E26B9"/>
    <w:rsid w:val="001E4BEB"/>
    <w:rsid w:val="001E56E0"/>
    <w:rsid w:val="001E5C50"/>
    <w:rsid w:val="001E6253"/>
    <w:rsid w:val="001E776E"/>
    <w:rsid w:val="001F068D"/>
    <w:rsid w:val="001F260E"/>
    <w:rsid w:val="001F5880"/>
    <w:rsid w:val="001F717A"/>
    <w:rsid w:val="001F78B4"/>
    <w:rsid w:val="001F7A29"/>
    <w:rsid w:val="001F7B53"/>
    <w:rsid w:val="00211BEB"/>
    <w:rsid w:val="002120E6"/>
    <w:rsid w:val="002125BD"/>
    <w:rsid w:val="00212EC4"/>
    <w:rsid w:val="00213039"/>
    <w:rsid w:val="00214480"/>
    <w:rsid w:val="00214BB7"/>
    <w:rsid w:val="0021592D"/>
    <w:rsid w:val="00217A1E"/>
    <w:rsid w:val="0022040E"/>
    <w:rsid w:val="00220D79"/>
    <w:rsid w:val="002233BB"/>
    <w:rsid w:val="00224B55"/>
    <w:rsid w:val="0022623B"/>
    <w:rsid w:val="00230481"/>
    <w:rsid w:val="00233D26"/>
    <w:rsid w:val="00236A0C"/>
    <w:rsid w:val="00240701"/>
    <w:rsid w:val="00245E32"/>
    <w:rsid w:val="00246C6E"/>
    <w:rsid w:val="002503F8"/>
    <w:rsid w:val="00251C82"/>
    <w:rsid w:val="00254074"/>
    <w:rsid w:val="002551C3"/>
    <w:rsid w:val="002602C5"/>
    <w:rsid w:val="00264288"/>
    <w:rsid w:val="00273714"/>
    <w:rsid w:val="002840F1"/>
    <w:rsid w:val="00284504"/>
    <w:rsid w:val="0028650A"/>
    <w:rsid w:val="0028745C"/>
    <w:rsid w:val="00287BAF"/>
    <w:rsid w:val="00295103"/>
    <w:rsid w:val="002A0D03"/>
    <w:rsid w:val="002A0D33"/>
    <w:rsid w:val="002A181F"/>
    <w:rsid w:val="002A3B31"/>
    <w:rsid w:val="002A4238"/>
    <w:rsid w:val="002A6F92"/>
    <w:rsid w:val="002A7E6F"/>
    <w:rsid w:val="002B030E"/>
    <w:rsid w:val="002B17A2"/>
    <w:rsid w:val="002C0211"/>
    <w:rsid w:val="002C0417"/>
    <w:rsid w:val="002C35CE"/>
    <w:rsid w:val="002C4830"/>
    <w:rsid w:val="002C5787"/>
    <w:rsid w:val="002D2297"/>
    <w:rsid w:val="002D774D"/>
    <w:rsid w:val="002E1B16"/>
    <w:rsid w:val="002E22B1"/>
    <w:rsid w:val="002E238A"/>
    <w:rsid w:val="002E3CCA"/>
    <w:rsid w:val="002E504F"/>
    <w:rsid w:val="002F1518"/>
    <w:rsid w:val="002F154C"/>
    <w:rsid w:val="002F6AE9"/>
    <w:rsid w:val="002F6E0F"/>
    <w:rsid w:val="002F716A"/>
    <w:rsid w:val="003032F7"/>
    <w:rsid w:val="003051F1"/>
    <w:rsid w:val="00310AD2"/>
    <w:rsid w:val="00312CF8"/>
    <w:rsid w:val="00315175"/>
    <w:rsid w:val="00316C69"/>
    <w:rsid w:val="00317168"/>
    <w:rsid w:val="00317C77"/>
    <w:rsid w:val="00320531"/>
    <w:rsid w:val="00320D46"/>
    <w:rsid w:val="003262A6"/>
    <w:rsid w:val="0032711F"/>
    <w:rsid w:val="00327318"/>
    <w:rsid w:val="00330ED9"/>
    <w:rsid w:val="0033576F"/>
    <w:rsid w:val="003368A7"/>
    <w:rsid w:val="003368A9"/>
    <w:rsid w:val="0034016C"/>
    <w:rsid w:val="00345341"/>
    <w:rsid w:val="003518E9"/>
    <w:rsid w:val="00352210"/>
    <w:rsid w:val="003552AD"/>
    <w:rsid w:val="003576B8"/>
    <w:rsid w:val="003626FA"/>
    <w:rsid w:val="00365DB6"/>
    <w:rsid w:val="00371B07"/>
    <w:rsid w:val="00371CFD"/>
    <w:rsid w:val="003726F9"/>
    <w:rsid w:val="00372DA3"/>
    <w:rsid w:val="0037385C"/>
    <w:rsid w:val="00374425"/>
    <w:rsid w:val="003802D3"/>
    <w:rsid w:val="00380B97"/>
    <w:rsid w:val="003814A1"/>
    <w:rsid w:val="0038533F"/>
    <w:rsid w:val="00385842"/>
    <w:rsid w:val="00387F88"/>
    <w:rsid w:val="003903F7"/>
    <w:rsid w:val="00390BEC"/>
    <w:rsid w:val="00392684"/>
    <w:rsid w:val="00393A31"/>
    <w:rsid w:val="00396E77"/>
    <w:rsid w:val="00396F19"/>
    <w:rsid w:val="003A26F7"/>
    <w:rsid w:val="003A5EA5"/>
    <w:rsid w:val="003A7529"/>
    <w:rsid w:val="003B4DA3"/>
    <w:rsid w:val="003C3186"/>
    <w:rsid w:val="003C3292"/>
    <w:rsid w:val="003C39FE"/>
    <w:rsid w:val="003D0827"/>
    <w:rsid w:val="003D1816"/>
    <w:rsid w:val="003D1C6D"/>
    <w:rsid w:val="003D23AA"/>
    <w:rsid w:val="003D288D"/>
    <w:rsid w:val="003D3979"/>
    <w:rsid w:val="003D5764"/>
    <w:rsid w:val="003D5CDB"/>
    <w:rsid w:val="003D6367"/>
    <w:rsid w:val="003E06FB"/>
    <w:rsid w:val="003E7C84"/>
    <w:rsid w:val="003F0176"/>
    <w:rsid w:val="003F1CFC"/>
    <w:rsid w:val="003F25C3"/>
    <w:rsid w:val="003F4912"/>
    <w:rsid w:val="003F5982"/>
    <w:rsid w:val="003F7D57"/>
    <w:rsid w:val="004028A4"/>
    <w:rsid w:val="00403009"/>
    <w:rsid w:val="00403092"/>
    <w:rsid w:val="004031F7"/>
    <w:rsid w:val="0040611F"/>
    <w:rsid w:val="00406BCF"/>
    <w:rsid w:val="00411E19"/>
    <w:rsid w:val="00413689"/>
    <w:rsid w:val="00413FC2"/>
    <w:rsid w:val="004244BA"/>
    <w:rsid w:val="00427BE7"/>
    <w:rsid w:val="004302D0"/>
    <w:rsid w:val="00432303"/>
    <w:rsid w:val="00436F74"/>
    <w:rsid w:val="00436FB4"/>
    <w:rsid w:val="00444133"/>
    <w:rsid w:val="0045443C"/>
    <w:rsid w:val="00455F87"/>
    <w:rsid w:val="00456163"/>
    <w:rsid w:val="00457C54"/>
    <w:rsid w:val="004668F6"/>
    <w:rsid w:val="004677F0"/>
    <w:rsid w:val="004678E0"/>
    <w:rsid w:val="004702F0"/>
    <w:rsid w:val="004719C0"/>
    <w:rsid w:val="0048092E"/>
    <w:rsid w:val="00486B86"/>
    <w:rsid w:val="00486D75"/>
    <w:rsid w:val="00492A42"/>
    <w:rsid w:val="00492ACF"/>
    <w:rsid w:val="00497F08"/>
    <w:rsid w:val="004A0214"/>
    <w:rsid w:val="004A1BA4"/>
    <w:rsid w:val="004A2A9E"/>
    <w:rsid w:val="004A2F30"/>
    <w:rsid w:val="004A6DFA"/>
    <w:rsid w:val="004A7ECE"/>
    <w:rsid w:val="004B2C9D"/>
    <w:rsid w:val="004B5C7D"/>
    <w:rsid w:val="004C7D40"/>
    <w:rsid w:val="004D2773"/>
    <w:rsid w:val="004D2B9A"/>
    <w:rsid w:val="004E115D"/>
    <w:rsid w:val="004E38CA"/>
    <w:rsid w:val="004E4474"/>
    <w:rsid w:val="004E4570"/>
    <w:rsid w:val="004F1CE4"/>
    <w:rsid w:val="004F3049"/>
    <w:rsid w:val="004F69A6"/>
    <w:rsid w:val="004F6DC6"/>
    <w:rsid w:val="00500991"/>
    <w:rsid w:val="00502FE2"/>
    <w:rsid w:val="00503F49"/>
    <w:rsid w:val="00505882"/>
    <w:rsid w:val="00506417"/>
    <w:rsid w:val="0051081D"/>
    <w:rsid w:val="00511603"/>
    <w:rsid w:val="00512E72"/>
    <w:rsid w:val="00513104"/>
    <w:rsid w:val="00522F89"/>
    <w:rsid w:val="005249E6"/>
    <w:rsid w:val="00525467"/>
    <w:rsid w:val="00527E6D"/>
    <w:rsid w:val="00530ADF"/>
    <w:rsid w:val="00531716"/>
    <w:rsid w:val="0053180C"/>
    <w:rsid w:val="0053212E"/>
    <w:rsid w:val="005333F3"/>
    <w:rsid w:val="00540F0C"/>
    <w:rsid w:val="00541A02"/>
    <w:rsid w:val="00542184"/>
    <w:rsid w:val="00542359"/>
    <w:rsid w:val="00542D2E"/>
    <w:rsid w:val="005442AB"/>
    <w:rsid w:val="005459C6"/>
    <w:rsid w:val="00546F5E"/>
    <w:rsid w:val="00546F6D"/>
    <w:rsid w:val="005523C2"/>
    <w:rsid w:val="00554992"/>
    <w:rsid w:val="005563D9"/>
    <w:rsid w:val="00560383"/>
    <w:rsid w:val="00561794"/>
    <w:rsid w:val="00567AF7"/>
    <w:rsid w:val="0057677C"/>
    <w:rsid w:val="005775E9"/>
    <w:rsid w:val="00582D3C"/>
    <w:rsid w:val="00583E8D"/>
    <w:rsid w:val="00584300"/>
    <w:rsid w:val="00587B5C"/>
    <w:rsid w:val="0059171A"/>
    <w:rsid w:val="005918D6"/>
    <w:rsid w:val="0059560B"/>
    <w:rsid w:val="005957D1"/>
    <w:rsid w:val="0059592C"/>
    <w:rsid w:val="00596F64"/>
    <w:rsid w:val="00597354"/>
    <w:rsid w:val="005A18DC"/>
    <w:rsid w:val="005A3A62"/>
    <w:rsid w:val="005A3DB2"/>
    <w:rsid w:val="005A509B"/>
    <w:rsid w:val="005A7CEF"/>
    <w:rsid w:val="005C2C23"/>
    <w:rsid w:val="005C4202"/>
    <w:rsid w:val="005D089F"/>
    <w:rsid w:val="005D3942"/>
    <w:rsid w:val="005D39A7"/>
    <w:rsid w:val="005E0031"/>
    <w:rsid w:val="005E07B1"/>
    <w:rsid w:val="005E150B"/>
    <w:rsid w:val="005E2DB2"/>
    <w:rsid w:val="005E52E9"/>
    <w:rsid w:val="005F0DED"/>
    <w:rsid w:val="005F1A91"/>
    <w:rsid w:val="005F21F7"/>
    <w:rsid w:val="005F2EC1"/>
    <w:rsid w:val="005F5305"/>
    <w:rsid w:val="005F787D"/>
    <w:rsid w:val="006020A8"/>
    <w:rsid w:val="00603C98"/>
    <w:rsid w:val="0060614E"/>
    <w:rsid w:val="0060758B"/>
    <w:rsid w:val="006077C2"/>
    <w:rsid w:val="006105E9"/>
    <w:rsid w:val="00612176"/>
    <w:rsid w:val="00612AA2"/>
    <w:rsid w:val="00614AFB"/>
    <w:rsid w:val="00615EF7"/>
    <w:rsid w:val="00617697"/>
    <w:rsid w:val="00621635"/>
    <w:rsid w:val="00623BD8"/>
    <w:rsid w:val="00627D1A"/>
    <w:rsid w:val="00642199"/>
    <w:rsid w:val="00642844"/>
    <w:rsid w:val="00643F4C"/>
    <w:rsid w:val="006462ED"/>
    <w:rsid w:val="006469EE"/>
    <w:rsid w:val="006520FE"/>
    <w:rsid w:val="006544A0"/>
    <w:rsid w:val="00655B4F"/>
    <w:rsid w:val="00660F95"/>
    <w:rsid w:val="00661A64"/>
    <w:rsid w:val="00661AD3"/>
    <w:rsid w:val="00664259"/>
    <w:rsid w:val="00665561"/>
    <w:rsid w:val="00666609"/>
    <w:rsid w:val="00666DEC"/>
    <w:rsid w:val="00667D7D"/>
    <w:rsid w:val="006706B3"/>
    <w:rsid w:val="00671947"/>
    <w:rsid w:val="00672A95"/>
    <w:rsid w:val="00673BE4"/>
    <w:rsid w:val="00674097"/>
    <w:rsid w:val="00676449"/>
    <w:rsid w:val="006773ED"/>
    <w:rsid w:val="006803D5"/>
    <w:rsid w:val="00681411"/>
    <w:rsid w:val="00681FF5"/>
    <w:rsid w:val="00685E9A"/>
    <w:rsid w:val="006866CD"/>
    <w:rsid w:val="006931F7"/>
    <w:rsid w:val="006945D7"/>
    <w:rsid w:val="006A5565"/>
    <w:rsid w:val="006A7E18"/>
    <w:rsid w:val="006B0554"/>
    <w:rsid w:val="006B1162"/>
    <w:rsid w:val="006B19DB"/>
    <w:rsid w:val="006B1AF6"/>
    <w:rsid w:val="006B5076"/>
    <w:rsid w:val="006B5AE3"/>
    <w:rsid w:val="006B63FC"/>
    <w:rsid w:val="006B79A8"/>
    <w:rsid w:val="006B7C36"/>
    <w:rsid w:val="006B7EB3"/>
    <w:rsid w:val="006C3D57"/>
    <w:rsid w:val="006C4996"/>
    <w:rsid w:val="006C6500"/>
    <w:rsid w:val="006D1EA3"/>
    <w:rsid w:val="006D4B63"/>
    <w:rsid w:val="006D4D02"/>
    <w:rsid w:val="006E043B"/>
    <w:rsid w:val="006E0FA5"/>
    <w:rsid w:val="006E1191"/>
    <w:rsid w:val="006E208E"/>
    <w:rsid w:val="006E339F"/>
    <w:rsid w:val="006E4A7E"/>
    <w:rsid w:val="006E5379"/>
    <w:rsid w:val="006E5B8A"/>
    <w:rsid w:val="006E6D3B"/>
    <w:rsid w:val="006F19B1"/>
    <w:rsid w:val="006F3D23"/>
    <w:rsid w:val="006F4192"/>
    <w:rsid w:val="006F6D56"/>
    <w:rsid w:val="006F76DB"/>
    <w:rsid w:val="006F7B5A"/>
    <w:rsid w:val="00701596"/>
    <w:rsid w:val="00701C0C"/>
    <w:rsid w:val="0070245F"/>
    <w:rsid w:val="007046AF"/>
    <w:rsid w:val="007051ED"/>
    <w:rsid w:val="007064F7"/>
    <w:rsid w:val="0071145A"/>
    <w:rsid w:val="00717EB5"/>
    <w:rsid w:val="007203FB"/>
    <w:rsid w:val="00720713"/>
    <w:rsid w:val="007249B0"/>
    <w:rsid w:val="00724B1A"/>
    <w:rsid w:val="00730122"/>
    <w:rsid w:val="00730D40"/>
    <w:rsid w:val="00732F43"/>
    <w:rsid w:val="0073379C"/>
    <w:rsid w:val="0073479B"/>
    <w:rsid w:val="00735596"/>
    <w:rsid w:val="00740446"/>
    <w:rsid w:val="0074370F"/>
    <w:rsid w:val="00743D2E"/>
    <w:rsid w:val="00751AB7"/>
    <w:rsid w:val="007545CB"/>
    <w:rsid w:val="00754B9A"/>
    <w:rsid w:val="00755CE8"/>
    <w:rsid w:val="00756C25"/>
    <w:rsid w:val="00756F93"/>
    <w:rsid w:val="007604FC"/>
    <w:rsid w:val="00760907"/>
    <w:rsid w:val="00760992"/>
    <w:rsid w:val="007621C7"/>
    <w:rsid w:val="00762AF1"/>
    <w:rsid w:val="007633E1"/>
    <w:rsid w:val="00763F2C"/>
    <w:rsid w:val="00767C8A"/>
    <w:rsid w:val="007709AF"/>
    <w:rsid w:val="00771332"/>
    <w:rsid w:val="00772AFF"/>
    <w:rsid w:val="00774C9E"/>
    <w:rsid w:val="007828ED"/>
    <w:rsid w:val="007851E9"/>
    <w:rsid w:val="00797990"/>
    <w:rsid w:val="007A1D87"/>
    <w:rsid w:val="007A5DD6"/>
    <w:rsid w:val="007B2333"/>
    <w:rsid w:val="007B55A4"/>
    <w:rsid w:val="007B70DA"/>
    <w:rsid w:val="007B72F1"/>
    <w:rsid w:val="007C2656"/>
    <w:rsid w:val="007C3C06"/>
    <w:rsid w:val="007C461E"/>
    <w:rsid w:val="007C4799"/>
    <w:rsid w:val="007C6EC0"/>
    <w:rsid w:val="007D06CB"/>
    <w:rsid w:val="007D20FA"/>
    <w:rsid w:val="007D2418"/>
    <w:rsid w:val="007D40B5"/>
    <w:rsid w:val="007D479D"/>
    <w:rsid w:val="007D63C2"/>
    <w:rsid w:val="007D7339"/>
    <w:rsid w:val="007E0E20"/>
    <w:rsid w:val="007E21B5"/>
    <w:rsid w:val="007E7BBD"/>
    <w:rsid w:val="007F07E3"/>
    <w:rsid w:val="007F487C"/>
    <w:rsid w:val="007F4D80"/>
    <w:rsid w:val="008119BC"/>
    <w:rsid w:val="0081259F"/>
    <w:rsid w:val="00813474"/>
    <w:rsid w:val="00815E2B"/>
    <w:rsid w:val="00817CE5"/>
    <w:rsid w:val="008225B6"/>
    <w:rsid w:val="00824E11"/>
    <w:rsid w:val="00824E29"/>
    <w:rsid w:val="008255CC"/>
    <w:rsid w:val="008256AF"/>
    <w:rsid w:val="00826B6A"/>
    <w:rsid w:val="008310BB"/>
    <w:rsid w:val="00832392"/>
    <w:rsid w:val="00834E4C"/>
    <w:rsid w:val="00835D7B"/>
    <w:rsid w:val="00836E35"/>
    <w:rsid w:val="008400CB"/>
    <w:rsid w:val="008411C3"/>
    <w:rsid w:val="00846017"/>
    <w:rsid w:val="00850FFE"/>
    <w:rsid w:val="008518F8"/>
    <w:rsid w:val="00851F08"/>
    <w:rsid w:val="008530D4"/>
    <w:rsid w:val="00853C08"/>
    <w:rsid w:val="00854F4B"/>
    <w:rsid w:val="008560B7"/>
    <w:rsid w:val="008575AD"/>
    <w:rsid w:val="008577AE"/>
    <w:rsid w:val="00857ADA"/>
    <w:rsid w:val="00860E6B"/>
    <w:rsid w:val="0086422E"/>
    <w:rsid w:val="00866CDE"/>
    <w:rsid w:val="00872345"/>
    <w:rsid w:val="008739B7"/>
    <w:rsid w:val="008739F4"/>
    <w:rsid w:val="00876F14"/>
    <w:rsid w:val="00876FF7"/>
    <w:rsid w:val="00877050"/>
    <w:rsid w:val="00877BEF"/>
    <w:rsid w:val="00880F81"/>
    <w:rsid w:val="0088185E"/>
    <w:rsid w:val="00883642"/>
    <w:rsid w:val="008917CB"/>
    <w:rsid w:val="008959DA"/>
    <w:rsid w:val="008A1246"/>
    <w:rsid w:val="008A6B7A"/>
    <w:rsid w:val="008B0695"/>
    <w:rsid w:val="008B47B8"/>
    <w:rsid w:val="008C0616"/>
    <w:rsid w:val="008C6842"/>
    <w:rsid w:val="008C6C28"/>
    <w:rsid w:val="008D10A0"/>
    <w:rsid w:val="008D40C2"/>
    <w:rsid w:val="008D5BF3"/>
    <w:rsid w:val="008E0B3D"/>
    <w:rsid w:val="008E4005"/>
    <w:rsid w:val="008E53E7"/>
    <w:rsid w:val="008E7373"/>
    <w:rsid w:val="008E75A4"/>
    <w:rsid w:val="008E7729"/>
    <w:rsid w:val="008F5ED2"/>
    <w:rsid w:val="008F6FE2"/>
    <w:rsid w:val="00902F1B"/>
    <w:rsid w:val="00904783"/>
    <w:rsid w:val="00906631"/>
    <w:rsid w:val="009077F2"/>
    <w:rsid w:val="00921DCD"/>
    <w:rsid w:val="00925700"/>
    <w:rsid w:val="00931BAC"/>
    <w:rsid w:val="009417C2"/>
    <w:rsid w:val="00943731"/>
    <w:rsid w:val="009440B3"/>
    <w:rsid w:val="00944C21"/>
    <w:rsid w:val="009457F9"/>
    <w:rsid w:val="00947D99"/>
    <w:rsid w:val="00950FAB"/>
    <w:rsid w:val="0095190B"/>
    <w:rsid w:val="009528F3"/>
    <w:rsid w:val="00952B47"/>
    <w:rsid w:val="00952B75"/>
    <w:rsid w:val="00952C53"/>
    <w:rsid w:val="009541F2"/>
    <w:rsid w:val="00954653"/>
    <w:rsid w:val="009609D5"/>
    <w:rsid w:val="0096100C"/>
    <w:rsid w:val="009624EA"/>
    <w:rsid w:val="00962D74"/>
    <w:rsid w:val="00967771"/>
    <w:rsid w:val="00970346"/>
    <w:rsid w:val="00971BB6"/>
    <w:rsid w:val="00973871"/>
    <w:rsid w:val="0097737A"/>
    <w:rsid w:val="00983019"/>
    <w:rsid w:val="00986E82"/>
    <w:rsid w:val="00986FE6"/>
    <w:rsid w:val="0098717F"/>
    <w:rsid w:val="00991D3B"/>
    <w:rsid w:val="009927F2"/>
    <w:rsid w:val="00994D40"/>
    <w:rsid w:val="0099621A"/>
    <w:rsid w:val="009A3991"/>
    <w:rsid w:val="009A57FF"/>
    <w:rsid w:val="009A6B07"/>
    <w:rsid w:val="009B1BBA"/>
    <w:rsid w:val="009B291A"/>
    <w:rsid w:val="009B359F"/>
    <w:rsid w:val="009B4873"/>
    <w:rsid w:val="009B6210"/>
    <w:rsid w:val="009B792A"/>
    <w:rsid w:val="009C37F2"/>
    <w:rsid w:val="009C4686"/>
    <w:rsid w:val="009C4923"/>
    <w:rsid w:val="009C4F7B"/>
    <w:rsid w:val="009C6CEF"/>
    <w:rsid w:val="009D4847"/>
    <w:rsid w:val="009D64A3"/>
    <w:rsid w:val="009E3518"/>
    <w:rsid w:val="009E48C0"/>
    <w:rsid w:val="009E4DC8"/>
    <w:rsid w:val="009E5B38"/>
    <w:rsid w:val="009E7690"/>
    <w:rsid w:val="009F4317"/>
    <w:rsid w:val="009F5377"/>
    <w:rsid w:val="009F55D3"/>
    <w:rsid w:val="009F592C"/>
    <w:rsid w:val="009F7510"/>
    <w:rsid w:val="009F7A08"/>
    <w:rsid w:val="00A01FD9"/>
    <w:rsid w:val="00A02959"/>
    <w:rsid w:val="00A03364"/>
    <w:rsid w:val="00A03E71"/>
    <w:rsid w:val="00A12CD3"/>
    <w:rsid w:val="00A139FC"/>
    <w:rsid w:val="00A1452F"/>
    <w:rsid w:val="00A16B7D"/>
    <w:rsid w:val="00A17F16"/>
    <w:rsid w:val="00A20517"/>
    <w:rsid w:val="00A336FB"/>
    <w:rsid w:val="00A34B8C"/>
    <w:rsid w:val="00A42CBF"/>
    <w:rsid w:val="00A42E50"/>
    <w:rsid w:val="00A42E85"/>
    <w:rsid w:val="00A5362A"/>
    <w:rsid w:val="00A53C3F"/>
    <w:rsid w:val="00A545BE"/>
    <w:rsid w:val="00A574EC"/>
    <w:rsid w:val="00A57523"/>
    <w:rsid w:val="00A617C1"/>
    <w:rsid w:val="00A63673"/>
    <w:rsid w:val="00A63D47"/>
    <w:rsid w:val="00A65C3A"/>
    <w:rsid w:val="00A71F84"/>
    <w:rsid w:val="00A743BA"/>
    <w:rsid w:val="00A8421F"/>
    <w:rsid w:val="00A8423C"/>
    <w:rsid w:val="00A87E7E"/>
    <w:rsid w:val="00A911F0"/>
    <w:rsid w:val="00A92C81"/>
    <w:rsid w:val="00A93577"/>
    <w:rsid w:val="00AA3434"/>
    <w:rsid w:val="00AA4009"/>
    <w:rsid w:val="00AB0F24"/>
    <w:rsid w:val="00AB1CB5"/>
    <w:rsid w:val="00AB5073"/>
    <w:rsid w:val="00AB6121"/>
    <w:rsid w:val="00AC10C1"/>
    <w:rsid w:val="00AC2A8E"/>
    <w:rsid w:val="00AC4114"/>
    <w:rsid w:val="00AC633D"/>
    <w:rsid w:val="00AD2FD8"/>
    <w:rsid w:val="00AD37CC"/>
    <w:rsid w:val="00AD552A"/>
    <w:rsid w:val="00AD583F"/>
    <w:rsid w:val="00AD6E0E"/>
    <w:rsid w:val="00AE2E77"/>
    <w:rsid w:val="00AE496A"/>
    <w:rsid w:val="00AE623C"/>
    <w:rsid w:val="00AF09E0"/>
    <w:rsid w:val="00AF2AF8"/>
    <w:rsid w:val="00AF3D72"/>
    <w:rsid w:val="00AF5D5C"/>
    <w:rsid w:val="00AF68BA"/>
    <w:rsid w:val="00AF7C50"/>
    <w:rsid w:val="00B008AE"/>
    <w:rsid w:val="00B00C0E"/>
    <w:rsid w:val="00B011A9"/>
    <w:rsid w:val="00B026C1"/>
    <w:rsid w:val="00B03EA7"/>
    <w:rsid w:val="00B0469E"/>
    <w:rsid w:val="00B04C71"/>
    <w:rsid w:val="00B056F7"/>
    <w:rsid w:val="00B05C18"/>
    <w:rsid w:val="00B06176"/>
    <w:rsid w:val="00B06D90"/>
    <w:rsid w:val="00B10AF3"/>
    <w:rsid w:val="00B211C8"/>
    <w:rsid w:val="00B21480"/>
    <w:rsid w:val="00B224A4"/>
    <w:rsid w:val="00B24901"/>
    <w:rsid w:val="00B24B5E"/>
    <w:rsid w:val="00B3086E"/>
    <w:rsid w:val="00B32175"/>
    <w:rsid w:val="00B37B8B"/>
    <w:rsid w:val="00B40233"/>
    <w:rsid w:val="00B41981"/>
    <w:rsid w:val="00B42745"/>
    <w:rsid w:val="00B54812"/>
    <w:rsid w:val="00B57AD7"/>
    <w:rsid w:val="00B60947"/>
    <w:rsid w:val="00B61478"/>
    <w:rsid w:val="00B62EC8"/>
    <w:rsid w:val="00B64E60"/>
    <w:rsid w:val="00B6764C"/>
    <w:rsid w:val="00B709E5"/>
    <w:rsid w:val="00B71170"/>
    <w:rsid w:val="00B718E5"/>
    <w:rsid w:val="00B74534"/>
    <w:rsid w:val="00B7675C"/>
    <w:rsid w:val="00B777C0"/>
    <w:rsid w:val="00B77FEF"/>
    <w:rsid w:val="00B812F0"/>
    <w:rsid w:val="00B8160C"/>
    <w:rsid w:val="00B81EFE"/>
    <w:rsid w:val="00B82550"/>
    <w:rsid w:val="00B83B87"/>
    <w:rsid w:val="00B83FE0"/>
    <w:rsid w:val="00B921CF"/>
    <w:rsid w:val="00B92472"/>
    <w:rsid w:val="00B970BD"/>
    <w:rsid w:val="00BA0CC9"/>
    <w:rsid w:val="00BA1B81"/>
    <w:rsid w:val="00BA2490"/>
    <w:rsid w:val="00BA43E9"/>
    <w:rsid w:val="00BA75E8"/>
    <w:rsid w:val="00BB0ADC"/>
    <w:rsid w:val="00BB1216"/>
    <w:rsid w:val="00BB268D"/>
    <w:rsid w:val="00BB5E3A"/>
    <w:rsid w:val="00BB777E"/>
    <w:rsid w:val="00BC18DC"/>
    <w:rsid w:val="00BC496A"/>
    <w:rsid w:val="00BC5C20"/>
    <w:rsid w:val="00BC5EE2"/>
    <w:rsid w:val="00BC6241"/>
    <w:rsid w:val="00BC70B2"/>
    <w:rsid w:val="00BD5991"/>
    <w:rsid w:val="00BD7A7F"/>
    <w:rsid w:val="00BE1FB2"/>
    <w:rsid w:val="00BE2DB5"/>
    <w:rsid w:val="00BE54A7"/>
    <w:rsid w:val="00BE5EF5"/>
    <w:rsid w:val="00BF162F"/>
    <w:rsid w:val="00C0010E"/>
    <w:rsid w:val="00C07694"/>
    <w:rsid w:val="00C114AF"/>
    <w:rsid w:val="00C132C7"/>
    <w:rsid w:val="00C14337"/>
    <w:rsid w:val="00C1675E"/>
    <w:rsid w:val="00C17692"/>
    <w:rsid w:val="00C20E50"/>
    <w:rsid w:val="00C314D9"/>
    <w:rsid w:val="00C323F9"/>
    <w:rsid w:val="00C33AE1"/>
    <w:rsid w:val="00C34267"/>
    <w:rsid w:val="00C36F05"/>
    <w:rsid w:val="00C379A2"/>
    <w:rsid w:val="00C41BFD"/>
    <w:rsid w:val="00C42821"/>
    <w:rsid w:val="00C51402"/>
    <w:rsid w:val="00C516EC"/>
    <w:rsid w:val="00C518C1"/>
    <w:rsid w:val="00C604B7"/>
    <w:rsid w:val="00C645DF"/>
    <w:rsid w:val="00C7416F"/>
    <w:rsid w:val="00C744EB"/>
    <w:rsid w:val="00C75546"/>
    <w:rsid w:val="00C8185E"/>
    <w:rsid w:val="00C836E6"/>
    <w:rsid w:val="00C86FEC"/>
    <w:rsid w:val="00C9364F"/>
    <w:rsid w:val="00C9509B"/>
    <w:rsid w:val="00C95385"/>
    <w:rsid w:val="00C964ED"/>
    <w:rsid w:val="00CA42FB"/>
    <w:rsid w:val="00CA4352"/>
    <w:rsid w:val="00CA75E7"/>
    <w:rsid w:val="00CB038D"/>
    <w:rsid w:val="00CB1CBD"/>
    <w:rsid w:val="00CB43BD"/>
    <w:rsid w:val="00CC4973"/>
    <w:rsid w:val="00CC6080"/>
    <w:rsid w:val="00CD060C"/>
    <w:rsid w:val="00CD0DA3"/>
    <w:rsid w:val="00CD2EBD"/>
    <w:rsid w:val="00CD352E"/>
    <w:rsid w:val="00CD6212"/>
    <w:rsid w:val="00CE0345"/>
    <w:rsid w:val="00CE088B"/>
    <w:rsid w:val="00CE4540"/>
    <w:rsid w:val="00CE4C5E"/>
    <w:rsid w:val="00CE4E20"/>
    <w:rsid w:val="00CE643C"/>
    <w:rsid w:val="00CF0D25"/>
    <w:rsid w:val="00CF1771"/>
    <w:rsid w:val="00CF4D5D"/>
    <w:rsid w:val="00D01119"/>
    <w:rsid w:val="00D01A31"/>
    <w:rsid w:val="00D0204A"/>
    <w:rsid w:val="00D02877"/>
    <w:rsid w:val="00D02C23"/>
    <w:rsid w:val="00D034C5"/>
    <w:rsid w:val="00D04BDC"/>
    <w:rsid w:val="00D0657E"/>
    <w:rsid w:val="00D06F53"/>
    <w:rsid w:val="00D2496A"/>
    <w:rsid w:val="00D2675E"/>
    <w:rsid w:val="00D2762E"/>
    <w:rsid w:val="00D27657"/>
    <w:rsid w:val="00D313D6"/>
    <w:rsid w:val="00D31FF9"/>
    <w:rsid w:val="00D33123"/>
    <w:rsid w:val="00D36584"/>
    <w:rsid w:val="00D44BB4"/>
    <w:rsid w:val="00D451E0"/>
    <w:rsid w:val="00D45A33"/>
    <w:rsid w:val="00D51911"/>
    <w:rsid w:val="00D51DBC"/>
    <w:rsid w:val="00D55899"/>
    <w:rsid w:val="00D55E2F"/>
    <w:rsid w:val="00D63580"/>
    <w:rsid w:val="00D63860"/>
    <w:rsid w:val="00D64877"/>
    <w:rsid w:val="00D649F1"/>
    <w:rsid w:val="00D64F6B"/>
    <w:rsid w:val="00D66C4A"/>
    <w:rsid w:val="00D71EC2"/>
    <w:rsid w:val="00D72100"/>
    <w:rsid w:val="00D72220"/>
    <w:rsid w:val="00D7254D"/>
    <w:rsid w:val="00D72D2F"/>
    <w:rsid w:val="00D73184"/>
    <w:rsid w:val="00D73588"/>
    <w:rsid w:val="00D75215"/>
    <w:rsid w:val="00D84BCD"/>
    <w:rsid w:val="00D84C41"/>
    <w:rsid w:val="00D910EA"/>
    <w:rsid w:val="00D95B8A"/>
    <w:rsid w:val="00DA23C6"/>
    <w:rsid w:val="00DB0CED"/>
    <w:rsid w:val="00DB1FA3"/>
    <w:rsid w:val="00DB32EE"/>
    <w:rsid w:val="00DB3FE7"/>
    <w:rsid w:val="00DC228A"/>
    <w:rsid w:val="00DC2C8B"/>
    <w:rsid w:val="00DC34FC"/>
    <w:rsid w:val="00DC4533"/>
    <w:rsid w:val="00DD027E"/>
    <w:rsid w:val="00DD29D4"/>
    <w:rsid w:val="00DD40F1"/>
    <w:rsid w:val="00DE034B"/>
    <w:rsid w:val="00DE0EBA"/>
    <w:rsid w:val="00DE1FFE"/>
    <w:rsid w:val="00DE5563"/>
    <w:rsid w:val="00DE6F8A"/>
    <w:rsid w:val="00DE7630"/>
    <w:rsid w:val="00DF1889"/>
    <w:rsid w:val="00DF2594"/>
    <w:rsid w:val="00DF5C75"/>
    <w:rsid w:val="00DF763A"/>
    <w:rsid w:val="00E02475"/>
    <w:rsid w:val="00E04120"/>
    <w:rsid w:val="00E0485A"/>
    <w:rsid w:val="00E05BDA"/>
    <w:rsid w:val="00E0795C"/>
    <w:rsid w:val="00E134BE"/>
    <w:rsid w:val="00E1449A"/>
    <w:rsid w:val="00E146ED"/>
    <w:rsid w:val="00E14B43"/>
    <w:rsid w:val="00E171FA"/>
    <w:rsid w:val="00E20143"/>
    <w:rsid w:val="00E220FF"/>
    <w:rsid w:val="00E23C06"/>
    <w:rsid w:val="00E255C8"/>
    <w:rsid w:val="00E26913"/>
    <w:rsid w:val="00E27052"/>
    <w:rsid w:val="00E27E6A"/>
    <w:rsid w:val="00E360FF"/>
    <w:rsid w:val="00E37C83"/>
    <w:rsid w:val="00E40065"/>
    <w:rsid w:val="00E41CE7"/>
    <w:rsid w:val="00E443B0"/>
    <w:rsid w:val="00E44917"/>
    <w:rsid w:val="00E44DB0"/>
    <w:rsid w:val="00E4599C"/>
    <w:rsid w:val="00E47960"/>
    <w:rsid w:val="00E57DBE"/>
    <w:rsid w:val="00E6013B"/>
    <w:rsid w:val="00E66776"/>
    <w:rsid w:val="00E67AA9"/>
    <w:rsid w:val="00E7404E"/>
    <w:rsid w:val="00E740BA"/>
    <w:rsid w:val="00E75585"/>
    <w:rsid w:val="00E76649"/>
    <w:rsid w:val="00E80453"/>
    <w:rsid w:val="00E82D26"/>
    <w:rsid w:val="00E941BB"/>
    <w:rsid w:val="00EA271F"/>
    <w:rsid w:val="00EA4763"/>
    <w:rsid w:val="00EA6FF5"/>
    <w:rsid w:val="00EA742B"/>
    <w:rsid w:val="00EA7CD4"/>
    <w:rsid w:val="00EB12D3"/>
    <w:rsid w:val="00EB41B2"/>
    <w:rsid w:val="00EB79AD"/>
    <w:rsid w:val="00EC2F4C"/>
    <w:rsid w:val="00EC414B"/>
    <w:rsid w:val="00EC47DA"/>
    <w:rsid w:val="00EC5262"/>
    <w:rsid w:val="00EC53CD"/>
    <w:rsid w:val="00ED1AD3"/>
    <w:rsid w:val="00ED5EC6"/>
    <w:rsid w:val="00EE1AEF"/>
    <w:rsid w:val="00EE1D8E"/>
    <w:rsid w:val="00EE240B"/>
    <w:rsid w:val="00EE4A91"/>
    <w:rsid w:val="00EF0803"/>
    <w:rsid w:val="00EF3113"/>
    <w:rsid w:val="00EF6348"/>
    <w:rsid w:val="00EF6E94"/>
    <w:rsid w:val="00EF7A67"/>
    <w:rsid w:val="00EF7AAA"/>
    <w:rsid w:val="00F0231A"/>
    <w:rsid w:val="00F03861"/>
    <w:rsid w:val="00F03E08"/>
    <w:rsid w:val="00F06E73"/>
    <w:rsid w:val="00F1399F"/>
    <w:rsid w:val="00F16586"/>
    <w:rsid w:val="00F241C4"/>
    <w:rsid w:val="00F27B49"/>
    <w:rsid w:val="00F34C88"/>
    <w:rsid w:val="00F363AF"/>
    <w:rsid w:val="00F37E76"/>
    <w:rsid w:val="00F40666"/>
    <w:rsid w:val="00F4322E"/>
    <w:rsid w:val="00F44470"/>
    <w:rsid w:val="00F471CA"/>
    <w:rsid w:val="00F51CFF"/>
    <w:rsid w:val="00F527C4"/>
    <w:rsid w:val="00F536B7"/>
    <w:rsid w:val="00F5517E"/>
    <w:rsid w:val="00F554A5"/>
    <w:rsid w:val="00F57CFF"/>
    <w:rsid w:val="00F62C26"/>
    <w:rsid w:val="00F62FA4"/>
    <w:rsid w:val="00F62FC1"/>
    <w:rsid w:val="00F655A8"/>
    <w:rsid w:val="00F6567B"/>
    <w:rsid w:val="00F65764"/>
    <w:rsid w:val="00F65F2A"/>
    <w:rsid w:val="00F667DB"/>
    <w:rsid w:val="00F66BF3"/>
    <w:rsid w:val="00F73931"/>
    <w:rsid w:val="00F76617"/>
    <w:rsid w:val="00F7717B"/>
    <w:rsid w:val="00F77D8F"/>
    <w:rsid w:val="00F82B2B"/>
    <w:rsid w:val="00F82E2C"/>
    <w:rsid w:val="00F83A28"/>
    <w:rsid w:val="00F84F92"/>
    <w:rsid w:val="00F85363"/>
    <w:rsid w:val="00F87502"/>
    <w:rsid w:val="00F91E71"/>
    <w:rsid w:val="00F93FB8"/>
    <w:rsid w:val="00F94784"/>
    <w:rsid w:val="00FA21CE"/>
    <w:rsid w:val="00FA33A2"/>
    <w:rsid w:val="00FA453E"/>
    <w:rsid w:val="00FA692E"/>
    <w:rsid w:val="00FB0B1F"/>
    <w:rsid w:val="00FB2AFD"/>
    <w:rsid w:val="00FB32AC"/>
    <w:rsid w:val="00FB6A72"/>
    <w:rsid w:val="00FC0746"/>
    <w:rsid w:val="00FC415E"/>
    <w:rsid w:val="00FC78FD"/>
    <w:rsid w:val="00FC7ECD"/>
    <w:rsid w:val="00FD1C5F"/>
    <w:rsid w:val="00FD3812"/>
    <w:rsid w:val="00FD484C"/>
    <w:rsid w:val="00FD58CE"/>
    <w:rsid w:val="00FD6284"/>
    <w:rsid w:val="00FD7D87"/>
    <w:rsid w:val="00FE250B"/>
    <w:rsid w:val="00FE4836"/>
    <w:rsid w:val="00FE4885"/>
    <w:rsid w:val="00FE51E5"/>
    <w:rsid w:val="00FF104B"/>
    <w:rsid w:val="00FF1721"/>
    <w:rsid w:val="00FF4563"/>
    <w:rsid w:val="00FF60A4"/>
    <w:rsid w:val="00FF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F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CM12">
    <w:name w:val="CM12"/>
    <w:basedOn w:val="Normal"/>
    <w:next w:val="Normal"/>
    <w:uiPriority w:val="99"/>
    <w:rsid w:val="00BC5C20"/>
    <w:rPr>
      <w:sz w:val="24"/>
      <w:szCs w:val="24"/>
    </w:rPr>
  </w:style>
  <w:style w:type="paragraph" w:customStyle="1" w:styleId="Default">
    <w:name w:val="Default"/>
    <w:rsid w:val="00BC5C20"/>
    <w:pPr>
      <w:widowControl w:val="0"/>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6B5076"/>
    <w:rPr>
      <w:color w:val="0000FF"/>
      <w:u w:val="single"/>
    </w:rPr>
  </w:style>
  <w:style w:type="paragraph" w:styleId="ListParagraph">
    <w:name w:val="List Paragraph"/>
    <w:basedOn w:val="Normal"/>
    <w:uiPriority w:val="34"/>
    <w:qFormat/>
    <w:rsid w:val="006B5076"/>
    <w:pPr>
      <w:ind w:left="720"/>
    </w:pPr>
  </w:style>
  <w:style w:type="paragraph" w:customStyle="1" w:styleId="Level1">
    <w:name w:val="Level 1"/>
    <w:basedOn w:val="Normal"/>
    <w:rsid w:val="000174C7"/>
    <w:pPr>
      <w:numPr>
        <w:numId w:val="7"/>
      </w:numPr>
      <w:autoSpaceDE/>
      <w:autoSpaceDN/>
      <w:adjustRightInd/>
      <w:ind w:left="474" w:hanging="186"/>
      <w:outlineLvl w:val="0"/>
    </w:pPr>
    <w:rPr>
      <w:snapToGrid w:val="0"/>
      <w:sz w:val="24"/>
    </w:rPr>
  </w:style>
  <w:style w:type="paragraph" w:styleId="Header">
    <w:name w:val="header"/>
    <w:basedOn w:val="Normal"/>
    <w:link w:val="HeaderChar"/>
    <w:uiPriority w:val="99"/>
    <w:unhideWhenUsed/>
    <w:rsid w:val="001B6C4B"/>
    <w:pPr>
      <w:tabs>
        <w:tab w:val="center" w:pos="4680"/>
        <w:tab w:val="right" w:pos="9360"/>
      </w:tabs>
    </w:pPr>
  </w:style>
  <w:style w:type="character" w:customStyle="1" w:styleId="HeaderChar">
    <w:name w:val="Header Char"/>
    <w:basedOn w:val="DefaultParagraphFont"/>
    <w:link w:val="Header"/>
    <w:uiPriority w:val="99"/>
    <w:rsid w:val="001B6C4B"/>
    <w:rPr>
      <w:rFonts w:ascii="Times New Roman" w:hAnsi="Times New Roman"/>
    </w:rPr>
  </w:style>
  <w:style w:type="paragraph" w:styleId="Footer">
    <w:name w:val="footer"/>
    <w:basedOn w:val="Normal"/>
    <w:link w:val="FooterChar"/>
    <w:uiPriority w:val="99"/>
    <w:unhideWhenUsed/>
    <w:rsid w:val="001B6C4B"/>
    <w:pPr>
      <w:tabs>
        <w:tab w:val="center" w:pos="4680"/>
        <w:tab w:val="right" w:pos="9360"/>
      </w:tabs>
    </w:pPr>
  </w:style>
  <w:style w:type="character" w:customStyle="1" w:styleId="FooterChar">
    <w:name w:val="Footer Char"/>
    <w:basedOn w:val="DefaultParagraphFont"/>
    <w:link w:val="Footer"/>
    <w:uiPriority w:val="99"/>
    <w:rsid w:val="001B6C4B"/>
    <w:rPr>
      <w:rFonts w:ascii="Times New Roman" w:hAnsi="Times New Roman"/>
    </w:rPr>
  </w:style>
  <w:style w:type="character" w:styleId="CommentReference">
    <w:name w:val="annotation reference"/>
    <w:basedOn w:val="DefaultParagraphFont"/>
    <w:uiPriority w:val="99"/>
    <w:unhideWhenUsed/>
    <w:rsid w:val="001B6C4B"/>
    <w:rPr>
      <w:sz w:val="16"/>
      <w:szCs w:val="16"/>
    </w:rPr>
  </w:style>
  <w:style w:type="paragraph" w:styleId="CommentText">
    <w:name w:val="annotation text"/>
    <w:basedOn w:val="Normal"/>
    <w:link w:val="CommentTextChar"/>
    <w:uiPriority w:val="99"/>
    <w:unhideWhenUsed/>
    <w:rsid w:val="001B6C4B"/>
  </w:style>
  <w:style w:type="character" w:customStyle="1" w:styleId="CommentTextChar">
    <w:name w:val="Comment Text Char"/>
    <w:basedOn w:val="DefaultParagraphFont"/>
    <w:link w:val="CommentText"/>
    <w:uiPriority w:val="99"/>
    <w:rsid w:val="001B6C4B"/>
    <w:rPr>
      <w:rFonts w:ascii="Times New Roman" w:hAnsi="Times New Roman"/>
    </w:rPr>
  </w:style>
  <w:style w:type="table" w:styleId="TableGrid">
    <w:name w:val="Table Grid"/>
    <w:basedOn w:val="TableNormal"/>
    <w:uiPriority w:val="59"/>
    <w:rsid w:val="00E2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
    <w:basedOn w:val="Normal"/>
    <w:link w:val="FootnoteTextChar"/>
    <w:uiPriority w:val="99"/>
    <w:unhideWhenUsed/>
    <w:rsid w:val="00CF1771"/>
    <w:pPr>
      <w:widowControl/>
      <w:autoSpaceDE/>
      <w:autoSpaceDN/>
      <w:adjustRightInd/>
    </w:pPr>
    <w:rPr>
      <w:rFonts w:eastAsiaTheme="minorHAnsi" w:cstheme="minorBidi"/>
    </w:rPr>
  </w:style>
  <w:style w:type="character" w:customStyle="1" w:styleId="FootnoteTextChar">
    <w:name w:val="Footnote Text Char"/>
    <w:aliases w:val="Footnote Text Char1 Char,Footnote Text Char Char Char"/>
    <w:basedOn w:val="DefaultParagraphFont"/>
    <w:link w:val="FootnoteText"/>
    <w:uiPriority w:val="99"/>
    <w:semiHidden/>
    <w:rsid w:val="00CF1771"/>
    <w:rPr>
      <w:rFonts w:ascii="Times New Roman" w:eastAsiaTheme="minorHAnsi" w:hAnsi="Times New Roman" w:cstheme="minorBidi"/>
    </w:rPr>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basedOn w:val="DefaultParagraphFont"/>
    <w:uiPriority w:val="99"/>
    <w:unhideWhenUsed/>
    <w:qFormat/>
    <w:rsid w:val="00CF1771"/>
    <w:rPr>
      <w:vertAlign w:val="superscript"/>
    </w:rPr>
  </w:style>
  <w:style w:type="paragraph" w:styleId="CommentSubject">
    <w:name w:val="annotation subject"/>
    <w:basedOn w:val="CommentText"/>
    <w:next w:val="CommentText"/>
    <w:link w:val="CommentSubjectChar"/>
    <w:uiPriority w:val="99"/>
    <w:semiHidden/>
    <w:unhideWhenUsed/>
    <w:rsid w:val="00AF5D5C"/>
    <w:rPr>
      <w:b/>
      <w:bCs/>
    </w:rPr>
  </w:style>
  <w:style w:type="character" w:customStyle="1" w:styleId="CommentSubjectChar">
    <w:name w:val="Comment Subject Char"/>
    <w:basedOn w:val="CommentTextChar"/>
    <w:link w:val="CommentSubject"/>
    <w:uiPriority w:val="99"/>
    <w:semiHidden/>
    <w:rsid w:val="00AF5D5C"/>
    <w:rPr>
      <w:rFonts w:ascii="Times New Roman" w:hAnsi="Times New Roman"/>
      <w:b/>
      <w:bCs/>
    </w:rPr>
  </w:style>
  <w:style w:type="paragraph" w:styleId="Revision">
    <w:name w:val="Revision"/>
    <w:hidden/>
    <w:uiPriority w:val="99"/>
    <w:semiHidden/>
    <w:rsid w:val="004F1CE4"/>
    <w:rPr>
      <w:rFonts w:ascii="Times New Roman" w:hAnsi="Times New Roman"/>
    </w:rPr>
  </w:style>
  <w:style w:type="character" w:styleId="FollowedHyperlink">
    <w:name w:val="FollowedHyperlink"/>
    <w:basedOn w:val="DefaultParagraphFont"/>
    <w:uiPriority w:val="99"/>
    <w:semiHidden/>
    <w:unhideWhenUsed/>
    <w:rsid w:val="003F01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CM12">
    <w:name w:val="CM12"/>
    <w:basedOn w:val="Normal"/>
    <w:next w:val="Normal"/>
    <w:uiPriority w:val="99"/>
    <w:rsid w:val="00BC5C20"/>
    <w:rPr>
      <w:sz w:val="24"/>
      <w:szCs w:val="24"/>
    </w:rPr>
  </w:style>
  <w:style w:type="paragraph" w:customStyle="1" w:styleId="Default">
    <w:name w:val="Default"/>
    <w:rsid w:val="00BC5C20"/>
    <w:pPr>
      <w:widowControl w:val="0"/>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6B5076"/>
    <w:rPr>
      <w:color w:val="0000FF"/>
      <w:u w:val="single"/>
    </w:rPr>
  </w:style>
  <w:style w:type="paragraph" w:styleId="ListParagraph">
    <w:name w:val="List Paragraph"/>
    <w:basedOn w:val="Normal"/>
    <w:uiPriority w:val="34"/>
    <w:qFormat/>
    <w:rsid w:val="006B5076"/>
    <w:pPr>
      <w:ind w:left="720"/>
    </w:pPr>
  </w:style>
  <w:style w:type="paragraph" w:customStyle="1" w:styleId="Level1">
    <w:name w:val="Level 1"/>
    <w:basedOn w:val="Normal"/>
    <w:rsid w:val="000174C7"/>
    <w:pPr>
      <w:numPr>
        <w:numId w:val="7"/>
      </w:numPr>
      <w:autoSpaceDE/>
      <w:autoSpaceDN/>
      <w:adjustRightInd/>
      <w:ind w:left="474" w:hanging="186"/>
      <w:outlineLvl w:val="0"/>
    </w:pPr>
    <w:rPr>
      <w:snapToGrid w:val="0"/>
      <w:sz w:val="24"/>
    </w:rPr>
  </w:style>
  <w:style w:type="paragraph" w:styleId="Header">
    <w:name w:val="header"/>
    <w:basedOn w:val="Normal"/>
    <w:link w:val="HeaderChar"/>
    <w:uiPriority w:val="99"/>
    <w:unhideWhenUsed/>
    <w:rsid w:val="001B6C4B"/>
    <w:pPr>
      <w:tabs>
        <w:tab w:val="center" w:pos="4680"/>
        <w:tab w:val="right" w:pos="9360"/>
      </w:tabs>
    </w:pPr>
  </w:style>
  <w:style w:type="character" w:customStyle="1" w:styleId="HeaderChar">
    <w:name w:val="Header Char"/>
    <w:basedOn w:val="DefaultParagraphFont"/>
    <w:link w:val="Header"/>
    <w:uiPriority w:val="99"/>
    <w:rsid w:val="001B6C4B"/>
    <w:rPr>
      <w:rFonts w:ascii="Times New Roman" w:hAnsi="Times New Roman"/>
    </w:rPr>
  </w:style>
  <w:style w:type="paragraph" w:styleId="Footer">
    <w:name w:val="footer"/>
    <w:basedOn w:val="Normal"/>
    <w:link w:val="FooterChar"/>
    <w:uiPriority w:val="99"/>
    <w:unhideWhenUsed/>
    <w:rsid w:val="001B6C4B"/>
    <w:pPr>
      <w:tabs>
        <w:tab w:val="center" w:pos="4680"/>
        <w:tab w:val="right" w:pos="9360"/>
      </w:tabs>
    </w:pPr>
  </w:style>
  <w:style w:type="character" w:customStyle="1" w:styleId="FooterChar">
    <w:name w:val="Footer Char"/>
    <w:basedOn w:val="DefaultParagraphFont"/>
    <w:link w:val="Footer"/>
    <w:uiPriority w:val="99"/>
    <w:rsid w:val="001B6C4B"/>
    <w:rPr>
      <w:rFonts w:ascii="Times New Roman" w:hAnsi="Times New Roman"/>
    </w:rPr>
  </w:style>
  <w:style w:type="character" w:styleId="CommentReference">
    <w:name w:val="annotation reference"/>
    <w:basedOn w:val="DefaultParagraphFont"/>
    <w:uiPriority w:val="99"/>
    <w:unhideWhenUsed/>
    <w:rsid w:val="001B6C4B"/>
    <w:rPr>
      <w:sz w:val="16"/>
      <w:szCs w:val="16"/>
    </w:rPr>
  </w:style>
  <w:style w:type="paragraph" w:styleId="CommentText">
    <w:name w:val="annotation text"/>
    <w:basedOn w:val="Normal"/>
    <w:link w:val="CommentTextChar"/>
    <w:uiPriority w:val="99"/>
    <w:unhideWhenUsed/>
    <w:rsid w:val="001B6C4B"/>
  </w:style>
  <w:style w:type="character" w:customStyle="1" w:styleId="CommentTextChar">
    <w:name w:val="Comment Text Char"/>
    <w:basedOn w:val="DefaultParagraphFont"/>
    <w:link w:val="CommentText"/>
    <w:uiPriority w:val="99"/>
    <w:rsid w:val="001B6C4B"/>
    <w:rPr>
      <w:rFonts w:ascii="Times New Roman" w:hAnsi="Times New Roman"/>
    </w:rPr>
  </w:style>
  <w:style w:type="table" w:styleId="TableGrid">
    <w:name w:val="Table Grid"/>
    <w:basedOn w:val="TableNormal"/>
    <w:uiPriority w:val="59"/>
    <w:rsid w:val="00E2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
    <w:basedOn w:val="Normal"/>
    <w:link w:val="FootnoteTextChar"/>
    <w:uiPriority w:val="99"/>
    <w:unhideWhenUsed/>
    <w:rsid w:val="00CF1771"/>
    <w:pPr>
      <w:widowControl/>
      <w:autoSpaceDE/>
      <w:autoSpaceDN/>
      <w:adjustRightInd/>
    </w:pPr>
    <w:rPr>
      <w:rFonts w:eastAsiaTheme="minorHAnsi" w:cstheme="minorBidi"/>
    </w:rPr>
  </w:style>
  <w:style w:type="character" w:customStyle="1" w:styleId="FootnoteTextChar">
    <w:name w:val="Footnote Text Char"/>
    <w:aliases w:val="Footnote Text Char1 Char,Footnote Text Char Char Char"/>
    <w:basedOn w:val="DefaultParagraphFont"/>
    <w:link w:val="FootnoteText"/>
    <w:uiPriority w:val="99"/>
    <w:semiHidden/>
    <w:rsid w:val="00CF1771"/>
    <w:rPr>
      <w:rFonts w:ascii="Times New Roman" w:eastAsiaTheme="minorHAnsi" w:hAnsi="Times New Roman" w:cstheme="minorBidi"/>
    </w:rPr>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basedOn w:val="DefaultParagraphFont"/>
    <w:uiPriority w:val="99"/>
    <w:unhideWhenUsed/>
    <w:qFormat/>
    <w:rsid w:val="00CF1771"/>
    <w:rPr>
      <w:vertAlign w:val="superscript"/>
    </w:rPr>
  </w:style>
  <w:style w:type="paragraph" w:styleId="CommentSubject">
    <w:name w:val="annotation subject"/>
    <w:basedOn w:val="CommentText"/>
    <w:next w:val="CommentText"/>
    <w:link w:val="CommentSubjectChar"/>
    <w:uiPriority w:val="99"/>
    <w:semiHidden/>
    <w:unhideWhenUsed/>
    <w:rsid w:val="00AF5D5C"/>
    <w:rPr>
      <w:b/>
      <w:bCs/>
    </w:rPr>
  </w:style>
  <w:style w:type="character" w:customStyle="1" w:styleId="CommentSubjectChar">
    <w:name w:val="Comment Subject Char"/>
    <w:basedOn w:val="CommentTextChar"/>
    <w:link w:val="CommentSubject"/>
    <w:uiPriority w:val="99"/>
    <w:semiHidden/>
    <w:rsid w:val="00AF5D5C"/>
    <w:rPr>
      <w:rFonts w:ascii="Times New Roman" w:hAnsi="Times New Roman"/>
      <w:b/>
      <w:bCs/>
    </w:rPr>
  </w:style>
  <w:style w:type="paragraph" w:styleId="Revision">
    <w:name w:val="Revision"/>
    <w:hidden/>
    <w:uiPriority w:val="99"/>
    <w:semiHidden/>
    <w:rsid w:val="004F1CE4"/>
    <w:rPr>
      <w:rFonts w:ascii="Times New Roman" w:hAnsi="Times New Roman"/>
    </w:rPr>
  </w:style>
  <w:style w:type="character" w:styleId="FollowedHyperlink">
    <w:name w:val="FollowedHyperlink"/>
    <w:basedOn w:val="DefaultParagraphFont"/>
    <w:uiPriority w:val="99"/>
    <w:semiHidden/>
    <w:unhideWhenUsed/>
    <w:rsid w:val="003F01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5118">
      <w:bodyDiv w:val="1"/>
      <w:marLeft w:val="0"/>
      <w:marRight w:val="0"/>
      <w:marTop w:val="0"/>
      <w:marBottom w:val="0"/>
      <w:divBdr>
        <w:top w:val="none" w:sz="0" w:space="0" w:color="auto"/>
        <w:left w:val="none" w:sz="0" w:space="0" w:color="auto"/>
        <w:bottom w:val="none" w:sz="0" w:space="0" w:color="auto"/>
        <w:right w:val="none" w:sz="0" w:space="0" w:color="auto"/>
      </w:divBdr>
    </w:div>
    <w:div w:id="64768000">
      <w:bodyDiv w:val="1"/>
      <w:marLeft w:val="0"/>
      <w:marRight w:val="0"/>
      <w:marTop w:val="0"/>
      <w:marBottom w:val="0"/>
      <w:divBdr>
        <w:top w:val="none" w:sz="0" w:space="0" w:color="auto"/>
        <w:left w:val="none" w:sz="0" w:space="0" w:color="auto"/>
        <w:bottom w:val="none" w:sz="0" w:space="0" w:color="auto"/>
        <w:right w:val="none" w:sz="0" w:space="0" w:color="auto"/>
      </w:divBdr>
    </w:div>
    <w:div w:id="198318404">
      <w:bodyDiv w:val="1"/>
      <w:marLeft w:val="0"/>
      <w:marRight w:val="0"/>
      <w:marTop w:val="0"/>
      <w:marBottom w:val="0"/>
      <w:divBdr>
        <w:top w:val="none" w:sz="0" w:space="0" w:color="auto"/>
        <w:left w:val="none" w:sz="0" w:space="0" w:color="auto"/>
        <w:bottom w:val="none" w:sz="0" w:space="0" w:color="auto"/>
        <w:right w:val="none" w:sz="0" w:space="0" w:color="auto"/>
      </w:divBdr>
    </w:div>
    <w:div w:id="360253321">
      <w:bodyDiv w:val="1"/>
      <w:marLeft w:val="0"/>
      <w:marRight w:val="0"/>
      <w:marTop w:val="0"/>
      <w:marBottom w:val="0"/>
      <w:divBdr>
        <w:top w:val="none" w:sz="0" w:space="0" w:color="auto"/>
        <w:left w:val="none" w:sz="0" w:space="0" w:color="auto"/>
        <w:bottom w:val="none" w:sz="0" w:space="0" w:color="auto"/>
        <w:right w:val="none" w:sz="0" w:space="0" w:color="auto"/>
      </w:divBdr>
    </w:div>
    <w:div w:id="479732361">
      <w:bodyDiv w:val="1"/>
      <w:marLeft w:val="0"/>
      <w:marRight w:val="0"/>
      <w:marTop w:val="0"/>
      <w:marBottom w:val="0"/>
      <w:divBdr>
        <w:top w:val="none" w:sz="0" w:space="0" w:color="auto"/>
        <w:left w:val="none" w:sz="0" w:space="0" w:color="auto"/>
        <w:bottom w:val="none" w:sz="0" w:space="0" w:color="auto"/>
        <w:right w:val="none" w:sz="0" w:space="0" w:color="auto"/>
      </w:divBdr>
    </w:div>
    <w:div w:id="989017061">
      <w:bodyDiv w:val="1"/>
      <w:marLeft w:val="0"/>
      <w:marRight w:val="0"/>
      <w:marTop w:val="0"/>
      <w:marBottom w:val="0"/>
      <w:divBdr>
        <w:top w:val="none" w:sz="0" w:space="0" w:color="auto"/>
        <w:left w:val="none" w:sz="0" w:space="0" w:color="auto"/>
        <w:bottom w:val="none" w:sz="0" w:space="0" w:color="auto"/>
        <w:right w:val="none" w:sz="0" w:space="0" w:color="auto"/>
      </w:divBdr>
    </w:div>
    <w:div w:id="13260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_nat.htm" TargetMode="External"/><Relationship Id="rId2" Type="http://schemas.openxmlformats.org/officeDocument/2006/relationships/hyperlink" Target="https://www.reginfo.gov" TargetMode="External"/><Relationship Id="rId1" Type="http://schemas.openxmlformats.org/officeDocument/2006/relationships/hyperlink" Target="https://www.consumerfinance.gov/data-research/hm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7" ma:contentTypeDescription="Create a new document." ma:contentTypeScope="" ma:versionID="cf70b2ec05dc4fff6944da4e77536ed3">
  <xsd:schema xmlns:xsd="http://www.w3.org/2001/XMLSchema" xmlns:xs="http://www.w3.org/2001/XMLSchema" xmlns:p="http://schemas.microsoft.com/office/2006/metadata/properties" xmlns:ns3="de889ae0-8a1a-4232-9f8d-124a150fc1b6" targetNamespace="http://schemas.microsoft.com/office/2006/metadata/properties" ma:root="true" ma:fieldsID="798643c212dda6100ce175fd20d48e49" ns3:_="">
    <xsd:import namespace="de889ae0-8a1a-4232-9f8d-124a150fc1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FE7A-0E56-4D66-8E76-1E35E0EF9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8AFA0-B110-4D54-A318-70CB7D800D97}">
  <ds:schemaRefs>
    <ds:schemaRef ds:uri="http://schemas.microsoft.com/sharepoint/v3/contenttype/forms"/>
  </ds:schemaRefs>
</ds:datastoreItem>
</file>

<file path=customXml/itemProps3.xml><?xml version="1.0" encoding="utf-8"?>
<ds:datastoreItem xmlns:ds="http://schemas.openxmlformats.org/officeDocument/2006/customXml" ds:itemID="{1D684C4E-438A-4D9C-9FF5-18E5F063F5A0}">
  <ds:schemaRefs>
    <ds:schemaRef ds:uri="http://schemas.microsoft.com/office/2006/metadata/properties"/>
    <ds:schemaRef ds:uri="http://purl.org/dc/elements/1.1/"/>
    <ds:schemaRef ds:uri="http://www.w3.org/XML/1998/namespace"/>
    <ds:schemaRef ds:uri="http://purl.org/dc/dcmitype/"/>
    <ds:schemaRef ds:uri="http://purl.org/dc/terms/"/>
    <ds:schemaRef ds:uri="de889ae0-8a1a-4232-9f8d-124a150fc1b6"/>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622F355-3095-4D18-B146-AF1CF6B7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4939</Words>
  <Characters>28156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33029</CharactersWithSpaces>
  <SharedDoc>false</SharedDoc>
  <HLinks>
    <vt:vector size="6" baseType="variant">
      <vt:variant>
        <vt:i4>3014779</vt:i4>
      </vt:variant>
      <vt:variant>
        <vt:i4>2</vt:i4>
      </vt:variant>
      <vt:variant>
        <vt:i4>0</vt:i4>
      </vt:variant>
      <vt:variant>
        <vt:i4>5</vt:i4>
      </vt:variant>
      <vt:variant>
        <vt:lpwstr>http://www.reginfo.gov/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djbieniewicz</dc:creator>
  <cp:lastModifiedBy>SYSTEM</cp:lastModifiedBy>
  <cp:revision>2</cp:revision>
  <cp:lastPrinted>2019-10-15T14:54:00Z</cp:lastPrinted>
  <dcterms:created xsi:type="dcterms:W3CDTF">2019-11-27T16:38:00Z</dcterms:created>
  <dcterms:modified xsi:type="dcterms:W3CDTF">2019-11-27T16:38:00Z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ies>
</file>