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7E09B" w14:textId="0B670E1E" w:rsidR="008C54F6" w:rsidRPr="004C292F" w:rsidRDefault="008C54F6" w:rsidP="004E09E2">
      <w:pPr>
        <w:pStyle w:val="NormalWeb"/>
        <w:autoSpaceDE w:val="0"/>
        <w:autoSpaceDN w:val="0"/>
        <w:spacing w:before="0" w:beforeAutospacing="0" w:after="0" w:afterAutospacing="0" w:line="240" w:lineRule="atLeast"/>
        <w:rPr>
          <w:rFonts w:ascii="Times New Roman" w:hAnsi="Times New Roman" w:cs="Times New Roman"/>
          <w:b/>
        </w:rPr>
      </w:pPr>
      <w:bookmarkStart w:id="0" w:name="_GoBack"/>
      <w:bookmarkEnd w:id="0"/>
      <w:r w:rsidRPr="004C292F">
        <w:rPr>
          <w:rFonts w:ascii="Times New Roman" w:hAnsi="Times New Roman" w:cs="Times New Roman"/>
          <w:b/>
        </w:rPr>
        <w:t>Introduction</w:t>
      </w:r>
    </w:p>
    <w:p w14:paraId="6FF09F94" w14:textId="7E06FD72" w:rsidR="008D7D75" w:rsidRDefault="008A41DC" w:rsidP="008A41DC">
      <w:pPr>
        <w:autoSpaceDE w:val="0"/>
        <w:autoSpaceDN w:val="0"/>
        <w:spacing w:line="240" w:lineRule="atLeast"/>
        <w:rPr>
          <w:bCs/>
          <w:iCs/>
          <w:color w:val="000000"/>
        </w:rPr>
      </w:pPr>
      <w:r>
        <w:rPr>
          <w:bCs/>
          <w:color w:val="000000"/>
        </w:rPr>
        <w:t xml:space="preserve">The </w:t>
      </w:r>
      <w:r w:rsidRPr="008A41DC">
        <w:rPr>
          <w:bCs/>
          <w:color w:val="000000"/>
        </w:rPr>
        <w:t xml:space="preserve">Consumer Assessment of Healthcare Providers and Systems (CAHPS) </w:t>
      </w:r>
      <w:r>
        <w:rPr>
          <w:bCs/>
          <w:color w:val="000000"/>
        </w:rPr>
        <w:t>is developed by the</w:t>
      </w:r>
      <w:r w:rsidRPr="008A41DC">
        <w:rPr>
          <w:bCs/>
          <w:color w:val="000000"/>
        </w:rPr>
        <w:t xml:space="preserve"> Agency for Healthcare </w:t>
      </w:r>
      <w:r w:rsidRPr="003C71D6">
        <w:rPr>
          <w:bCs/>
          <w:color w:val="000000"/>
        </w:rPr>
        <w:t>Research and Quality (AHRQ)</w:t>
      </w:r>
      <w:r w:rsidR="00D87C30">
        <w:rPr>
          <w:bCs/>
          <w:color w:val="000000"/>
        </w:rPr>
        <w:t xml:space="preserve">, a division of </w:t>
      </w:r>
      <w:r w:rsidR="002B6185">
        <w:rPr>
          <w:bCs/>
          <w:color w:val="000000"/>
        </w:rPr>
        <w:t xml:space="preserve">the Department of </w:t>
      </w:r>
      <w:r w:rsidR="00D87C30">
        <w:rPr>
          <w:bCs/>
          <w:color w:val="000000"/>
        </w:rPr>
        <w:t>Health and Human Services (HHS)</w:t>
      </w:r>
      <w:r w:rsidRPr="003C71D6">
        <w:rPr>
          <w:bCs/>
          <w:color w:val="000000"/>
        </w:rPr>
        <w:t xml:space="preserve">. It is </w:t>
      </w:r>
      <w:r w:rsidR="003C71D6" w:rsidRPr="003C71D6">
        <w:rPr>
          <w:bCs/>
          <w:color w:val="000000"/>
        </w:rPr>
        <w:t>the industry standard</w:t>
      </w:r>
      <w:r w:rsidR="003C71D6">
        <w:rPr>
          <w:bCs/>
          <w:color w:val="000000"/>
        </w:rPr>
        <w:t xml:space="preserve"> for measuring patient experience and satisfaction.  CAHPS </w:t>
      </w:r>
      <w:r w:rsidR="00A6734E">
        <w:rPr>
          <w:bCs/>
          <w:color w:val="000000"/>
        </w:rPr>
        <w:t xml:space="preserve">surveys are utilized </w:t>
      </w:r>
      <w:r w:rsidRPr="003C71D6">
        <w:rPr>
          <w:bCs/>
          <w:color w:val="000000"/>
        </w:rPr>
        <w:t xml:space="preserve">by a wide variety of </w:t>
      </w:r>
      <w:r w:rsidR="003C71D6" w:rsidRPr="003C71D6">
        <w:rPr>
          <w:bCs/>
          <w:color w:val="000000"/>
        </w:rPr>
        <w:t>public programs</w:t>
      </w:r>
      <w:r w:rsidR="002B6185">
        <w:rPr>
          <w:bCs/>
          <w:color w:val="000000"/>
        </w:rPr>
        <w:t>, including</w:t>
      </w:r>
      <w:r w:rsidR="003C71D6" w:rsidRPr="003C71D6">
        <w:rPr>
          <w:bCs/>
          <w:color w:val="000000"/>
        </w:rPr>
        <w:t xml:space="preserve"> </w:t>
      </w:r>
      <w:r w:rsidR="003C71D6" w:rsidRPr="004C292F">
        <w:rPr>
          <w:bCs/>
          <w:iCs/>
          <w:color w:val="000000"/>
        </w:rPr>
        <w:t>Medicare</w:t>
      </w:r>
      <w:r w:rsidR="002B6185">
        <w:rPr>
          <w:bCs/>
          <w:iCs/>
          <w:color w:val="000000"/>
        </w:rPr>
        <w:t>,</w:t>
      </w:r>
      <w:r w:rsidR="003C71D6" w:rsidRPr="004C292F">
        <w:rPr>
          <w:bCs/>
          <w:iCs/>
          <w:color w:val="000000"/>
        </w:rPr>
        <w:t xml:space="preserve"> Medicaid, TRICARE, Veterans Affairs (VA), and states</w:t>
      </w:r>
      <w:r w:rsidR="00C339BE">
        <w:rPr>
          <w:bCs/>
          <w:iCs/>
          <w:color w:val="000000"/>
        </w:rPr>
        <w:t>.</w:t>
      </w:r>
      <w:r w:rsidR="003C71D6" w:rsidRPr="004C292F">
        <w:rPr>
          <w:bCs/>
          <w:iCs/>
          <w:color w:val="000000"/>
        </w:rPr>
        <w:t xml:space="preserve"> </w:t>
      </w:r>
      <w:r w:rsidR="00A6734E" w:rsidRPr="00A6734E">
        <w:rPr>
          <w:bCs/>
          <w:iCs/>
          <w:color w:val="000000"/>
        </w:rPr>
        <w:t>In addition, health plan accrediting bodies all require commercial health plans to conduct a CAHPS survey of their enrollees in each line of business as part of the accreditation process.</w:t>
      </w:r>
      <w:r w:rsidR="003C71D6" w:rsidRPr="004C292F">
        <w:rPr>
          <w:bCs/>
          <w:iCs/>
          <w:color w:val="000000"/>
        </w:rPr>
        <w:t> </w:t>
      </w:r>
      <w:r w:rsidR="003C71D6">
        <w:rPr>
          <w:bCs/>
          <w:iCs/>
          <w:color w:val="000000"/>
        </w:rPr>
        <w:t>The National Quality Forum is the endorsement body for healthcare quality and customer experience measures and has endorsed CAHPS</w:t>
      </w:r>
      <w:r w:rsidR="002B6185">
        <w:rPr>
          <w:bCs/>
          <w:iCs/>
          <w:color w:val="000000"/>
        </w:rPr>
        <w:t xml:space="preserve"> through its rigorous process</w:t>
      </w:r>
      <w:r w:rsidR="003C71D6">
        <w:rPr>
          <w:bCs/>
          <w:iCs/>
          <w:color w:val="000000"/>
        </w:rPr>
        <w:t xml:space="preserve">. </w:t>
      </w:r>
    </w:p>
    <w:p w14:paraId="5581FF42" w14:textId="77777777" w:rsidR="008D7D75" w:rsidRDefault="008D7D75" w:rsidP="008A41DC">
      <w:pPr>
        <w:autoSpaceDE w:val="0"/>
        <w:autoSpaceDN w:val="0"/>
        <w:spacing w:line="240" w:lineRule="atLeast"/>
        <w:rPr>
          <w:bCs/>
          <w:iCs/>
          <w:color w:val="000000"/>
        </w:rPr>
      </w:pPr>
    </w:p>
    <w:p w14:paraId="14928ADF" w14:textId="7D26D338" w:rsidR="003C71D6" w:rsidRDefault="00A6734E" w:rsidP="008A41DC">
      <w:pPr>
        <w:autoSpaceDE w:val="0"/>
        <w:autoSpaceDN w:val="0"/>
        <w:spacing w:line="240" w:lineRule="atLeast"/>
        <w:rPr>
          <w:bCs/>
          <w:iCs/>
          <w:color w:val="000000"/>
        </w:rPr>
      </w:pPr>
      <w:r w:rsidRPr="00A6734E">
        <w:rPr>
          <w:bCs/>
          <w:iCs/>
          <w:color w:val="000000"/>
        </w:rPr>
        <w:t xml:space="preserve">There is no alternative customer experience survey in health care that is as thoroughly vetted, methodologically sound, widely known and utilized as the existing CAHPS survey for health plans. </w:t>
      </w:r>
    </w:p>
    <w:p w14:paraId="1ED1FDC4" w14:textId="77777777" w:rsidR="003C71D6" w:rsidRDefault="003C71D6" w:rsidP="008A41DC">
      <w:pPr>
        <w:autoSpaceDE w:val="0"/>
        <w:autoSpaceDN w:val="0"/>
        <w:spacing w:line="240" w:lineRule="atLeast"/>
        <w:rPr>
          <w:bCs/>
          <w:iCs/>
          <w:color w:val="000000"/>
        </w:rPr>
      </w:pPr>
    </w:p>
    <w:p w14:paraId="4D9EEE83" w14:textId="1BEAD296" w:rsidR="00DD21F0" w:rsidRDefault="003C71D6" w:rsidP="00DA3E92">
      <w:pPr>
        <w:autoSpaceDE w:val="0"/>
        <w:autoSpaceDN w:val="0"/>
        <w:spacing w:line="240" w:lineRule="atLeast"/>
        <w:rPr>
          <w:color w:val="000000"/>
        </w:rPr>
      </w:pPr>
      <w:r w:rsidRPr="008E3C8D">
        <w:rPr>
          <w:b/>
          <w:bCs/>
          <w:color w:val="000000"/>
        </w:rPr>
        <w:t xml:space="preserve">Obtaining OMB approval and a PRA number for CAHPS surveys is done by all the federal entities listed in the previous paragraph, </w:t>
      </w:r>
      <w:r w:rsidR="004C292F" w:rsidRPr="008E3C8D">
        <w:rPr>
          <w:b/>
          <w:bCs/>
          <w:color w:val="000000"/>
        </w:rPr>
        <w:t xml:space="preserve">for example </w:t>
      </w:r>
      <w:r w:rsidR="002F23CF">
        <w:rPr>
          <w:b/>
          <w:bCs/>
          <w:color w:val="000000"/>
        </w:rPr>
        <w:t xml:space="preserve">the </w:t>
      </w:r>
      <w:r w:rsidR="004C292F" w:rsidRPr="008E3C8D">
        <w:rPr>
          <w:b/>
          <w:bCs/>
          <w:color w:val="000000"/>
        </w:rPr>
        <w:t>C</w:t>
      </w:r>
      <w:r w:rsidR="002F23CF">
        <w:rPr>
          <w:b/>
          <w:bCs/>
          <w:color w:val="000000"/>
        </w:rPr>
        <w:t>enters for Medicare and Medicaid Services’</w:t>
      </w:r>
      <w:r w:rsidR="008A41DC" w:rsidRPr="008E3C8D">
        <w:rPr>
          <w:b/>
          <w:bCs/>
          <w:color w:val="000000"/>
        </w:rPr>
        <w:t xml:space="preserve"> </w:t>
      </w:r>
      <w:r w:rsidR="002F23CF">
        <w:rPr>
          <w:b/>
          <w:bCs/>
          <w:color w:val="000000"/>
        </w:rPr>
        <w:t xml:space="preserve">(CMS) </w:t>
      </w:r>
      <w:r w:rsidR="00F23E7C" w:rsidRPr="008E3C8D">
        <w:rPr>
          <w:b/>
          <w:bCs/>
          <w:color w:val="000000"/>
        </w:rPr>
        <w:t>Medicare Advantage and Prescription Drug Plan CAHPS</w:t>
      </w:r>
      <w:r w:rsidR="00F23E7C" w:rsidRPr="008E3C8D">
        <w:rPr>
          <w:b/>
          <w:bCs/>
          <w:color w:val="000000"/>
          <w:vertAlign w:val="superscript"/>
        </w:rPr>
        <w:t>®</w:t>
      </w:r>
      <w:r w:rsidR="00F23E7C" w:rsidRPr="008E3C8D">
        <w:rPr>
          <w:b/>
          <w:bCs/>
          <w:color w:val="000000"/>
        </w:rPr>
        <w:t xml:space="preserve"> </w:t>
      </w:r>
      <w:r w:rsidR="00AA473D" w:rsidRPr="008E3C8D">
        <w:rPr>
          <w:b/>
          <w:bCs/>
          <w:color w:val="000000"/>
        </w:rPr>
        <w:t>Survey MA</w:t>
      </w:r>
      <w:r w:rsidR="008A41DC" w:rsidRPr="008E3C8D">
        <w:rPr>
          <w:b/>
          <w:bCs/>
          <w:color w:val="000000"/>
        </w:rPr>
        <w:t xml:space="preserve"> PDP CAHPS OMB number</w:t>
      </w:r>
      <w:r w:rsidR="004C292F" w:rsidRPr="008E3C8D">
        <w:rPr>
          <w:b/>
          <w:bCs/>
          <w:color w:val="000000"/>
        </w:rPr>
        <w:t xml:space="preserve"> </w:t>
      </w:r>
      <w:r w:rsidR="008A41DC" w:rsidRPr="008E3C8D">
        <w:rPr>
          <w:b/>
          <w:bCs/>
          <w:color w:val="000000"/>
        </w:rPr>
        <w:t>0938-0732 (expires 4/30/2021)</w:t>
      </w:r>
      <w:r w:rsidR="004C292F" w:rsidRPr="008E3C8D">
        <w:rPr>
          <w:b/>
          <w:bCs/>
          <w:color w:val="000000"/>
        </w:rPr>
        <w:t>.</w:t>
      </w:r>
      <w:r w:rsidR="00DA3E92" w:rsidRPr="00DA3E92">
        <w:rPr>
          <w:color w:val="000000"/>
        </w:rPr>
        <w:t xml:space="preserve"> </w:t>
      </w:r>
    </w:p>
    <w:p w14:paraId="7592A349" w14:textId="77777777" w:rsidR="004C292F" w:rsidRPr="008A41DC" w:rsidRDefault="004C292F" w:rsidP="008A41DC">
      <w:pPr>
        <w:autoSpaceDE w:val="0"/>
        <w:autoSpaceDN w:val="0"/>
        <w:spacing w:line="240" w:lineRule="atLeast"/>
        <w:rPr>
          <w:bCs/>
          <w:color w:val="000000"/>
        </w:rPr>
      </w:pPr>
    </w:p>
    <w:p w14:paraId="6D12D252" w14:textId="77777777" w:rsidR="00E57C28" w:rsidRPr="004C292F" w:rsidRDefault="00E57C28" w:rsidP="00E57C28">
      <w:pPr>
        <w:autoSpaceDE w:val="0"/>
        <w:autoSpaceDN w:val="0"/>
        <w:spacing w:line="240" w:lineRule="atLeast"/>
        <w:rPr>
          <w:bCs/>
          <w:color w:val="000000"/>
        </w:rPr>
      </w:pPr>
      <w:r w:rsidRPr="004C292F">
        <w:rPr>
          <w:bCs/>
          <w:color w:val="000000"/>
        </w:rPr>
        <w:t>AHRQ CAHPS surveys provide a uniform and industry accepted survey vehicle to assess member satisfaction.  From the AHRQ website (</w:t>
      </w:r>
      <w:hyperlink r:id="rId8" w:history="1">
        <w:r w:rsidRPr="004C292F">
          <w:rPr>
            <w:rStyle w:val="Hyperlink"/>
            <w:bCs/>
          </w:rPr>
          <w:t>https://www.ahrq.gov/cahps/surveys-guidance/hp/index.html</w:t>
        </w:r>
      </w:hyperlink>
      <w:r w:rsidRPr="004C292F">
        <w:rPr>
          <w:bCs/>
          <w:color w:val="000000"/>
        </w:rPr>
        <w:t xml:space="preserve">): </w:t>
      </w:r>
    </w:p>
    <w:p w14:paraId="061B872F" w14:textId="77777777" w:rsidR="00E57C28" w:rsidRPr="004C292F" w:rsidRDefault="00E57C28" w:rsidP="00E57C28">
      <w:pPr>
        <w:autoSpaceDE w:val="0"/>
        <w:autoSpaceDN w:val="0"/>
        <w:spacing w:line="240" w:lineRule="atLeast"/>
        <w:rPr>
          <w:bCs/>
          <w:color w:val="000000"/>
        </w:rPr>
      </w:pPr>
    </w:p>
    <w:p w14:paraId="691DBF0F" w14:textId="77777777" w:rsidR="00E57C28" w:rsidRPr="004C292F" w:rsidRDefault="00E57C28" w:rsidP="002F23CF">
      <w:pPr>
        <w:autoSpaceDE w:val="0"/>
        <w:autoSpaceDN w:val="0"/>
        <w:spacing w:line="240" w:lineRule="atLeast"/>
        <w:ind w:left="360"/>
        <w:rPr>
          <w:bCs/>
          <w:color w:val="000000"/>
        </w:rPr>
      </w:pPr>
      <w:r w:rsidRPr="004C292F">
        <w:rPr>
          <w:bCs/>
          <w:color w:val="000000"/>
        </w:rPr>
        <w:t>The CAHPS Health Plan Survey is a tool for collecting standardized information on enrollees' experiences with health plans and their services. It was designed to support consumers in assessing the performance of health plans and choosing the plans that best meet their needs. Health plans can also use the survey results to identify their strengths and weaknesses and target areas for improvement. Survey results can be used to:</w:t>
      </w:r>
    </w:p>
    <w:p w14:paraId="35378A00" w14:textId="77777777" w:rsidR="00E57C28" w:rsidRPr="004C292F" w:rsidRDefault="00E57C28" w:rsidP="002F23CF">
      <w:pPr>
        <w:numPr>
          <w:ilvl w:val="0"/>
          <w:numId w:val="1"/>
        </w:numPr>
        <w:tabs>
          <w:tab w:val="clear" w:pos="720"/>
          <w:tab w:val="num" w:pos="1800"/>
        </w:tabs>
        <w:autoSpaceDE w:val="0"/>
        <w:autoSpaceDN w:val="0"/>
        <w:spacing w:line="240" w:lineRule="atLeast"/>
        <w:ind w:left="1080"/>
        <w:rPr>
          <w:bCs/>
          <w:color w:val="000000"/>
        </w:rPr>
      </w:pPr>
      <w:r w:rsidRPr="004C292F">
        <w:rPr>
          <w:bCs/>
          <w:color w:val="000000"/>
        </w:rPr>
        <w:t>Support consumers in assessing the performance of health plans and choosing the plans that best meet their needs.</w:t>
      </w:r>
    </w:p>
    <w:p w14:paraId="2EB5FCE4" w14:textId="77777777" w:rsidR="00E57C28" w:rsidRPr="004C292F" w:rsidRDefault="00E57C28" w:rsidP="002F23CF">
      <w:pPr>
        <w:numPr>
          <w:ilvl w:val="0"/>
          <w:numId w:val="1"/>
        </w:numPr>
        <w:tabs>
          <w:tab w:val="clear" w:pos="720"/>
          <w:tab w:val="num" w:pos="1800"/>
        </w:tabs>
        <w:autoSpaceDE w:val="0"/>
        <w:autoSpaceDN w:val="0"/>
        <w:spacing w:line="240" w:lineRule="atLeast"/>
        <w:ind w:left="1080"/>
        <w:rPr>
          <w:bCs/>
          <w:color w:val="000000"/>
        </w:rPr>
      </w:pPr>
      <w:r w:rsidRPr="004C292F">
        <w:rPr>
          <w:bCs/>
          <w:color w:val="000000"/>
        </w:rPr>
        <w:t>Identify the strengths and weaknesses of health plans and target areas for improvement.</w:t>
      </w:r>
    </w:p>
    <w:p w14:paraId="3322C16A" w14:textId="77777777" w:rsidR="008D2ECD" w:rsidRDefault="008D2ECD" w:rsidP="008C54F6">
      <w:pPr>
        <w:autoSpaceDE w:val="0"/>
        <w:autoSpaceDN w:val="0"/>
        <w:spacing w:line="240" w:lineRule="atLeast"/>
        <w:rPr>
          <w:bCs/>
          <w:color w:val="000000"/>
        </w:rPr>
      </w:pPr>
    </w:p>
    <w:p w14:paraId="180569D8" w14:textId="67178054" w:rsidR="008C54F6" w:rsidRPr="004C292F" w:rsidRDefault="008C54F6" w:rsidP="008C54F6">
      <w:pPr>
        <w:autoSpaceDE w:val="0"/>
        <w:autoSpaceDN w:val="0"/>
        <w:spacing w:line="240" w:lineRule="atLeast"/>
        <w:rPr>
          <w:bCs/>
          <w:color w:val="000000"/>
        </w:rPr>
      </w:pPr>
      <w:r w:rsidRPr="004C292F">
        <w:rPr>
          <w:bCs/>
          <w:color w:val="000000"/>
        </w:rPr>
        <w:t xml:space="preserve">As part of its FEHB Plan Performance Assessment (PPA), OPM is requiring all FEHB Carriers to utilize the </w:t>
      </w:r>
      <w:bookmarkStart w:id="1" w:name="_Hlk27154749"/>
      <w:r w:rsidRPr="004C292F">
        <w:rPr>
          <w:bCs/>
          <w:color w:val="000000"/>
        </w:rPr>
        <w:t xml:space="preserve">CAHPS </w:t>
      </w:r>
      <w:bookmarkEnd w:id="1"/>
      <w:r w:rsidRPr="004C292F">
        <w:rPr>
          <w:bCs/>
          <w:color w:val="000000"/>
        </w:rPr>
        <w:t>commercial survey using a certified CAHPS vendor (more on certification below).  The PPA ties FEHB Carriers profit to performance on key metrics</w:t>
      </w:r>
      <w:r w:rsidR="00A6734E">
        <w:rPr>
          <w:bCs/>
          <w:color w:val="000000"/>
        </w:rPr>
        <w:t xml:space="preserve"> (</w:t>
      </w:r>
      <w:r w:rsidR="00A6734E">
        <w:rPr>
          <w:rFonts w:eastAsia="Times New Roman"/>
        </w:rPr>
        <w:t>48 CFR 1615.404-70)</w:t>
      </w:r>
      <w:r w:rsidRPr="004C292F">
        <w:rPr>
          <w:bCs/>
          <w:color w:val="000000"/>
        </w:rPr>
        <w:t xml:space="preserve">.  </w:t>
      </w:r>
    </w:p>
    <w:p w14:paraId="1E294F12" w14:textId="77777777" w:rsidR="008C54F6" w:rsidRPr="004C292F" w:rsidRDefault="008C54F6" w:rsidP="008C54F6">
      <w:pPr>
        <w:autoSpaceDE w:val="0"/>
        <w:autoSpaceDN w:val="0"/>
        <w:spacing w:line="240" w:lineRule="atLeast"/>
        <w:rPr>
          <w:bCs/>
          <w:color w:val="000000"/>
        </w:rPr>
      </w:pPr>
    </w:p>
    <w:p w14:paraId="6968A71A" w14:textId="77777777" w:rsidR="008C54F6" w:rsidRDefault="008C54F6" w:rsidP="008C54F6">
      <w:pPr>
        <w:autoSpaceDE w:val="0"/>
        <w:autoSpaceDN w:val="0"/>
        <w:spacing w:line="240" w:lineRule="atLeast"/>
        <w:rPr>
          <w:bCs/>
          <w:color w:val="000000"/>
        </w:rPr>
      </w:pPr>
      <w:r w:rsidRPr="004C292F">
        <w:rPr>
          <w:bCs/>
          <w:color w:val="000000"/>
        </w:rPr>
        <w:t xml:space="preserve">OPM is using the Commercial survey. The survey utilizes a sampling methodology as required by the survey licensee, the National Committee for Quality Assurance (NCQA), outlined in extensive detail in the HEDIS Volume 3: Specifications for Survey Measures includes surveys and protocols for the CAHPS 5.0H Survey. Information can also be found on the AHRQ website here </w:t>
      </w:r>
      <w:hyperlink r:id="rId9" w:history="1">
        <w:r w:rsidRPr="004C292F">
          <w:rPr>
            <w:rStyle w:val="Hyperlink"/>
            <w:bCs/>
          </w:rPr>
          <w:t>https://www.ahrq.gov/sites/default/files/wysiwyg/cahps/surveys-guidance/hp/fielding-the-survey-hp50-2013.pdf</w:t>
        </w:r>
      </w:hyperlink>
      <w:r w:rsidRPr="004C292F">
        <w:rPr>
          <w:bCs/>
          <w:color w:val="000000"/>
        </w:rPr>
        <w:t xml:space="preserve">.  Recommended data collection modes include mail and telephone, and </w:t>
      </w:r>
    </w:p>
    <w:p w14:paraId="31CB1798" w14:textId="3507A6FA" w:rsidR="008C54F6" w:rsidRDefault="008C54F6" w:rsidP="008C54F6">
      <w:pPr>
        <w:autoSpaceDE w:val="0"/>
        <w:autoSpaceDN w:val="0"/>
        <w:spacing w:line="240" w:lineRule="atLeast"/>
        <w:rPr>
          <w:bCs/>
          <w:color w:val="000000"/>
        </w:rPr>
      </w:pPr>
      <w:r w:rsidRPr="004C292F">
        <w:rPr>
          <w:bCs/>
          <w:color w:val="000000"/>
        </w:rPr>
        <w:t>protocols have been developed for each mode.</w:t>
      </w:r>
    </w:p>
    <w:p w14:paraId="019D857D" w14:textId="1316B686" w:rsidR="005B78A8" w:rsidRDefault="005B78A8" w:rsidP="008C54F6">
      <w:pPr>
        <w:autoSpaceDE w:val="0"/>
        <w:autoSpaceDN w:val="0"/>
        <w:spacing w:line="240" w:lineRule="atLeast"/>
        <w:rPr>
          <w:bCs/>
          <w:color w:val="000000"/>
        </w:rPr>
      </w:pPr>
    </w:p>
    <w:p w14:paraId="3D233142" w14:textId="3F7C6F0A" w:rsidR="008D7D75" w:rsidRPr="008D7D75" w:rsidRDefault="008D7D75" w:rsidP="008D7D75">
      <w:pPr>
        <w:autoSpaceDE w:val="0"/>
        <w:autoSpaceDN w:val="0"/>
        <w:spacing w:line="240" w:lineRule="atLeast"/>
        <w:rPr>
          <w:color w:val="000000"/>
        </w:rPr>
      </w:pPr>
      <w:r w:rsidRPr="008D7D75">
        <w:rPr>
          <w:color w:val="000000"/>
        </w:rPr>
        <w:t>AHRQ versions of the survey are</w:t>
      </w:r>
      <w:r>
        <w:rPr>
          <w:color w:val="000000"/>
        </w:rPr>
        <w:t xml:space="preserve"> utilized by CMS</w:t>
      </w:r>
      <w:r w:rsidRPr="008D7D75">
        <w:rPr>
          <w:color w:val="000000"/>
        </w:rPr>
        <w:t xml:space="preserve"> as part of their public reporting and reimbursement programs</w:t>
      </w:r>
      <w:r>
        <w:rPr>
          <w:color w:val="000000"/>
        </w:rPr>
        <w:t>, as OPM is also doing.</w:t>
      </w:r>
      <w:r w:rsidRPr="008D7D75">
        <w:rPr>
          <w:color w:val="000000"/>
        </w:rPr>
        <w:t xml:space="preserve">  CAHPS is also utilized by many private health insurance purchasers</w:t>
      </w:r>
      <w:r w:rsidR="002F23CF">
        <w:rPr>
          <w:color w:val="000000"/>
        </w:rPr>
        <w:t>,</w:t>
      </w:r>
      <w:r w:rsidRPr="008D7D75">
        <w:rPr>
          <w:color w:val="000000"/>
        </w:rPr>
        <w:t xml:space="preserve"> and is part of the accreditation process for all health plan accrediting bodies: Accreditation Association for Ambulatory Health Care, National Committee for Quality Assurance and URAC.  </w:t>
      </w:r>
    </w:p>
    <w:p w14:paraId="15229FFC" w14:textId="77777777" w:rsidR="008C54F6" w:rsidRPr="004C292F" w:rsidRDefault="008C54F6" w:rsidP="008C54F6">
      <w:pPr>
        <w:autoSpaceDE w:val="0"/>
        <w:autoSpaceDN w:val="0"/>
        <w:spacing w:line="240" w:lineRule="atLeast"/>
        <w:rPr>
          <w:bCs/>
          <w:color w:val="000000"/>
        </w:rPr>
      </w:pPr>
    </w:p>
    <w:p w14:paraId="4C5A575B" w14:textId="77777777" w:rsidR="004E09E2" w:rsidRDefault="004E09E2" w:rsidP="00B67B9B">
      <w:pPr>
        <w:autoSpaceDE w:val="0"/>
        <w:autoSpaceDN w:val="0"/>
        <w:spacing w:line="240" w:lineRule="atLeast"/>
        <w:rPr>
          <w:b/>
          <w:bCs/>
          <w:color w:val="000000"/>
        </w:rPr>
      </w:pPr>
      <w:r>
        <w:rPr>
          <w:b/>
          <w:bCs/>
          <w:color w:val="000000"/>
        </w:rPr>
        <w:t>B1.  Development of Concepts, Methods, and De</w:t>
      </w:r>
      <w:r w:rsidR="00B67B9B">
        <w:rPr>
          <w:b/>
          <w:bCs/>
          <w:color w:val="000000"/>
        </w:rPr>
        <w:t>sign</w:t>
      </w:r>
    </w:p>
    <w:p w14:paraId="738B7D7A" w14:textId="77777777" w:rsidR="007B5057" w:rsidRDefault="0049076D">
      <w:pPr>
        <w:autoSpaceDE w:val="0"/>
        <w:autoSpaceDN w:val="0"/>
        <w:spacing w:line="240" w:lineRule="atLeast"/>
        <w:rPr>
          <w:bCs/>
          <w:color w:val="000000"/>
        </w:rPr>
      </w:pPr>
      <w:r w:rsidRPr="004C292F">
        <w:rPr>
          <w:bCs/>
          <w:color w:val="000000"/>
        </w:rPr>
        <w:t xml:space="preserve">AHRQ first </w:t>
      </w:r>
      <w:r>
        <w:rPr>
          <w:bCs/>
          <w:color w:val="000000"/>
        </w:rPr>
        <w:t xml:space="preserve">launched the CAHPS Survey in 1995 to develop standardized surveys that organizations can use to collect comparable information on patients’ experience with care, and to generate tools and resources to support the dissemination and use of comparative survey results to inform the public and improve health care quality.  </w:t>
      </w:r>
    </w:p>
    <w:p w14:paraId="0F1F08E6" w14:textId="77777777" w:rsidR="007B5057" w:rsidRDefault="007B5057">
      <w:pPr>
        <w:autoSpaceDE w:val="0"/>
        <w:autoSpaceDN w:val="0"/>
        <w:spacing w:line="240" w:lineRule="atLeast"/>
        <w:rPr>
          <w:bCs/>
          <w:color w:val="000000"/>
        </w:rPr>
      </w:pPr>
    </w:p>
    <w:p w14:paraId="42480616" w14:textId="4959A516" w:rsidR="00F26547" w:rsidRPr="00F26547" w:rsidRDefault="00F26547" w:rsidP="007B5057">
      <w:pPr>
        <w:autoSpaceDE w:val="0"/>
        <w:autoSpaceDN w:val="0"/>
        <w:spacing w:line="240" w:lineRule="atLeast"/>
        <w:rPr>
          <w:color w:val="000000"/>
        </w:rPr>
      </w:pPr>
      <w:r w:rsidRPr="00F26547">
        <w:rPr>
          <w:color w:val="000000"/>
        </w:rPr>
        <w:t>From AHRQ’s website</w:t>
      </w:r>
      <w:r w:rsidR="00230689">
        <w:rPr>
          <w:color w:val="000000"/>
        </w:rPr>
        <w:t xml:space="preserve"> (</w:t>
      </w:r>
      <w:hyperlink r:id="rId10" w:history="1">
        <w:r w:rsidR="00230689" w:rsidRPr="00230689">
          <w:rPr>
            <w:rStyle w:val="Hyperlink"/>
          </w:rPr>
          <w:t>https://www.ahrq.gov/sites/default/files/wysiwyg/cahps/about-cahps/cahps-program/14-p004_cahps.pdf</w:t>
        </w:r>
      </w:hyperlink>
      <w:r w:rsidR="00230689" w:rsidRPr="00230689">
        <w:rPr>
          <w:color w:val="000000"/>
        </w:rPr>
        <w:t>.</w:t>
      </w:r>
      <w:r w:rsidR="00230689">
        <w:rPr>
          <w:color w:val="000000"/>
        </w:rPr>
        <w:t>)</w:t>
      </w:r>
      <w:r w:rsidRPr="00F26547">
        <w:rPr>
          <w:color w:val="000000"/>
        </w:rPr>
        <w:t>:</w:t>
      </w:r>
    </w:p>
    <w:p w14:paraId="5549CDC3" w14:textId="77777777" w:rsidR="00230689" w:rsidRDefault="00230689" w:rsidP="00230689">
      <w:pPr>
        <w:autoSpaceDE w:val="0"/>
        <w:autoSpaceDN w:val="0"/>
        <w:spacing w:line="240" w:lineRule="atLeast"/>
        <w:ind w:left="720"/>
        <w:rPr>
          <w:color w:val="000000"/>
        </w:rPr>
      </w:pPr>
    </w:p>
    <w:p w14:paraId="41B56B5F" w14:textId="77777777" w:rsidR="00230689" w:rsidRPr="00230689" w:rsidRDefault="00230689" w:rsidP="00230689">
      <w:pPr>
        <w:autoSpaceDE w:val="0"/>
        <w:autoSpaceDN w:val="0"/>
        <w:spacing w:line="240" w:lineRule="atLeast"/>
        <w:ind w:left="720"/>
        <w:rPr>
          <w:b/>
          <w:color w:val="000000"/>
        </w:rPr>
      </w:pPr>
      <w:r w:rsidRPr="00230689">
        <w:rPr>
          <w:b/>
          <w:color w:val="000000"/>
        </w:rPr>
        <w:t xml:space="preserve">Development of the CAHPS Surveys </w:t>
      </w:r>
    </w:p>
    <w:p w14:paraId="5BB051AE" w14:textId="150A2836" w:rsidR="0049076D" w:rsidRPr="0049076D" w:rsidRDefault="0049076D" w:rsidP="00230689">
      <w:pPr>
        <w:autoSpaceDE w:val="0"/>
        <w:autoSpaceDN w:val="0"/>
        <w:spacing w:line="240" w:lineRule="atLeast"/>
        <w:ind w:left="720"/>
        <w:rPr>
          <w:color w:val="000000"/>
        </w:rPr>
      </w:pPr>
      <w:r w:rsidRPr="0049076D">
        <w:rPr>
          <w:color w:val="000000"/>
        </w:rPr>
        <w:t xml:space="preserve">The development process for CAHPS surveys emphasizes scientific rigor and frequent input from patients and other key stakeholders. Major steps include literature reviews and environmental scans, focus groups with patients, input from health care providers and other key stakeholders, cognitive testing of survey questions and reporting measures, and field testing.  This process is designed to ensure that the survey will generate valid and reliable data to meet the information needs of health care consumers, care providers, health plans, purchasers, and policymakers. </w:t>
      </w:r>
    </w:p>
    <w:p w14:paraId="163A552F" w14:textId="77777777" w:rsidR="0049076D" w:rsidRPr="0049076D" w:rsidRDefault="0049076D" w:rsidP="00230689">
      <w:pPr>
        <w:autoSpaceDE w:val="0"/>
        <w:autoSpaceDN w:val="0"/>
        <w:spacing w:line="240" w:lineRule="atLeast"/>
        <w:ind w:left="720"/>
        <w:rPr>
          <w:color w:val="000000"/>
        </w:rPr>
      </w:pPr>
    </w:p>
    <w:p w14:paraId="4EF2F730" w14:textId="252C997A" w:rsidR="0049076D" w:rsidRDefault="0049076D" w:rsidP="00230689">
      <w:pPr>
        <w:autoSpaceDE w:val="0"/>
        <w:autoSpaceDN w:val="0"/>
        <w:spacing w:line="240" w:lineRule="atLeast"/>
        <w:ind w:left="720"/>
        <w:rPr>
          <w:color w:val="000000"/>
        </w:rPr>
      </w:pPr>
      <w:r w:rsidRPr="0049076D">
        <w:rPr>
          <w:color w:val="000000"/>
        </w:rPr>
        <w:t xml:space="preserve">To achieve the program’s goals, AHRQ funds private research organizations with proven expertise in survey design and evaluation, public reporting, and quality assessment and improvement. The current organizations are RAND and the Yale School of Public Health. These research organizations work with AHRQ and other Federal agencies to develop, test, and maintain the surveys and to produce resources that support and evaluate their use in reports and improvement initiatives. </w:t>
      </w:r>
    </w:p>
    <w:p w14:paraId="3B08AB79" w14:textId="77777777" w:rsidR="0049076D" w:rsidRPr="0049076D" w:rsidRDefault="0049076D" w:rsidP="00230689">
      <w:pPr>
        <w:autoSpaceDE w:val="0"/>
        <w:autoSpaceDN w:val="0"/>
        <w:spacing w:line="240" w:lineRule="atLeast"/>
        <w:ind w:left="720"/>
        <w:rPr>
          <w:color w:val="000000"/>
        </w:rPr>
      </w:pPr>
    </w:p>
    <w:p w14:paraId="770508E2" w14:textId="431F1979" w:rsidR="00907ED9" w:rsidRDefault="0049076D" w:rsidP="00230689">
      <w:pPr>
        <w:autoSpaceDE w:val="0"/>
        <w:autoSpaceDN w:val="0"/>
        <w:spacing w:line="240" w:lineRule="atLeast"/>
        <w:ind w:left="720"/>
        <w:rPr>
          <w:color w:val="000000"/>
        </w:rPr>
      </w:pPr>
      <w:r w:rsidRPr="0049076D">
        <w:rPr>
          <w:color w:val="000000"/>
        </w:rPr>
        <w:t>Collectively, these organizations are known as the CAHPS Consortium.</w:t>
      </w:r>
      <w:r w:rsidR="00230689">
        <w:rPr>
          <w:color w:val="000000"/>
        </w:rPr>
        <w:t xml:space="preserve">  </w:t>
      </w:r>
    </w:p>
    <w:p w14:paraId="1B2111FF" w14:textId="5EBC31B6" w:rsidR="00230689" w:rsidRDefault="00230689" w:rsidP="00230689">
      <w:pPr>
        <w:autoSpaceDE w:val="0"/>
        <w:autoSpaceDN w:val="0"/>
        <w:spacing w:line="240" w:lineRule="atLeast"/>
        <w:ind w:left="720"/>
        <w:rPr>
          <w:color w:val="000000"/>
        </w:rPr>
      </w:pPr>
    </w:p>
    <w:p w14:paraId="4FDAF2D4" w14:textId="77777777" w:rsidR="00230689" w:rsidRPr="00230689" w:rsidRDefault="00230689" w:rsidP="00230689">
      <w:pPr>
        <w:autoSpaceDE w:val="0"/>
        <w:autoSpaceDN w:val="0"/>
        <w:spacing w:line="240" w:lineRule="atLeast"/>
        <w:ind w:left="720"/>
        <w:rPr>
          <w:b/>
          <w:color w:val="000000"/>
        </w:rPr>
      </w:pPr>
      <w:r w:rsidRPr="00230689">
        <w:rPr>
          <w:b/>
          <w:color w:val="000000"/>
        </w:rPr>
        <w:t xml:space="preserve">Uses of CAHPS Survey Results </w:t>
      </w:r>
    </w:p>
    <w:p w14:paraId="1DA28F27" w14:textId="77777777" w:rsidR="00230689" w:rsidRPr="00230689" w:rsidRDefault="00230689" w:rsidP="00230689">
      <w:pPr>
        <w:autoSpaceDE w:val="0"/>
        <w:autoSpaceDN w:val="0"/>
        <w:spacing w:line="240" w:lineRule="atLeast"/>
        <w:ind w:left="720"/>
        <w:rPr>
          <w:color w:val="000000"/>
        </w:rPr>
      </w:pPr>
      <w:r w:rsidRPr="00230689">
        <w:rPr>
          <w:color w:val="000000"/>
        </w:rPr>
        <w:t>Once AHRQ’s CAHPS Consortium releases a CAHPS survey into the public domain, it is available for any organization to use for its own purposes. The results of CAHPS surveys are typically used to monitor and drive improvements in patient experience with care and to better inform consumers about health care providers in their area.  Some organizations incorporate the survey results into programs that reward or recognize health care providers for providing high-quality care.</w:t>
      </w:r>
    </w:p>
    <w:p w14:paraId="60941A1F" w14:textId="2CBAF7C5" w:rsidR="0049076D" w:rsidRDefault="0049076D" w:rsidP="0049076D">
      <w:pPr>
        <w:autoSpaceDE w:val="0"/>
        <w:autoSpaceDN w:val="0"/>
        <w:spacing w:line="240" w:lineRule="atLeast"/>
        <w:rPr>
          <w:color w:val="000000"/>
        </w:rPr>
      </w:pPr>
    </w:p>
    <w:p w14:paraId="5F400BA1" w14:textId="13FEB652" w:rsidR="00F35642" w:rsidRDefault="00B174E8" w:rsidP="0049076D">
      <w:pPr>
        <w:autoSpaceDE w:val="0"/>
        <w:autoSpaceDN w:val="0"/>
        <w:spacing w:line="240" w:lineRule="atLeast"/>
        <w:rPr>
          <w:color w:val="000000"/>
        </w:rPr>
      </w:pPr>
      <w:r>
        <w:rPr>
          <w:color w:val="000000"/>
        </w:rPr>
        <w:t>The target population is FEHB members who are eighteen and older without Medicare</w:t>
      </w:r>
      <w:r w:rsidR="00B776CD">
        <w:rPr>
          <w:color w:val="000000"/>
        </w:rPr>
        <w:t xml:space="preserve"> and were enrolled in the health plan. </w:t>
      </w:r>
      <w:r w:rsidR="00F35642">
        <w:rPr>
          <w:color w:val="000000"/>
        </w:rPr>
        <w:t xml:space="preserve">The estimated target population is </w:t>
      </w:r>
      <w:r w:rsidR="00582DA1">
        <w:rPr>
          <w:color w:val="000000"/>
        </w:rPr>
        <w:t>2.</w:t>
      </w:r>
      <w:r w:rsidR="007B5057">
        <w:rPr>
          <w:color w:val="000000"/>
        </w:rPr>
        <w:t>5</w:t>
      </w:r>
      <w:r w:rsidR="00582DA1">
        <w:rPr>
          <w:color w:val="000000"/>
        </w:rPr>
        <w:t>5</w:t>
      </w:r>
      <w:r w:rsidR="00F35642">
        <w:rPr>
          <w:color w:val="000000"/>
        </w:rPr>
        <w:t xml:space="preserve"> million people.  This sample frame is the eligible population and is required by AHRQ and NCQA.  The anchor date to be </w:t>
      </w:r>
      <w:r w:rsidR="00F35642">
        <w:rPr>
          <w:color w:val="000000"/>
        </w:rPr>
        <w:lastRenderedPageBreak/>
        <w:t>eligible is December 31 of the measurement year</w:t>
      </w:r>
      <w:r w:rsidR="008E7163">
        <w:rPr>
          <w:color w:val="000000"/>
        </w:rPr>
        <w:t xml:space="preserve"> (i.e., the calendar year before the survey is administered)</w:t>
      </w:r>
      <w:r w:rsidR="00F35642">
        <w:rPr>
          <w:color w:val="000000"/>
        </w:rPr>
        <w:t xml:space="preserve">.  </w:t>
      </w:r>
    </w:p>
    <w:p w14:paraId="402D8216" w14:textId="77777777" w:rsidR="00F35642" w:rsidRDefault="00F35642" w:rsidP="0049076D">
      <w:pPr>
        <w:autoSpaceDE w:val="0"/>
        <w:autoSpaceDN w:val="0"/>
        <w:spacing w:line="240" w:lineRule="atLeast"/>
        <w:rPr>
          <w:color w:val="000000"/>
        </w:rPr>
      </w:pPr>
    </w:p>
    <w:p w14:paraId="69CEAD6D" w14:textId="5A7568FD" w:rsidR="00CD62CE" w:rsidRDefault="00CD62CE" w:rsidP="0049076D">
      <w:pPr>
        <w:autoSpaceDE w:val="0"/>
        <w:autoSpaceDN w:val="0"/>
        <w:spacing w:line="240" w:lineRule="atLeast"/>
        <w:rPr>
          <w:color w:val="000000"/>
        </w:rPr>
      </w:pPr>
      <w:r>
        <w:rPr>
          <w:color w:val="000000"/>
        </w:rPr>
        <w:t>AHRQ and NCQA require a systematic sampling method. The sample is drawn by the certified survey vendor.  The steps, as shown in Section 3 of NCQ</w:t>
      </w:r>
      <w:r w:rsidR="00582DA1">
        <w:rPr>
          <w:color w:val="000000"/>
        </w:rPr>
        <w:t>A</w:t>
      </w:r>
      <w:r>
        <w:rPr>
          <w:color w:val="000000"/>
        </w:rPr>
        <w:t>’s HEDIS 2020 Volume 3, Specifications for Survey Measures, are:</w:t>
      </w:r>
    </w:p>
    <w:p w14:paraId="07AD4B79" w14:textId="77777777" w:rsidR="00CD62CE" w:rsidRDefault="00CD62CE" w:rsidP="0049076D">
      <w:pPr>
        <w:autoSpaceDE w:val="0"/>
        <w:autoSpaceDN w:val="0"/>
        <w:spacing w:line="240" w:lineRule="atLeast"/>
        <w:rPr>
          <w:color w:val="000000"/>
        </w:rPr>
      </w:pPr>
    </w:p>
    <w:tbl>
      <w:tblPr>
        <w:tblW w:w="9936" w:type="dxa"/>
        <w:tblLayout w:type="fixed"/>
        <w:tblLook w:val="0000" w:firstRow="0" w:lastRow="0" w:firstColumn="0" w:lastColumn="0" w:noHBand="0" w:noVBand="0"/>
      </w:tblPr>
      <w:tblGrid>
        <w:gridCol w:w="864"/>
        <w:gridCol w:w="9072"/>
      </w:tblGrid>
      <w:tr w:rsidR="00CD62CE" w:rsidRPr="00CD62CE" w14:paraId="4F7A90EC" w14:textId="77777777" w:rsidTr="0094236B">
        <w:tc>
          <w:tcPr>
            <w:tcW w:w="864" w:type="dxa"/>
          </w:tcPr>
          <w:p w14:paraId="4E0C6300" w14:textId="77777777" w:rsidR="00CD62CE" w:rsidRPr="00CD62CE" w:rsidRDefault="00CD62CE" w:rsidP="00CD62CE">
            <w:pPr>
              <w:autoSpaceDE w:val="0"/>
              <w:autoSpaceDN w:val="0"/>
              <w:spacing w:line="240" w:lineRule="atLeast"/>
              <w:rPr>
                <w:b/>
                <w:i/>
                <w:color w:val="000000"/>
              </w:rPr>
            </w:pPr>
            <w:r w:rsidRPr="00CD62CE">
              <w:rPr>
                <w:b/>
                <w:i/>
                <w:color w:val="000000"/>
              </w:rPr>
              <w:t>Step 1</w:t>
            </w:r>
          </w:p>
        </w:tc>
        <w:tc>
          <w:tcPr>
            <w:tcW w:w="9072" w:type="dxa"/>
          </w:tcPr>
          <w:p w14:paraId="4C3EDFC0" w14:textId="77777777" w:rsidR="00CD62CE" w:rsidRPr="00CD62CE" w:rsidRDefault="00CD62CE" w:rsidP="00CD62CE">
            <w:pPr>
              <w:autoSpaceDE w:val="0"/>
              <w:autoSpaceDN w:val="0"/>
              <w:spacing w:line="240" w:lineRule="atLeast"/>
              <w:rPr>
                <w:color w:val="000000"/>
              </w:rPr>
            </w:pPr>
            <w:r w:rsidRPr="00CD62CE">
              <w:rPr>
                <w:color w:val="000000"/>
              </w:rPr>
              <w:t xml:space="preserve">Determine the minimum required sample size (MRSS) from Table S-3. </w:t>
            </w:r>
          </w:p>
          <w:p w14:paraId="231AA00B" w14:textId="77777777" w:rsidR="00CD62CE" w:rsidRPr="00CD62CE" w:rsidRDefault="00CD62CE" w:rsidP="00CD62CE">
            <w:pPr>
              <w:autoSpaceDE w:val="0"/>
              <w:autoSpaceDN w:val="0"/>
              <w:spacing w:line="240" w:lineRule="atLeast"/>
              <w:rPr>
                <w:color w:val="000000"/>
              </w:rPr>
            </w:pPr>
            <w:r w:rsidRPr="00CD62CE">
              <w:rPr>
                <w:color w:val="000000"/>
              </w:rPr>
              <w:t>If the number of eligible members in the sample frame is ≤ MRSS, include the health plan’s entire eligible population in the sample (steps 2–7 are not needed in this case).</w:t>
            </w:r>
          </w:p>
        </w:tc>
      </w:tr>
    </w:tbl>
    <w:p w14:paraId="0C8FC833" w14:textId="65499B7B" w:rsidR="00CD62CE" w:rsidRDefault="00CD62CE" w:rsidP="00CD62CE">
      <w:pPr>
        <w:autoSpaceDE w:val="0"/>
        <w:autoSpaceDN w:val="0"/>
        <w:spacing w:line="240" w:lineRule="atLeast"/>
        <w:rPr>
          <w:b/>
          <w:bCs/>
          <w:i/>
          <w:color w:val="000000"/>
        </w:rPr>
      </w:pPr>
    </w:p>
    <w:p w14:paraId="53DEBB43" w14:textId="77777777" w:rsidR="00582DA1" w:rsidRDefault="00582DA1" w:rsidP="00CD62CE">
      <w:pPr>
        <w:autoSpaceDE w:val="0"/>
        <w:autoSpaceDN w:val="0"/>
        <w:spacing w:line="240" w:lineRule="atLeast"/>
        <w:rPr>
          <w:b/>
          <w:bCs/>
          <w:i/>
          <w:color w:val="000000"/>
        </w:rPr>
      </w:pPr>
    </w:p>
    <w:p w14:paraId="2C16A027" w14:textId="5CD90488" w:rsidR="00CD62CE" w:rsidRPr="00CD62CE" w:rsidRDefault="00CD62CE" w:rsidP="00CD62CE">
      <w:pPr>
        <w:autoSpaceDE w:val="0"/>
        <w:autoSpaceDN w:val="0"/>
        <w:spacing w:line="240" w:lineRule="atLeast"/>
        <w:rPr>
          <w:b/>
          <w:bCs/>
          <w:i/>
          <w:color w:val="000000"/>
        </w:rPr>
      </w:pPr>
      <w:r w:rsidRPr="00CD62CE">
        <w:rPr>
          <w:b/>
          <w:bCs/>
          <w:i/>
          <w:color w:val="000000"/>
        </w:rPr>
        <w:t>Table S-3: Minimum Required Sample Sizes</w:t>
      </w:r>
    </w:p>
    <w:tbl>
      <w:tblPr>
        <w:tblW w:w="5850" w:type="dxa"/>
        <w:tblInd w:w="1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50"/>
        <w:gridCol w:w="2700"/>
      </w:tblGrid>
      <w:tr w:rsidR="00CD62CE" w:rsidRPr="00CD62CE" w14:paraId="28787C0E" w14:textId="77777777" w:rsidTr="0094236B">
        <w:tc>
          <w:tcPr>
            <w:tcW w:w="3150" w:type="dxa"/>
            <w:tcBorders>
              <w:right w:val="nil"/>
            </w:tcBorders>
            <w:shd w:val="clear" w:color="auto" w:fill="000000"/>
          </w:tcPr>
          <w:p w14:paraId="7B0AB9A7" w14:textId="77777777" w:rsidR="00CD62CE" w:rsidRPr="00CD62CE" w:rsidRDefault="00CD62CE" w:rsidP="00CD62CE">
            <w:pPr>
              <w:autoSpaceDE w:val="0"/>
              <w:autoSpaceDN w:val="0"/>
              <w:spacing w:line="240" w:lineRule="atLeast"/>
              <w:rPr>
                <w:b/>
                <w:color w:val="000000"/>
              </w:rPr>
            </w:pPr>
            <w:r w:rsidRPr="00CD62CE">
              <w:rPr>
                <w:b/>
                <w:color w:val="000000"/>
              </w:rPr>
              <w:t>Survey Type</w:t>
            </w:r>
          </w:p>
        </w:tc>
        <w:tc>
          <w:tcPr>
            <w:tcW w:w="2700" w:type="dxa"/>
            <w:tcBorders>
              <w:left w:val="single" w:sz="6" w:space="0" w:color="FFFFFF"/>
            </w:tcBorders>
            <w:shd w:val="clear" w:color="auto" w:fill="000000"/>
          </w:tcPr>
          <w:p w14:paraId="6581326D" w14:textId="77777777" w:rsidR="00CD62CE" w:rsidRPr="00CD62CE" w:rsidRDefault="00CD62CE" w:rsidP="00CD62CE">
            <w:pPr>
              <w:autoSpaceDE w:val="0"/>
              <w:autoSpaceDN w:val="0"/>
              <w:spacing w:line="240" w:lineRule="atLeast"/>
              <w:rPr>
                <w:b/>
                <w:color w:val="000000"/>
              </w:rPr>
            </w:pPr>
            <w:r w:rsidRPr="00CD62CE">
              <w:rPr>
                <w:b/>
                <w:color w:val="000000"/>
              </w:rPr>
              <w:t>Required Sample Size</w:t>
            </w:r>
          </w:p>
        </w:tc>
      </w:tr>
      <w:tr w:rsidR="00CD62CE" w:rsidRPr="00CD62CE" w14:paraId="116F3878" w14:textId="77777777" w:rsidTr="0094236B">
        <w:tc>
          <w:tcPr>
            <w:tcW w:w="3150" w:type="dxa"/>
            <w:shd w:val="clear" w:color="auto" w:fill="FFFFFF" w:themeFill="background1"/>
          </w:tcPr>
          <w:p w14:paraId="313BF39D" w14:textId="77777777" w:rsidR="00CD62CE" w:rsidRPr="00CD62CE" w:rsidRDefault="00CD62CE" w:rsidP="00CD62CE">
            <w:pPr>
              <w:autoSpaceDE w:val="0"/>
              <w:autoSpaceDN w:val="0"/>
              <w:spacing w:line="240" w:lineRule="atLeast"/>
              <w:rPr>
                <w:color w:val="000000"/>
              </w:rPr>
            </w:pPr>
            <w:r w:rsidRPr="00CD62CE">
              <w:rPr>
                <w:color w:val="000000"/>
              </w:rPr>
              <w:t>Adult Commercial</w:t>
            </w:r>
          </w:p>
        </w:tc>
        <w:tc>
          <w:tcPr>
            <w:tcW w:w="2700" w:type="dxa"/>
            <w:shd w:val="clear" w:color="auto" w:fill="FFFFFF" w:themeFill="background1"/>
          </w:tcPr>
          <w:p w14:paraId="63FD8F4C" w14:textId="77777777" w:rsidR="00CD62CE" w:rsidRPr="00CD62CE" w:rsidRDefault="00CD62CE" w:rsidP="00CD62CE">
            <w:pPr>
              <w:autoSpaceDE w:val="0"/>
              <w:autoSpaceDN w:val="0"/>
              <w:spacing w:line="240" w:lineRule="atLeast"/>
              <w:rPr>
                <w:color w:val="000000"/>
              </w:rPr>
            </w:pPr>
            <w:r w:rsidRPr="00CD62CE">
              <w:rPr>
                <w:color w:val="000000"/>
              </w:rPr>
              <w:t>1,100</w:t>
            </w:r>
          </w:p>
        </w:tc>
      </w:tr>
      <w:tr w:rsidR="00CD62CE" w:rsidRPr="00CD62CE" w14:paraId="3EE18B8B" w14:textId="77777777" w:rsidTr="0094236B">
        <w:tc>
          <w:tcPr>
            <w:tcW w:w="3150" w:type="dxa"/>
            <w:shd w:val="clear" w:color="auto" w:fill="D9D9D9" w:themeFill="background1" w:themeFillShade="D9"/>
          </w:tcPr>
          <w:p w14:paraId="72D60F9C" w14:textId="77777777" w:rsidR="00CD62CE" w:rsidRPr="00CD62CE" w:rsidRDefault="00CD62CE" w:rsidP="00CD62CE">
            <w:pPr>
              <w:autoSpaceDE w:val="0"/>
              <w:autoSpaceDN w:val="0"/>
              <w:spacing w:line="240" w:lineRule="atLeast"/>
              <w:rPr>
                <w:color w:val="000000"/>
              </w:rPr>
            </w:pPr>
            <w:r w:rsidRPr="00CD62CE">
              <w:rPr>
                <w:color w:val="000000"/>
              </w:rPr>
              <w:t>Adult Medicaid</w:t>
            </w:r>
          </w:p>
        </w:tc>
        <w:tc>
          <w:tcPr>
            <w:tcW w:w="2700" w:type="dxa"/>
            <w:shd w:val="clear" w:color="auto" w:fill="D9D9D9" w:themeFill="background1" w:themeFillShade="D9"/>
          </w:tcPr>
          <w:p w14:paraId="1921C078" w14:textId="77777777" w:rsidR="00CD62CE" w:rsidRPr="00CD62CE" w:rsidRDefault="00CD62CE" w:rsidP="00CD62CE">
            <w:pPr>
              <w:autoSpaceDE w:val="0"/>
              <w:autoSpaceDN w:val="0"/>
              <w:spacing w:line="240" w:lineRule="atLeast"/>
              <w:rPr>
                <w:color w:val="000000"/>
              </w:rPr>
            </w:pPr>
            <w:r w:rsidRPr="00CD62CE">
              <w:rPr>
                <w:color w:val="000000"/>
              </w:rPr>
              <w:t>1,350</w:t>
            </w:r>
          </w:p>
        </w:tc>
      </w:tr>
      <w:tr w:rsidR="00CD62CE" w:rsidRPr="00CD62CE" w14:paraId="78778413" w14:textId="77777777" w:rsidTr="0094236B">
        <w:tc>
          <w:tcPr>
            <w:tcW w:w="3150" w:type="dxa"/>
            <w:shd w:val="clear" w:color="auto" w:fill="FFFFFF" w:themeFill="background1"/>
          </w:tcPr>
          <w:p w14:paraId="6DB32611" w14:textId="77777777" w:rsidR="00CD62CE" w:rsidRPr="00CD62CE" w:rsidRDefault="00CD62CE" w:rsidP="00CD62CE">
            <w:pPr>
              <w:autoSpaceDE w:val="0"/>
              <w:autoSpaceDN w:val="0"/>
              <w:spacing w:line="240" w:lineRule="atLeast"/>
              <w:rPr>
                <w:color w:val="000000"/>
              </w:rPr>
            </w:pPr>
            <w:r w:rsidRPr="00CD62CE">
              <w:rPr>
                <w:color w:val="000000"/>
              </w:rPr>
              <w:t>Child Medicaid</w:t>
            </w:r>
          </w:p>
        </w:tc>
        <w:tc>
          <w:tcPr>
            <w:tcW w:w="2700" w:type="dxa"/>
            <w:shd w:val="clear" w:color="auto" w:fill="FFFFFF" w:themeFill="background1"/>
          </w:tcPr>
          <w:p w14:paraId="0CC83A76" w14:textId="77777777" w:rsidR="00CD62CE" w:rsidRPr="00CD62CE" w:rsidRDefault="00CD62CE" w:rsidP="00CD62CE">
            <w:pPr>
              <w:autoSpaceDE w:val="0"/>
              <w:autoSpaceDN w:val="0"/>
              <w:spacing w:line="240" w:lineRule="atLeast"/>
              <w:rPr>
                <w:color w:val="000000"/>
              </w:rPr>
            </w:pPr>
            <w:r w:rsidRPr="00CD62CE">
              <w:rPr>
                <w:color w:val="000000"/>
              </w:rPr>
              <w:t>1,650</w:t>
            </w:r>
          </w:p>
        </w:tc>
      </w:tr>
    </w:tbl>
    <w:p w14:paraId="1C12CA7C" w14:textId="77777777" w:rsidR="00CD62CE" w:rsidRPr="00CD62CE" w:rsidRDefault="00CD62CE" w:rsidP="00CD62CE">
      <w:pPr>
        <w:autoSpaceDE w:val="0"/>
        <w:autoSpaceDN w:val="0"/>
        <w:spacing w:line="240" w:lineRule="atLeast"/>
        <w:rPr>
          <w:color w:val="000000"/>
        </w:rPr>
      </w:pPr>
    </w:p>
    <w:p w14:paraId="17EEBB02" w14:textId="77777777" w:rsidR="00CD62CE" w:rsidRPr="00CD62CE" w:rsidRDefault="00CD62CE" w:rsidP="00CD62CE">
      <w:pPr>
        <w:autoSpaceDE w:val="0"/>
        <w:autoSpaceDN w:val="0"/>
        <w:spacing w:line="240" w:lineRule="atLeast"/>
        <w:rPr>
          <w:color w:val="000000"/>
        </w:rPr>
      </w:pPr>
    </w:p>
    <w:tbl>
      <w:tblPr>
        <w:tblW w:w="9936" w:type="dxa"/>
        <w:tblLayout w:type="fixed"/>
        <w:tblLook w:val="0000" w:firstRow="0" w:lastRow="0" w:firstColumn="0" w:lastColumn="0" w:noHBand="0" w:noVBand="0"/>
      </w:tblPr>
      <w:tblGrid>
        <w:gridCol w:w="854"/>
        <w:gridCol w:w="8940"/>
        <w:gridCol w:w="142"/>
      </w:tblGrid>
      <w:tr w:rsidR="00CD62CE" w:rsidRPr="00CD62CE" w14:paraId="6D162CD3" w14:textId="77777777" w:rsidTr="00D87C30">
        <w:tc>
          <w:tcPr>
            <w:tcW w:w="854" w:type="dxa"/>
          </w:tcPr>
          <w:p w14:paraId="3C890BE6" w14:textId="77777777" w:rsidR="00CD62CE" w:rsidRPr="00CD62CE" w:rsidRDefault="00CD62CE" w:rsidP="00CD62CE">
            <w:pPr>
              <w:autoSpaceDE w:val="0"/>
              <w:autoSpaceDN w:val="0"/>
              <w:spacing w:line="240" w:lineRule="atLeast"/>
              <w:rPr>
                <w:b/>
                <w:i/>
                <w:color w:val="000000"/>
              </w:rPr>
            </w:pPr>
            <w:r w:rsidRPr="00CD62CE">
              <w:rPr>
                <w:b/>
                <w:i/>
                <w:color w:val="000000"/>
              </w:rPr>
              <w:t>Step 2</w:t>
            </w:r>
          </w:p>
        </w:tc>
        <w:tc>
          <w:tcPr>
            <w:tcW w:w="9082" w:type="dxa"/>
            <w:gridSpan w:val="2"/>
          </w:tcPr>
          <w:p w14:paraId="709A5E07" w14:textId="77777777" w:rsidR="00CD62CE" w:rsidRPr="00CD62CE" w:rsidRDefault="00CD62CE" w:rsidP="00CD62CE">
            <w:pPr>
              <w:autoSpaceDE w:val="0"/>
              <w:autoSpaceDN w:val="0"/>
              <w:spacing w:line="240" w:lineRule="atLeast"/>
              <w:rPr>
                <w:color w:val="000000"/>
              </w:rPr>
            </w:pPr>
            <w:r w:rsidRPr="00CD62CE">
              <w:rPr>
                <w:color w:val="000000"/>
              </w:rPr>
              <w:t xml:space="preserve">Determine the oversampling rate based on anticipated disenrollment and response rate (refer to </w:t>
            </w:r>
            <w:r w:rsidRPr="00CD62CE">
              <w:rPr>
                <w:i/>
                <w:color w:val="000000"/>
              </w:rPr>
              <w:t>Oversampling</w:t>
            </w:r>
            <w:r w:rsidRPr="00CD62CE">
              <w:rPr>
                <w:color w:val="000000"/>
              </w:rPr>
              <w:t xml:space="preserve"> section).</w:t>
            </w:r>
          </w:p>
        </w:tc>
      </w:tr>
      <w:tr w:rsidR="00CD62CE" w:rsidRPr="00CD62CE" w14:paraId="4213CE76" w14:textId="77777777" w:rsidTr="00D87C30">
        <w:tc>
          <w:tcPr>
            <w:tcW w:w="854" w:type="dxa"/>
          </w:tcPr>
          <w:p w14:paraId="06C28547" w14:textId="77777777" w:rsidR="00CD62CE" w:rsidRPr="00CD62CE" w:rsidRDefault="00CD62CE" w:rsidP="00CD62CE">
            <w:pPr>
              <w:autoSpaceDE w:val="0"/>
              <w:autoSpaceDN w:val="0"/>
              <w:spacing w:line="240" w:lineRule="atLeast"/>
              <w:rPr>
                <w:b/>
                <w:i/>
                <w:color w:val="000000"/>
              </w:rPr>
            </w:pPr>
            <w:r w:rsidRPr="00CD62CE">
              <w:rPr>
                <w:b/>
                <w:i/>
                <w:color w:val="000000"/>
              </w:rPr>
              <w:t>Step 3</w:t>
            </w:r>
          </w:p>
        </w:tc>
        <w:tc>
          <w:tcPr>
            <w:tcW w:w="9082" w:type="dxa"/>
            <w:gridSpan w:val="2"/>
          </w:tcPr>
          <w:p w14:paraId="6F7FBA8C" w14:textId="77777777" w:rsidR="00CD62CE" w:rsidRPr="00CD62CE" w:rsidRDefault="00CD62CE" w:rsidP="00CD62CE">
            <w:pPr>
              <w:autoSpaceDE w:val="0"/>
              <w:autoSpaceDN w:val="0"/>
              <w:spacing w:line="240" w:lineRule="atLeast"/>
              <w:rPr>
                <w:color w:val="000000"/>
              </w:rPr>
            </w:pPr>
            <w:r w:rsidRPr="00CD62CE">
              <w:rPr>
                <w:color w:val="000000"/>
              </w:rPr>
              <w:t>Determine the final sample size (FSS).</w:t>
            </w:r>
            <w:r w:rsidRPr="00CD62CE">
              <w:rPr>
                <w:i/>
                <w:color w:val="000000"/>
              </w:rPr>
              <w:t xml:space="preserve"> </w:t>
            </w:r>
            <w:r w:rsidRPr="00CD62CE">
              <w:rPr>
                <w:color w:val="000000"/>
              </w:rPr>
              <w:t>The FSS includes the MRSS (from step 1) plus oversample (from step 2) and is calculated by the following formula:</w:t>
            </w:r>
          </w:p>
          <w:p w14:paraId="12249130" w14:textId="77777777" w:rsidR="00CD62CE" w:rsidRPr="00CD62CE" w:rsidRDefault="00CD62CE" w:rsidP="00CD62CE">
            <w:pPr>
              <w:autoSpaceDE w:val="0"/>
              <w:autoSpaceDN w:val="0"/>
              <w:spacing w:line="240" w:lineRule="atLeast"/>
              <w:rPr>
                <w:color w:val="000000"/>
              </w:rPr>
            </w:pPr>
            <w:r w:rsidRPr="00CD62CE">
              <w:rPr>
                <w:color w:val="000000"/>
              </w:rPr>
              <w:t xml:space="preserve">FSS = MRSS + (MRSS </w:t>
            </w:r>
            <w:r w:rsidRPr="00CD62CE">
              <w:rPr>
                <w:color w:val="000000"/>
              </w:rPr>
              <w:sym w:font="Symbol" w:char="F0B4"/>
            </w:r>
            <w:r w:rsidRPr="00CD62CE">
              <w:rPr>
                <w:color w:val="000000"/>
              </w:rPr>
              <w:t xml:space="preserve"> oversampling rate)</w:t>
            </w:r>
          </w:p>
          <w:p w14:paraId="1FE28986" w14:textId="77777777" w:rsidR="00CD62CE" w:rsidRPr="00CD62CE" w:rsidRDefault="00CD62CE" w:rsidP="00CD62CE">
            <w:pPr>
              <w:autoSpaceDE w:val="0"/>
              <w:autoSpaceDN w:val="0"/>
              <w:spacing w:line="240" w:lineRule="atLeast"/>
              <w:rPr>
                <w:color w:val="000000"/>
              </w:rPr>
            </w:pPr>
            <w:r w:rsidRPr="00CD62CE">
              <w:rPr>
                <w:color w:val="000000"/>
              </w:rPr>
              <w:t xml:space="preserve">(round </w:t>
            </w:r>
            <w:r w:rsidRPr="00CD62CE">
              <w:rPr>
                <w:i/>
                <w:color w:val="000000"/>
              </w:rPr>
              <w:t>up</w:t>
            </w:r>
            <w:r w:rsidRPr="00CD62CE">
              <w:rPr>
                <w:color w:val="000000"/>
              </w:rPr>
              <w:t xml:space="preserve"> to the next whole number), where MRSS = the minimum required sample size.</w:t>
            </w:r>
          </w:p>
          <w:p w14:paraId="50C29E2A" w14:textId="77777777" w:rsidR="00CD62CE" w:rsidRPr="00CD62CE" w:rsidRDefault="00CD62CE" w:rsidP="00CD62CE">
            <w:pPr>
              <w:autoSpaceDE w:val="0"/>
              <w:autoSpaceDN w:val="0"/>
              <w:spacing w:line="240" w:lineRule="atLeast"/>
              <w:rPr>
                <w:color w:val="000000"/>
              </w:rPr>
            </w:pPr>
            <w:r w:rsidRPr="00CD62CE">
              <w:rPr>
                <w:color w:val="000000"/>
              </w:rPr>
              <w:t>For example, if the MRSS is 1,100 and a 10 percent oversample is needed,</w:t>
            </w:r>
          </w:p>
          <w:p w14:paraId="553A8BD8" w14:textId="77777777" w:rsidR="00CD62CE" w:rsidRPr="00CD62CE" w:rsidRDefault="00CD62CE" w:rsidP="00CD62CE">
            <w:pPr>
              <w:autoSpaceDE w:val="0"/>
              <w:autoSpaceDN w:val="0"/>
              <w:spacing w:line="240" w:lineRule="atLeast"/>
              <w:rPr>
                <w:color w:val="000000"/>
              </w:rPr>
            </w:pPr>
            <w:r w:rsidRPr="00CD62CE">
              <w:rPr>
                <w:color w:val="000000"/>
              </w:rPr>
              <w:t xml:space="preserve">FSS = 1,100 + (1,100 </w:t>
            </w:r>
            <w:r w:rsidRPr="00CD62CE">
              <w:rPr>
                <w:color w:val="000000"/>
              </w:rPr>
              <w:sym w:font="Symbol" w:char="F0B4"/>
            </w:r>
            <w:r w:rsidRPr="00CD62CE">
              <w:rPr>
                <w:color w:val="000000"/>
              </w:rPr>
              <w:t xml:space="preserve"> 0.10) = 1,210.</w:t>
            </w:r>
          </w:p>
        </w:tc>
      </w:tr>
      <w:tr w:rsidR="00CD62CE" w:rsidRPr="00CD62CE" w14:paraId="0E5B6F3C" w14:textId="77777777" w:rsidTr="00D87C30">
        <w:tc>
          <w:tcPr>
            <w:tcW w:w="854" w:type="dxa"/>
            <w:tcBorders>
              <w:bottom w:val="nil"/>
            </w:tcBorders>
          </w:tcPr>
          <w:p w14:paraId="0CE45B6A" w14:textId="77777777" w:rsidR="00CD62CE" w:rsidRPr="00CD62CE" w:rsidRDefault="00CD62CE" w:rsidP="00CD62CE">
            <w:pPr>
              <w:autoSpaceDE w:val="0"/>
              <w:autoSpaceDN w:val="0"/>
              <w:spacing w:line="240" w:lineRule="atLeast"/>
              <w:rPr>
                <w:b/>
                <w:i/>
                <w:color w:val="000000"/>
              </w:rPr>
            </w:pPr>
            <w:r w:rsidRPr="00CD62CE">
              <w:rPr>
                <w:b/>
                <w:i/>
                <w:color w:val="000000"/>
              </w:rPr>
              <w:t>Step 4</w:t>
            </w:r>
          </w:p>
        </w:tc>
        <w:tc>
          <w:tcPr>
            <w:tcW w:w="9082" w:type="dxa"/>
            <w:gridSpan w:val="2"/>
          </w:tcPr>
          <w:p w14:paraId="2F939D1E" w14:textId="77777777" w:rsidR="00CD62CE" w:rsidRPr="00CD62CE" w:rsidRDefault="00CD62CE" w:rsidP="00CD62CE">
            <w:pPr>
              <w:autoSpaceDE w:val="0"/>
              <w:autoSpaceDN w:val="0"/>
              <w:spacing w:line="240" w:lineRule="atLeast"/>
              <w:rPr>
                <w:color w:val="000000"/>
              </w:rPr>
            </w:pPr>
            <w:r w:rsidRPr="00CD62CE">
              <w:rPr>
                <w:color w:val="000000"/>
              </w:rPr>
              <w:t xml:space="preserve">Using the validated sample frame, sort the list of eligible members (EM) in alphabetical order by last name, first name, date of birth and address. </w:t>
            </w:r>
          </w:p>
          <w:p w14:paraId="4CFF56CC" w14:textId="77777777" w:rsidR="00CD62CE" w:rsidRPr="00CD62CE" w:rsidRDefault="00CD62CE" w:rsidP="00CD62CE">
            <w:pPr>
              <w:autoSpaceDE w:val="0"/>
              <w:autoSpaceDN w:val="0"/>
              <w:spacing w:line="240" w:lineRule="atLeast"/>
              <w:rPr>
                <w:color w:val="000000"/>
              </w:rPr>
            </w:pPr>
            <w:r w:rsidRPr="00CD62CE">
              <w:rPr>
                <w:color w:val="000000"/>
              </w:rPr>
              <w:t>Sort EMs from Z to A.</w:t>
            </w:r>
          </w:p>
          <w:p w14:paraId="7AB1B436" w14:textId="77777777" w:rsidR="00CD62CE" w:rsidRPr="00CD62CE" w:rsidRDefault="00CD62CE" w:rsidP="00CD62CE">
            <w:pPr>
              <w:autoSpaceDE w:val="0"/>
              <w:autoSpaceDN w:val="0"/>
              <w:spacing w:line="240" w:lineRule="atLeast"/>
              <w:rPr>
                <w:i/>
                <w:color w:val="000000"/>
              </w:rPr>
            </w:pPr>
            <w:r w:rsidRPr="00CD62CE">
              <w:rPr>
                <w:b/>
                <w:i/>
                <w:color w:val="000000"/>
              </w:rPr>
              <w:t xml:space="preserve">Note: </w:t>
            </w:r>
            <w:r w:rsidRPr="00CD62CE">
              <w:rPr>
                <w:i/>
                <w:color w:val="000000"/>
              </w:rPr>
              <w:t>Sort order applies to all components. Sort all fields by descending order (i.e., last name descending, first name descending, date of birth descending, address descending).</w:t>
            </w:r>
          </w:p>
        </w:tc>
      </w:tr>
      <w:tr w:rsidR="00CD62CE" w:rsidRPr="00CD62CE" w14:paraId="163EE8B7" w14:textId="77777777" w:rsidTr="00D87C30">
        <w:tc>
          <w:tcPr>
            <w:tcW w:w="854" w:type="dxa"/>
          </w:tcPr>
          <w:p w14:paraId="64C70EC3" w14:textId="77777777" w:rsidR="00CD62CE" w:rsidRPr="00CD62CE" w:rsidRDefault="00CD62CE" w:rsidP="00CD62CE">
            <w:pPr>
              <w:autoSpaceDE w:val="0"/>
              <w:autoSpaceDN w:val="0"/>
              <w:spacing w:line="240" w:lineRule="atLeast"/>
              <w:rPr>
                <w:b/>
                <w:i/>
                <w:color w:val="000000"/>
              </w:rPr>
            </w:pPr>
            <w:r w:rsidRPr="00CD62CE">
              <w:rPr>
                <w:b/>
                <w:i/>
                <w:color w:val="000000"/>
              </w:rPr>
              <w:t>Step 5</w:t>
            </w:r>
          </w:p>
        </w:tc>
        <w:tc>
          <w:tcPr>
            <w:tcW w:w="9082" w:type="dxa"/>
            <w:gridSpan w:val="2"/>
          </w:tcPr>
          <w:p w14:paraId="438E30FF" w14:textId="77777777" w:rsidR="00CD62CE" w:rsidRPr="00CD62CE" w:rsidRDefault="00CD62CE" w:rsidP="00CD62CE">
            <w:pPr>
              <w:autoSpaceDE w:val="0"/>
              <w:autoSpaceDN w:val="0"/>
              <w:spacing w:line="240" w:lineRule="atLeast"/>
              <w:rPr>
                <w:color w:val="000000"/>
              </w:rPr>
            </w:pPr>
            <w:r w:rsidRPr="00CD62CE">
              <w:rPr>
                <w:color w:val="000000"/>
              </w:rPr>
              <w:t xml:space="preserve">Calculate N = EM/FSS. Round </w:t>
            </w:r>
            <w:r w:rsidRPr="00CD62CE">
              <w:rPr>
                <w:i/>
                <w:color w:val="000000"/>
              </w:rPr>
              <w:t>down</w:t>
            </w:r>
            <w:r w:rsidRPr="00CD62CE">
              <w:rPr>
                <w:color w:val="000000"/>
              </w:rPr>
              <w:t xml:space="preserve"> to a whole number. </w:t>
            </w:r>
          </w:p>
          <w:p w14:paraId="40FA7E87" w14:textId="77777777" w:rsidR="00CD62CE" w:rsidRPr="00CD62CE" w:rsidRDefault="00CD62CE" w:rsidP="00CD62CE">
            <w:pPr>
              <w:autoSpaceDE w:val="0"/>
              <w:autoSpaceDN w:val="0"/>
              <w:spacing w:line="240" w:lineRule="atLeast"/>
              <w:rPr>
                <w:color w:val="000000"/>
              </w:rPr>
            </w:pPr>
            <w:r w:rsidRPr="00CD62CE">
              <w:rPr>
                <w:color w:val="000000"/>
              </w:rPr>
              <w:t xml:space="preserve">Determine N, which is used in the formula to determine which member will start your sample. </w:t>
            </w:r>
            <w:r w:rsidRPr="00CD62CE">
              <w:rPr>
                <w:color w:val="000000"/>
              </w:rPr>
              <w:br/>
              <w:t>N is calculated using the equation:</w:t>
            </w:r>
          </w:p>
          <w:p w14:paraId="64D4DD5A" w14:textId="77777777" w:rsidR="00CD62CE" w:rsidRPr="00CD62CE" w:rsidRDefault="00CD62CE" w:rsidP="00CD62CE">
            <w:pPr>
              <w:autoSpaceDE w:val="0"/>
              <w:autoSpaceDN w:val="0"/>
              <w:spacing w:line="240" w:lineRule="atLeast"/>
              <w:rPr>
                <w:color w:val="000000"/>
              </w:rPr>
            </w:pPr>
            <w:r w:rsidRPr="00CD62CE">
              <w:rPr>
                <w:color w:val="000000"/>
              </w:rPr>
              <w:t>N = EM/FSS</w:t>
            </w:r>
          </w:p>
          <w:p w14:paraId="553CBD81" w14:textId="77777777" w:rsidR="00CD62CE" w:rsidRPr="00CD62CE" w:rsidRDefault="00CD62CE" w:rsidP="00CD62CE">
            <w:pPr>
              <w:autoSpaceDE w:val="0"/>
              <w:autoSpaceDN w:val="0"/>
              <w:spacing w:line="240" w:lineRule="atLeast"/>
              <w:rPr>
                <w:color w:val="000000"/>
              </w:rPr>
            </w:pPr>
            <w:r w:rsidRPr="00CD62CE">
              <w:rPr>
                <w:color w:val="000000"/>
              </w:rPr>
              <w:t>where EM = the eligible member population (the number of eligible members in the sample frame) and FSS = the final sample size (step 3).</w:t>
            </w:r>
          </w:p>
        </w:tc>
      </w:tr>
      <w:tr w:rsidR="00CD62CE" w:rsidRPr="00CD62CE" w14:paraId="238ACD7D" w14:textId="77777777" w:rsidTr="00D87C30">
        <w:tc>
          <w:tcPr>
            <w:tcW w:w="854" w:type="dxa"/>
          </w:tcPr>
          <w:p w14:paraId="067268B6" w14:textId="77777777" w:rsidR="00CD62CE" w:rsidRPr="00CD62CE" w:rsidRDefault="00CD62CE" w:rsidP="00CD62CE">
            <w:pPr>
              <w:autoSpaceDE w:val="0"/>
              <w:autoSpaceDN w:val="0"/>
              <w:spacing w:line="240" w:lineRule="atLeast"/>
              <w:rPr>
                <w:b/>
                <w:i/>
                <w:color w:val="000000"/>
              </w:rPr>
            </w:pPr>
            <w:r w:rsidRPr="00CD62CE">
              <w:rPr>
                <w:b/>
                <w:i/>
                <w:color w:val="000000"/>
              </w:rPr>
              <w:t>Step 6</w:t>
            </w:r>
          </w:p>
        </w:tc>
        <w:tc>
          <w:tcPr>
            <w:tcW w:w="9082" w:type="dxa"/>
            <w:gridSpan w:val="2"/>
          </w:tcPr>
          <w:p w14:paraId="6E27B261" w14:textId="77777777" w:rsidR="00CD62CE" w:rsidRPr="00CD62CE" w:rsidRDefault="00CD62CE" w:rsidP="00CD62CE">
            <w:pPr>
              <w:autoSpaceDE w:val="0"/>
              <w:autoSpaceDN w:val="0"/>
              <w:spacing w:line="240" w:lineRule="atLeast"/>
              <w:rPr>
                <w:color w:val="000000"/>
              </w:rPr>
            </w:pPr>
            <w:r w:rsidRPr="00CD62CE">
              <w:rPr>
                <w:color w:val="000000"/>
              </w:rPr>
              <w:t xml:space="preserve">Calculate START = (RAND </w:t>
            </w:r>
            <w:r w:rsidRPr="00CD62CE">
              <w:rPr>
                <w:color w:val="000000"/>
              </w:rPr>
              <w:sym w:font="Symbol" w:char="F0B4"/>
            </w:r>
            <w:r w:rsidRPr="00CD62CE">
              <w:rPr>
                <w:color w:val="000000"/>
              </w:rPr>
              <w:t xml:space="preserve"> N).</w:t>
            </w:r>
            <w:r w:rsidRPr="00CD62CE">
              <w:rPr>
                <w:i/>
                <w:color w:val="000000"/>
              </w:rPr>
              <w:t xml:space="preserve"> </w:t>
            </w:r>
            <w:r w:rsidRPr="00CD62CE">
              <w:rPr>
                <w:color w:val="000000"/>
              </w:rPr>
              <w:t>Before choosing members, determine the member to start with (START). It is important that the sample be selected from a single pass through the member list. START can have many values and still allow only one pass.</w:t>
            </w:r>
          </w:p>
          <w:p w14:paraId="03F33026" w14:textId="77777777" w:rsidR="00CD62CE" w:rsidRPr="00CD62CE" w:rsidRDefault="00CD62CE" w:rsidP="00CD62CE">
            <w:pPr>
              <w:autoSpaceDE w:val="0"/>
              <w:autoSpaceDN w:val="0"/>
              <w:spacing w:line="240" w:lineRule="atLeast"/>
              <w:rPr>
                <w:i/>
                <w:color w:val="000000"/>
              </w:rPr>
            </w:pPr>
            <w:r w:rsidRPr="00CD62CE">
              <w:rPr>
                <w:i/>
                <w:color w:val="000000"/>
              </w:rPr>
              <w:t xml:space="preserve"> </w:t>
            </w:r>
          </w:p>
        </w:tc>
      </w:tr>
      <w:tr w:rsidR="00CD62CE" w:rsidRPr="00CD62CE" w14:paraId="49C6A44F" w14:textId="77777777" w:rsidTr="00D87C30">
        <w:trPr>
          <w:gridAfter w:val="1"/>
          <w:wAfter w:w="142" w:type="dxa"/>
        </w:trPr>
        <w:tc>
          <w:tcPr>
            <w:tcW w:w="854" w:type="dxa"/>
          </w:tcPr>
          <w:p w14:paraId="796925C6" w14:textId="77777777" w:rsidR="00CD62CE" w:rsidRPr="00CD62CE" w:rsidRDefault="00CD62CE" w:rsidP="00CD62CE">
            <w:pPr>
              <w:autoSpaceDE w:val="0"/>
              <w:autoSpaceDN w:val="0"/>
              <w:spacing w:line="240" w:lineRule="atLeast"/>
              <w:rPr>
                <w:b/>
                <w:i/>
                <w:color w:val="000000"/>
              </w:rPr>
            </w:pPr>
          </w:p>
        </w:tc>
        <w:tc>
          <w:tcPr>
            <w:tcW w:w="8940" w:type="dxa"/>
          </w:tcPr>
          <w:p w14:paraId="51DB10EB" w14:textId="77777777" w:rsidR="00CD62CE" w:rsidRPr="00CD62CE" w:rsidRDefault="00CD62CE" w:rsidP="00CD62CE">
            <w:pPr>
              <w:autoSpaceDE w:val="0"/>
              <w:autoSpaceDN w:val="0"/>
              <w:spacing w:line="240" w:lineRule="atLeast"/>
              <w:rPr>
                <w:color w:val="000000"/>
              </w:rPr>
            </w:pPr>
            <w:r w:rsidRPr="00CD62CE">
              <w:rPr>
                <w:color w:val="000000"/>
              </w:rPr>
              <w:t>NCQA provides survey vendors with list of Random Numbers (RAND) each with a value between 0 and 1. Survey vendors use the RAND to calculate the starting point from which to draw the final sample.</w:t>
            </w:r>
          </w:p>
          <w:p w14:paraId="5C24E81A" w14:textId="77777777" w:rsidR="00CD62CE" w:rsidRPr="00CD62CE" w:rsidRDefault="00CD62CE" w:rsidP="00CD62CE">
            <w:pPr>
              <w:autoSpaceDE w:val="0"/>
              <w:autoSpaceDN w:val="0"/>
              <w:spacing w:line="240" w:lineRule="atLeast"/>
              <w:rPr>
                <w:color w:val="000000"/>
              </w:rPr>
            </w:pPr>
            <w:r w:rsidRPr="00CD62CE">
              <w:rPr>
                <w:color w:val="000000"/>
              </w:rPr>
              <w:t>Calculate the number from which to start drawing the final sample as follows:</w:t>
            </w:r>
          </w:p>
          <w:p w14:paraId="0EE91A65" w14:textId="77777777" w:rsidR="00CD62CE" w:rsidRPr="00CD62CE" w:rsidRDefault="00CD62CE" w:rsidP="00CD62CE">
            <w:pPr>
              <w:autoSpaceDE w:val="0"/>
              <w:autoSpaceDN w:val="0"/>
              <w:spacing w:line="240" w:lineRule="atLeast"/>
              <w:rPr>
                <w:color w:val="000000"/>
              </w:rPr>
            </w:pPr>
            <w:r w:rsidRPr="00CD62CE">
              <w:rPr>
                <w:color w:val="000000"/>
              </w:rPr>
              <w:t xml:space="preserve">START = (RAND </w:t>
            </w:r>
            <w:r w:rsidRPr="00CD62CE">
              <w:rPr>
                <w:color w:val="000000"/>
              </w:rPr>
              <w:sym w:font="Symbol" w:char="F0B4"/>
            </w:r>
            <w:r w:rsidRPr="00CD62CE">
              <w:rPr>
                <w:color w:val="000000"/>
              </w:rPr>
              <w:t xml:space="preserve"> N)</w:t>
            </w:r>
          </w:p>
          <w:p w14:paraId="1FA64C37" w14:textId="77777777" w:rsidR="00CD62CE" w:rsidRPr="00CD62CE" w:rsidRDefault="00CD62CE" w:rsidP="00CD62CE">
            <w:pPr>
              <w:autoSpaceDE w:val="0"/>
              <w:autoSpaceDN w:val="0"/>
              <w:spacing w:line="240" w:lineRule="atLeast"/>
              <w:rPr>
                <w:color w:val="000000"/>
              </w:rPr>
            </w:pPr>
            <w:r w:rsidRPr="00CD62CE">
              <w:rPr>
                <w:color w:val="000000"/>
              </w:rPr>
              <w:t>(round per the .5 rule to the nearest whole number greater than 0), where RAND = the random number</w:t>
            </w:r>
            <w:r w:rsidRPr="00CD62CE">
              <w:rPr>
                <w:i/>
                <w:color w:val="000000"/>
              </w:rPr>
              <w:t>.</w:t>
            </w:r>
          </w:p>
        </w:tc>
      </w:tr>
      <w:tr w:rsidR="00CD62CE" w:rsidRPr="00CD62CE" w14:paraId="3A9F3B58" w14:textId="77777777" w:rsidTr="00D87C30">
        <w:trPr>
          <w:gridAfter w:val="1"/>
          <w:wAfter w:w="142" w:type="dxa"/>
        </w:trPr>
        <w:tc>
          <w:tcPr>
            <w:tcW w:w="854" w:type="dxa"/>
          </w:tcPr>
          <w:p w14:paraId="649A4BBB" w14:textId="5386C78C" w:rsidR="00CD62CE" w:rsidRPr="00CD62CE" w:rsidRDefault="00CD62CE" w:rsidP="00CD62CE">
            <w:pPr>
              <w:autoSpaceDE w:val="0"/>
              <w:autoSpaceDN w:val="0"/>
              <w:spacing w:line="240" w:lineRule="atLeast"/>
              <w:rPr>
                <w:b/>
                <w:i/>
                <w:color w:val="000000"/>
              </w:rPr>
            </w:pPr>
            <w:r w:rsidRPr="00CD62CE">
              <w:rPr>
                <w:b/>
                <w:i/>
                <w:color w:val="000000"/>
              </w:rPr>
              <w:t>Step 7</w:t>
            </w:r>
            <w:r>
              <w:rPr>
                <w:b/>
                <w:i/>
                <w:color w:val="000000"/>
              </w:rPr>
              <w:t xml:space="preserve"> </w:t>
            </w:r>
          </w:p>
        </w:tc>
        <w:tc>
          <w:tcPr>
            <w:tcW w:w="8940" w:type="dxa"/>
          </w:tcPr>
          <w:p w14:paraId="0E582765" w14:textId="77777777" w:rsidR="00CD62CE" w:rsidRPr="00CD62CE" w:rsidRDefault="00CD62CE" w:rsidP="00CD62CE">
            <w:pPr>
              <w:autoSpaceDE w:val="0"/>
              <w:autoSpaceDN w:val="0"/>
              <w:spacing w:line="240" w:lineRule="atLeast"/>
              <w:rPr>
                <w:color w:val="000000"/>
              </w:rPr>
            </w:pPr>
            <w:r w:rsidRPr="00CD62CE">
              <w:rPr>
                <w:color w:val="000000"/>
              </w:rPr>
              <w:t>Select the sample, choosing every i</w:t>
            </w:r>
            <w:r w:rsidRPr="00CD62CE">
              <w:rPr>
                <w:color w:val="000000"/>
                <w:vertAlign w:val="superscript"/>
              </w:rPr>
              <w:t>th</w:t>
            </w:r>
            <w:r w:rsidRPr="00CD62CE">
              <w:rPr>
                <w:color w:val="000000"/>
              </w:rPr>
              <w:t xml:space="preserve"> member using the formula:</w:t>
            </w:r>
          </w:p>
          <w:p w14:paraId="66EBF4BA" w14:textId="77777777" w:rsidR="00CD62CE" w:rsidRPr="00CD62CE" w:rsidRDefault="00CD62CE" w:rsidP="00CD62CE">
            <w:pPr>
              <w:autoSpaceDE w:val="0"/>
              <w:autoSpaceDN w:val="0"/>
              <w:spacing w:line="240" w:lineRule="atLeast"/>
              <w:ind w:left="720"/>
              <w:rPr>
                <w:color w:val="000000"/>
              </w:rPr>
            </w:pPr>
            <w:r w:rsidRPr="00CD62CE">
              <w:rPr>
                <w:color w:val="000000"/>
              </w:rPr>
              <w:t>i</w:t>
            </w:r>
            <w:r w:rsidRPr="00CD62CE">
              <w:rPr>
                <w:color w:val="000000"/>
                <w:vertAlign w:val="superscript"/>
              </w:rPr>
              <w:t>th</w:t>
            </w:r>
            <w:r w:rsidRPr="00CD62CE">
              <w:rPr>
                <w:color w:val="000000"/>
              </w:rPr>
              <w:t xml:space="preserve"> member = START + [(i-1) x (EM/FSS)]</w:t>
            </w:r>
          </w:p>
          <w:p w14:paraId="051875C4" w14:textId="74A2228B" w:rsidR="00CD62CE" w:rsidRDefault="00CD62CE" w:rsidP="00CD62CE">
            <w:pPr>
              <w:autoSpaceDE w:val="0"/>
              <w:autoSpaceDN w:val="0"/>
              <w:spacing w:line="240" w:lineRule="atLeast"/>
              <w:rPr>
                <w:color w:val="000000"/>
              </w:rPr>
            </w:pPr>
            <w:r w:rsidRPr="00CD62CE">
              <w:rPr>
                <w:color w:val="000000"/>
              </w:rPr>
              <w:t>(rounding [(i-1) x (EM/FSS)] per the .5 rule to the nearest whole number greater than 0).</w:t>
            </w:r>
          </w:p>
          <w:p w14:paraId="0B1422CA" w14:textId="77777777" w:rsidR="00CD62CE" w:rsidRPr="00CD62CE" w:rsidRDefault="00CD62CE" w:rsidP="00CD62CE">
            <w:pPr>
              <w:autoSpaceDE w:val="0"/>
              <w:autoSpaceDN w:val="0"/>
              <w:spacing w:line="240" w:lineRule="atLeast"/>
              <w:rPr>
                <w:color w:val="000000"/>
              </w:rPr>
            </w:pPr>
          </w:p>
          <w:p w14:paraId="166A8CCA" w14:textId="1E874F44" w:rsidR="00CD62CE" w:rsidRDefault="00CD62CE" w:rsidP="00CD62CE">
            <w:pPr>
              <w:autoSpaceDE w:val="0"/>
              <w:autoSpaceDN w:val="0"/>
              <w:spacing w:line="240" w:lineRule="atLeast"/>
              <w:rPr>
                <w:color w:val="000000"/>
              </w:rPr>
            </w:pPr>
            <w:r w:rsidRPr="00CD62CE">
              <w:rPr>
                <w:color w:val="000000"/>
              </w:rPr>
              <w:t>For i = 2,3,4, …, FSS where EM = the eligible member population (e.g., the number of members in the sample frame). FSS = the final sample size (step 3).</w:t>
            </w:r>
          </w:p>
          <w:p w14:paraId="47F899CD" w14:textId="77777777" w:rsidR="00CD62CE" w:rsidRPr="00CD62CE" w:rsidRDefault="00CD62CE" w:rsidP="00CD62CE">
            <w:pPr>
              <w:autoSpaceDE w:val="0"/>
              <w:autoSpaceDN w:val="0"/>
              <w:spacing w:line="240" w:lineRule="atLeast"/>
              <w:rPr>
                <w:color w:val="000000"/>
              </w:rPr>
            </w:pPr>
          </w:p>
          <w:p w14:paraId="10A7D7C9" w14:textId="27312CDC" w:rsidR="00CD62CE" w:rsidRDefault="00CD62CE" w:rsidP="00CD62CE">
            <w:pPr>
              <w:autoSpaceDE w:val="0"/>
              <w:autoSpaceDN w:val="0"/>
              <w:spacing w:line="240" w:lineRule="atLeast"/>
              <w:rPr>
                <w:color w:val="000000"/>
              </w:rPr>
            </w:pPr>
            <w:r w:rsidRPr="00CD62CE">
              <w:rPr>
                <w:color w:val="000000"/>
              </w:rPr>
              <w:t>Starting with the member corresponding to the number START, choose every ith member until the FSS is met.</w:t>
            </w:r>
          </w:p>
          <w:p w14:paraId="2492B02B" w14:textId="77777777" w:rsidR="00CD62CE" w:rsidRPr="00CD62CE" w:rsidRDefault="00CD62CE" w:rsidP="00CD62CE">
            <w:pPr>
              <w:autoSpaceDE w:val="0"/>
              <w:autoSpaceDN w:val="0"/>
              <w:spacing w:line="240" w:lineRule="atLeast"/>
              <w:rPr>
                <w:color w:val="000000"/>
              </w:rPr>
            </w:pPr>
          </w:p>
          <w:p w14:paraId="120DE88E" w14:textId="77777777" w:rsidR="00CD62CE" w:rsidRPr="00CD62CE" w:rsidRDefault="00CD62CE" w:rsidP="00CD62CE">
            <w:pPr>
              <w:autoSpaceDE w:val="0"/>
              <w:autoSpaceDN w:val="0"/>
              <w:spacing w:line="240" w:lineRule="atLeast"/>
              <w:rPr>
                <w:b/>
                <w:color w:val="000000"/>
              </w:rPr>
            </w:pPr>
            <w:r w:rsidRPr="00CD62CE">
              <w:rPr>
                <w:b/>
                <w:color w:val="000000"/>
              </w:rPr>
              <w:t>If the oversample was underestimated and the sample falls below the MRSS, the oversampling rate must be adjusted and a new sample must be pulled.</w:t>
            </w:r>
          </w:p>
        </w:tc>
      </w:tr>
    </w:tbl>
    <w:p w14:paraId="753859AD" w14:textId="77777777" w:rsidR="00CD62CE" w:rsidRDefault="00CD62CE" w:rsidP="0049076D">
      <w:pPr>
        <w:autoSpaceDE w:val="0"/>
        <w:autoSpaceDN w:val="0"/>
        <w:spacing w:line="240" w:lineRule="atLeast"/>
        <w:rPr>
          <w:color w:val="000000"/>
        </w:rPr>
      </w:pPr>
    </w:p>
    <w:p w14:paraId="45CA4722" w14:textId="5C9E2D57" w:rsidR="00CD62CE" w:rsidRDefault="00CD62CE" w:rsidP="0049076D">
      <w:pPr>
        <w:autoSpaceDE w:val="0"/>
        <w:autoSpaceDN w:val="0"/>
        <w:spacing w:line="240" w:lineRule="atLeast"/>
        <w:rPr>
          <w:color w:val="000000"/>
        </w:rPr>
      </w:pPr>
      <w:r>
        <w:rPr>
          <w:color w:val="000000"/>
        </w:rPr>
        <w:t>Additional information is included addressing small numbers</w:t>
      </w:r>
      <w:r w:rsidR="005B78A8">
        <w:rPr>
          <w:color w:val="000000"/>
        </w:rPr>
        <w:t xml:space="preserve"> and</w:t>
      </w:r>
      <w:r>
        <w:rPr>
          <w:color w:val="000000"/>
        </w:rPr>
        <w:t xml:space="preserve"> oversampling</w:t>
      </w:r>
      <w:r w:rsidR="005B78A8">
        <w:rPr>
          <w:color w:val="000000"/>
        </w:rPr>
        <w:t>.</w:t>
      </w:r>
    </w:p>
    <w:p w14:paraId="1BC0189C" w14:textId="0DD52A73" w:rsidR="0049076D" w:rsidRPr="0049076D" w:rsidRDefault="00F35642" w:rsidP="0049076D">
      <w:pPr>
        <w:autoSpaceDE w:val="0"/>
        <w:autoSpaceDN w:val="0"/>
        <w:spacing w:line="240" w:lineRule="atLeast"/>
        <w:rPr>
          <w:color w:val="000000"/>
        </w:rPr>
      </w:pPr>
      <w:r>
        <w:rPr>
          <w:color w:val="000000"/>
        </w:rPr>
        <w:t xml:space="preserve"> </w:t>
      </w:r>
      <w:r w:rsidR="00B174E8">
        <w:rPr>
          <w:color w:val="000000"/>
        </w:rPr>
        <w:t xml:space="preserve">  </w:t>
      </w:r>
    </w:p>
    <w:p w14:paraId="2E5D3FA2" w14:textId="2DA5242F" w:rsidR="00047C40" w:rsidRPr="00D17970" w:rsidRDefault="00047C40" w:rsidP="00047C40">
      <w:pPr>
        <w:autoSpaceDE w:val="0"/>
        <w:autoSpaceDN w:val="0"/>
        <w:spacing w:line="240" w:lineRule="atLeast"/>
        <w:rPr>
          <w:sz w:val="22"/>
          <w:szCs w:val="22"/>
        </w:rPr>
      </w:pPr>
      <w:r w:rsidRPr="00D17970">
        <w:t xml:space="preserve">Two modes of survey administration are allowed during the national implementation to give </w:t>
      </w:r>
      <w:r w:rsidR="00201410">
        <w:t xml:space="preserve">health plans </w:t>
      </w:r>
      <w:r w:rsidRPr="00D17970">
        <w:t>options in how they would like to administer the survey, based on their goals and resources. These two modes are described below:</w:t>
      </w:r>
    </w:p>
    <w:p w14:paraId="4A5EEFFC" w14:textId="77777777" w:rsidR="00047C40" w:rsidRPr="00D17970" w:rsidRDefault="00047C40" w:rsidP="00047C40">
      <w:pPr>
        <w:numPr>
          <w:ilvl w:val="0"/>
          <w:numId w:val="8"/>
        </w:numPr>
        <w:autoSpaceDE w:val="0"/>
        <w:autoSpaceDN w:val="0"/>
        <w:spacing w:line="240" w:lineRule="atLeast"/>
        <w:rPr>
          <w:rFonts w:eastAsia="Times New Roman"/>
        </w:rPr>
      </w:pPr>
      <w:r w:rsidRPr="00D17970">
        <w:rPr>
          <w:rFonts w:eastAsia="Times New Roman"/>
        </w:rPr>
        <w:t>Mail-only Mode</w:t>
      </w:r>
    </w:p>
    <w:p w14:paraId="372970FC" w14:textId="77777777" w:rsidR="00047C40" w:rsidRPr="00D17970" w:rsidRDefault="00047C40" w:rsidP="00047C40">
      <w:pPr>
        <w:numPr>
          <w:ilvl w:val="1"/>
          <w:numId w:val="8"/>
        </w:numPr>
        <w:autoSpaceDE w:val="0"/>
        <w:autoSpaceDN w:val="0"/>
        <w:spacing w:line="240" w:lineRule="atLeast"/>
      </w:pPr>
      <w:r w:rsidRPr="00D17970">
        <w:t>Mailing of the questionnaire and cover letter to all sampled members.</w:t>
      </w:r>
    </w:p>
    <w:p w14:paraId="4BE0569A" w14:textId="77777777" w:rsidR="00047C40" w:rsidRPr="00D17970" w:rsidRDefault="00047C40" w:rsidP="00047C40">
      <w:pPr>
        <w:numPr>
          <w:ilvl w:val="1"/>
          <w:numId w:val="8"/>
        </w:numPr>
        <w:autoSpaceDE w:val="0"/>
        <w:autoSpaceDN w:val="0"/>
        <w:spacing w:line="240" w:lineRule="atLeast"/>
      </w:pPr>
      <w:r w:rsidRPr="00D17970">
        <w:t>Reminder postcard mailing</w:t>
      </w:r>
    </w:p>
    <w:p w14:paraId="786730BA" w14:textId="77777777" w:rsidR="00047C40" w:rsidRPr="00D17970" w:rsidRDefault="00047C40" w:rsidP="00047C40">
      <w:pPr>
        <w:numPr>
          <w:ilvl w:val="1"/>
          <w:numId w:val="8"/>
        </w:numPr>
        <w:autoSpaceDE w:val="0"/>
        <w:autoSpaceDN w:val="0"/>
        <w:spacing w:line="240" w:lineRule="atLeast"/>
      </w:pPr>
      <w:r w:rsidRPr="00D17970">
        <w:t>Second mailing of the questionnaire and cover letter to sampled members who do not respond to the first questionnaire mailing within 5 weeks</w:t>
      </w:r>
    </w:p>
    <w:p w14:paraId="29C54728" w14:textId="77777777" w:rsidR="00047C40" w:rsidRPr="00D17970" w:rsidRDefault="00047C40" w:rsidP="00047C40">
      <w:pPr>
        <w:numPr>
          <w:ilvl w:val="1"/>
          <w:numId w:val="8"/>
        </w:numPr>
        <w:autoSpaceDE w:val="0"/>
        <w:autoSpaceDN w:val="0"/>
        <w:spacing w:line="240" w:lineRule="atLeast"/>
      </w:pPr>
      <w:r w:rsidRPr="00D17970">
        <w:t>Second reminder postcard mailing</w:t>
      </w:r>
    </w:p>
    <w:p w14:paraId="26BDCBE9" w14:textId="0F053A82" w:rsidR="00047C40" w:rsidRPr="00D17970" w:rsidRDefault="00047C40" w:rsidP="00047C40">
      <w:pPr>
        <w:numPr>
          <w:ilvl w:val="1"/>
          <w:numId w:val="8"/>
        </w:numPr>
        <w:autoSpaceDE w:val="0"/>
        <w:autoSpaceDN w:val="0"/>
        <w:spacing w:line="240" w:lineRule="atLeast"/>
      </w:pPr>
      <w:r w:rsidRPr="00D17970">
        <w:t>Third mailing of the questionnaire and cover letter to sampled members who do not respond to the first or second questionnaire mailing within 3 weeks of the second questionnaire mailing.</w:t>
      </w:r>
    </w:p>
    <w:p w14:paraId="5A447326" w14:textId="77777777" w:rsidR="00047C40" w:rsidRPr="00D17970" w:rsidRDefault="00047C40" w:rsidP="00047C40">
      <w:pPr>
        <w:numPr>
          <w:ilvl w:val="0"/>
          <w:numId w:val="8"/>
        </w:numPr>
        <w:autoSpaceDE w:val="0"/>
        <w:autoSpaceDN w:val="0"/>
        <w:spacing w:line="240" w:lineRule="atLeast"/>
        <w:rPr>
          <w:rFonts w:eastAsia="Times New Roman"/>
        </w:rPr>
      </w:pPr>
      <w:r w:rsidRPr="00D17970">
        <w:rPr>
          <w:rFonts w:eastAsia="Times New Roman"/>
        </w:rPr>
        <w:t>Mixed Mode (Mail with Telephone Follow-up)</w:t>
      </w:r>
    </w:p>
    <w:p w14:paraId="0F0259EA" w14:textId="77777777" w:rsidR="00047C40" w:rsidRPr="00D17970" w:rsidRDefault="00047C40" w:rsidP="00047C40">
      <w:pPr>
        <w:numPr>
          <w:ilvl w:val="1"/>
          <w:numId w:val="8"/>
        </w:numPr>
        <w:autoSpaceDE w:val="0"/>
        <w:autoSpaceDN w:val="0"/>
        <w:spacing w:line="240" w:lineRule="atLeast"/>
      </w:pPr>
      <w:r w:rsidRPr="00D17970">
        <w:t>Mailing of the questionnaire and cover letter to all sampled members.</w:t>
      </w:r>
    </w:p>
    <w:p w14:paraId="68402911" w14:textId="77777777" w:rsidR="00047C40" w:rsidRPr="00D17970" w:rsidRDefault="00047C40" w:rsidP="00047C40">
      <w:pPr>
        <w:numPr>
          <w:ilvl w:val="1"/>
          <w:numId w:val="8"/>
        </w:numPr>
        <w:autoSpaceDE w:val="0"/>
        <w:autoSpaceDN w:val="0"/>
        <w:spacing w:line="240" w:lineRule="atLeast"/>
      </w:pPr>
      <w:r w:rsidRPr="00D17970">
        <w:t>Reminder postcard mailing</w:t>
      </w:r>
    </w:p>
    <w:p w14:paraId="007460D3" w14:textId="77777777" w:rsidR="00047C40" w:rsidRPr="00D17970" w:rsidRDefault="00047C40" w:rsidP="00047C40">
      <w:pPr>
        <w:numPr>
          <w:ilvl w:val="1"/>
          <w:numId w:val="8"/>
        </w:numPr>
        <w:autoSpaceDE w:val="0"/>
        <w:autoSpaceDN w:val="0"/>
        <w:spacing w:line="240" w:lineRule="atLeast"/>
      </w:pPr>
      <w:r w:rsidRPr="00D17970">
        <w:t>Second mailing of the questionnaire and cover letter to sampled members who do not respond to the first questionnaire mailing within 5 weeks</w:t>
      </w:r>
    </w:p>
    <w:p w14:paraId="0BB3247F" w14:textId="77777777" w:rsidR="00047C40" w:rsidRPr="00D17970" w:rsidRDefault="00047C40" w:rsidP="00047C40">
      <w:pPr>
        <w:numPr>
          <w:ilvl w:val="1"/>
          <w:numId w:val="8"/>
        </w:numPr>
        <w:autoSpaceDE w:val="0"/>
        <w:autoSpaceDN w:val="0"/>
        <w:spacing w:line="240" w:lineRule="atLeast"/>
      </w:pPr>
      <w:r w:rsidRPr="00D17970">
        <w:t>Second reminder postcard mailing</w:t>
      </w:r>
    </w:p>
    <w:p w14:paraId="728BC532" w14:textId="77777777" w:rsidR="00047C40" w:rsidRPr="00D17970" w:rsidRDefault="00047C40" w:rsidP="00047C40">
      <w:pPr>
        <w:numPr>
          <w:ilvl w:val="1"/>
          <w:numId w:val="8"/>
        </w:numPr>
        <w:autoSpaceDE w:val="0"/>
        <w:autoSpaceDN w:val="0"/>
        <w:spacing w:line="240" w:lineRule="atLeast"/>
      </w:pPr>
      <w:r w:rsidRPr="00D17970">
        <w:t>Telephone follow-up with all sampled patients who do not respond to one of the questionnaire mailings. A maximum of six telephone contact attempts per sampled patient will be made to complete the survey.</w:t>
      </w:r>
    </w:p>
    <w:p w14:paraId="12C079B7" w14:textId="77777777" w:rsidR="00E2343D" w:rsidRPr="00D17970" w:rsidRDefault="00E2343D" w:rsidP="00B67B9B">
      <w:pPr>
        <w:autoSpaceDE w:val="0"/>
        <w:autoSpaceDN w:val="0"/>
        <w:spacing w:line="240" w:lineRule="atLeast"/>
      </w:pPr>
    </w:p>
    <w:p w14:paraId="0405B089" w14:textId="77777777" w:rsidR="00CA4244" w:rsidRDefault="00CA4244" w:rsidP="00B67B9B">
      <w:pPr>
        <w:autoSpaceDE w:val="0"/>
        <w:autoSpaceDN w:val="0"/>
        <w:spacing w:line="240" w:lineRule="atLeast"/>
        <w:rPr>
          <w:color w:val="000000"/>
        </w:rPr>
      </w:pPr>
    </w:p>
    <w:p w14:paraId="019D38A0" w14:textId="5D50E8F4" w:rsidR="00440212" w:rsidRDefault="007B5057" w:rsidP="00B67B9B">
      <w:pPr>
        <w:autoSpaceDE w:val="0"/>
        <w:autoSpaceDN w:val="0"/>
        <w:spacing w:line="240" w:lineRule="atLeast"/>
        <w:rPr>
          <w:color w:val="000000"/>
        </w:rPr>
      </w:pPr>
      <w:r>
        <w:rPr>
          <w:color w:val="000000"/>
        </w:rPr>
        <w:t xml:space="preserve">Under the </w:t>
      </w:r>
      <w:r w:rsidR="00201410">
        <w:rPr>
          <w:color w:val="000000"/>
        </w:rPr>
        <w:t xml:space="preserve">FEHB contract, </w:t>
      </w:r>
      <w:r w:rsidR="00440212">
        <w:rPr>
          <w:color w:val="000000"/>
        </w:rPr>
        <w:t xml:space="preserve">FEHB Carriers </w:t>
      </w:r>
      <w:r>
        <w:rPr>
          <w:color w:val="000000"/>
        </w:rPr>
        <w:t>must administer CAHPS consistent with</w:t>
      </w:r>
      <w:r w:rsidR="00440212" w:rsidRPr="00440212">
        <w:rPr>
          <w:color w:val="000000"/>
        </w:rPr>
        <w:t xml:space="preserve"> the AHRQ guidelines </w:t>
      </w:r>
      <w:r>
        <w:rPr>
          <w:color w:val="000000"/>
        </w:rPr>
        <w:t>required by NCQA</w:t>
      </w:r>
      <w:r w:rsidR="00440212">
        <w:rPr>
          <w:color w:val="000000"/>
        </w:rPr>
        <w:t xml:space="preserve">.  </w:t>
      </w:r>
      <w:r w:rsidR="00FF1000">
        <w:rPr>
          <w:color w:val="000000"/>
        </w:rPr>
        <w:t xml:space="preserve">These can be found here </w:t>
      </w:r>
      <w:hyperlink r:id="rId11" w:history="1">
        <w:r w:rsidR="00FF1000" w:rsidRPr="00AF0147">
          <w:rPr>
            <w:rStyle w:val="Hyperlink"/>
          </w:rPr>
          <w:t>https://www.ahrq.gov/sites/default/files/wysiwyg/cahps/surveys-guidance/hp/fielding-the-survey-hp50-2013.pdf</w:t>
        </w:r>
      </w:hyperlink>
      <w:r w:rsidR="00FF1000">
        <w:rPr>
          <w:color w:val="000000"/>
        </w:rPr>
        <w:t>, and in Volume 3</w:t>
      </w:r>
      <w:r w:rsidR="00221E30">
        <w:rPr>
          <w:color w:val="000000"/>
        </w:rPr>
        <w:t>.</w:t>
      </w:r>
      <w:r w:rsidR="00FF1000">
        <w:rPr>
          <w:color w:val="000000"/>
        </w:rPr>
        <w:t xml:space="preserve"> </w:t>
      </w:r>
    </w:p>
    <w:p w14:paraId="29B194EE" w14:textId="77777777" w:rsidR="00B974B5" w:rsidRDefault="00B974B5" w:rsidP="004E09E2">
      <w:pPr>
        <w:autoSpaceDE w:val="0"/>
        <w:autoSpaceDN w:val="0"/>
        <w:spacing w:line="240" w:lineRule="atLeast"/>
        <w:rPr>
          <w:color w:val="000000"/>
        </w:rPr>
      </w:pPr>
    </w:p>
    <w:p w14:paraId="1CAB2FCD" w14:textId="77777777" w:rsidR="004E09E2" w:rsidRDefault="004E09E2" w:rsidP="000A3459">
      <w:pPr>
        <w:autoSpaceDE w:val="0"/>
        <w:autoSpaceDN w:val="0"/>
        <w:spacing w:line="240" w:lineRule="atLeast"/>
        <w:rPr>
          <w:color w:val="000000"/>
        </w:rPr>
      </w:pPr>
      <w:r>
        <w:rPr>
          <w:b/>
          <w:bCs/>
          <w:color w:val="000000"/>
        </w:rPr>
        <w:t>B2.  Collection of Data</w:t>
      </w:r>
      <w:r>
        <w:rPr>
          <w:color w:val="000000"/>
        </w:rPr>
        <w:t xml:space="preserve"> </w:t>
      </w:r>
    </w:p>
    <w:p w14:paraId="6E558DEE" w14:textId="77777777" w:rsidR="004E09E2" w:rsidRDefault="004E09E2" w:rsidP="004E09E2">
      <w:pPr>
        <w:autoSpaceDE w:val="0"/>
        <w:autoSpaceDN w:val="0"/>
        <w:spacing w:line="240" w:lineRule="atLeast"/>
        <w:rPr>
          <w:b/>
          <w:bCs/>
          <w:color w:val="000000"/>
        </w:rPr>
      </w:pPr>
    </w:p>
    <w:p w14:paraId="6332E815" w14:textId="0725091F" w:rsidR="00B974B5" w:rsidRDefault="00B974B5" w:rsidP="00014E44">
      <w:pPr>
        <w:autoSpaceDE w:val="0"/>
        <w:autoSpaceDN w:val="0"/>
        <w:spacing w:line="240" w:lineRule="atLeast"/>
        <w:rPr>
          <w:bCs/>
          <w:color w:val="000000"/>
        </w:rPr>
      </w:pPr>
      <w:r>
        <w:rPr>
          <w:bCs/>
          <w:color w:val="000000"/>
        </w:rPr>
        <w:t xml:space="preserve">To collect the data, health plans contract with </w:t>
      </w:r>
      <w:r w:rsidR="00582DA1">
        <w:rPr>
          <w:bCs/>
          <w:color w:val="000000"/>
        </w:rPr>
        <w:t xml:space="preserve">NCQA-Certified survey vendors </w:t>
      </w:r>
      <w:r>
        <w:rPr>
          <w:bCs/>
          <w:color w:val="000000"/>
        </w:rPr>
        <w:t xml:space="preserve">to administer the CAHPS survey on their behalf. </w:t>
      </w:r>
      <w:r w:rsidRPr="00B974B5">
        <w:rPr>
          <w:bCs/>
          <w:color w:val="000000"/>
        </w:rPr>
        <w:t xml:space="preserve">To become an NCQA-Certified survey vendor, </w:t>
      </w:r>
      <w:r>
        <w:rPr>
          <w:bCs/>
          <w:color w:val="000000"/>
        </w:rPr>
        <w:t>“</w:t>
      </w:r>
      <w:r w:rsidRPr="00B974B5">
        <w:rPr>
          <w:bCs/>
          <w:color w:val="000000"/>
        </w:rPr>
        <w:t>an organization must demonstrate that it has the capabilities, experience and expert personnel to collect and report survey results accurately. NCQA issues an annual request for proposal (RFP) for new organizations to apply for certification.</w:t>
      </w:r>
      <w:r>
        <w:rPr>
          <w:bCs/>
          <w:color w:val="000000"/>
        </w:rPr>
        <w:t xml:space="preserve">”  </w:t>
      </w:r>
    </w:p>
    <w:p w14:paraId="36A7CEBB" w14:textId="5EB2AD28" w:rsidR="002F01F9" w:rsidRDefault="002F01F9" w:rsidP="00014E44">
      <w:pPr>
        <w:autoSpaceDE w:val="0"/>
        <w:autoSpaceDN w:val="0"/>
        <w:spacing w:line="240" w:lineRule="atLeast"/>
        <w:rPr>
          <w:bCs/>
          <w:color w:val="000000"/>
        </w:rPr>
      </w:pPr>
    </w:p>
    <w:p w14:paraId="07A9AD7A" w14:textId="3206D756" w:rsidR="002F01F9" w:rsidRDefault="002F01F9" w:rsidP="00014E44">
      <w:pPr>
        <w:autoSpaceDE w:val="0"/>
        <w:autoSpaceDN w:val="0"/>
        <w:spacing w:line="240" w:lineRule="atLeast"/>
        <w:rPr>
          <w:bCs/>
          <w:color w:val="000000"/>
        </w:rPr>
      </w:pPr>
      <w:r>
        <w:rPr>
          <w:bCs/>
          <w:color w:val="000000"/>
        </w:rPr>
        <w:t>In volume 3, NCQA provides sample cover letters and postcards to use with the CAHPS survey.  As noted above, survey administration procedure</w:t>
      </w:r>
      <w:r w:rsidR="00AA473D">
        <w:rPr>
          <w:bCs/>
          <w:color w:val="000000"/>
        </w:rPr>
        <w:t>s</w:t>
      </w:r>
      <w:r>
        <w:rPr>
          <w:bCs/>
          <w:color w:val="000000"/>
        </w:rPr>
        <w:t xml:space="preserve"> are </w:t>
      </w:r>
      <w:r w:rsidR="00896E00">
        <w:rPr>
          <w:bCs/>
          <w:color w:val="000000"/>
        </w:rPr>
        <w:t xml:space="preserve">also detailed </w:t>
      </w:r>
      <w:r>
        <w:rPr>
          <w:bCs/>
          <w:color w:val="000000"/>
        </w:rPr>
        <w:t>in Volume 3 and the surveying must be done by certified CAHPS vendors.  Th</w:t>
      </w:r>
      <w:r w:rsidR="00896E00">
        <w:rPr>
          <w:bCs/>
          <w:color w:val="000000"/>
        </w:rPr>
        <w:t xml:space="preserve">ese strict requirements </w:t>
      </w:r>
      <w:r>
        <w:rPr>
          <w:bCs/>
          <w:color w:val="000000"/>
        </w:rPr>
        <w:t>ensure</w:t>
      </w:r>
      <w:r w:rsidR="00896E00">
        <w:rPr>
          <w:bCs/>
          <w:color w:val="000000"/>
        </w:rPr>
        <w:t xml:space="preserve"> the survey is consistently </w:t>
      </w:r>
      <w:r>
        <w:rPr>
          <w:bCs/>
          <w:color w:val="000000"/>
        </w:rPr>
        <w:t>administer</w:t>
      </w:r>
      <w:r w:rsidR="00896E00">
        <w:rPr>
          <w:bCs/>
          <w:color w:val="000000"/>
        </w:rPr>
        <w:t>ed</w:t>
      </w:r>
      <w:r>
        <w:rPr>
          <w:bCs/>
          <w:color w:val="000000"/>
        </w:rPr>
        <w:t xml:space="preserve">, allowing for the </w:t>
      </w:r>
      <w:r w:rsidR="00896E00">
        <w:rPr>
          <w:bCs/>
          <w:color w:val="000000"/>
        </w:rPr>
        <w:t xml:space="preserve">development of industry wide benchmarks and the </w:t>
      </w:r>
      <w:r>
        <w:rPr>
          <w:bCs/>
          <w:color w:val="000000"/>
        </w:rPr>
        <w:t xml:space="preserve">comparison of survey results across health plans.   </w:t>
      </w:r>
    </w:p>
    <w:p w14:paraId="32FE5AF3" w14:textId="77777777" w:rsidR="00B974B5" w:rsidRDefault="00B974B5" w:rsidP="00014E44">
      <w:pPr>
        <w:autoSpaceDE w:val="0"/>
        <w:autoSpaceDN w:val="0"/>
        <w:spacing w:line="240" w:lineRule="atLeast"/>
        <w:rPr>
          <w:bCs/>
          <w:color w:val="000000"/>
        </w:rPr>
      </w:pPr>
    </w:p>
    <w:p w14:paraId="62F3F6A4" w14:textId="67E7BBB5" w:rsidR="00B974B5" w:rsidRDefault="00B974B5" w:rsidP="00014E44">
      <w:pPr>
        <w:autoSpaceDE w:val="0"/>
        <w:autoSpaceDN w:val="0"/>
        <w:spacing w:line="240" w:lineRule="atLeast"/>
        <w:rPr>
          <w:bCs/>
          <w:color w:val="000000"/>
        </w:rPr>
      </w:pPr>
      <w:r>
        <w:rPr>
          <w:bCs/>
          <w:color w:val="000000"/>
        </w:rPr>
        <w:t xml:space="preserve">The </w:t>
      </w:r>
      <w:r w:rsidR="00B64B33">
        <w:rPr>
          <w:bCs/>
          <w:color w:val="000000"/>
        </w:rPr>
        <w:t>surveys</w:t>
      </w:r>
      <w:r>
        <w:rPr>
          <w:bCs/>
          <w:color w:val="000000"/>
        </w:rPr>
        <w:t xml:space="preserve"> </w:t>
      </w:r>
      <w:r w:rsidR="00201410">
        <w:rPr>
          <w:bCs/>
          <w:color w:val="000000"/>
        </w:rPr>
        <w:t xml:space="preserve">are </w:t>
      </w:r>
      <w:r>
        <w:rPr>
          <w:bCs/>
          <w:color w:val="000000"/>
        </w:rPr>
        <w:t xml:space="preserve">collected </w:t>
      </w:r>
      <w:r w:rsidR="00B64B33">
        <w:rPr>
          <w:bCs/>
          <w:color w:val="000000"/>
        </w:rPr>
        <w:t xml:space="preserve">and processed </w:t>
      </w:r>
      <w:r>
        <w:rPr>
          <w:bCs/>
          <w:color w:val="000000"/>
        </w:rPr>
        <w:t>by NCQA-Certified survey vendor</w:t>
      </w:r>
      <w:r w:rsidR="00B64B33">
        <w:rPr>
          <w:bCs/>
          <w:color w:val="000000"/>
        </w:rPr>
        <w:t>s</w:t>
      </w:r>
      <w:r>
        <w:rPr>
          <w:bCs/>
          <w:color w:val="000000"/>
        </w:rPr>
        <w:t>, and submitted thr</w:t>
      </w:r>
      <w:r w:rsidR="00201410">
        <w:rPr>
          <w:bCs/>
          <w:color w:val="000000"/>
        </w:rPr>
        <w:t>ough</w:t>
      </w:r>
      <w:r>
        <w:rPr>
          <w:bCs/>
          <w:color w:val="000000"/>
        </w:rPr>
        <w:t xml:space="preserve"> the NCQA Portal, access to which is restricted by NCQA.  NCQA validates the submission</w:t>
      </w:r>
      <w:r w:rsidR="00201410">
        <w:rPr>
          <w:bCs/>
          <w:color w:val="000000"/>
        </w:rPr>
        <w:t>s</w:t>
      </w:r>
      <w:r>
        <w:rPr>
          <w:bCs/>
          <w:color w:val="000000"/>
        </w:rPr>
        <w:t xml:space="preserve">, determines benchmarks for each measure, and provides results to health plans and purchasers.  Respondents are informed about the data collection in the </w:t>
      </w:r>
      <w:r w:rsidR="00ED7401">
        <w:rPr>
          <w:bCs/>
          <w:color w:val="000000"/>
        </w:rPr>
        <w:t>instructions</w:t>
      </w:r>
      <w:r>
        <w:rPr>
          <w:bCs/>
          <w:color w:val="000000"/>
        </w:rPr>
        <w:t xml:space="preserve"> for the survey.  </w:t>
      </w:r>
      <w:r w:rsidR="007F1067">
        <w:rPr>
          <w:bCs/>
          <w:color w:val="000000"/>
        </w:rPr>
        <w:t>OPM contracts with a</w:t>
      </w:r>
      <w:r w:rsidR="00ED4FD4">
        <w:rPr>
          <w:bCs/>
          <w:color w:val="000000"/>
        </w:rPr>
        <w:t xml:space="preserve">n </w:t>
      </w:r>
      <w:r w:rsidR="00582DA1">
        <w:rPr>
          <w:bCs/>
          <w:color w:val="000000"/>
        </w:rPr>
        <w:t>NCQA-</w:t>
      </w:r>
      <w:r w:rsidR="00ED4FD4">
        <w:rPr>
          <w:bCs/>
          <w:color w:val="000000"/>
        </w:rPr>
        <w:t>C</w:t>
      </w:r>
      <w:r w:rsidR="00201410">
        <w:rPr>
          <w:bCs/>
          <w:color w:val="000000"/>
        </w:rPr>
        <w:t xml:space="preserve">ertified </w:t>
      </w:r>
      <w:r w:rsidR="00582DA1">
        <w:rPr>
          <w:bCs/>
          <w:color w:val="000000"/>
        </w:rPr>
        <w:t>v</w:t>
      </w:r>
      <w:r w:rsidR="007F1067">
        <w:rPr>
          <w:bCs/>
          <w:color w:val="000000"/>
        </w:rPr>
        <w:t>endor to further analyze and validate the aggregated results and produce a dataset for OPM</w:t>
      </w:r>
      <w:r w:rsidR="00201410">
        <w:rPr>
          <w:bCs/>
          <w:color w:val="000000"/>
        </w:rPr>
        <w:t>’</w:t>
      </w:r>
      <w:r w:rsidR="007F1067">
        <w:rPr>
          <w:bCs/>
          <w:color w:val="000000"/>
        </w:rPr>
        <w:t>s use.</w:t>
      </w:r>
    </w:p>
    <w:p w14:paraId="4D34C986" w14:textId="77777777" w:rsidR="007F1067" w:rsidRDefault="007F1067" w:rsidP="00014E44">
      <w:pPr>
        <w:autoSpaceDE w:val="0"/>
        <w:autoSpaceDN w:val="0"/>
        <w:spacing w:line="240" w:lineRule="atLeast"/>
        <w:rPr>
          <w:bCs/>
          <w:color w:val="000000"/>
        </w:rPr>
      </w:pPr>
    </w:p>
    <w:p w14:paraId="66D7ABC5" w14:textId="0524883B" w:rsidR="007F1067" w:rsidRDefault="007F1067" w:rsidP="00014E44">
      <w:pPr>
        <w:autoSpaceDE w:val="0"/>
        <w:autoSpaceDN w:val="0"/>
        <w:spacing w:line="240" w:lineRule="atLeast"/>
        <w:rPr>
          <w:bCs/>
          <w:color w:val="000000"/>
        </w:rPr>
      </w:pPr>
      <w:r>
        <w:rPr>
          <w:bCs/>
          <w:color w:val="000000"/>
        </w:rPr>
        <w:t xml:space="preserve">FEHB Carriers are required to report their CAHPS results, and many report the results for their entire book of business of which FEHB is a part. </w:t>
      </w:r>
      <w:r w:rsidR="00E2343D">
        <w:rPr>
          <w:bCs/>
          <w:color w:val="000000"/>
        </w:rPr>
        <w:t>Consumer</w:t>
      </w:r>
      <w:r>
        <w:rPr>
          <w:bCs/>
          <w:color w:val="000000"/>
        </w:rPr>
        <w:t xml:space="preserve"> response to the survey is entirely voluntary.  The burden on consumers is not considere</w:t>
      </w:r>
      <w:r w:rsidR="00692E8F">
        <w:rPr>
          <w:bCs/>
          <w:color w:val="000000"/>
        </w:rPr>
        <w:t>d onerous</w:t>
      </w:r>
      <w:r w:rsidR="00201410">
        <w:rPr>
          <w:bCs/>
          <w:color w:val="000000"/>
        </w:rPr>
        <w:t xml:space="preserve"> as</w:t>
      </w:r>
      <w:r w:rsidR="00692E8F">
        <w:rPr>
          <w:bCs/>
          <w:color w:val="000000"/>
        </w:rPr>
        <w:t xml:space="preserve"> the estimated time t</w:t>
      </w:r>
      <w:r>
        <w:rPr>
          <w:bCs/>
          <w:color w:val="000000"/>
        </w:rPr>
        <w:t xml:space="preserve">o complete the survey is </w:t>
      </w:r>
      <w:r w:rsidR="002E7549">
        <w:rPr>
          <w:bCs/>
          <w:color w:val="000000"/>
        </w:rPr>
        <w:t xml:space="preserve">fifteen </w:t>
      </w:r>
      <w:r>
        <w:rPr>
          <w:bCs/>
          <w:color w:val="000000"/>
        </w:rPr>
        <w:t>minutes.</w:t>
      </w:r>
    </w:p>
    <w:p w14:paraId="4F3F64C3" w14:textId="77777777" w:rsidR="007F1067" w:rsidRDefault="007F1067" w:rsidP="00014E44">
      <w:pPr>
        <w:autoSpaceDE w:val="0"/>
        <w:autoSpaceDN w:val="0"/>
        <w:spacing w:line="240" w:lineRule="atLeast"/>
        <w:rPr>
          <w:bCs/>
          <w:color w:val="000000"/>
        </w:rPr>
      </w:pPr>
    </w:p>
    <w:p w14:paraId="6CF22B4D" w14:textId="4C4FA2EA" w:rsidR="007F1067" w:rsidRDefault="00201410" w:rsidP="007F1067">
      <w:pPr>
        <w:rPr>
          <w:szCs w:val="22"/>
        </w:rPr>
      </w:pPr>
      <w:r>
        <w:rPr>
          <w:bCs/>
          <w:color w:val="000000"/>
        </w:rPr>
        <w:t xml:space="preserve">OPM receives </w:t>
      </w:r>
      <w:r w:rsidR="007F1067">
        <w:rPr>
          <w:bCs/>
          <w:color w:val="000000"/>
        </w:rPr>
        <w:t xml:space="preserve">results </w:t>
      </w:r>
      <w:r>
        <w:rPr>
          <w:bCs/>
          <w:color w:val="000000"/>
        </w:rPr>
        <w:t xml:space="preserve">that </w:t>
      </w:r>
      <w:r w:rsidR="007F1067">
        <w:rPr>
          <w:bCs/>
          <w:color w:val="000000"/>
        </w:rPr>
        <w:t>are aggregated</w:t>
      </w:r>
      <w:r>
        <w:rPr>
          <w:bCs/>
          <w:color w:val="000000"/>
        </w:rPr>
        <w:t xml:space="preserve"> at the plan level</w:t>
      </w:r>
      <w:r w:rsidR="007F1067">
        <w:rPr>
          <w:bCs/>
          <w:color w:val="000000"/>
        </w:rPr>
        <w:t xml:space="preserve"> and used as part of the formula </w:t>
      </w:r>
      <w:r w:rsidR="008F6ECE">
        <w:rPr>
          <w:bCs/>
          <w:color w:val="000000"/>
        </w:rPr>
        <w:t xml:space="preserve">for the </w:t>
      </w:r>
      <w:r w:rsidR="007F1067">
        <w:rPr>
          <w:bCs/>
          <w:color w:val="000000"/>
        </w:rPr>
        <w:t>determination of FEHB Plans profit factor</w:t>
      </w:r>
      <w:r>
        <w:rPr>
          <w:bCs/>
          <w:color w:val="000000"/>
        </w:rPr>
        <w:t>.</w:t>
      </w:r>
      <w:r w:rsidR="007F1067">
        <w:rPr>
          <w:bCs/>
          <w:color w:val="000000"/>
        </w:rPr>
        <w:t xml:space="preserve"> </w:t>
      </w:r>
      <w:r>
        <w:rPr>
          <w:bCs/>
          <w:color w:val="000000"/>
        </w:rPr>
        <w:t xml:space="preserve">Aggregated </w:t>
      </w:r>
      <w:r w:rsidR="007F1067">
        <w:rPr>
          <w:szCs w:val="22"/>
        </w:rPr>
        <w:t xml:space="preserve">CAHPS survey results are </w:t>
      </w:r>
      <w:r>
        <w:rPr>
          <w:szCs w:val="22"/>
        </w:rPr>
        <w:t xml:space="preserve">also </w:t>
      </w:r>
      <w:r w:rsidR="007F1067">
        <w:rPr>
          <w:szCs w:val="22"/>
        </w:rPr>
        <w:t xml:space="preserve">provided on two OPM webpages </w:t>
      </w:r>
      <w:r w:rsidR="008C2218">
        <w:rPr>
          <w:szCs w:val="22"/>
        </w:rPr>
        <w:t xml:space="preserve">as categorical results </w:t>
      </w:r>
      <w:r w:rsidR="007F1067">
        <w:rPr>
          <w:szCs w:val="22"/>
        </w:rPr>
        <w:t xml:space="preserve">to help inform </w:t>
      </w:r>
      <w:r>
        <w:rPr>
          <w:szCs w:val="22"/>
        </w:rPr>
        <w:t xml:space="preserve">consumer </w:t>
      </w:r>
      <w:r w:rsidR="007F1067">
        <w:rPr>
          <w:szCs w:val="22"/>
        </w:rPr>
        <w:t xml:space="preserve">selection of FEHB health plans.  </w:t>
      </w:r>
    </w:p>
    <w:p w14:paraId="5A291E78" w14:textId="7682C22C" w:rsidR="002F01F9" w:rsidRDefault="002F01F9" w:rsidP="007F1067">
      <w:pPr>
        <w:rPr>
          <w:szCs w:val="22"/>
        </w:rPr>
      </w:pPr>
    </w:p>
    <w:p w14:paraId="1160175C" w14:textId="37B6784B" w:rsidR="002F01F9" w:rsidRDefault="002F01F9" w:rsidP="007F1067">
      <w:pPr>
        <w:rPr>
          <w:szCs w:val="22"/>
        </w:rPr>
      </w:pPr>
      <w:r>
        <w:rPr>
          <w:szCs w:val="22"/>
        </w:rPr>
        <w:t>NCQA sets minimum response rates, and the required</w:t>
      </w:r>
      <w:r w:rsidR="006356F3">
        <w:rPr>
          <w:szCs w:val="22"/>
        </w:rPr>
        <w:t xml:space="preserve"> number of responses to obtain a reportable result, which requires a denominator of 100. NCQA provides detailed procedures for oversampling</w:t>
      </w:r>
      <w:r w:rsidR="00C91459">
        <w:rPr>
          <w:szCs w:val="22"/>
        </w:rPr>
        <w:t xml:space="preserve"> for survey measures that it does not expect to achieve a denominator of 100 for most survey calculations</w:t>
      </w:r>
      <w:r w:rsidR="006356F3">
        <w:rPr>
          <w:szCs w:val="22"/>
        </w:rPr>
        <w:t xml:space="preserve">, and a formula to calculate the estimated number of responses for individual survey questions.    </w:t>
      </w:r>
      <w:r>
        <w:rPr>
          <w:szCs w:val="22"/>
        </w:rPr>
        <w:t xml:space="preserve"> </w:t>
      </w:r>
    </w:p>
    <w:p w14:paraId="0324AB21" w14:textId="3FAC39DE" w:rsidR="00DA04BA" w:rsidRPr="007F1067" w:rsidRDefault="007F1067" w:rsidP="007F1067">
      <w:pPr>
        <w:rPr>
          <w:szCs w:val="22"/>
        </w:rPr>
      </w:pPr>
      <w:r w:rsidRPr="00564AFF">
        <w:rPr>
          <w:szCs w:val="22"/>
        </w:rPr>
        <w:t xml:space="preserve"> </w:t>
      </w:r>
    </w:p>
    <w:p w14:paraId="30C5B242" w14:textId="77777777" w:rsidR="004E09E2" w:rsidRDefault="004E09E2" w:rsidP="000A3459">
      <w:pPr>
        <w:autoSpaceDE w:val="0"/>
        <w:autoSpaceDN w:val="0"/>
        <w:spacing w:line="240" w:lineRule="atLeast"/>
        <w:rPr>
          <w:color w:val="000000"/>
        </w:rPr>
      </w:pPr>
      <w:r>
        <w:rPr>
          <w:b/>
          <w:bCs/>
          <w:color w:val="000000"/>
        </w:rPr>
        <w:t>B3.  Processing and Editing of Data</w:t>
      </w:r>
    </w:p>
    <w:p w14:paraId="2B545A55" w14:textId="77777777" w:rsidR="002940D7" w:rsidRDefault="002940D7" w:rsidP="004E09E2">
      <w:pPr>
        <w:autoSpaceDE w:val="0"/>
        <w:autoSpaceDN w:val="0"/>
        <w:spacing w:line="240" w:lineRule="atLeast"/>
        <w:ind w:left="360" w:hanging="360"/>
        <w:rPr>
          <w:color w:val="000000"/>
        </w:rPr>
      </w:pPr>
    </w:p>
    <w:p w14:paraId="5E1A3CE1" w14:textId="46BA471A" w:rsidR="000A3459" w:rsidRPr="000A3459" w:rsidRDefault="000A3459" w:rsidP="000A3459">
      <w:pPr>
        <w:autoSpaceDE w:val="0"/>
        <w:autoSpaceDN w:val="0"/>
        <w:spacing w:line="240" w:lineRule="atLeast"/>
        <w:rPr>
          <w:bCs/>
          <w:color w:val="000000"/>
        </w:rPr>
      </w:pPr>
      <w:r w:rsidRPr="000A3459">
        <w:rPr>
          <w:bCs/>
          <w:color w:val="000000"/>
        </w:rPr>
        <w:t xml:space="preserve">Standard data cleaning and analysis procedures </w:t>
      </w:r>
      <w:r w:rsidR="005D42EC">
        <w:rPr>
          <w:bCs/>
          <w:color w:val="000000"/>
        </w:rPr>
        <w:t>are</w:t>
      </w:r>
      <w:r w:rsidRPr="000A3459">
        <w:rPr>
          <w:bCs/>
          <w:color w:val="000000"/>
        </w:rPr>
        <w:t xml:space="preserve"> performed by </w:t>
      </w:r>
      <w:r w:rsidR="005D42EC">
        <w:rPr>
          <w:bCs/>
          <w:color w:val="000000"/>
        </w:rPr>
        <w:t xml:space="preserve">the </w:t>
      </w:r>
      <w:r w:rsidR="00582DA1">
        <w:rPr>
          <w:bCs/>
          <w:color w:val="000000"/>
        </w:rPr>
        <w:t>NCQA-</w:t>
      </w:r>
      <w:r w:rsidR="005D42EC">
        <w:rPr>
          <w:bCs/>
          <w:color w:val="000000"/>
        </w:rPr>
        <w:t xml:space="preserve">Certified </w:t>
      </w:r>
      <w:r w:rsidR="00582DA1">
        <w:rPr>
          <w:bCs/>
          <w:color w:val="000000"/>
        </w:rPr>
        <w:t>vendor</w:t>
      </w:r>
      <w:r w:rsidR="005D42EC">
        <w:rPr>
          <w:bCs/>
          <w:color w:val="000000"/>
        </w:rPr>
        <w:t>.  The vendor is responsible for validating the results,</w:t>
      </w:r>
      <w:r w:rsidR="00692E8F">
        <w:rPr>
          <w:bCs/>
          <w:color w:val="000000"/>
        </w:rPr>
        <w:t xml:space="preserve"> including making sure that the sample protocol </w:t>
      </w:r>
      <w:r w:rsidR="00201410">
        <w:rPr>
          <w:bCs/>
          <w:color w:val="000000"/>
        </w:rPr>
        <w:t xml:space="preserve">and all other requirements are </w:t>
      </w:r>
      <w:r w:rsidR="00011DC6">
        <w:rPr>
          <w:bCs/>
          <w:color w:val="000000"/>
        </w:rPr>
        <w:t>followed.</w:t>
      </w:r>
      <w:r w:rsidR="00692E8F">
        <w:rPr>
          <w:bCs/>
          <w:color w:val="000000"/>
        </w:rPr>
        <w:t xml:space="preserve"> Only then is the data submitted to NCQA</w:t>
      </w:r>
      <w:r w:rsidR="00F616DA">
        <w:rPr>
          <w:bCs/>
          <w:color w:val="000000"/>
        </w:rPr>
        <w:t xml:space="preserve"> thru the NCQA Secure </w:t>
      </w:r>
      <w:r w:rsidR="00F26547" w:rsidRPr="00F26547">
        <w:rPr>
          <w:bCs/>
          <w:color w:val="000000"/>
        </w:rPr>
        <w:t>Interactive Data Submission System (IDSS)</w:t>
      </w:r>
      <w:r w:rsidR="00692E8F">
        <w:rPr>
          <w:bCs/>
          <w:color w:val="000000"/>
        </w:rPr>
        <w:t>.  OPM</w:t>
      </w:r>
      <w:r w:rsidR="00201410">
        <w:rPr>
          <w:bCs/>
          <w:color w:val="000000"/>
        </w:rPr>
        <w:t>’s</w:t>
      </w:r>
      <w:r w:rsidR="00692E8F">
        <w:rPr>
          <w:bCs/>
          <w:color w:val="000000"/>
        </w:rPr>
        <w:t xml:space="preserve"> </w:t>
      </w:r>
      <w:r w:rsidR="00ED4FD4">
        <w:rPr>
          <w:bCs/>
          <w:color w:val="000000"/>
        </w:rPr>
        <w:t>NCQA</w:t>
      </w:r>
      <w:r w:rsidR="00582DA1">
        <w:rPr>
          <w:bCs/>
          <w:color w:val="000000"/>
        </w:rPr>
        <w:t>-</w:t>
      </w:r>
      <w:r w:rsidR="00ED4FD4">
        <w:rPr>
          <w:bCs/>
          <w:color w:val="000000"/>
        </w:rPr>
        <w:t xml:space="preserve">Certified </w:t>
      </w:r>
      <w:r w:rsidR="00582DA1">
        <w:rPr>
          <w:bCs/>
          <w:color w:val="000000"/>
        </w:rPr>
        <w:t>v</w:t>
      </w:r>
      <w:r w:rsidR="00692E8F">
        <w:rPr>
          <w:bCs/>
          <w:color w:val="000000"/>
        </w:rPr>
        <w:t xml:space="preserve">endor does additional validation and analytics under a separate contract with OPM.  </w:t>
      </w:r>
    </w:p>
    <w:p w14:paraId="2F9E60F3" w14:textId="77777777" w:rsidR="004E09E2" w:rsidRDefault="004E09E2" w:rsidP="004E09E2">
      <w:pPr>
        <w:autoSpaceDE w:val="0"/>
        <w:autoSpaceDN w:val="0"/>
        <w:spacing w:line="240" w:lineRule="atLeast"/>
        <w:rPr>
          <w:b/>
          <w:bCs/>
          <w:color w:val="000000"/>
        </w:rPr>
      </w:pPr>
    </w:p>
    <w:p w14:paraId="69FA229E" w14:textId="77777777" w:rsidR="004E09E2" w:rsidRDefault="004E09E2" w:rsidP="00564AFF">
      <w:r>
        <w:rPr>
          <w:b/>
          <w:bCs/>
        </w:rPr>
        <w:t>B4.   Production of Estimates and Projections</w:t>
      </w:r>
      <w:r>
        <w:t xml:space="preserve"> </w:t>
      </w:r>
    </w:p>
    <w:p w14:paraId="3C0EE728" w14:textId="77777777" w:rsidR="004E09E2" w:rsidRDefault="004E09E2" w:rsidP="004E09E2"/>
    <w:p w14:paraId="3F0B1C22" w14:textId="76556B7A" w:rsidR="006E3B68" w:rsidRDefault="00692E8F" w:rsidP="004E09E2">
      <w:r>
        <w:t>The CAHPS sampling protocols are set by</w:t>
      </w:r>
      <w:r w:rsidR="00F26547">
        <w:t xml:space="preserve"> AHRQ and</w:t>
      </w:r>
      <w:r>
        <w:t xml:space="preserve"> NCQA and applied by the </w:t>
      </w:r>
      <w:r w:rsidR="00582DA1">
        <w:t>NCQA-</w:t>
      </w:r>
      <w:r>
        <w:t xml:space="preserve">Certified Vendor for each health plan.  This ensures that they are statistically valid, </w:t>
      </w:r>
      <w:r w:rsidR="00ED4FD4">
        <w:t xml:space="preserve">can be used to represent population results, </w:t>
      </w:r>
      <w:r>
        <w:t xml:space="preserve">and </w:t>
      </w:r>
      <w:r w:rsidR="00ED4FD4">
        <w:t xml:space="preserve">that </w:t>
      </w:r>
      <w:r>
        <w:t xml:space="preserve">comparisons of results can be made across all Carriers.  </w:t>
      </w:r>
      <w:r w:rsidR="00582DA1">
        <w:t>NCQA-</w:t>
      </w:r>
      <w:r>
        <w:t xml:space="preserve">Certified </w:t>
      </w:r>
      <w:r w:rsidR="00582DA1">
        <w:t xml:space="preserve">vendors </w:t>
      </w:r>
      <w:r>
        <w:t xml:space="preserve">identify any biased results, and those results are excluded from use. </w:t>
      </w:r>
      <w:r w:rsidR="00CC163F">
        <w:t xml:space="preserve">If </w:t>
      </w:r>
      <w:r>
        <w:t xml:space="preserve">a specific measure </w:t>
      </w:r>
      <w:r w:rsidR="00CC163F">
        <w:t xml:space="preserve">is </w:t>
      </w:r>
      <w:r>
        <w:t>identified as biased, the results are not used in the analysis or for the calculation of profit factor</w:t>
      </w:r>
      <w:r w:rsidR="00CC163F">
        <w:t>, and those results</w:t>
      </w:r>
      <w:r>
        <w:t xml:space="preserve"> are also not made available to consumers.</w:t>
      </w:r>
    </w:p>
    <w:p w14:paraId="2EDC32A7" w14:textId="77777777" w:rsidR="00564AFF" w:rsidRDefault="00564AFF" w:rsidP="004E09E2">
      <w:pPr>
        <w:autoSpaceDE w:val="0"/>
        <w:autoSpaceDN w:val="0"/>
        <w:spacing w:line="240" w:lineRule="atLeast"/>
        <w:rPr>
          <w:b/>
          <w:bCs/>
          <w:color w:val="000000"/>
        </w:rPr>
      </w:pPr>
    </w:p>
    <w:p w14:paraId="508FEC16" w14:textId="77777777" w:rsidR="00653F1C" w:rsidRDefault="004E09E2" w:rsidP="004E09E2">
      <w:pPr>
        <w:autoSpaceDE w:val="0"/>
        <w:autoSpaceDN w:val="0"/>
        <w:spacing w:line="240" w:lineRule="atLeast"/>
        <w:rPr>
          <w:b/>
          <w:bCs/>
          <w:color w:val="000000"/>
        </w:rPr>
      </w:pPr>
      <w:r>
        <w:rPr>
          <w:b/>
          <w:bCs/>
          <w:color w:val="000000"/>
        </w:rPr>
        <w:t>B5.</w:t>
      </w:r>
      <w:r>
        <w:rPr>
          <w:color w:val="000000"/>
        </w:rPr>
        <w:t xml:space="preserve">  </w:t>
      </w:r>
      <w:r>
        <w:rPr>
          <w:b/>
          <w:bCs/>
          <w:color w:val="000000"/>
        </w:rPr>
        <w:t>Data Analysis</w:t>
      </w:r>
    </w:p>
    <w:p w14:paraId="6C00D755" w14:textId="20767E8D" w:rsidR="00AC6766" w:rsidRPr="00564AFF" w:rsidRDefault="008C2218" w:rsidP="00AC6766">
      <w:pPr>
        <w:autoSpaceDE w:val="0"/>
        <w:autoSpaceDN w:val="0"/>
        <w:adjustRightInd w:val="0"/>
        <w:rPr>
          <w:szCs w:val="22"/>
        </w:rPr>
      </w:pPr>
      <w:r>
        <w:rPr>
          <w:szCs w:val="22"/>
        </w:rPr>
        <w:t>Respondent-level data analysis is conducted by the NCQA</w:t>
      </w:r>
      <w:r w:rsidR="00582DA1">
        <w:rPr>
          <w:szCs w:val="22"/>
        </w:rPr>
        <w:t>-</w:t>
      </w:r>
      <w:r>
        <w:rPr>
          <w:szCs w:val="22"/>
        </w:rPr>
        <w:t xml:space="preserve">Certified </w:t>
      </w:r>
      <w:r w:rsidR="00582DA1">
        <w:rPr>
          <w:szCs w:val="22"/>
        </w:rPr>
        <w:t>v</w:t>
      </w:r>
      <w:r>
        <w:rPr>
          <w:szCs w:val="22"/>
        </w:rPr>
        <w:t>endor before submission to NCQA. Plan-level b</w:t>
      </w:r>
      <w:r w:rsidR="00AC6766" w:rsidRPr="00564AFF">
        <w:rPr>
          <w:szCs w:val="22"/>
        </w:rPr>
        <w:t xml:space="preserve">asic survey analysis techniques (e.g., </w:t>
      </w:r>
      <w:r w:rsidR="00E447BD">
        <w:rPr>
          <w:szCs w:val="22"/>
        </w:rPr>
        <w:t>comparing</w:t>
      </w:r>
      <w:r>
        <w:rPr>
          <w:szCs w:val="22"/>
        </w:rPr>
        <w:t xml:space="preserve"> results</w:t>
      </w:r>
      <w:r w:rsidR="00E447BD">
        <w:rPr>
          <w:szCs w:val="22"/>
        </w:rPr>
        <w:t xml:space="preserve"> to commercial benchmarks produced by NCQA for CAHPS, </w:t>
      </w:r>
      <w:r w:rsidR="00AC6766" w:rsidRPr="00564AFF">
        <w:rPr>
          <w:szCs w:val="22"/>
        </w:rPr>
        <w:t>calculating frequencies</w:t>
      </w:r>
      <w:r w:rsidR="00E447BD">
        <w:rPr>
          <w:szCs w:val="22"/>
        </w:rPr>
        <w:t>, patterns</w:t>
      </w:r>
      <w:r w:rsidR="00AC6766" w:rsidRPr="00564AFF">
        <w:rPr>
          <w:szCs w:val="22"/>
        </w:rPr>
        <w:t>) will be used to interpret and explain the data provided by respond</w:t>
      </w:r>
      <w:r w:rsidR="00E447BD">
        <w:rPr>
          <w:szCs w:val="22"/>
        </w:rPr>
        <w:t xml:space="preserve">ents. The results will be used </w:t>
      </w:r>
      <w:r w:rsidR="00AD5600">
        <w:rPr>
          <w:szCs w:val="22"/>
        </w:rPr>
        <w:t xml:space="preserve">in the FEHB Plan Performance Assessment, and </w:t>
      </w:r>
      <w:r>
        <w:rPr>
          <w:szCs w:val="22"/>
        </w:rPr>
        <w:t xml:space="preserve">categorical results </w:t>
      </w:r>
      <w:r w:rsidR="00AD5600">
        <w:rPr>
          <w:szCs w:val="22"/>
        </w:rPr>
        <w:t>for each FEHB Plan posted on the OPM website</w:t>
      </w:r>
      <w:r w:rsidR="00E447BD">
        <w:rPr>
          <w:szCs w:val="22"/>
        </w:rPr>
        <w:t xml:space="preserve"> (</w:t>
      </w:r>
      <w:hyperlink r:id="rId12" w:history="1">
        <w:r w:rsidR="00E447BD" w:rsidRPr="008A2CFA">
          <w:rPr>
            <w:rStyle w:val="Hyperlink"/>
            <w:szCs w:val="22"/>
          </w:rPr>
          <w:t>https://www.opm.gov/healthcare-insurance/healthcare/plan-information/compare-plans/quality</w:t>
        </w:r>
      </w:hyperlink>
      <w:r w:rsidR="00E447BD">
        <w:rPr>
          <w:szCs w:val="22"/>
        </w:rPr>
        <w:t xml:space="preserve">) </w:t>
      </w:r>
      <w:r w:rsidR="00AD5600">
        <w:rPr>
          <w:szCs w:val="22"/>
        </w:rPr>
        <w:t>and included in the results for the FEHB Plan Comparison Tool</w:t>
      </w:r>
      <w:r w:rsidR="00E447BD">
        <w:rPr>
          <w:szCs w:val="22"/>
        </w:rPr>
        <w:t xml:space="preserve"> (</w:t>
      </w:r>
      <w:hyperlink r:id="rId13" w:history="1">
        <w:r w:rsidR="00E447BD" w:rsidRPr="008A2CFA">
          <w:rPr>
            <w:rStyle w:val="Hyperlink"/>
            <w:szCs w:val="22"/>
          </w:rPr>
          <w:t>https://www.opm.gov/healthcare-insurance/healthcare/plan-information/compare-plans/</w:t>
        </w:r>
      </w:hyperlink>
      <w:r w:rsidR="00E447BD">
        <w:rPr>
          <w:szCs w:val="22"/>
        </w:rPr>
        <w:t xml:space="preserve">). </w:t>
      </w:r>
      <w:r w:rsidR="00AC6766" w:rsidRPr="00564AFF">
        <w:rPr>
          <w:szCs w:val="22"/>
        </w:rPr>
        <w:t xml:space="preserve"> </w:t>
      </w:r>
    </w:p>
    <w:p w14:paraId="7751CDD0" w14:textId="77777777" w:rsidR="00AC6766" w:rsidRPr="007533FE" w:rsidRDefault="00AC6766" w:rsidP="00AC6766">
      <w:pPr>
        <w:autoSpaceDE w:val="0"/>
        <w:autoSpaceDN w:val="0"/>
        <w:adjustRightInd w:val="0"/>
        <w:rPr>
          <w:rFonts w:ascii="Calibri" w:hAnsi="Calibri"/>
          <w:sz w:val="22"/>
          <w:szCs w:val="22"/>
        </w:rPr>
      </w:pPr>
    </w:p>
    <w:p w14:paraId="1851A12C" w14:textId="77777777" w:rsidR="004E09E2" w:rsidRDefault="004E09E2" w:rsidP="004E09E2">
      <w:pPr>
        <w:autoSpaceDE w:val="0"/>
        <w:autoSpaceDN w:val="0"/>
        <w:spacing w:line="240" w:lineRule="atLeast"/>
        <w:rPr>
          <w:color w:val="000000"/>
        </w:rPr>
      </w:pPr>
      <w:r>
        <w:rPr>
          <w:b/>
          <w:bCs/>
          <w:color w:val="000000"/>
        </w:rPr>
        <w:t xml:space="preserve">B6. </w:t>
      </w:r>
      <w:r>
        <w:rPr>
          <w:color w:val="000000"/>
        </w:rPr>
        <w:t> </w:t>
      </w:r>
      <w:r>
        <w:rPr>
          <w:b/>
          <w:bCs/>
          <w:color w:val="000000"/>
        </w:rPr>
        <w:t>Review and Evaluation Procedures</w:t>
      </w:r>
      <w:r>
        <w:rPr>
          <w:color w:val="000000"/>
        </w:rPr>
        <w:t xml:space="preserve"> </w:t>
      </w:r>
    </w:p>
    <w:p w14:paraId="0EA0CB29" w14:textId="77777777" w:rsidR="00B8465E" w:rsidRDefault="00B8465E" w:rsidP="004E09E2"/>
    <w:p w14:paraId="27C711AC" w14:textId="77777777" w:rsidR="00F26547" w:rsidRDefault="00E447BD" w:rsidP="004E09E2">
      <w:r>
        <w:t>As noted above, t</w:t>
      </w:r>
      <w:r w:rsidR="002D7997" w:rsidRPr="00564AFF">
        <w:t xml:space="preserve">he survey tool was developed </w:t>
      </w:r>
      <w:r>
        <w:t xml:space="preserve">by AHRQ and is the industry standard, used for multiple government healthcare programs including Medicare and Medicaid, by NCQA for accreditation, by states for their healthcare programs, and throughout the industry.  PRA approval has been granted on numerous occasions for CAHPS in CMS programs. </w:t>
      </w:r>
    </w:p>
    <w:p w14:paraId="12B85D7D" w14:textId="77777777" w:rsidR="00F26547" w:rsidRDefault="00F26547" w:rsidP="004E09E2"/>
    <w:p w14:paraId="7EE39E1B" w14:textId="00FEED55" w:rsidR="008E3C8D" w:rsidRPr="008E3C8D" w:rsidRDefault="00F26547" w:rsidP="008E3C8D">
      <w:r>
        <w:t xml:space="preserve">As noted in B1, </w:t>
      </w:r>
      <w:r w:rsidR="008A41DC">
        <w:t xml:space="preserve">the development process for CAHPS surveys emphasizes scientific rigor, input from patients and other key stakeholders, focus groups, cognitive testing of survey questions and reporting measures, and field testing. </w:t>
      </w:r>
      <w:r w:rsidR="00A54387" w:rsidRPr="00F26547">
        <w:t>AHRQ funds private research organizations with proven expertise in survey design and evaluation, public reporting, and quality assessment and improvement</w:t>
      </w:r>
      <w:r w:rsidR="00A54387">
        <w:t xml:space="preserve">, currently </w:t>
      </w:r>
      <w:r w:rsidR="00A54387" w:rsidRPr="00F26547">
        <w:t xml:space="preserve">RAND and the Yale School of Public Health. </w:t>
      </w:r>
      <w:r w:rsidR="008E3C8D" w:rsidRPr="008E3C8D">
        <w:t>AHRQ contracts with Westat to support the work of the researchers, assist users of CAHPS products, and manage the CAHPS Database.</w:t>
      </w:r>
      <w:r w:rsidR="008E3C8D">
        <w:t xml:space="preserve"> </w:t>
      </w:r>
      <w:r w:rsidR="008E3C8D" w:rsidRPr="008E3C8D">
        <w:t xml:space="preserve">Collectively, these organizations are known as the CAHPS Consortium. </w:t>
      </w:r>
      <w:r w:rsidR="008E3C8D">
        <w:t>Information on the</w:t>
      </w:r>
      <w:r w:rsidR="008E3C8D" w:rsidRPr="008E3C8D">
        <w:t xml:space="preserve"> CAHPS Consortium and the organizations involved in the different phases of the CAHPS program</w:t>
      </w:r>
      <w:r w:rsidR="008E3C8D">
        <w:t xml:space="preserve"> can be found at </w:t>
      </w:r>
      <w:hyperlink r:id="rId14" w:history="1">
        <w:r w:rsidR="008E3C8D" w:rsidRPr="008E3C8D">
          <w:rPr>
            <w:rStyle w:val="Hyperlink"/>
          </w:rPr>
          <w:t>https://cahps.ahrq.gov/aboutcahps/cahps-program/index.html</w:t>
        </w:r>
      </w:hyperlink>
      <w:r w:rsidR="008E3C8D" w:rsidRPr="008E3C8D">
        <w:t xml:space="preserve">. </w:t>
      </w:r>
    </w:p>
    <w:p w14:paraId="4FF58995" w14:textId="77777777" w:rsidR="004C292F" w:rsidRDefault="004C292F" w:rsidP="004E09E2"/>
    <w:p w14:paraId="4957EA82" w14:textId="541DB25B" w:rsidR="00B103E0" w:rsidRDefault="008A41DC" w:rsidP="004E09E2">
      <w:r>
        <w:t xml:space="preserve">As a part of HHS, AHRQ produces CAHPS </w:t>
      </w:r>
      <w:r w:rsidR="00CC7C9D">
        <w:t xml:space="preserve">and </w:t>
      </w:r>
      <w:r>
        <w:t xml:space="preserve">is subject to OMB and agency Information Quality Guidelines. Other federal programs use CAHPS and have obtained PRA approval and numbers from OMB. AHRQ has obtained PRA approval for the testing of CAHPS, </w:t>
      </w:r>
      <w:r w:rsidR="004C292F">
        <w:t>and CMS, TRICARE and VA have also obtained OMB approval and PRA numbers, as previously noted.</w:t>
      </w:r>
      <w:r>
        <w:t xml:space="preserve">  </w:t>
      </w:r>
      <w:bookmarkStart w:id="2" w:name="_Hlk27154187"/>
    </w:p>
    <w:bookmarkEnd w:id="2"/>
    <w:p w14:paraId="6601F396" w14:textId="77777777" w:rsidR="003A5EF5" w:rsidRDefault="003A5EF5" w:rsidP="004E09E2"/>
    <w:p w14:paraId="73EA9D34" w14:textId="77777777" w:rsidR="004E09E2" w:rsidRDefault="004E09E2" w:rsidP="00564AFF">
      <w:r>
        <w:rPr>
          <w:b/>
          <w:bCs/>
        </w:rPr>
        <w:t>B7.   Data Dissemination</w:t>
      </w:r>
      <w:r>
        <w:t xml:space="preserve"> </w:t>
      </w:r>
    </w:p>
    <w:p w14:paraId="0A9DBA52" w14:textId="77777777" w:rsidR="004E09E2" w:rsidRDefault="004E09E2" w:rsidP="004E09E2"/>
    <w:p w14:paraId="60019AF4" w14:textId="7CE1A8DB" w:rsidR="00ED61AB" w:rsidRDefault="00ED61AB" w:rsidP="004E09E2">
      <w:pPr>
        <w:rPr>
          <w:szCs w:val="22"/>
        </w:rPr>
      </w:pPr>
      <w:r>
        <w:rPr>
          <w:szCs w:val="22"/>
        </w:rPr>
        <w:t xml:space="preserve">Aggregated reporting on the CAHPS survey results are provided on two OPM webpages to help inform selection of FEHB health plans.  Specific Carrier scores are reported </w:t>
      </w:r>
      <w:r w:rsidR="00CC7C9D">
        <w:rPr>
          <w:szCs w:val="22"/>
        </w:rPr>
        <w:t>categorically</w:t>
      </w:r>
      <w:r>
        <w:rPr>
          <w:szCs w:val="22"/>
        </w:rPr>
        <w:t xml:space="preserve">.  </w:t>
      </w:r>
    </w:p>
    <w:p w14:paraId="38A26133" w14:textId="77777777" w:rsidR="00B8465E" w:rsidRPr="00564AFF" w:rsidRDefault="00B8465E" w:rsidP="004E09E2">
      <w:pPr>
        <w:rPr>
          <w:szCs w:val="22"/>
        </w:rPr>
      </w:pPr>
      <w:r w:rsidRPr="00564AFF">
        <w:rPr>
          <w:szCs w:val="22"/>
        </w:rPr>
        <w:t xml:space="preserve"> </w:t>
      </w:r>
    </w:p>
    <w:p w14:paraId="4877C435" w14:textId="628FB101" w:rsidR="00B8465E" w:rsidRPr="00564AFF" w:rsidRDefault="00ED61AB" w:rsidP="004E09E2">
      <w:r>
        <w:rPr>
          <w:szCs w:val="22"/>
        </w:rPr>
        <w:t>No PII is reported on the CAHPS results</w:t>
      </w:r>
      <w:r w:rsidR="005A1A38">
        <w:rPr>
          <w:szCs w:val="22"/>
        </w:rPr>
        <w:t xml:space="preserve"> to OPM</w:t>
      </w:r>
      <w:r>
        <w:rPr>
          <w:szCs w:val="22"/>
        </w:rPr>
        <w:t>. The results are aggregated</w:t>
      </w:r>
      <w:r w:rsidR="00CC7C9D">
        <w:rPr>
          <w:szCs w:val="22"/>
        </w:rPr>
        <w:t xml:space="preserve"> to the health plan level</w:t>
      </w:r>
      <w:r>
        <w:rPr>
          <w:szCs w:val="22"/>
        </w:rPr>
        <w:t xml:space="preserve"> and no individual responses are </w:t>
      </w:r>
      <w:r w:rsidR="00785F6B">
        <w:rPr>
          <w:szCs w:val="22"/>
        </w:rPr>
        <w:t xml:space="preserve">received </w:t>
      </w:r>
      <w:r w:rsidR="001F7765">
        <w:rPr>
          <w:szCs w:val="22"/>
        </w:rPr>
        <w:t xml:space="preserve">by </w:t>
      </w:r>
      <w:r w:rsidR="005A1A38">
        <w:rPr>
          <w:szCs w:val="22"/>
        </w:rPr>
        <w:t>OPM</w:t>
      </w:r>
      <w:r>
        <w:rPr>
          <w:szCs w:val="22"/>
        </w:rPr>
        <w:t xml:space="preserve">. </w:t>
      </w:r>
      <w:r w:rsidR="00B8465E" w:rsidRPr="00564AFF">
        <w:rPr>
          <w:szCs w:val="22"/>
        </w:rPr>
        <w:t xml:space="preserve"> </w:t>
      </w:r>
    </w:p>
    <w:p w14:paraId="35AF0790" w14:textId="77777777" w:rsidR="00B8465E" w:rsidRDefault="00B8465E" w:rsidP="004E09E2"/>
    <w:p w14:paraId="16C1DEC8" w14:textId="77777777" w:rsidR="004E09E2" w:rsidRDefault="00564AFF" w:rsidP="004E09E2">
      <w:r>
        <w:rPr>
          <w:b/>
          <w:bCs/>
        </w:rPr>
        <w:t>B8.  Contact Person(s)</w:t>
      </w:r>
    </w:p>
    <w:p w14:paraId="268C4C5D" w14:textId="77777777" w:rsidR="004E09E2" w:rsidRPr="00EA2B5D" w:rsidRDefault="004E09E2" w:rsidP="004E09E2">
      <w:pPr>
        <w:rPr>
          <w:rFonts w:ascii="Calibri" w:hAnsi="Calibri"/>
          <w:sz w:val="22"/>
          <w:szCs w:val="22"/>
        </w:rPr>
      </w:pPr>
    </w:p>
    <w:p w14:paraId="6F5A5DFB" w14:textId="77777777" w:rsidR="00A209CF" w:rsidRDefault="00ED61AB">
      <w:r>
        <w:t>Joseph Kahn</w:t>
      </w:r>
    </w:p>
    <w:p w14:paraId="78D449FC" w14:textId="77777777" w:rsidR="00ED61AB" w:rsidRPr="00EA2B5D" w:rsidRDefault="00ED61AB">
      <w:r>
        <w:t>Federal Employee Insurance Operations</w:t>
      </w:r>
    </w:p>
    <w:p w14:paraId="032746A8" w14:textId="77777777" w:rsidR="00A209CF" w:rsidRPr="00EA2B5D" w:rsidRDefault="00A209CF">
      <w:r w:rsidRPr="00EA2B5D">
        <w:t>U.S. Office of Personnel Management</w:t>
      </w:r>
    </w:p>
    <w:p w14:paraId="14CE431F" w14:textId="77777777" w:rsidR="00A209CF" w:rsidRDefault="00A209CF">
      <w:r w:rsidRPr="00EA2B5D">
        <w:t>(202) 606-</w:t>
      </w:r>
      <w:r w:rsidR="00ED61AB">
        <w:t>0971</w:t>
      </w:r>
    </w:p>
    <w:p w14:paraId="2E89D12E" w14:textId="351857A6" w:rsidR="00B9269F" w:rsidRDefault="00C3545D">
      <w:pPr>
        <w:rPr>
          <w:rStyle w:val="Hyperlink"/>
        </w:rPr>
      </w:pPr>
      <w:hyperlink r:id="rId15" w:history="1">
        <w:r w:rsidR="00ED61AB" w:rsidRPr="008A2CFA">
          <w:rPr>
            <w:rStyle w:val="Hyperlink"/>
          </w:rPr>
          <w:t>Joseph.kahn@opm.gov</w:t>
        </w:r>
      </w:hyperlink>
    </w:p>
    <w:p w14:paraId="01E74EDB" w14:textId="77777777" w:rsidR="00D87C30" w:rsidRPr="00A42963" w:rsidRDefault="00D87C30">
      <w:pPr>
        <w:rPr>
          <w:b/>
        </w:rPr>
      </w:pPr>
    </w:p>
    <w:sectPr w:rsidR="00D87C30" w:rsidRPr="00A42963">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7D9E9" w14:textId="77777777" w:rsidR="008C54F6" w:rsidRDefault="008C54F6" w:rsidP="008C54F6">
      <w:r>
        <w:separator/>
      </w:r>
    </w:p>
  </w:endnote>
  <w:endnote w:type="continuationSeparator" w:id="0">
    <w:p w14:paraId="2D7C42A3" w14:textId="77777777" w:rsidR="008C54F6" w:rsidRDefault="008C54F6" w:rsidP="008C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14CDC" w14:textId="5FCABD4E" w:rsidR="00230689" w:rsidRDefault="00230689" w:rsidP="00230689">
    <w:pPr>
      <w:pStyle w:val="Footer"/>
      <w:jc w:val="right"/>
    </w:pPr>
    <w:r>
      <w:t xml:space="preserve">Page </w:t>
    </w:r>
    <w:r>
      <w:fldChar w:fldCharType="begin"/>
    </w:r>
    <w:r>
      <w:instrText xml:space="preserve"> PAGE   \* MERGEFORMAT </w:instrText>
    </w:r>
    <w:r>
      <w:fldChar w:fldCharType="separate"/>
    </w:r>
    <w:r w:rsidR="00C3545D">
      <w:rPr>
        <w:noProof/>
      </w:rPr>
      <w:t>1</w:t>
    </w:r>
    <w:r>
      <w:fldChar w:fldCharType="end"/>
    </w:r>
    <w:r>
      <w:t xml:space="preserve"> of </w:t>
    </w:r>
    <w:r w:rsidR="001F7765">
      <w:fldChar w:fldCharType="begin"/>
    </w:r>
    <w:r w:rsidR="001F7765">
      <w:instrText xml:space="preserve"> NUMPAGES   \* MERGEFORMAT </w:instrText>
    </w:r>
    <w:r w:rsidR="001F7765">
      <w:fldChar w:fldCharType="separate"/>
    </w:r>
    <w:r w:rsidR="00C3545D">
      <w:rPr>
        <w:noProof/>
      </w:rPr>
      <w:t>3</w:t>
    </w:r>
    <w:r w:rsidR="001F776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6E844" w14:textId="77777777" w:rsidR="008C54F6" w:rsidRDefault="008C54F6" w:rsidP="008C54F6">
      <w:r>
        <w:separator/>
      </w:r>
    </w:p>
  </w:footnote>
  <w:footnote w:type="continuationSeparator" w:id="0">
    <w:p w14:paraId="78EAAD20" w14:textId="77777777" w:rsidR="008C54F6" w:rsidRDefault="008C54F6" w:rsidP="008C5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8E308" w14:textId="76330EA1" w:rsidR="008C54F6" w:rsidRPr="00230689" w:rsidRDefault="008C54F6" w:rsidP="008C54F6">
    <w:pPr>
      <w:pStyle w:val="Header"/>
      <w:jc w:val="center"/>
      <w:rPr>
        <w:b/>
        <w:sz w:val="28"/>
      </w:rPr>
    </w:pPr>
    <w:r w:rsidRPr="00230689">
      <w:rPr>
        <w:b/>
        <w:sz w:val="28"/>
      </w:rPr>
      <w:t>Supporting Statement – Part B</w:t>
    </w:r>
  </w:p>
  <w:p w14:paraId="1FC52768" w14:textId="34AD8B2B" w:rsidR="008C54F6" w:rsidRPr="00230689" w:rsidRDefault="008C54F6" w:rsidP="0049076D">
    <w:pPr>
      <w:pStyle w:val="Header"/>
      <w:jc w:val="center"/>
      <w:rPr>
        <w:b/>
        <w:sz w:val="28"/>
      </w:rPr>
    </w:pPr>
    <w:r w:rsidRPr="00230689">
      <w:rPr>
        <w:b/>
        <w:sz w:val="28"/>
      </w:rPr>
      <w:t>Commer</w:t>
    </w:r>
    <w:r w:rsidR="0049076D" w:rsidRPr="00230689">
      <w:rPr>
        <w:b/>
        <w:sz w:val="28"/>
      </w:rPr>
      <w:t>ci</w:t>
    </w:r>
    <w:r w:rsidRPr="00230689">
      <w:rPr>
        <w:b/>
        <w:sz w:val="28"/>
      </w:rPr>
      <w:t>al Consumer Assessment of Healthcare Providers and Systems</w:t>
    </w:r>
  </w:p>
  <w:p w14:paraId="36823B25" w14:textId="77777777" w:rsidR="00230689" w:rsidRPr="0049076D" w:rsidRDefault="00230689" w:rsidP="00230689">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540" w:hanging="360"/>
      </w:pPr>
      <w:rPr>
        <w:rFonts w:ascii="Arial" w:hAnsi="Arial" w:cs="Arial"/>
        <w:b w:val="0"/>
        <w:bCs w:val="0"/>
        <w:spacing w:val="-5"/>
        <w:w w:val="99"/>
        <w:sz w:val="24"/>
        <w:szCs w:val="24"/>
      </w:rPr>
    </w:lvl>
    <w:lvl w:ilvl="1">
      <w:numFmt w:val="bullet"/>
      <w:lvlText w:val="•"/>
      <w:lvlJc w:val="left"/>
      <w:pPr>
        <w:ind w:left="2330" w:hanging="360"/>
      </w:pPr>
    </w:lvl>
    <w:lvl w:ilvl="2">
      <w:numFmt w:val="bullet"/>
      <w:lvlText w:val="•"/>
      <w:lvlJc w:val="left"/>
      <w:pPr>
        <w:ind w:left="3120" w:hanging="360"/>
      </w:pPr>
    </w:lvl>
    <w:lvl w:ilvl="3">
      <w:numFmt w:val="bullet"/>
      <w:lvlText w:val="•"/>
      <w:lvlJc w:val="left"/>
      <w:pPr>
        <w:ind w:left="3910" w:hanging="360"/>
      </w:pPr>
    </w:lvl>
    <w:lvl w:ilvl="4">
      <w:numFmt w:val="bullet"/>
      <w:lvlText w:val="•"/>
      <w:lvlJc w:val="left"/>
      <w:pPr>
        <w:ind w:left="4700" w:hanging="360"/>
      </w:pPr>
    </w:lvl>
    <w:lvl w:ilvl="5">
      <w:numFmt w:val="bullet"/>
      <w:lvlText w:val="•"/>
      <w:lvlJc w:val="left"/>
      <w:pPr>
        <w:ind w:left="5490" w:hanging="360"/>
      </w:pPr>
    </w:lvl>
    <w:lvl w:ilvl="6">
      <w:numFmt w:val="bullet"/>
      <w:lvlText w:val="•"/>
      <w:lvlJc w:val="left"/>
      <w:pPr>
        <w:ind w:left="6280" w:hanging="360"/>
      </w:pPr>
    </w:lvl>
    <w:lvl w:ilvl="7">
      <w:numFmt w:val="bullet"/>
      <w:lvlText w:val="•"/>
      <w:lvlJc w:val="left"/>
      <w:pPr>
        <w:ind w:left="7070" w:hanging="360"/>
      </w:pPr>
    </w:lvl>
    <w:lvl w:ilvl="8">
      <w:numFmt w:val="bullet"/>
      <w:lvlText w:val="•"/>
      <w:lvlJc w:val="left"/>
      <w:pPr>
        <w:ind w:left="7860" w:hanging="360"/>
      </w:pPr>
    </w:lvl>
  </w:abstractNum>
  <w:abstractNum w:abstractNumId="1">
    <w:nsid w:val="00000403"/>
    <w:multiLevelType w:val="multilevel"/>
    <w:tmpl w:val="00000886"/>
    <w:lvl w:ilvl="0">
      <w:numFmt w:val="bullet"/>
      <w:lvlText w:val="–"/>
      <w:lvlJc w:val="left"/>
      <w:pPr>
        <w:ind w:left="1900" w:hanging="720"/>
      </w:pPr>
      <w:rPr>
        <w:rFonts w:ascii="Times New Roman" w:hAnsi="Times New Roman" w:cs="Times New Roman"/>
        <w:b w:val="0"/>
        <w:bCs w:val="0"/>
        <w:spacing w:val="-2"/>
        <w:w w:val="99"/>
        <w:sz w:val="24"/>
        <w:szCs w:val="24"/>
      </w:rPr>
    </w:lvl>
    <w:lvl w:ilvl="1">
      <w:numFmt w:val="bullet"/>
      <w:lvlText w:val="•"/>
      <w:lvlJc w:val="left"/>
      <w:pPr>
        <w:ind w:left="2654" w:hanging="720"/>
      </w:pPr>
    </w:lvl>
    <w:lvl w:ilvl="2">
      <w:numFmt w:val="bullet"/>
      <w:lvlText w:val="•"/>
      <w:lvlJc w:val="left"/>
      <w:pPr>
        <w:ind w:left="3408" w:hanging="720"/>
      </w:pPr>
    </w:lvl>
    <w:lvl w:ilvl="3">
      <w:numFmt w:val="bullet"/>
      <w:lvlText w:val="•"/>
      <w:lvlJc w:val="left"/>
      <w:pPr>
        <w:ind w:left="4162" w:hanging="720"/>
      </w:pPr>
    </w:lvl>
    <w:lvl w:ilvl="4">
      <w:numFmt w:val="bullet"/>
      <w:lvlText w:val="•"/>
      <w:lvlJc w:val="left"/>
      <w:pPr>
        <w:ind w:left="4916" w:hanging="720"/>
      </w:pPr>
    </w:lvl>
    <w:lvl w:ilvl="5">
      <w:numFmt w:val="bullet"/>
      <w:lvlText w:val="•"/>
      <w:lvlJc w:val="left"/>
      <w:pPr>
        <w:ind w:left="5670" w:hanging="720"/>
      </w:pPr>
    </w:lvl>
    <w:lvl w:ilvl="6">
      <w:numFmt w:val="bullet"/>
      <w:lvlText w:val="•"/>
      <w:lvlJc w:val="left"/>
      <w:pPr>
        <w:ind w:left="6424" w:hanging="720"/>
      </w:pPr>
    </w:lvl>
    <w:lvl w:ilvl="7">
      <w:numFmt w:val="bullet"/>
      <w:lvlText w:val="•"/>
      <w:lvlJc w:val="left"/>
      <w:pPr>
        <w:ind w:left="7178" w:hanging="720"/>
      </w:pPr>
    </w:lvl>
    <w:lvl w:ilvl="8">
      <w:numFmt w:val="bullet"/>
      <w:lvlText w:val="•"/>
      <w:lvlJc w:val="left"/>
      <w:pPr>
        <w:ind w:left="7932" w:hanging="720"/>
      </w:pPr>
    </w:lvl>
  </w:abstractNum>
  <w:abstractNum w:abstractNumId="2">
    <w:nsid w:val="00000404"/>
    <w:multiLevelType w:val="multilevel"/>
    <w:tmpl w:val="00000887"/>
    <w:lvl w:ilvl="0">
      <w:numFmt w:val="bullet"/>
      <w:lvlText w:val="•"/>
      <w:lvlJc w:val="left"/>
      <w:pPr>
        <w:ind w:left="1540" w:hanging="360"/>
      </w:pPr>
      <w:rPr>
        <w:rFonts w:ascii="Arial" w:hAnsi="Arial" w:cs="Arial"/>
        <w:b w:val="0"/>
        <w:bCs w:val="0"/>
        <w:spacing w:val="-5"/>
        <w:w w:val="100"/>
        <w:sz w:val="24"/>
        <w:szCs w:val="24"/>
      </w:rPr>
    </w:lvl>
    <w:lvl w:ilvl="1">
      <w:numFmt w:val="bullet"/>
      <w:lvlText w:val="•"/>
      <w:lvlJc w:val="left"/>
      <w:pPr>
        <w:ind w:left="2330" w:hanging="360"/>
      </w:pPr>
    </w:lvl>
    <w:lvl w:ilvl="2">
      <w:numFmt w:val="bullet"/>
      <w:lvlText w:val="•"/>
      <w:lvlJc w:val="left"/>
      <w:pPr>
        <w:ind w:left="3120" w:hanging="360"/>
      </w:pPr>
    </w:lvl>
    <w:lvl w:ilvl="3">
      <w:numFmt w:val="bullet"/>
      <w:lvlText w:val="•"/>
      <w:lvlJc w:val="left"/>
      <w:pPr>
        <w:ind w:left="3910" w:hanging="360"/>
      </w:pPr>
    </w:lvl>
    <w:lvl w:ilvl="4">
      <w:numFmt w:val="bullet"/>
      <w:lvlText w:val="•"/>
      <w:lvlJc w:val="left"/>
      <w:pPr>
        <w:ind w:left="4700" w:hanging="360"/>
      </w:pPr>
    </w:lvl>
    <w:lvl w:ilvl="5">
      <w:numFmt w:val="bullet"/>
      <w:lvlText w:val="•"/>
      <w:lvlJc w:val="left"/>
      <w:pPr>
        <w:ind w:left="5490" w:hanging="360"/>
      </w:pPr>
    </w:lvl>
    <w:lvl w:ilvl="6">
      <w:numFmt w:val="bullet"/>
      <w:lvlText w:val="•"/>
      <w:lvlJc w:val="left"/>
      <w:pPr>
        <w:ind w:left="6280" w:hanging="360"/>
      </w:pPr>
    </w:lvl>
    <w:lvl w:ilvl="7">
      <w:numFmt w:val="bullet"/>
      <w:lvlText w:val="•"/>
      <w:lvlJc w:val="left"/>
      <w:pPr>
        <w:ind w:left="7070" w:hanging="360"/>
      </w:pPr>
    </w:lvl>
    <w:lvl w:ilvl="8">
      <w:numFmt w:val="bullet"/>
      <w:lvlText w:val="•"/>
      <w:lvlJc w:val="left"/>
      <w:pPr>
        <w:ind w:left="7860" w:hanging="360"/>
      </w:pPr>
    </w:lvl>
  </w:abstractNum>
  <w:abstractNum w:abstractNumId="3">
    <w:nsid w:val="00000405"/>
    <w:multiLevelType w:val="multilevel"/>
    <w:tmpl w:val="00000888"/>
    <w:lvl w:ilvl="0">
      <w:numFmt w:val="bullet"/>
      <w:lvlText w:val="•"/>
      <w:lvlJc w:val="left"/>
      <w:pPr>
        <w:ind w:left="1540" w:hanging="360"/>
      </w:pPr>
      <w:rPr>
        <w:rFonts w:ascii="Arial" w:hAnsi="Arial" w:cs="Arial"/>
        <w:b w:val="0"/>
        <w:bCs w:val="0"/>
        <w:spacing w:val="-2"/>
        <w:w w:val="99"/>
        <w:sz w:val="24"/>
        <w:szCs w:val="24"/>
      </w:rPr>
    </w:lvl>
    <w:lvl w:ilvl="1">
      <w:numFmt w:val="bullet"/>
      <w:lvlText w:val="•"/>
      <w:lvlJc w:val="left"/>
      <w:pPr>
        <w:ind w:left="2330" w:hanging="360"/>
      </w:pPr>
    </w:lvl>
    <w:lvl w:ilvl="2">
      <w:numFmt w:val="bullet"/>
      <w:lvlText w:val="•"/>
      <w:lvlJc w:val="left"/>
      <w:pPr>
        <w:ind w:left="3120" w:hanging="360"/>
      </w:pPr>
    </w:lvl>
    <w:lvl w:ilvl="3">
      <w:numFmt w:val="bullet"/>
      <w:lvlText w:val="•"/>
      <w:lvlJc w:val="left"/>
      <w:pPr>
        <w:ind w:left="3910" w:hanging="360"/>
      </w:pPr>
    </w:lvl>
    <w:lvl w:ilvl="4">
      <w:numFmt w:val="bullet"/>
      <w:lvlText w:val="•"/>
      <w:lvlJc w:val="left"/>
      <w:pPr>
        <w:ind w:left="4700" w:hanging="360"/>
      </w:pPr>
    </w:lvl>
    <w:lvl w:ilvl="5">
      <w:numFmt w:val="bullet"/>
      <w:lvlText w:val="•"/>
      <w:lvlJc w:val="left"/>
      <w:pPr>
        <w:ind w:left="5490" w:hanging="360"/>
      </w:pPr>
    </w:lvl>
    <w:lvl w:ilvl="6">
      <w:numFmt w:val="bullet"/>
      <w:lvlText w:val="•"/>
      <w:lvlJc w:val="left"/>
      <w:pPr>
        <w:ind w:left="6280" w:hanging="360"/>
      </w:pPr>
    </w:lvl>
    <w:lvl w:ilvl="7">
      <w:numFmt w:val="bullet"/>
      <w:lvlText w:val="•"/>
      <w:lvlJc w:val="left"/>
      <w:pPr>
        <w:ind w:left="7070" w:hanging="360"/>
      </w:pPr>
    </w:lvl>
    <w:lvl w:ilvl="8">
      <w:numFmt w:val="bullet"/>
      <w:lvlText w:val="•"/>
      <w:lvlJc w:val="left"/>
      <w:pPr>
        <w:ind w:left="7860" w:hanging="360"/>
      </w:pPr>
    </w:lvl>
  </w:abstractNum>
  <w:abstractNum w:abstractNumId="4">
    <w:nsid w:val="00000406"/>
    <w:multiLevelType w:val="multilevel"/>
    <w:tmpl w:val="00000889"/>
    <w:lvl w:ilvl="0">
      <w:numFmt w:val="bullet"/>
      <w:lvlText w:val="–"/>
      <w:lvlJc w:val="left"/>
      <w:pPr>
        <w:ind w:left="1900" w:hanging="720"/>
      </w:pPr>
      <w:rPr>
        <w:rFonts w:ascii="Times New Roman" w:hAnsi="Times New Roman" w:cs="Times New Roman"/>
        <w:b w:val="0"/>
        <w:bCs w:val="0"/>
        <w:spacing w:val="-2"/>
        <w:w w:val="99"/>
        <w:sz w:val="24"/>
        <w:szCs w:val="24"/>
      </w:rPr>
    </w:lvl>
    <w:lvl w:ilvl="1">
      <w:numFmt w:val="bullet"/>
      <w:lvlText w:val="•"/>
      <w:lvlJc w:val="left"/>
      <w:pPr>
        <w:ind w:left="2654" w:hanging="720"/>
      </w:pPr>
    </w:lvl>
    <w:lvl w:ilvl="2">
      <w:numFmt w:val="bullet"/>
      <w:lvlText w:val="•"/>
      <w:lvlJc w:val="left"/>
      <w:pPr>
        <w:ind w:left="3408" w:hanging="720"/>
      </w:pPr>
    </w:lvl>
    <w:lvl w:ilvl="3">
      <w:numFmt w:val="bullet"/>
      <w:lvlText w:val="•"/>
      <w:lvlJc w:val="left"/>
      <w:pPr>
        <w:ind w:left="4162" w:hanging="720"/>
      </w:pPr>
    </w:lvl>
    <w:lvl w:ilvl="4">
      <w:numFmt w:val="bullet"/>
      <w:lvlText w:val="•"/>
      <w:lvlJc w:val="left"/>
      <w:pPr>
        <w:ind w:left="4916" w:hanging="720"/>
      </w:pPr>
    </w:lvl>
    <w:lvl w:ilvl="5">
      <w:numFmt w:val="bullet"/>
      <w:lvlText w:val="•"/>
      <w:lvlJc w:val="left"/>
      <w:pPr>
        <w:ind w:left="5670" w:hanging="720"/>
      </w:pPr>
    </w:lvl>
    <w:lvl w:ilvl="6">
      <w:numFmt w:val="bullet"/>
      <w:lvlText w:val="•"/>
      <w:lvlJc w:val="left"/>
      <w:pPr>
        <w:ind w:left="6424" w:hanging="720"/>
      </w:pPr>
    </w:lvl>
    <w:lvl w:ilvl="7">
      <w:numFmt w:val="bullet"/>
      <w:lvlText w:val="•"/>
      <w:lvlJc w:val="left"/>
      <w:pPr>
        <w:ind w:left="7178" w:hanging="720"/>
      </w:pPr>
    </w:lvl>
    <w:lvl w:ilvl="8">
      <w:numFmt w:val="bullet"/>
      <w:lvlText w:val="•"/>
      <w:lvlJc w:val="left"/>
      <w:pPr>
        <w:ind w:left="7932" w:hanging="720"/>
      </w:pPr>
    </w:lvl>
  </w:abstractNum>
  <w:abstractNum w:abstractNumId="5">
    <w:nsid w:val="405126B2"/>
    <w:multiLevelType w:val="hybridMultilevel"/>
    <w:tmpl w:val="1DDE1CF4"/>
    <w:lvl w:ilvl="0" w:tplc="04090001">
      <w:start w:val="1"/>
      <w:numFmt w:val="bullet"/>
      <w:lvlText w:val=""/>
      <w:lvlJc w:val="left"/>
      <w:pPr>
        <w:ind w:left="720" w:hanging="360"/>
      </w:pPr>
      <w:rPr>
        <w:rFonts w:ascii="Symbol" w:hAnsi="Symbol" w:hint="default"/>
      </w:rPr>
    </w:lvl>
    <w:lvl w:ilvl="1" w:tplc="09B0042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80137A"/>
    <w:multiLevelType w:val="multilevel"/>
    <w:tmpl w:val="A640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2"/>
  </w:num>
  <w:num w:numId="5">
    <w:abstractNumId w:val="1"/>
  </w:num>
  <w:num w:numId="6">
    <w:abstractNumId w:val="0"/>
  </w:num>
  <w:num w:numId="7">
    <w:abstractNumId w:val="5"/>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9E2"/>
    <w:rsid w:val="00011DC6"/>
    <w:rsid w:val="00014E44"/>
    <w:rsid w:val="00047C40"/>
    <w:rsid w:val="000800A4"/>
    <w:rsid w:val="00080DCD"/>
    <w:rsid w:val="000A3459"/>
    <w:rsid w:val="00142BF0"/>
    <w:rsid w:val="00153105"/>
    <w:rsid w:val="0019480B"/>
    <w:rsid w:val="001C4DD0"/>
    <w:rsid w:val="001F7765"/>
    <w:rsid w:val="00201410"/>
    <w:rsid w:val="002101C5"/>
    <w:rsid w:val="00221E30"/>
    <w:rsid w:val="00230689"/>
    <w:rsid w:val="002940D7"/>
    <w:rsid w:val="002B6185"/>
    <w:rsid w:val="002D7997"/>
    <w:rsid w:val="002E7549"/>
    <w:rsid w:val="002F01F9"/>
    <w:rsid w:val="002F23CF"/>
    <w:rsid w:val="00306B59"/>
    <w:rsid w:val="00326AAA"/>
    <w:rsid w:val="00384CF8"/>
    <w:rsid w:val="00391363"/>
    <w:rsid w:val="003918A5"/>
    <w:rsid w:val="00395C0E"/>
    <w:rsid w:val="003A5EF5"/>
    <w:rsid w:val="003C2009"/>
    <w:rsid w:val="003C71D6"/>
    <w:rsid w:val="00432DB3"/>
    <w:rsid w:val="00440212"/>
    <w:rsid w:val="0049076D"/>
    <w:rsid w:val="004C292F"/>
    <w:rsid w:val="004D0418"/>
    <w:rsid w:val="004E09E2"/>
    <w:rsid w:val="004F5C16"/>
    <w:rsid w:val="00527D5D"/>
    <w:rsid w:val="0053600C"/>
    <w:rsid w:val="00563E6E"/>
    <w:rsid w:val="00564AFF"/>
    <w:rsid w:val="00582DA1"/>
    <w:rsid w:val="005A1A38"/>
    <w:rsid w:val="005B78A8"/>
    <w:rsid w:val="005D42EC"/>
    <w:rsid w:val="00617FB8"/>
    <w:rsid w:val="006313A5"/>
    <w:rsid w:val="006356F3"/>
    <w:rsid w:val="00653F1C"/>
    <w:rsid w:val="00685BAD"/>
    <w:rsid w:val="00690155"/>
    <w:rsid w:val="00692E8F"/>
    <w:rsid w:val="00695869"/>
    <w:rsid w:val="006E3B68"/>
    <w:rsid w:val="00763ED1"/>
    <w:rsid w:val="00785F6B"/>
    <w:rsid w:val="00787B0C"/>
    <w:rsid w:val="007B5057"/>
    <w:rsid w:val="007B5EA5"/>
    <w:rsid w:val="007C48FC"/>
    <w:rsid w:val="007F1067"/>
    <w:rsid w:val="00896E00"/>
    <w:rsid w:val="008A41DC"/>
    <w:rsid w:val="008C2218"/>
    <w:rsid w:val="008C54F6"/>
    <w:rsid w:val="008C6955"/>
    <w:rsid w:val="008D2ECD"/>
    <w:rsid w:val="008D7D75"/>
    <w:rsid w:val="008E3C8D"/>
    <w:rsid w:val="008E7163"/>
    <w:rsid w:val="008F6ECE"/>
    <w:rsid w:val="00907ED9"/>
    <w:rsid w:val="00923C0E"/>
    <w:rsid w:val="00940855"/>
    <w:rsid w:val="009A0244"/>
    <w:rsid w:val="00A01E81"/>
    <w:rsid w:val="00A209CF"/>
    <w:rsid w:val="00A22D4F"/>
    <w:rsid w:val="00A42963"/>
    <w:rsid w:val="00A54387"/>
    <w:rsid w:val="00A6734E"/>
    <w:rsid w:val="00A6742B"/>
    <w:rsid w:val="00A9411E"/>
    <w:rsid w:val="00AA473D"/>
    <w:rsid w:val="00AC6766"/>
    <w:rsid w:val="00AD5600"/>
    <w:rsid w:val="00AE6724"/>
    <w:rsid w:val="00B103E0"/>
    <w:rsid w:val="00B174E8"/>
    <w:rsid w:val="00B54FDE"/>
    <w:rsid w:val="00B553A5"/>
    <w:rsid w:val="00B64B33"/>
    <w:rsid w:val="00B67B9B"/>
    <w:rsid w:val="00B776CD"/>
    <w:rsid w:val="00B8465E"/>
    <w:rsid w:val="00B87972"/>
    <w:rsid w:val="00B974B5"/>
    <w:rsid w:val="00BE7319"/>
    <w:rsid w:val="00C05936"/>
    <w:rsid w:val="00C20198"/>
    <w:rsid w:val="00C339BE"/>
    <w:rsid w:val="00C3545D"/>
    <w:rsid w:val="00C400D7"/>
    <w:rsid w:val="00C91459"/>
    <w:rsid w:val="00CA4244"/>
    <w:rsid w:val="00CC163F"/>
    <w:rsid w:val="00CC7C9D"/>
    <w:rsid w:val="00CD62CE"/>
    <w:rsid w:val="00D17970"/>
    <w:rsid w:val="00D56CB8"/>
    <w:rsid w:val="00D87C30"/>
    <w:rsid w:val="00DA04BA"/>
    <w:rsid w:val="00DA3E92"/>
    <w:rsid w:val="00DD21F0"/>
    <w:rsid w:val="00E232AE"/>
    <w:rsid w:val="00E2343D"/>
    <w:rsid w:val="00E447BD"/>
    <w:rsid w:val="00E471F2"/>
    <w:rsid w:val="00E57C28"/>
    <w:rsid w:val="00E76283"/>
    <w:rsid w:val="00E80F2A"/>
    <w:rsid w:val="00EA2B5D"/>
    <w:rsid w:val="00ED4FD4"/>
    <w:rsid w:val="00ED61AB"/>
    <w:rsid w:val="00ED7401"/>
    <w:rsid w:val="00EF146A"/>
    <w:rsid w:val="00F23E7C"/>
    <w:rsid w:val="00F26547"/>
    <w:rsid w:val="00F35642"/>
    <w:rsid w:val="00F616DA"/>
    <w:rsid w:val="00F738D0"/>
    <w:rsid w:val="00F92842"/>
    <w:rsid w:val="00FB4A21"/>
    <w:rsid w:val="00FD3CAC"/>
    <w:rsid w:val="00FF1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9E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9E2"/>
    <w:pPr>
      <w:spacing w:before="100" w:beforeAutospacing="1" w:after="100" w:afterAutospacing="1"/>
    </w:pPr>
    <w:rPr>
      <w:rFonts w:ascii="Arial Unicode MS" w:eastAsia="Arial Unicode MS" w:hAnsi="Arial Unicode MS" w:cs="Arial Unicode MS"/>
      <w:color w:val="000000"/>
    </w:rPr>
  </w:style>
  <w:style w:type="paragraph" w:customStyle="1" w:styleId="levnl13">
    <w:name w:val="_levnl13"/>
    <w:basedOn w:val="Normal"/>
    <w:uiPriority w:val="99"/>
    <w:semiHidden/>
    <w:rsid w:val="004E09E2"/>
    <w:pPr>
      <w:ind w:left="360" w:hanging="360"/>
    </w:pPr>
    <w:rPr>
      <w:rFonts w:eastAsia="Arial Unicode MS"/>
    </w:rPr>
  </w:style>
  <w:style w:type="character" w:styleId="Hyperlink">
    <w:name w:val="Hyperlink"/>
    <w:basedOn w:val="DefaultParagraphFont"/>
    <w:uiPriority w:val="99"/>
    <w:unhideWhenUsed/>
    <w:rsid w:val="00A209CF"/>
    <w:rPr>
      <w:color w:val="0000FF" w:themeColor="hyperlink"/>
      <w:u w:val="single"/>
    </w:rPr>
  </w:style>
  <w:style w:type="paragraph" w:styleId="BalloonText">
    <w:name w:val="Balloon Text"/>
    <w:basedOn w:val="Normal"/>
    <w:link w:val="BalloonTextChar"/>
    <w:uiPriority w:val="99"/>
    <w:semiHidden/>
    <w:unhideWhenUsed/>
    <w:rsid w:val="00EF146A"/>
    <w:rPr>
      <w:rFonts w:ascii="Tahoma" w:hAnsi="Tahoma" w:cs="Tahoma"/>
      <w:sz w:val="16"/>
      <w:szCs w:val="16"/>
    </w:rPr>
  </w:style>
  <w:style w:type="character" w:customStyle="1" w:styleId="BalloonTextChar">
    <w:name w:val="Balloon Text Char"/>
    <w:basedOn w:val="DefaultParagraphFont"/>
    <w:link w:val="BalloonText"/>
    <w:uiPriority w:val="99"/>
    <w:semiHidden/>
    <w:rsid w:val="00EF146A"/>
    <w:rPr>
      <w:rFonts w:ascii="Tahoma" w:hAnsi="Tahoma" w:cs="Tahoma"/>
      <w:sz w:val="16"/>
      <w:szCs w:val="16"/>
    </w:rPr>
  </w:style>
  <w:style w:type="character" w:styleId="Emphasis">
    <w:name w:val="Emphasis"/>
    <w:basedOn w:val="DefaultParagraphFont"/>
    <w:uiPriority w:val="20"/>
    <w:qFormat/>
    <w:rsid w:val="00391363"/>
    <w:rPr>
      <w:i/>
      <w:iCs/>
    </w:rPr>
  </w:style>
  <w:style w:type="character" w:styleId="CommentReference">
    <w:name w:val="annotation reference"/>
    <w:basedOn w:val="DefaultParagraphFont"/>
    <w:uiPriority w:val="99"/>
    <w:semiHidden/>
    <w:unhideWhenUsed/>
    <w:rsid w:val="00E447BD"/>
    <w:rPr>
      <w:sz w:val="16"/>
      <w:szCs w:val="16"/>
    </w:rPr>
  </w:style>
  <w:style w:type="paragraph" w:styleId="CommentText">
    <w:name w:val="annotation text"/>
    <w:basedOn w:val="Normal"/>
    <w:link w:val="CommentTextChar"/>
    <w:uiPriority w:val="99"/>
    <w:semiHidden/>
    <w:unhideWhenUsed/>
    <w:rsid w:val="00E447BD"/>
    <w:rPr>
      <w:sz w:val="20"/>
      <w:szCs w:val="20"/>
    </w:rPr>
  </w:style>
  <w:style w:type="character" w:customStyle="1" w:styleId="CommentTextChar">
    <w:name w:val="Comment Text Char"/>
    <w:basedOn w:val="DefaultParagraphFont"/>
    <w:link w:val="CommentText"/>
    <w:uiPriority w:val="99"/>
    <w:semiHidden/>
    <w:rsid w:val="00E447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47BD"/>
    <w:rPr>
      <w:b/>
      <w:bCs/>
    </w:rPr>
  </w:style>
  <w:style w:type="character" w:customStyle="1" w:styleId="CommentSubjectChar">
    <w:name w:val="Comment Subject Char"/>
    <w:basedOn w:val="CommentTextChar"/>
    <w:link w:val="CommentSubject"/>
    <w:uiPriority w:val="99"/>
    <w:semiHidden/>
    <w:rsid w:val="00E447BD"/>
    <w:rPr>
      <w:rFonts w:ascii="Times New Roman" w:hAnsi="Times New Roman" w:cs="Times New Roman"/>
      <w:b/>
      <w:bCs/>
      <w:sz w:val="20"/>
      <w:szCs w:val="20"/>
    </w:rPr>
  </w:style>
  <w:style w:type="paragraph" w:styleId="ListParagraph">
    <w:name w:val="List Paragraph"/>
    <w:basedOn w:val="Normal"/>
    <w:uiPriority w:val="34"/>
    <w:qFormat/>
    <w:rsid w:val="00E2343D"/>
    <w:pPr>
      <w:ind w:left="720"/>
      <w:contextualSpacing/>
    </w:pPr>
  </w:style>
  <w:style w:type="character" w:customStyle="1" w:styleId="UnresolvedMention">
    <w:name w:val="Unresolved Mention"/>
    <w:basedOn w:val="DefaultParagraphFont"/>
    <w:uiPriority w:val="99"/>
    <w:semiHidden/>
    <w:unhideWhenUsed/>
    <w:rsid w:val="00B103E0"/>
    <w:rPr>
      <w:color w:val="605E5C"/>
      <w:shd w:val="clear" w:color="auto" w:fill="E1DFDD"/>
    </w:rPr>
  </w:style>
  <w:style w:type="paragraph" w:styleId="Header">
    <w:name w:val="header"/>
    <w:basedOn w:val="Normal"/>
    <w:link w:val="HeaderChar"/>
    <w:uiPriority w:val="99"/>
    <w:unhideWhenUsed/>
    <w:rsid w:val="008C54F6"/>
    <w:pPr>
      <w:tabs>
        <w:tab w:val="center" w:pos="4680"/>
        <w:tab w:val="right" w:pos="9360"/>
      </w:tabs>
    </w:pPr>
  </w:style>
  <w:style w:type="character" w:customStyle="1" w:styleId="HeaderChar">
    <w:name w:val="Header Char"/>
    <w:basedOn w:val="DefaultParagraphFont"/>
    <w:link w:val="Header"/>
    <w:uiPriority w:val="99"/>
    <w:rsid w:val="008C54F6"/>
    <w:rPr>
      <w:rFonts w:ascii="Times New Roman" w:hAnsi="Times New Roman" w:cs="Times New Roman"/>
      <w:sz w:val="24"/>
      <w:szCs w:val="24"/>
    </w:rPr>
  </w:style>
  <w:style w:type="paragraph" w:styleId="Footer">
    <w:name w:val="footer"/>
    <w:basedOn w:val="Normal"/>
    <w:link w:val="FooterChar"/>
    <w:uiPriority w:val="99"/>
    <w:unhideWhenUsed/>
    <w:rsid w:val="008C54F6"/>
    <w:pPr>
      <w:tabs>
        <w:tab w:val="center" w:pos="4680"/>
        <w:tab w:val="right" w:pos="9360"/>
      </w:tabs>
    </w:pPr>
  </w:style>
  <w:style w:type="character" w:customStyle="1" w:styleId="FooterChar">
    <w:name w:val="Footer Char"/>
    <w:basedOn w:val="DefaultParagraphFont"/>
    <w:link w:val="Footer"/>
    <w:uiPriority w:val="99"/>
    <w:rsid w:val="008C54F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907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9E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09E2"/>
    <w:pPr>
      <w:spacing w:before="100" w:beforeAutospacing="1" w:after="100" w:afterAutospacing="1"/>
    </w:pPr>
    <w:rPr>
      <w:rFonts w:ascii="Arial Unicode MS" w:eastAsia="Arial Unicode MS" w:hAnsi="Arial Unicode MS" w:cs="Arial Unicode MS"/>
      <w:color w:val="000000"/>
    </w:rPr>
  </w:style>
  <w:style w:type="paragraph" w:customStyle="1" w:styleId="levnl13">
    <w:name w:val="_levnl13"/>
    <w:basedOn w:val="Normal"/>
    <w:uiPriority w:val="99"/>
    <w:semiHidden/>
    <w:rsid w:val="004E09E2"/>
    <w:pPr>
      <w:ind w:left="360" w:hanging="360"/>
    </w:pPr>
    <w:rPr>
      <w:rFonts w:eastAsia="Arial Unicode MS"/>
    </w:rPr>
  </w:style>
  <w:style w:type="character" w:styleId="Hyperlink">
    <w:name w:val="Hyperlink"/>
    <w:basedOn w:val="DefaultParagraphFont"/>
    <w:uiPriority w:val="99"/>
    <w:unhideWhenUsed/>
    <w:rsid w:val="00A209CF"/>
    <w:rPr>
      <w:color w:val="0000FF" w:themeColor="hyperlink"/>
      <w:u w:val="single"/>
    </w:rPr>
  </w:style>
  <w:style w:type="paragraph" w:styleId="BalloonText">
    <w:name w:val="Balloon Text"/>
    <w:basedOn w:val="Normal"/>
    <w:link w:val="BalloonTextChar"/>
    <w:uiPriority w:val="99"/>
    <w:semiHidden/>
    <w:unhideWhenUsed/>
    <w:rsid w:val="00EF146A"/>
    <w:rPr>
      <w:rFonts w:ascii="Tahoma" w:hAnsi="Tahoma" w:cs="Tahoma"/>
      <w:sz w:val="16"/>
      <w:szCs w:val="16"/>
    </w:rPr>
  </w:style>
  <w:style w:type="character" w:customStyle="1" w:styleId="BalloonTextChar">
    <w:name w:val="Balloon Text Char"/>
    <w:basedOn w:val="DefaultParagraphFont"/>
    <w:link w:val="BalloonText"/>
    <w:uiPriority w:val="99"/>
    <w:semiHidden/>
    <w:rsid w:val="00EF146A"/>
    <w:rPr>
      <w:rFonts w:ascii="Tahoma" w:hAnsi="Tahoma" w:cs="Tahoma"/>
      <w:sz w:val="16"/>
      <w:szCs w:val="16"/>
    </w:rPr>
  </w:style>
  <w:style w:type="character" w:styleId="Emphasis">
    <w:name w:val="Emphasis"/>
    <w:basedOn w:val="DefaultParagraphFont"/>
    <w:uiPriority w:val="20"/>
    <w:qFormat/>
    <w:rsid w:val="00391363"/>
    <w:rPr>
      <w:i/>
      <w:iCs/>
    </w:rPr>
  </w:style>
  <w:style w:type="character" w:styleId="CommentReference">
    <w:name w:val="annotation reference"/>
    <w:basedOn w:val="DefaultParagraphFont"/>
    <w:uiPriority w:val="99"/>
    <w:semiHidden/>
    <w:unhideWhenUsed/>
    <w:rsid w:val="00E447BD"/>
    <w:rPr>
      <w:sz w:val="16"/>
      <w:szCs w:val="16"/>
    </w:rPr>
  </w:style>
  <w:style w:type="paragraph" w:styleId="CommentText">
    <w:name w:val="annotation text"/>
    <w:basedOn w:val="Normal"/>
    <w:link w:val="CommentTextChar"/>
    <w:uiPriority w:val="99"/>
    <w:semiHidden/>
    <w:unhideWhenUsed/>
    <w:rsid w:val="00E447BD"/>
    <w:rPr>
      <w:sz w:val="20"/>
      <w:szCs w:val="20"/>
    </w:rPr>
  </w:style>
  <w:style w:type="character" w:customStyle="1" w:styleId="CommentTextChar">
    <w:name w:val="Comment Text Char"/>
    <w:basedOn w:val="DefaultParagraphFont"/>
    <w:link w:val="CommentText"/>
    <w:uiPriority w:val="99"/>
    <w:semiHidden/>
    <w:rsid w:val="00E447B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47BD"/>
    <w:rPr>
      <w:b/>
      <w:bCs/>
    </w:rPr>
  </w:style>
  <w:style w:type="character" w:customStyle="1" w:styleId="CommentSubjectChar">
    <w:name w:val="Comment Subject Char"/>
    <w:basedOn w:val="CommentTextChar"/>
    <w:link w:val="CommentSubject"/>
    <w:uiPriority w:val="99"/>
    <w:semiHidden/>
    <w:rsid w:val="00E447BD"/>
    <w:rPr>
      <w:rFonts w:ascii="Times New Roman" w:hAnsi="Times New Roman" w:cs="Times New Roman"/>
      <w:b/>
      <w:bCs/>
      <w:sz w:val="20"/>
      <w:szCs w:val="20"/>
    </w:rPr>
  </w:style>
  <w:style w:type="paragraph" w:styleId="ListParagraph">
    <w:name w:val="List Paragraph"/>
    <w:basedOn w:val="Normal"/>
    <w:uiPriority w:val="34"/>
    <w:qFormat/>
    <w:rsid w:val="00E2343D"/>
    <w:pPr>
      <w:ind w:left="720"/>
      <w:contextualSpacing/>
    </w:pPr>
  </w:style>
  <w:style w:type="character" w:customStyle="1" w:styleId="UnresolvedMention">
    <w:name w:val="Unresolved Mention"/>
    <w:basedOn w:val="DefaultParagraphFont"/>
    <w:uiPriority w:val="99"/>
    <w:semiHidden/>
    <w:unhideWhenUsed/>
    <w:rsid w:val="00B103E0"/>
    <w:rPr>
      <w:color w:val="605E5C"/>
      <w:shd w:val="clear" w:color="auto" w:fill="E1DFDD"/>
    </w:rPr>
  </w:style>
  <w:style w:type="paragraph" w:styleId="Header">
    <w:name w:val="header"/>
    <w:basedOn w:val="Normal"/>
    <w:link w:val="HeaderChar"/>
    <w:uiPriority w:val="99"/>
    <w:unhideWhenUsed/>
    <w:rsid w:val="008C54F6"/>
    <w:pPr>
      <w:tabs>
        <w:tab w:val="center" w:pos="4680"/>
        <w:tab w:val="right" w:pos="9360"/>
      </w:tabs>
    </w:pPr>
  </w:style>
  <w:style w:type="character" w:customStyle="1" w:styleId="HeaderChar">
    <w:name w:val="Header Char"/>
    <w:basedOn w:val="DefaultParagraphFont"/>
    <w:link w:val="Header"/>
    <w:uiPriority w:val="99"/>
    <w:rsid w:val="008C54F6"/>
    <w:rPr>
      <w:rFonts w:ascii="Times New Roman" w:hAnsi="Times New Roman" w:cs="Times New Roman"/>
      <w:sz w:val="24"/>
      <w:szCs w:val="24"/>
    </w:rPr>
  </w:style>
  <w:style w:type="paragraph" w:styleId="Footer">
    <w:name w:val="footer"/>
    <w:basedOn w:val="Normal"/>
    <w:link w:val="FooterChar"/>
    <w:uiPriority w:val="99"/>
    <w:unhideWhenUsed/>
    <w:rsid w:val="008C54F6"/>
    <w:pPr>
      <w:tabs>
        <w:tab w:val="center" w:pos="4680"/>
        <w:tab w:val="right" w:pos="9360"/>
      </w:tabs>
    </w:pPr>
  </w:style>
  <w:style w:type="character" w:customStyle="1" w:styleId="FooterChar">
    <w:name w:val="Footer Char"/>
    <w:basedOn w:val="DefaultParagraphFont"/>
    <w:link w:val="Footer"/>
    <w:uiPriority w:val="99"/>
    <w:rsid w:val="008C54F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907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5362">
      <w:bodyDiv w:val="1"/>
      <w:marLeft w:val="0"/>
      <w:marRight w:val="0"/>
      <w:marTop w:val="0"/>
      <w:marBottom w:val="0"/>
      <w:divBdr>
        <w:top w:val="none" w:sz="0" w:space="0" w:color="auto"/>
        <w:left w:val="none" w:sz="0" w:space="0" w:color="auto"/>
        <w:bottom w:val="none" w:sz="0" w:space="0" w:color="auto"/>
        <w:right w:val="none" w:sz="0" w:space="0" w:color="auto"/>
      </w:divBdr>
    </w:div>
    <w:div w:id="627321749">
      <w:bodyDiv w:val="1"/>
      <w:marLeft w:val="0"/>
      <w:marRight w:val="0"/>
      <w:marTop w:val="0"/>
      <w:marBottom w:val="0"/>
      <w:divBdr>
        <w:top w:val="none" w:sz="0" w:space="0" w:color="auto"/>
        <w:left w:val="none" w:sz="0" w:space="0" w:color="auto"/>
        <w:bottom w:val="none" w:sz="0" w:space="0" w:color="auto"/>
        <w:right w:val="none" w:sz="0" w:space="0" w:color="auto"/>
      </w:divBdr>
    </w:div>
    <w:div w:id="1392539626">
      <w:bodyDiv w:val="1"/>
      <w:marLeft w:val="0"/>
      <w:marRight w:val="0"/>
      <w:marTop w:val="0"/>
      <w:marBottom w:val="0"/>
      <w:divBdr>
        <w:top w:val="none" w:sz="0" w:space="0" w:color="auto"/>
        <w:left w:val="none" w:sz="0" w:space="0" w:color="auto"/>
        <w:bottom w:val="none" w:sz="0" w:space="0" w:color="auto"/>
        <w:right w:val="none" w:sz="0" w:space="0" w:color="auto"/>
      </w:divBdr>
    </w:div>
    <w:div w:id="1488937467">
      <w:bodyDiv w:val="1"/>
      <w:marLeft w:val="0"/>
      <w:marRight w:val="0"/>
      <w:marTop w:val="0"/>
      <w:marBottom w:val="0"/>
      <w:divBdr>
        <w:top w:val="none" w:sz="0" w:space="0" w:color="auto"/>
        <w:left w:val="none" w:sz="0" w:space="0" w:color="auto"/>
        <w:bottom w:val="none" w:sz="0" w:space="0" w:color="auto"/>
        <w:right w:val="none" w:sz="0" w:space="0" w:color="auto"/>
      </w:divBdr>
    </w:div>
    <w:div w:id="1495409649">
      <w:bodyDiv w:val="1"/>
      <w:marLeft w:val="0"/>
      <w:marRight w:val="0"/>
      <w:marTop w:val="0"/>
      <w:marBottom w:val="0"/>
      <w:divBdr>
        <w:top w:val="none" w:sz="0" w:space="0" w:color="auto"/>
        <w:left w:val="none" w:sz="0" w:space="0" w:color="auto"/>
        <w:bottom w:val="none" w:sz="0" w:space="0" w:color="auto"/>
        <w:right w:val="none" w:sz="0" w:space="0" w:color="auto"/>
      </w:divBdr>
    </w:div>
    <w:div w:id="177061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rq.gov/cahps/surveys-guidance/hp/index.html" TargetMode="External"/><Relationship Id="rId13" Type="http://schemas.openxmlformats.org/officeDocument/2006/relationships/hyperlink" Target="https://www.opm.gov/healthcare-insurance/healthcare/plan-information/compare-plans/"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pm.gov/healthcare-insurance/healthcare/plan-information/compare-plans/qualit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hrq.gov/sites/default/files/wysiwyg/cahps/surveys-guidance/hp/fielding-the-survey-hp50-2013.pdf" TargetMode="External"/><Relationship Id="rId5" Type="http://schemas.openxmlformats.org/officeDocument/2006/relationships/webSettings" Target="webSettings.xml"/><Relationship Id="rId15" Type="http://schemas.openxmlformats.org/officeDocument/2006/relationships/hyperlink" Target="mailto:Joseph.kahn@opm.gov" TargetMode="External"/><Relationship Id="rId10" Type="http://schemas.openxmlformats.org/officeDocument/2006/relationships/hyperlink" Target="https://www.ahrq.gov/sites/default/files/wysiwyg/cahps/about-cahps/cahps-program/14-p004_cahp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hrq.gov/sites/default/files/wysiwyg/cahps/surveys-guidance/hp/fielding-the-survey-hp50-2013.pdf" TargetMode="External"/><Relationship Id="rId14" Type="http://schemas.openxmlformats.org/officeDocument/2006/relationships/hyperlink" Target="https://cahps.ahrq.gov/aboutcahps/cahps-progra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2631</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17595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Sobek, Lauren M.</dc:creator>
  <cp:lastModifiedBy>SYSTEM</cp:lastModifiedBy>
  <cp:revision>2</cp:revision>
  <dcterms:created xsi:type="dcterms:W3CDTF">2019-12-18T16:14:00Z</dcterms:created>
  <dcterms:modified xsi:type="dcterms:W3CDTF">2019-12-18T16:14:00Z</dcterms:modified>
</cp:coreProperties>
</file>