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AD3B1D" w:rsidP="00AD3B1D" w:rsidRDefault="00AD3B1D" w14:paraId="73C9B3C5" w14:textId="77777777">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SUPPORTING STATEMENT</w:t>
      </w:r>
    </w:p>
    <w:p w:rsidRPr="00B701E8" w:rsidR="00AD3B1D" w:rsidP="00AD3B1D" w:rsidRDefault="00AD3B1D" w14:paraId="1C028D85" w14:textId="77777777">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U.S. Department of Commerce</w:t>
      </w:r>
    </w:p>
    <w:p w:rsidRPr="00B701E8" w:rsidR="00AD3B1D" w:rsidP="00AD3B1D" w:rsidRDefault="00AD3B1D" w14:paraId="28FBF206" w14:textId="77777777">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National Oceanic &amp; Atmospheric Administration</w:t>
      </w:r>
    </w:p>
    <w:p w:rsidRPr="00B701E8" w:rsidR="00AD3B1D" w:rsidP="00AD3B1D" w:rsidRDefault="00AD3B1D" w14:paraId="64808753" w14:textId="777777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Social Network Analysis In-Person Survey</w:t>
      </w:r>
    </w:p>
    <w:p w:rsidRPr="00B701E8" w:rsidR="00AD3B1D" w:rsidP="00AD3B1D" w:rsidRDefault="00AD3B1D" w14:paraId="31D46F5E" w14:textId="77777777">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OMB Control No. 0648-xxxx</w:t>
      </w:r>
    </w:p>
    <w:p w:rsidR="00356CD4" w:rsidRDefault="00356CD4" w14:paraId="2DA0999D" w14:textId="6151F57B"/>
    <w:p w:rsidR="003734B1" w:rsidRDefault="003734B1" w14:paraId="11BF8A03" w14:textId="7C1E5C0B"/>
    <w:p w:rsidRPr="003734B1" w:rsidR="003734B1" w:rsidP="003734B1" w:rsidRDefault="003734B1" w14:paraId="03D2D805"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3734B1">
        <w:rPr>
          <w:rFonts w:ascii="Times New Roman" w:hAnsi="Times New Roman" w:eastAsia="Times New Roman" w:cs="Times New Roman"/>
          <w:b/>
          <w:bCs/>
          <w:sz w:val="24"/>
          <w:szCs w:val="24"/>
        </w:rPr>
        <w:t>B.  COLLECTIONS OF INFORMATION EMPLOYING STATISTICAL METHODS</w:t>
      </w:r>
    </w:p>
    <w:p w:rsidRPr="003734B1" w:rsidR="003734B1" w:rsidP="003734B1" w:rsidRDefault="003734B1" w14:paraId="4AB5F063"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3734B1" w:rsidR="003734B1" w:rsidP="003734B1" w:rsidRDefault="003734B1" w14:paraId="40D3E5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u w:val="single"/>
        </w:rPr>
      </w:pPr>
      <w:r w:rsidRPr="003734B1">
        <w:rPr>
          <w:rFonts w:ascii="Times New Roman" w:hAnsi="Times New Roman" w:eastAsia="Times New Roman" w:cs="Times New Roman"/>
          <w:b/>
          <w:bCs/>
          <w:sz w:val="24"/>
          <w:szCs w:val="24"/>
          <w:u w:val="single"/>
        </w:rPr>
        <w:t xml:space="preserve">1.  </w:t>
      </w:r>
      <w:r w:rsidRPr="003734B1">
        <w:rPr>
          <w:rFonts w:ascii="Times New Roman" w:hAnsi="Times New Roman" w:eastAsia="Times New Roman" w:cs="Times New Roman"/>
          <w:b/>
          <w:bCs/>
          <w:color w:val="000000"/>
          <w:sz w:val="24"/>
          <w:szCs w:val="24"/>
          <w:u w:val="single"/>
          <w:shd w:val="clear" w:color="auto" w:fill="FFFFFF"/>
        </w:rPr>
        <w:t>Describe (including a numerical estimate) the potential respondent universe and any sampling or other respondent selection method used. Provide data on the number of entities (e.g., establishments, State and local governmental units, households, or persons) in the universe and the corresponding sample in tabular form. The tabulation must also include expected response rates for the collection as a whole. If the collection has been conducted before, provide the actual response rate achieved.</w:t>
      </w:r>
    </w:p>
    <w:p w:rsidRPr="003734B1" w:rsidR="003734B1" w:rsidP="003734B1" w:rsidRDefault="003734B1" w14:paraId="1C09CA5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rPr>
      </w:pPr>
    </w:p>
    <w:p w:rsidR="0062014F" w:rsidP="007B5D3C" w:rsidRDefault="003734B1" w14:paraId="3431F477" w14:textId="07A018BB">
      <w:pPr>
        <w:widowControl w:val="0"/>
        <w:autoSpaceDE w:val="0"/>
        <w:autoSpaceDN w:val="0"/>
        <w:adjustRightInd w:val="0"/>
        <w:spacing w:after="0" w:line="240" w:lineRule="auto"/>
        <w:rPr>
          <w:rFonts w:ascii="Times New Roman" w:hAnsi="Times New Roman" w:eastAsia="Times New Roman" w:cs="Times New Roman"/>
          <w:sz w:val="24"/>
          <w:szCs w:val="24"/>
        </w:rPr>
      </w:pPr>
      <w:r w:rsidRPr="003734B1">
        <w:rPr>
          <w:rFonts w:ascii="Times New Roman" w:hAnsi="Times New Roman" w:eastAsia="Times New Roman" w:cs="Times New Roman"/>
          <w:sz w:val="24"/>
          <w:szCs w:val="24"/>
        </w:rPr>
        <w:t xml:space="preserve">The </w:t>
      </w:r>
      <w:r w:rsidR="00E913E6">
        <w:rPr>
          <w:rFonts w:ascii="Times New Roman" w:hAnsi="Times New Roman" w:eastAsia="Times New Roman" w:cs="Times New Roman"/>
          <w:sz w:val="24"/>
          <w:szCs w:val="24"/>
        </w:rPr>
        <w:t xml:space="preserve">2018 Fisheries of the United States (NMFS, 2019) indicates the </w:t>
      </w:r>
      <w:r w:rsidRPr="003734B1">
        <w:rPr>
          <w:rFonts w:ascii="Times New Roman" w:hAnsi="Times New Roman" w:eastAsia="Times New Roman" w:cs="Times New Roman"/>
          <w:sz w:val="24"/>
          <w:szCs w:val="24"/>
        </w:rPr>
        <w:t>potenti</w:t>
      </w:r>
      <w:r w:rsidR="00C218EB">
        <w:rPr>
          <w:rFonts w:ascii="Times New Roman" w:hAnsi="Times New Roman" w:eastAsia="Times New Roman" w:cs="Times New Roman"/>
          <w:sz w:val="24"/>
          <w:szCs w:val="24"/>
        </w:rPr>
        <w:t xml:space="preserve">al respondent universe </w:t>
      </w:r>
      <w:r w:rsidR="00F12F3E">
        <w:rPr>
          <w:rFonts w:ascii="Times New Roman" w:hAnsi="Times New Roman" w:eastAsia="Times New Roman" w:cs="Times New Roman"/>
          <w:sz w:val="24"/>
          <w:szCs w:val="24"/>
        </w:rPr>
        <w:t xml:space="preserve">for the SNAIS </w:t>
      </w:r>
      <w:r w:rsidR="00C218EB">
        <w:rPr>
          <w:rFonts w:ascii="Times New Roman" w:hAnsi="Times New Roman" w:eastAsia="Times New Roman" w:cs="Times New Roman"/>
          <w:sz w:val="24"/>
          <w:szCs w:val="24"/>
        </w:rPr>
        <w:t xml:space="preserve">includes </w:t>
      </w:r>
      <w:r w:rsidR="00FA0615">
        <w:rPr>
          <w:rFonts w:ascii="Times New Roman" w:hAnsi="Times New Roman" w:eastAsia="Times New Roman" w:cs="Times New Roman"/>
          <w:sz w:val="24"/>
          <w:szCs w:val="24"/>
        </w:rPr>
        <w:t xml:space="preserve">an estimated </w:t>
      </w:r>
      <w:r w:rsidR="00E913E6">
        <w:rPr>
          <w:rFonts w:ascii="Times New Roman" w:hAnsi="Times New Roman" w:eastAsia="Times New Roman" w:cs="Times New Roman"/>
          <w:sz w:val="24"/>
          <w:szCs w:val="24"/>
        </w:rPr>
        <w:t>7,028,000</w:t>
      </w:r>
      <w:r w:rsidR="00FA0615">
        <w:rPr>
          <w:rFonts w:ascii="Times New Roman" w:hAnsi="Times New Roman" w:eastAsia="Times New Roman" w:cs="Times New Roman"/>
          <w:sz w:val="24"/>
          <w:szCs w:val="24"/>
        </w:rPr>
        <w:t xml:space="preserve"> </w:t>
      </w:r>
      <w:r w:rsidR="00322F4D">
        <w:rPr>
          <w:rFonts w:ascii="Times New Roman" w:hAnsi="Times New Roman" w:eastAsia="Times New Roman" w:cs="Times New Roman"/>
          <w:sz w:val="24"/>
          <w:szCs w:val="24"/>
        </w:rPr>
        <w:t xml:space="preserve">licensed, </w:t>
      </w:r>
      <w:r w:rsidR="00E913E6">
        <w:rPr>
          <w:rFonts w:ascii="Times New Roman" w:hAnsi="Times New Roman" w:eastAsia="Times New Roman" w:cs="Times New Roman"/>
          <w:sz w:val="24"/>
          <w:szCs w:val="24"/>
        </w:rPr>
        <w:t xml:space="preserve">in-state </w:t>
      </w:r>
      <w:r w:rsidR="00E1236F">
        <w:rPr>
          <w:rFonts w:ascii="Times New Roman" w:hAnsi="Times New Roman" w:eastAsia="Times New Roman" w:cs="Times New Roman"/>
          <w:sz w:val="24"/>
          <w:szCs w:val="24"/>
        </w:rPr>
        <w:t xml:space="preserve">saltwater </w:t>
      </w:r>
      <w:r w:rsidR="00322F4D">
        <w:rPr>
          <w:rFonts w:ascii="Times New Roman" w:hAnsi="Times New Roman" w:eastAsia="Times New Roman" w:cs="Times New Roman"/>
          <w:sz w:val="24"/>
          <w:szCs w:val="24"/>
        </w:rPr>
        <w:t xml:space="preserve">recreational </w:t>
      </w:r>
      <w:r w:rsidR="00E1236F">
        <w:rPr>
          <w:rFonts w:ascii="Times New Roman" w:hAnsi="Times New Roman" w:eastAsia="Times New Roman" w:cs="Times New Roman"/>
          <w:sz w:val="24"/>
          <w:szCs w:val="24"/>
        </w:rPr>
        <w:t>anglers</w:t>
      </w:r>
      <w:r w:rsidR="00315F8B">
        <w:rPr>
          <w:rFonts w:ascii="Times New Roman" w:hAnsi="Times New Roman" w:eastAsia="Times New Roman" w:cs="Times New Roman"/>
          <w:sz w:val="24"/>
          <w:szCs w:val="24"/>
        </w:rPr>
        <w:t xml:space="preserve"> (Table 1)</w:t>
      </w:r>
      <w:r w:rsidR="00E913E6">
        <w:rPr>
          <w:rFonts w:ascii="Times New Roman" w:hAnsi="Times New Roman" w:eastAsia="Times New Roman" w:cs="Times New Roman"/>
          <w:sz w:val="24"/>
          <w:szCs w:val="24"/>
        </w:rPr>
        <w:t xml:space="preserve">. </w:t>
      </w:r>
      <w:r w:rsidR="00F12F3E">
        <w:rPr>
          <w:rFonts w:ascii="Times New Roman" w:hAnsi="Times New Roman" w:eastAsia="Times New Roman" w:cs="Times New Roman"/>
          <w:sz w:val="24"/>
          <w:szCs w:val="24"/>
        </w:rPr>
        <w:t>The SNAIS will be</w:t>
      </w:r>
      <w:r w:rsidR="00E913E6">
        <w:rPr>
          <w:rFonts w:ascii="Times New Roman" w:hAnsi="Times New Roman" w:eastAsia="Times New Roman" w:cs="Times New Roman"/>
          <w:sz w:val="24"/>
          <w:szCs w:val="24"/>
        </w:rPr>
        <w:t xml:space="preserve"> conducted</w:t>
      </w:r>
      <w:r w:rsidR="00F446C6">
        <w:rPr>
          <w:rFonts w:ascii="Times New Roman" w:hAnsi="Times New Roman" w:eastAsia="Times New Roman" w:cs="Times New Roman"/>
          <w:sz w:val="24"/>
          <w:szCs w:val="24"/>
        </w:rPr>
        <w:t xml:space="preserve"> </w:t>
      </w:r>
      <w:r w:rsidRPr="003734B1">
        <w:rPr>
          <w:rFonts w:ascii="Times New Roman" w:hAnsi="Times New Roman" w:eastAsia="Times New Roman" w:cs="Times New Roman"/>
          <w:sz w:val="24"/>
          <w:szCs w:val="24"/>
        </w:rPr>
        <w:t xml:space="preserve">in </w:t>
      </w:r>
      <w:r w:rsidRPr="0062014F" w:rsidR="0062014F">
        <w:rPr>
          <w:rFonts w:ascii="Times New Roman" w:hAnsi="Times New Roman" w:eastAsia="Times New Roman" w:cs="Times New Roman"/>
          <w:sz w:val="24"/>
          <w:szCs w:val="24"/>
        </w:rPr>
        <w:t xml:space="preserve">three </w:t>
      </w:r>
      <w:r w:rsidR="00C43407">
        <w:rPr>
          <w:rFonts w:ascii="Times New Roman" w:hAnsi="Times New Roman" w:eastAsia="Times New Roman" w:cs="Times New Roman"/>
          <w:sz w:val="24"/>
          <w:szCs w:val="24"/>
        </w:rPr>
        <w:t xml:space="preserve">coastal </w:t>
      </w:r>
      <w:r w:rsidRPr="0062014F" w:rsidR="0062014F">
        <w:rPr>
          <w:rFonts w:ascii="Times New Roman" w:hAnsi="Times New Roman" w:eastAsia="Times New Roman" w:cs="Times New Roman"/>
          <w:sz w:val="24"/>
          <w:szCs w:val="24"/>
        </w:rPr>
        <w:t xml:space="preserve">communities that are representative as revealed by the MRIP </w:t>
      </w:r>
      <w:r w:rsidRPr="00F523FB" w:rsidR="00F523FB">
        <w:rPr>
          <w:rFonts w:ascii="Times New Roman" w:hAnsi="Times New Roman" w:eastAsia="Times New Roman" w:cs="Times New Roman"/>
          <w:sz w:val="24"/>
          <w:szCs w:val="24"/>
        </w:rPr>
        <w:t>Social Network Analysis Mail Survey (SNAMS, OMB # 0648-0781)</w:t>
      </w:r>
      <w:r w:rsidRPr="0062014F" w:rsidR="0062014F">
        <w:rPr>
          <w:rFonts w:ascii="Times New Roman" w:hAnsi="Times New Roman" w:eastAsia="Times New Roman" w:cs="Times New Roman"/>
          <w:sz w:val="24"/>
          <w:szCs w:val="24"/>
        </w:rPr>
        <w:t xml:space="preserve">. </w:t>
      </w:r>
      <w:r w:rsidR="00F12F3E">
        <w:rPr>
          <w:rFonts w:ascii="Times New Roman" w:hAnsi="Times New Roman" w:eastAsia="Times New Roman" w:cs="Times New Roman"/>
          <w:sz w:val="24"/>
          <w:szCs w:val="24"/>
        </w:rPr>
        <w:t>O</w:t>
      </w:r>
      <w:r w:rsidRPr="00FC3B23" w:rsidR="00FC3B23">
        <w:rPr>
          <w:rFonts w:ascii="Times New Roman" w:hAnsi="Times New Roman" w:eastAsia="Times New Roman" w:cs="Times New Roman"/>
          <w:sz w:val="24"/>
          <w:szCs w:val="24"/>
        </w:rPr>
        <w:t xml:space="preserve">ne urban, one suburban, and one rural </w:t>
      </w:r>
      <w:r w:rsidR="00FC3B23">
        <w:rPr>
          <w:rFonts w:ascii="Times New Roman" w:hAnsi="Times New Roman" w:eastAsia="Times New Roman" w:cs="Times New Roman"/>
          <w:sz w:val="24"/>
          <w:szCs w:val="24"/>
        </w:rPr>
        <w:t xml:space="preserve">community </w:t>
      </w:r>
      <w:r w:rsidRPr="00FC3B23" w:rsidR="00FC3B23">
        <w:rPr>
          <w:rFonts w:ascii="Times New Roman" w:hAnsi="Times New Roman" w:eastAsia="Times New Roman" w:cs="Times New Roman"/>
          <w:sz w:val="24"/>
          <w:szCs w:val="24"/>
        </w:rPr>
        <w:t xml:space="preserve">as determined by the 2010 Census results </w:t>
      </w:r>
      <w:r w:rsidR="00FA0615">
        <w:rPr>
          <w:rFonts w:ascii="Times New Roman" w:hAnsi="Times New Roman" w:eastAsia="Times New Roman" w:cs="Times New Roman"/>
          <w:sz w:val="24"/>
          <w:szCs w:val="24"/>
        </w:rPr>
        <w:t>will be selected for</w:t>
      </w:r>
      <w:r w:rsidR="00315F8B">
        <w:rPr>
          <w:rFonts w:ascii="Times New Roman" w:hAnsi="Times New Roman" w:eastAsia="Times New Roman" w:cs="Times New Roman"/>
          <w:sz w:val="24"/>
          <w:szCs w:val="24"/>
        </w:rPr>
        <w:t xml:space="preserve"> the SNAIS</w:t>
      </w:r>
      <w:r w:rsidR="00B25AFD">
        <w:rPr>
          <w:rStyle w:val="FootnoteReference"/>
          <w:rFonts w:ascii="Times New Roman" w:hAnsi="Times New Roman" w:eastAsia="Times New Roman"/>
          <w:sz w:val="24"/>
          <w:szCs w:val="24"/>
        </w:rPr>
        <w:footnoteReference w:id="1"/>
      </w:r>
      <w:r w:rsidR="00315F8B">
        <w:rPr>
          <w:rFonts w:ascii="Times New Roman" w:hAnsi="Times New Roman" w:eastAsia="Times New Roman" w:cs="Times New Roman"/>
          <w:sz w:val="24"/>
          <w:szCs w:val="24"/>
        </w:rPr>
        <w:t xml:space="preserve">. </w:t>
      </w:r>
      <w:r w:rsidRPr="00FC3B23" w:rsidR="00FC3B23">
        <w:rPr>
          <w:rFonts w:ascii="Times New Roman" w:hAnsi="Times New Roman" w:eastAsia="Times New Roman" w:cs="Times New Roman"/>
          <w:sz w:val="24"/>
          <w:szCs w:val="24"/>
        </w:rPr>
        <w:t xml:space="preserve"> </w:t>
      </w:r>
      <w:r w:rsidRPr="0062014F" w:rsidR="0062014F">
        <w:rPr>
          <w:rFonts w:ascii="Times New Roman" w:hAnsi="Times New Roman" w:eastAsia="Times New Roman" w:cs="Times New Roman"/>
          <w:sz w:val="24"/>
          <w:szCs w:val="24"/>
        </w:rPr>
        <w:t>The communities</w:t>
      </w:r>
      <w:r w:rsidR="00C218EB">
        <w:rPr>
          <w:rFonts w:ascii="Times New Roman" w:hAnsi="Times New Roman" w:eastAsia="Times New Roman" w:cs="Times New Roman"/>
          <w:sz w:val="24"/>
          <w:szCs w:val="24"/>
        </w:rPr>
        <w:t>,</w:t>
      </w:r>
      <w:r w:rsidRPr="0062014F" w:rsidR="0062014F">
        <w:rPr>
          <w:rFonts w:ascii="Times New Roman" w:hAnsi="Times New Roman" w:eastAsia="Times New Roman" w:cs="Times New Roman"/>
          <w:sz w:val="24"/>
          <w:szCs w:val="24"/>
        </w:rPr>
        <w:t xml:space="preserve"> </w:t>
      </w:r>
      <w:r w:rsidR="00C218EB">
        <w:rPr>
          <w:rFonts w:ascii="Times New Roman" w:hAnsi="Times New Roman" w:eastAsia="Times New Roman" w:cs="Times New Roman"/>
          <w:sz w:val="24"/>
          <w:szCs w:val="24"/>
        </w:rPr>
        <w:t xml:space="preserve">which have yet to be determined, </w:t>
      </w:r>
      <w:r w:rsidR="00322F4D">
        <w:rPr>
          <w:rFonts w:ascii="Times New Roman" w:hAnsi="Times New Roman" w:eastAsia="Times New Roman" w:cs="Times New Roman"/>
          <w:sz w:val="24"/>
          <w:szCs w:val="24"/>
        </w:rPr>
        <w:t>will</w:t>
      </w:r>
      <w:r w:rsidRPr="0062014F" w:rsidR="00322F4D">
        <w:rPr>
          <w:rFonts w:ascii="Times New Roman" w:hAnsi="Times New Roman" w:eastAsia="Times New Roman" w:cs="Times New Roman"/>
          <w:sz w:val="24"/>
          <w:szCs w:val="24"/>
        </w:rPr>
        <w:t xml:space="preserve"> </w:t>
      </w:r>
      <w:r w:rsidR="0062649E">
        <w:rPr>
          <w:rFonts w:ascii="Times New Roman" w:hAnsi="Times New Roman" w:eastAsia="Times New Roman" w:cs="Times New Roman"/>
          <w:sz w:val="24"/>
          <w:szCs w:val="24"/>
        </w:rPr>
        <w:t xml:space="preserve">be representative of </w:t>
      </w:r>
      <w:r w:rsidR="00D64BB7">
        <w:rPr>
          <w:rFonts w:ascii="Times New Roman" w:hAnsi="Times New Roman" w:eastAsia="Times New Roman" w:cs="Times New Roman"/>
          <w:sz w:val="24"/>
          <w:szCs w:val="24"/>
        </w:rPr>
        <w:t xml:space="preserve">similar sized (rural, suburban, or urban) counties with respect to the proportion of the population that is </w:t>
      </w:r>
      <w:r w:rsidR="00397361">
        <w:rPr>
          <w:rFonts w:ascii="Times New Roman" w:hAnsi="Times New Roman" w:eastAsia="Times New Roman" w:cs="Times New Roman"/>
          <w:sz w:val="24"/>
          <w:szCs w:val="24"/>
        </w:rPr>
        <w:t>made up of licensed anglers</w:t>
      </w:r>
      <w:r w:rsidRPr="0062014F" w:rsidR="0062014F">
        <w:rPr>
          <w:rFonts w:ascii="Times New Roman" w:hAnsi="Times New Roman" w:eastAsia="Times New Roman" w:cs="Times New Roman"/>
          <w:sz w:val="24"/>
          <w:szCs w:val="24"/>
        </w:rPr>
        <w:t xml:space="preserve">. </w:t>
      </w:r>
    </w:p>
    <w:p w:rsidR="004552DD" w:rsidP="00E1236F" w:rsidRDefault="004552DD" w14:paraId="1BBAEB07" w14:textId="0AD2A3B4">
      <w:pPr>
        <w:widowControl w:val="0"/>
        <w:autoSpaceDE w:val="0"/>
        <w:autoSpaceDN w:val="0"/>
        <w:adjustRightInd w:val="0"/>
        <w:spacing w:after="0" w:line="240" w:lineRule="auto"/>
        <w:rPr>
          <w:rFonts w:ascii="Times New Roman" w:hAnsi="Times New Roman" w:eastAsia="Times New Roman" w:cs="Times New Roman"/>
          <w:sz w:val="24"/>
          <w:szCs w:val="24"/>
        </w:rPr>
      </w:pPr>
    </w:p>
    <w:p w:rsidR="00315F8B" w:rsidP="00E1236F" w:rsidRDefault="00315F8B" w14:paraId="4DDEE151" w14:textId="3E6796C9">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Table 1: Estimates of the number of </w:t>
      </w:r>
      <w:r w:rsidR="00F12F3E">
        <w:rPr>
          <w:rFonts w:ascii="Times New Roman" w:hAnsi="Times New Roman" w:eastAsia="Times New Roman" w:cs="Times New Roman"/>
          <w:sz w:val="24"/>
          <w:szCs w:val="24"/>
        </w:rPr>
        <w:t xml:space="preserve">in-state </w:t>
      </w:r>
      <w:r>
        <w:rPr>
          <w:rFonts w:ascii="Times New Roman" w:hAnsi="Times New Roman" w:eastAsia="Times New Roman" w:cs="Times New Roman"/>
          <w:sz w:val="24"/>
          <w:szCs w:val="24"/>
        </w:rPr>
        <w:t>anglers from the 2018 Fisheries of the United States</w:t>
      </w:r>
      <w:r w:rsidR="006A1CD1">
        <w:rPr>
          <w:rFonts w:ascii="Times New Roman" w:hAnsi="Times New Roman" w:eastAsia="Times New Roman" w:cs="Times New Roman"/>
          <w:sz w:val="24"/>
          <w:szCs w:val="24"/>
        </w:rPr>
        <w:t xml:space="preserve"> (in thousands of anglers)</w:t>
      </w:r>
      <w:r>
        <w:rPr>
          <w:rFonts w:ascii="Times New Roman" w:hAnsi="Times New Roman" w:eastAsia="Times New Roman" w:cs="Times New Roman"/>
          <w:sz w:val="24"/>
          <w:szCs w:val="24"/>
        </w:rPr>
        <w:t>.</w:t>
      </w:r>
    </w:p>
    <w:tbl>
      <w:tblPr>
        <w:tblW w:w="7432" w:type="dxa"/>
        <w:jc w:val="center"/>
        <w:tblLook w:val="04A0" w:firstRow="1" w:lastRow="0" w:firstColumn="1" w:lastColumn="0" w:noHBand="0" w:noVBand="1"/>
      </w:tblPr>
      <w:tblGrid>
        <w:gridCol w:w="1920"/>
        <w:gridCol w:w="2881"/>
        <w:gridCol w:w="2631"/>
      </w:tblGrid>
      <w:tr w:rsidRPr="00F12F3E" w:rsidR="00F12F3E" w:rsidTr="00F12F3E" w14:paraId="67E5E695" w14:textId="77777777">
        <w:trPr>
          <w:trHeight w:val="255"/>
          <w:jc w:val="center"/>
        </w:trPr>
        <w:tc>
          <w:tcPr>
            <w:tcW w:w="19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3262EA97" w14:textId="77777777">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State</w:t>
            </w:r>
          </w:p>
        </w:tc>
        <w:tc>
          <w:tcPr>
            <w:tcW w:w="5512" w:type="dxa"/>
            <w:gridSpan w:val="2"/>
            <w:tcBorders>
              <w:top w:val="single" w:color="auto" w:sz="4" w:space="0"/>
              <w:left w:val="nil"/>
              <w:bottom w:val="single" w:color="auto" w:sz="4" w:space="0"/>
              <w:right w:val="single" w:color="auto" w:sz="4" w:space="0"/>
            </w:tcBorders>
            <w:shd w:val="clear" w:color="auto" w:fill="auto"/>
            <w:noWrap/>
            <w:vAlign w:val="center"/>
            <w:hideMark/>
          </w:tcPr>
          <w:p w:rsidRPr="00F12F3E" w:rsidR="00F12F3E" w:rsidP="00F12F3E" w:rsidRDefault="00F12F3E" w14:paraId="17CE7EDF" w14:textId="12341A58">
            <w:pPr>
              <w:spacing w:after="0" w:line="240" w:lineRule="auto"/>
              <w:jc w:val="center"/>
              <w:rPr>
                <w:rFonts w:ascii="Arial" w:hAnsi="Arial" w:eastAsia="Times New Roman" w:cs="Arial"/>
                <w:b/>
                <w:bCs/>
                <w:sz w:val="18"/>
                <w:szCs w:val="18"/>
              </w:rPr>
            </w:pPr>
          </w:p>
        </w:tc>
      </w:tr>
      <w:tr w:rsidRPr="00F12F3E" w:rsidR="00F12F3E" w:rsidTr="00F12F3E" w14:paraId="038C1FCC" w14:textId="77777777">
        <w:trPr>
          <w:trHeight w:val="255"/>
          <w:jc w:val="center"/>
        </w:trPr>
        <w:tc>
          <w:tcPr>
            <w:tcW w:w="1920" w:type="dxa"/>
            <w:vMerge/>
            <w:tcBorders>
              <w:top w:val="single" w:color="auto" w:sz="4" w:space="0"/>
              <w:left w:val="single" w:color="auto" w:sz="4" w:space="0"/>
              <w:bottom w:val="single" w:color="auto" w:sz="4" w:space="0"/>
              <w:right w:val="single" w:color="auto" w:sz="4" w:space="0"/>
            </w:tcBorders>
            <w:vAlign w:val="center"/>
            <w:hideMark/>
          </w:tcPr>
          <w:p w:rsidRPr="00F12F3E" w:rsidR="00F12F3E" w:rsidP="00F446C6" w:rsidRDefault="00F12F3E" w14:paraId="79CBDD75" w14:textId="77777777">
            <w:pPr>
              <w:spacing w:after="0" w:line="240" w:lineRule="auto"/>
              <w:jc w:val="center"/>
              <w:rPr>
                <w:rFonts w:ascii="Arial" w:hAnsi="Arial" w:eastAsia="Times New Roman" w:cs="Arial"/>
                <w:sz w:val="18"/>
                <w:szCs w:val="18"/>
              </w:rPr>
            </w:pPr>
          </w:p>
        </w:tc>
        <w:tc>
          <w:tcPr>
            <w:tcW w:w="5512" w:type="dxa"/>
            <w:gridSpan w:val="2"/>
            <w:tcBorders>
              <w:top w:val="single" w:color="auto" w:sz="4" w:space="0"/>
              <w:left w:val="nil"/>
              <w:bottom w:val="single" w:color="auto" w:sz="4" w:space="0"/>
              <w:right w:val="single" w:color="auto" w:sz="4" w:space="0"/>
            </w:tcBorders>
            <w:shd w:val="clear" w:color="auto" w:fill="auto"/>
            <w:noWrap/>
            <w:vAlign w:val="center"/>
            <w:hideMark/>
          </w:tcPr>
          <w:p w:rsidRPr="00F12F3E" w:rsidR="00F12F3E" w:rsidP="00F12F3E" w:rsidRDefault="00F12F3E" w14:paraId="1CFBD0F6" w14:textId="77777777">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In-State Anglers</w:t>
            </w:r>
          </w:p>
        </w:tc>
      </w:tr>
      <w:tr w:rsidRPr="00F12F3E" w:rsidR="00F12F3E" w:rsidTr="00F12F3E" w14:paraId="51263FE0" w14:textId="77777777">
        <w:trPr>
          <w:trHeight w:val="450"/>
          <w:jc w:val="center"/>
        </w:trPr>
        <w:tc>
          <w:tcPr>
            <w:tcW w:w="1920" w:type="dxa"/>
            <w:vMerge/>
            <w:tcBorders>
              <w:top w:val="single" w:color="auto" w:sz="4" w:space="0"/>
              <w:left w:val="single" w:color="auto" w:sz="4" w:space="0"/>
              <w:bottom w:val="single" w:color="auto" w:sz="4" w:space="0"/>
              <w:right w:val="single" w:color="auto" w:sz="4" w:space="0"/>
            </w:tcBorders>
            <w:vAlign w:val="center"/>
            <w:hideMark/>
          </w:tcPr>
          <w:p w:rsidRPr="00F12F3E" w:rsidR="00F12F3E" w:rsidP="00F446C6" w:rsidRDefault="00F12F3E" w14:paraId="31AC91F4" w14:textId="77777777">
            <w:pPr>
              <w:spacing w:after="0" w:line="240" w:lineRule="auto"/>
              <w:jc w:val="center"/>
              <w:rPr>
                <w:rFonts w:ascii="Arial" w:hAnsi="Arial" w:eastAsia="Times New Roman" w:cs="Arial"/>
                <w:sz w:val="18"/>
                <w:szCs w:val="18"/>
              </w:rPr>
            </w:pPr>
          </w:p>
        </w:tc>
        <w:tc>
          <w:tcPr>
            <w:tcW w:w="2881" w:type="dxa"/>
            <w:vMerge w:val="restart"/>
            <w:tcBorders>
              <w:top w:val="nil"/>
              <w:left w:val="single" w:color="auto" w:sz="4" w:space="0"/>
              <w:bottom w:val="single" w:color="auto" w:sz="4" w:space="0"/>
              <w:right w:val="single" w:color="auto" w:sz="4" w:space="0"/>
            </w:tcBorders>
            <w:shd w:val="clear" w:color="auto" w:fill="auto"/>
            <w:vAlign w:val="center"/>
            <w:hideMark/>
          </w:tcPr>
          <w:p w:rsidRPr="00F12F3E" w:rsidR="00F12F3E" w:rsidP="00F12F3E" w:rsidRDefault="00F12F3E" w14:paraId="44680400" w14:textId="77777777">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From Coastal Counties (1,2)</w:t>
            </w:r>
          </w:p>
        </w:tc>
        <w:tc>
          <w:tcPr>
            <w:tcW w:w="2631" w:type="dxa"/>
            <w:vMerge w:val="restart"/>
            <w:tcBorders>
              <w:top w:val="nil"/>
              <w:left w:val="single" w:color="auto" w:sz="4" w:space="0"/>
              <w:bottom w:val="single" w:color="auto" w:sz="4" w:space="0"/>
              <w:right w:val="single" w:color="auto" w:sz="4" w:space="0"/>
            </w:tcBorders>
            <w:shd w:val="clear" w:color="auto" w:fill="auto"/>
            <w:vAlign w:val="center"/>
            <w:hideMark/>
          </w:tcPr>
          <w:p w:rsidRPr="00F12F3E" w:rsidR="00F12F3E" w:rsidP="00F12F3E" w:rsidRDefault="00F12F3E" w14:paraId="656E3CFA" w14:textId="77777777">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From Non-Coastal Counties</w:t>
            </w:r>
          </w:p>
        </w:tc>
      </w:tr>
      <w:tr w:rsidRPr="00F12F3E" w:rsidR="00F12F3E" w:rsidTr="00F12F3E" w14:paraId="22E51B1A" w14:textId="77777777">
        <w:trPr>
          <w:trHeight w:val="450"/>
          <w:jc w:val="center"/>
        </w:trPr>
        <w:tc>
          <w:tcPr>
            <w:tcW w:w="1920" w:type="dxa"/>
            <w:vMerge/>
            <w:tcBorders>
              <w:top w:val="single" w:color="auto" w:sz="4" w:space="0"/>
              <w:left w:val="single" w:color="auto" w:sz="4" w:space="0"/>
              <w:bottom w:val="single" w:color="auto" w:sz="4" w:space="0"/>
              <w:right w:val="single" w:color="auto" w:sz="4" w:space="0"/>
            </w:tcBorders>
            <w:vAlign w:val="center"/>
            <w:hideMark/>
          </w:tcPr>
          <w:p w:rsidRPr="00F12F3E" w:rsidR="00F12F3E" w:rsidP="00F446C6" w:rsidRDefault="00F12F3E" w14:paraId="436D5449" w14:textId="77777777">
            <w:pPr>
              <w:spacing w:after="0" w:line="240" w:lineRule="auto"/>
              <w:jc w:val="center"/>
              <w:rPr>
                <w:rFonts w:ascii="Arial" w:hAnsi="Arial" w:eastAsia="Times New Roman" w:cs="Arial"/>
                <w:sz w:val="18"/>
                <w:szCs w:val="18"/>
              </w:rPr>
            </w:pPr>
          </w:p>
        </w:tc>
        <w:tc>
          <w:tcPr>
            <w:tcW w:w="2881" w:type="dxa"/>
            <w:vMerge/>
            <w:tcBorders>
              <w:top w:val="nil"/>
              <w:left w:val="single" w:color="auto" w:sz="4" w:space="0"/>
              <w:bottom w:val="single" w:color="auto" w:sz="4" w:space="0"/>
              <w:right w:val="single" w:color="auto" w:sz="4" w:space="0"/>
            </w:tcBorders>
            <w:vAlign w:val="center"/>
            <w:hideMark/>
          </w:tcPr>
          <w:p w:rsidRPr="00F12F3E" w:rsidR="00F12F3E" w:rsidP="00F446C6" w:rsidRDefault="00F12F3E" w14:paraId="54473B2D" w14:textId="77777777">
            <w:pPr>
              <w:spacing w:after="0" w:line="240" w:lineRule="auto"/>
              <w:jc w:val="center"/>
              <w:rPr>
                <w:rFonts w:ascii="Arial" w:hAnsi="Arial" w:eastAsia="Times New Roman" w:cs="Arial"/>
                <w:sz w:val="18"/>
                <w:szCs w:val="18"/>
              </w:rPr>
            </w:pPr>
          </w:p>
        </w:tc>
        <w:tc>
          <w:tcPr>
            <w:tcW w:w="2631" w:type="dxa"/>
            <w:vMerge/>
            <w:tcBorders>
              <w:top w:val="nil"/>
              <w:left w:val="single" w:color="auto" w:sz="4" w:space="0"/>
              <w:bottom w:val="single" w:color="auto" w:sz="4" w:space="0"/>
              <w:right w:val="single" w:color="auto" w:sz="4" w:space="0"/>
            </w:tcBorders>
            <w:vAlign w:val="center"/>
            <w:hideMark/>
          </w:tcPr>
          <w:p w:rsidRPr="00F12F3E" w:rsidR="00F12F3E" w:rsidP="00F446C6" w:rsidRDefault="00F12F3E" w14:paraId="4BB61233" w14:textId="77777777">
            <w:pPr>
              <w:spacing w:after="0" w:line="240" w:lineRule="auto"/>
              <w:jc w:val="center"/>
              <w:rPr>
                <w:rFonts w:ascii="Arial" w:hAnsi="Arial" w:eastAsia="Times New Roman" w:cs="Arial"/>
                <w:sz w:val="18"/>
                <w:szCs w:val="18"/>
              </w:rPr>
            </w:pPr>
          </w:p>
        </w:tc>
      </w:tr>
      <w:tr w:rsidRPr="00F12F3E" w:rsidR="00F12F3E" w:rsidTr="00F12F3E" w14:paraId="79302820" w14:textId="77777777">
        <w:trPr>
          <w:trHeight w:val="255"/>
          <w:jc w:val="center"/>
        </w:trPr>
        <w:tc>
          <w:tcPr>
            <w:tcW w:w="1920" w:type="dxa"/>
            <w:vMerge/>
            <w:tcBorders>
              <w:top w:val="single" w:color="auto" w:sz="4" w:space="0"/>
              <w:left w:val="single" w:color="auto" w:sz="4" w:space="0"/>
              <w:bottom w:val="single" w:color="auto" w:sz="4" w:space="0"/>
              <w:right w:val="single" w:color="auto" w:sz="4" w:space="0"/>
            </w:tcBorders>
            <w:vAlign w:val="center"/>
            <w:hideMark/>
          </w:tcPr>
          <w:p w:rsidRPr="00F12F3E" w:rsidR="00F12F3E" w:rsidP="00F446C6" w:rsidRDefault="00F12F3E" w14:paraId="4A4D6F7D" w14:textId="77777777">
            <w:pPr>
              <w:spacing w:after="0" w:line="240" w:lineRule="auto"/>
              <w:jc w:val="center"/>
              <w:rPr>
                <w:rFonts w:ascii="Arial" w:hAnsi="Arial" w:eastAsia="Times New Roman" w:cs="Arial"/>
                <w:sz w:val="18"/>
                <w:szCs w:val="18"/>
              </w:rPr>
            </w:pPr>
          </w:p>
        </w:tc>
        <w:tc>
          <w:tcPr>
            <w:tcW w:w="5512" w:type="dxa"/>
            <w:gridSpan w:val="2"/>
            <w:tcBorders>
              <w:top w:val="single" w:color="auto" w:sz="4" w:space="0"/>
              <w:left w:val="nil"/>
              <w:bottom w:val="single" w:color="auto" w:sz="4" w:space="0"/>
              <w:right w:val="single" w:color="auto" w:sz="4" w:space="0"/>
            </w:tcBorders>
            <w:shd w:val="clear" w:color="auto" w:fill="auto"/>
            <w:noWrap/>
            <w:vAlign w:val="center"/>
            <w:hideMark/>
          </w:tcPr>
          <w:p w:rsidRPr="00F12F3E" w:rsidR="00F12F3E" w:rsidP="00F12F3E" w:rsidRDefault="00F12F3E" w14:paraId="17BAED59" w14:textId="73E3640D">
            <w:pPr>
              <w:spacing w:after="0" w:line="240" w:lineRule="auto"/>
              <w:jc w:val="center"/>
              <w:rPr>
                <w:rFonts w:ascii="Arial" w:hAnsi="Arial" w:eastAsia="Times New Roman" w:cs="Arial"/>
                <w:sz w:val="18"/>
                <w:szCs w:val="18"/>
              </w:rPr>
            </w:pPr>
          </w:p>
        </w:tc>
      </w:tr>
      <w:tr w:rsidRPr="00F12F3E" w:rsidR="00F12F3E" w:rsidTr="00F12F3E" w14:paraId="5CE427C8"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478047B0" w14:textId="23187623">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Connecticut</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1F4B12B7" w14:textId="465B457C">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292</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1E19BFEA" w14:textId="39688612">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w:t>
            </w:r>
          </w:p>
        </w:tc>
      </w:tr>
      <w:tr w:rsidRPr="00F12F3E" w:rsidR="00F12F3E" w:rsidTr="00F12F3E" w14:paraId="2A7ECC69"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37D71134" w14:textId="74FBBEC1">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Maine</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50BBC0CC" w14:textId="2835EB97">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57</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4DE021D5" w14:textId="6E04757A">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2</w:t>
            </w:r>
          </w:p>
        </w:tc>
      </w:tr>
      <w:tr w:rsidRPr="00F12F3E" w:rsidR="00F12F3E" w:rsidTr="00F12F3E" w14:paraId="7A67D099"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5D749E6D" w14:textId="0D4ED6A0">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Massachusetts</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5DEEA3F9" w14:textId="3A50A162">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335</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27156246" w14:textId="7B5D7AAC">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45</w:t>
            </w:r>
          </w:p>
        </w:tc>
      </w:tr>
      <w:tr w:rsidRPr="00F12F3E" w:rsidR="00F12F3E" w:rsidTr="00F12F3E" w14:paraId="3703F1CD"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7BBA6E1F" w14:textId="2109333D">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New Hampshire</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3A1F94DF" w14:textId="7A316A1D">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39</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689F015B" w14:textId="042A26B5">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8</w:t>
            </w:r>
          </w:p>
        </w:tc>
      </w:tr>
      <w:tr w:rsidRPr="00F12F3E" w:rsidR="00F12F3E" w:rsidTr="00F12F3E" w14:paraId="19511C2F"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2D6014F9" w14:textId="1D5319A3">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Rhode Island</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5A116394" w14:textId="024B2B24">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109</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68261DC6" w14:textId="7E2015C1">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w:t>
            </w:r>
          </w:p>
        </w:tc>
      </w:tr>
      <w:tr w:rsidRPr="00F12F3E" w:rsidR="00F12F3E" w:rsidTr="00F12F3E" w14:paraId="3E093795"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57B2F616" w14:textId="10A9153B">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Delaware</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0797A0FB" w14:textId="3C4512D7">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64</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5F0781BE" w14:textId="65F52E9D">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w:t>
            </w:r>
          </w:p>
        </w:tc>
      </w:tr>
      <w:tr w:rsidRPr="00F12F3E" w:rsidR="00F12F3E" w:rsidTr="00F12F3E" w14:paraId="44ED0B22"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02A615A4" w14:textId="4549856D">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Maryland</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3898E522" w14:textId="354B1B74">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406</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5C9B17CD" w14:textId="5DE61E3F">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30</w:t>
            </w:r>
          </w:p>
        </w:tc>
      </w:tr>
      <w:tr w:rsidRPr="00F12F3E" w:rsidR="00F12F3E" w:rsidTr="00F12F3E" w14:paraId="594C1205"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54D0F443" w14:textId="450D9355">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New Jersey</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6F37912B" w14:textId="290FB737">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411</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41C90EDD" w14:textId="73F370FC">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17</w:t>
            </w:r>
          </w:p>
        </w:tc>
      </w:tr>
      <w:tr w:rsidRPr="00F12F3E" w:rsidR="00F12F3E" w:rsidTr="00F12F3E" w14:paraId="4DC67603"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565C2C92" w14:textId="56995E5D">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New York</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2926C651" w14:textId="4B861C44">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605</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4F92CCC5" w14:textId="12B78FDE">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14</w:t>
            </w:r>
          </w:p>
        </w:tc>
      </w:tr>
      <w:tr w:rsidRPr="00F12F3E" w:rsidR="00F12F3E" w:rsidTr="00F12F3E" w14:paraId="7EC95408"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51AA1FC4" w14:textId="35FEF405">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lastRenderedPageBreak/>
              <w:t>Virginia</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06917168" w14:textId="1FC4E034">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324</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14B85609" w14:textId="6B8FDBA4">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45</w:t>
            </w:r>
          </w:p>
        </w:tc>
      </w:tr>
      <w:tr w:rsidRPr="00F12F3E" w:rsidR="00F12F3E" w:rsidTr="00F12F3E" w14:paraId="5192532B"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0CA9C307" w14:textId="154B9230">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Florida</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67AB8A6E" w14:textId="5783AB9E">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2,419</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3AEA8237" w14:textId="64D15AA6">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w:t>
            </w:r>
          </w:p>
        </w:tc>
      </w:tr>
      <w:tr w:rsidRPr="00F12F3E" w:rsidR="00F12F3E" w:rsidTr="00F12F3E" w14:paraId="62469DA7"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758D74A1" w14:textId="714B410E">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Georgia</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4EC046CA" w14:textId="2F68861D">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91</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4168886D" w14:textId="5A4A259E">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81</w:t>
            </w:r>
          </w:p>
        </w:tc>
      </w:tr>
      <w:tr w:rsidRPr="00F12F3E" w:rsidR="00F12F3E" w:rsidTr="00F12F3E" w14:paraId="0F09D4C4"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4A1B0AA0" w14:textId="20E442B6">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North Carolina</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0A7378BD" w14:textId="01E0AE3C">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460</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0AEBB19F" w14:textId="54A1CB2D">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268</w:t>
            </w:r>
          </w:p>
        </w:tc>
      </w:tr>
      <w:tr w:rsidRPr="00F12F3E" w:rsidR="00F12F3E" w:rsidTr="00F12F3E" w14:paraId="68450328"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073418EE" w14:textId="33538D80">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South Carolina</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74AD1F00" w14:textId="644F2768">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176</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308B3A36" w14:textId="7B16D293">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116</w:t>
            </w:r>
          </w:p>
        </w:tc>
      </w:tr>
      <w:tr w:rsidRPr="00F12F3E" w:rsidR="00F12F3E" w:rsidTr="00F12F3E" w14:paraId="0BACD6BF"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3A96F1B2" w14:textId="5241C2A5">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Alabama</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4BC2FD2D" w14:textId="6A8A2E52">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211</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12777414" w14:textId="2B9C1F46">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156</w:t>
            </w:r>
          </w:p>
        </w:tc>
      </w:tr>
      <w:tr w:rsidRPr="00F12F3E" w:rsidR="00F12F3E" w:rsidTr="00F12F3E" w14:paraId="39961D51"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00B708B3" w14:textId="07B4601E">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Mississippi</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08D56E0F" w14:textId="55769C59">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169</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7EEBDD4F" w14:textId="66F1EAEC">
            <w:pPr>
              <w:spacing w:after="0" w:line="240" w:lineRule="auto"/>
              <w:jc w:val="center"/>
              <w:rPr>
                <w:rFonts w:ascii="Arial" w:hAnsi="Arial" w:eastAsia="Times New Roman" w:cs="Arial"/>
                <w:sz w:val="18"/>
                <w:szCs w:val="18"/>
              </w:rPr>
            </w:pPr>
            <w:r w:rsidRPr="00F12F3E">
              <w:rPr>
                <w:rFonts w:ascii="Arial" w:hAnsi="Arial" w:eastAsia="Times New Roman" w:cs="Arial"/>
                <w:sz w:val="18"/>
                <w:szCs w:val="18"/>
              </w:rPr>
              <w:t>78</w:t>
            </w:r>
          </w:p>
        </w:tc>
      </w:tr>
      <w:tr w:rsidRPr="00F12F3E" w:rsidR="00F12F3E" w:rsidTr="00F12F3E" w14:paraId="035FBD5E"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4EEF872A" w14:textId="77777777">
            <w:pPr>
              <w:spacing w:after="0" w:line="240" w:lineRule="auto"/>
              <w:jc w:val="center"/>
              <w:rPr>
                <w:rFonts w:ascii="Arial" w:hAnsi="Arial" w:eastAsia="Times New Roman" w:cs="Arial"/>
                <w:b/>
                <w:bCs/>
                <w:i/>
                <w:iCs/>
                <w:sz w:val="18"/>
                <w:szCs w:val="18"/>
              </w:rPr>
            </w:pPr>
            <w:r w:rsidRPr="00F12F3E">
              <w:rPr>
                <w:rFonts w:ascii="Arial" w:hAnsi="Arial" w:eastAsia="Times New Roman" w:cs="Arial"/>
                <w:b/>
                <w:bCs/>
                <w:i/>
                <w:iCs/>
                <w:sz w:val="18"/>
                <w:szCs w:val="18"/>
              </w:rPr>
              <w:t>TOTAL</w:t>
            </w: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56212ED2" w14:textId="27EDE94A">
            <w:pPr>
              <w:spacing w:after="0" w:line="240" w:lineRule="auto"/>
              <w:jc w:val="center"/>
              <w:rPr>
                <w:rFonts w:ascii="Arial" w:hAnsi="Arial" w:eastAsia="Times New Roman" w:cs="Arial"/>
                <w:b/>
                <w:bCs/>
                <w:i/>
                <w:iCs/>
                <w:sz w:val="20"/>
                <w:szCs w:val="20"/>
              </w:rPr>
            </w:pPr>
            <w:r w:rsidRPr="00F12F3E">
              <w:rPr>
                <w:rFonts w:ascii="Arial" w:hAnsi="Arial" w:eastAsia="Times New Roman" w:cs="Arial"/>
                <w:b/>
                <w:bCs/>
                <w:i/>
                <w:iCs/>
                <w:sz w:val="20"/>
                <w:szCs w:val="20"/>
              </w:rPr>
              <w:t>6,168</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520E22F4" w14:textId="565FCAF9">
            <w:pPr>
              <w:spacing w:after="0" w:line="240" w:lineRule="auto"/>
              <w:jc w:val="center"/>
              <w:rPr>
                <w:rFonts w:ascii="Arial" w:hAnsi="Arial" w:eastAsia="Times New Roman" w:cs="Arial"/>
                <w:b/>
                <w:bCs/>
                <w:i/>
                <w:iCs/>
                <w:sz w:val="20"/>
                <w:szCs w:val="20"/>
              </w:rPr>
            </w:pPr>
            <w:r w:rsidRPr="00F12F3E">
              <w:rPr>
                <w:rFonts w:ascii="Arial" w:hAnsi="Arial" w:eastAsia="Times New Roman" w:cs="Arial"/>
                <w:b/>
                <w:bCs/>
                <w:i/>
                <w:iCs/>
                <w:sz w:val="20"/>
                <w:szCs w:val="20"/>
              </w:rPr>
              <w:t>860</w:t>
            </w:r>
          </w:p>
        </w:tc>
      </w:tr>
      <w:tr w:rsidRPr="00F12F3E" w:rsidR="00F12F3E" w:rsidTr="00F12F3E" w14:paraId="48C14810" w14:textId="77777777">
        <w:trPr>
          <w:trHeight w:val="255"/>
          <w:jc w:val="center"/>
        </w:trPr>
        <w:tc>
          <w:tcPr>
            <w:tcW w:w="1920" w:type="dxa"/>
            <w:tcBorders>
              <w:top w:val="nil"/>
              <w:left w:val="single" w:color="auto" w:sz="4" w:space="0"/>
              <w:bottom w:val="single" w:color="auto" w:sz="4" w:space="0"/>
              <w:right w:val="single" w:color="auto" w:sz="4" w:space="0"/>
            </w:tcBorders>
            <w:shd w:val="clear" w:color="auto" w:fill="auto"/>
            <w:noWrap/>
            <w:vAlign w:val="center"/>
            <w:hideMark/>
          </w:tcPr>
          <w:p w:rsidRPr="00F12F3E" w:rsidR="00F12F3E" w:rsidP="00F12F3E" w:rsidRDefault="00F12F3E" w14:paraId="0AF060A5" w14:textId="33FA9570">
            <w:pPr>
              <w:spacing w:after="0" w:line="240" w:lineRule="auto"/>
              <w:jc w:val="center"/>
              <w:rPr>
                <w:rFonts w:ascii="Arial" w:hAnsi="Arial" w:eastAsia="Times New Roman" w:cs="Arial"/>
                <w:sz w:val="20"/>
                <w:szCs w:val="20"/>
              </w:rPr>
            </w:pPr>
          </w:p>
        </w:tc>
        <w:tc>
          <w:tcPr>
            <w:tcW w:w="288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42B854D6" w14:textId="77777777">
            <w:pPr>
              <w:spacing w:after="0" w:line="240" w:lineRule="auto"/>
              <w:jc w:val="center"/>
              <w:rPr>
                <w:rFonts w:ascii="Arial" w:hAnsi="Arial" w:eastAsia="Times New Roman" w:cs="Arial"/>
                <w:b/>
                <w:bCs/>
                <w:i/>
                <w:iCs/>
                <w:sz w:val="20"/>
                <w:szCs w:val="20"/>
              </w:rPr>
            </w:pPr>
            <w:r w:rsidRPr="00F12F3E">
              <w:rPr>
                <w:rFonts w:ascii="Arial" w:hAnsi="Arial" w:eastAsia="Times New Roman" w:cs="Arial"/>
                <w:b/>
                <w:bCs/>
                <w:i/>
                <w:iCs/>
                <w:sz w:val="20"/>
                <w:szCs w:val="20"/>
              </w:rPr>
              <w:t>Total In-State Anglers</w:t>
            </w:r>
          </w:p>
        </w:tc>
        <w:tc>
          <w:tcPr>
            <w:tcW w:w="2631" w:type="dxa"/>
            <w:tcBorders>
              <w:top w:val="nil"/>
              <w:left w:val="nil"/>
              <w:bottom w:val="single" w:color="auto" w:sz="4" w:space="0"/>
              <w:right w:val="single" w:color="auto" w:sz="4" w:space="0"/>
            </w:tcBorders>
            <w:shd w:val="clear" w:color="auto" w:fill="auto"/>
            <w:noWrap/>
            <w:vAlign w:val="center"/>
            <w:hideMark/>
          </w:tcPr>
          <w:p w:rsidRPr="00F12F3E" w:rsidR="00F12F3E" w:rsidP="00F12F3E" w:rsidRDefault="00F12F3E" w14:paraId="349B66BE" w14:textId="55634735">
            <w:pPr>
              <w:spacing w:after="0" w:line="240" w:lineRule="auto"/>
              <w:jc w:val="center"/>
              <w:rPr>
                <w:rFonts w:ascii="Arial" w:hAnsi="Arial" w:eastAsia="Times New Roman" w:cs="Arial"/>
                <w:b/>
                <w:bCs/>
                <w:i/>
                <w:iCs/>
                <w:sz w:val="20"/>
                <w:szCs w:val="20"/>
              </w:rPr>
            </w:pPr>
            <w:r w:rsidRPr="00F12F3E">
              <w:rPr>
                <w:rFonts w:ascii="Arial" w:hAnsi="Arial" w:eastAsia="Times New Roman" w:cs="Arial"/>
                <w:b/>
                <w:bCs/>
                <w:i/>
                <w:iCs/>
                <w:sz w:val="20"/>
                <w:szCs w:val="20"/>
              </w:rPr>
              <w:t>7,028</w:t>
            </w:r>
          </w:p>
        </w:tc>
      </w:tr>
      <w:tr w:rsidRPr="00F12F3E" w:rsidR="00F12F3E" w:rsidTr="00F12F3E" w14:paraId="3B04D996" w14:textId="77777777">
        <w:trPr>
          <w:trHeight w:val="255"/>
          <w:jc w:val="center"/>
        </w:trPr>
        <w:tc>
          <w:tcPr>
            <w:tcW w:w="7432" w:type="dxa"/>
            <w:gridSpan w:val="3"/>
            <w:tcBorders>
              <w:top w:val="nil"/>
              <w:left w:val="nil"/>
              <w:bottom w:val="nil"/>
              <w:right w:val="nil"/>
            </w:tcBorders>
            <w:shd w:val="clear" w:color="auto" w:fill="auto"/>
            <w:noWrap/>
            <w:vAlign w:val="center"/>
            <w:hideMark/>
          </w:tcPr>
          <w:p w:rsidRPr="00F12F3E" w:rsidR="00F12F3E" w:rsidP="00F12F3E" w:rsidRDefault="00F12F3E" w14:paraId="39F65AC4" w14:textId="5CAF91D2">
            <w:pPr>
              <w:spacing w:after="0" w:line="240" w:lineRule="auto"/>
              <w:jc w:val="center"/>
              <w:rPr>
                <w:rFonts w:ascii="Arial" w:hAnsi="Arial" w:eastAsia="Times New Roman" w:cs="Arial"/>
                <w:sz w:val="16"/>
                <w:szCs w:val="16"/>
              </w:rPr>
            </w:pPr>
            <w:r w:rsidRPr="00F12F3E">
              <w:rPr>
                <w:rFonts w:ascii="Arial" w:hAnsi="Arial" w:eastAsia="Times New Roman" w:cs="Arial"/>
                <w:sz w:val="16"/>
                <w:szCs w:val="16"/>
              </w:rPr>
              <w:t>NOTE: (1) All counties in Rhode Island, Connecticut, Delaware and Florida are considered coastal.</w:t>
            </w:r>
          </w:p>
        </w:tc>
      </w:tr>
    </w:tbl>
    <w:p w:rsidR="00315F8B" w:rsidP="006F739B" w:rsidRDefault="00315F8B" w14:paraId="451FC122"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009428C1" w:rsidP="006F739B" w:rsidRDefault="006E0CBF" w14:paraId="60848365" w14:textId="1237048B">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Study</w:t>
      </w:r>
      <w:r w:rsidRPr="00E1236F" w:rsidR="00E1236F">
        <w:rPr>
          <w:rFonts w:ascii="Times New Roman" w:hAnsi="Times New Roman" w:eastAsia="Times New Roman" w:cs="Times New Roman"/>
          <w:sz w:val="24"/>
          <w:szCs w:val="24"/>
        </w:rPr>
        <w:t xml:space="preserve"> personnel (two </w:t>
      </w:r>
      <w:r w:rsidR="009428C1">
        <w:rPr>
          <w:rFonts w:ascii="Times New Roman" w:hAnsi="Times New Roman" w:eastAsia="Times New Roman" w:cs="Times New Roman"/>
          <w:sz w:val="24"/>
          <w:szCs w:val="24"/>
        </w:rPr>
        <w:t>interviewers</w:t>
      </w:r>
      <w:r w:rsidRPr="00E1236F" w:rsidR="00E1236F">
        <w:rPr>
          <w:rFonts w:ascii="Times New Roman" w:hAnsi="Times New Roman" w:eastAsia="Times New Roman" w:cs="Times New Roman"/>
          <w:sz w:val="24"/>
          <w:szCs w:val="24"/>
        </w:rPr>
        <w:t xml:space="preserve">) will spend </w:t>
      </w:r>
      <w:r w:rsidR="007C1C14">
        <w:rPr>
          <w:rFonts w:ascii="Times New Roman" w:hAnsi="Times New Roman" w:eastAsia="Times New Roman" w:cs="Times New Roman"/>
          <w:sz w:val="24"/>
          <w:szCs w:val="24"/>
        </w:rPr>
        <w:t>10-</w:t>
      </w:r>
      <w:r w:rsidRPr="00E1236F" w:rsidR="00E1236F">
        <w:rPr>
          <w:rFonts w:ascii="Times New Roman" w:hAnsi="Times New Roman" w:eastAsia="Times New Roman" w:cs="Times New Roman"/>
          <w:sz w:val="24"/>
          <w:szCs w:val="24"/>
        </w:rPr>
        <w:t>14 days per community conducting approximately three interviews per da</w:t>
      </w:r>
      <w:r w:rsidR="00E459CF">
        <w:rPr>
          <w:rFonts w:ascii="Times New Roman" w:hAnsi="Times New Roman" w:eastAsia="Times New Roman" w:cs="Times New Roman"/>
          <w:sz w:val="24"/>
          <w:szCs w:val="24"/>
        </w:rPr>
        <w:t xml:space="preserve">y (per interviewer) and </w:t>
      </w:r>
      <w:r w:rsidRPr="00E1236F" w:rsidR="00E1236F">
        <w:rPr>
          <w:rFonts w:ascii="Times New Roman" w:hAnsi="Times New Roman" w:eastAsia="Times New Roman" w:cs="Times New Roman"/>
          <w:sz w:val="24"/>
          <w:szCs w:val="24"/>
        </w:rPr>
        <w:t xml:space="preserve">60 interviews will be conducted per community. </w:t>
      </w:r>
      <w:r w:rsidRPr="009428C1" w:rsidR="009428C1">
        <w:rPr>
          <w:rFonts w:ascii="Times New Roman" w:hAnsi="Times New Roman" w:eastAsia="Times New Roman" w:cs="Times New Roman"/>
          <w:sz w:val="24"/>
          <w:szCs w:val="24"/>
        </w:rPr>
        <w:t xml:space="preserve">The sampling approach </w:t>
      </w:r>
      <w:r w:rsidR="00D255F7">
        <w:rPr>
          <w:rFonts w:ascii="Times New Roman" w:hAnsi="Times New Roman" w:eastAsia="Times New Roman" w:cs="Times New Roman"/>
          <w:sz w:val="24"/>
          <w:szCs w:val="24"/>
        </w:rPr>
        <w:t xml:space="preserve">involves </w:t>
      </w:r>
      <w:r w:rsidRPr="009428C1" w:rsidR="009428C1">
        <w:rPr>
          <w:rFonts w:ascii="Times New Roman" w:hAnsi="Times New Roman" w:eastAsia="Times New Roman" w:cs="Times New Roman"/>
          <w:sz w:val="24"/>
          <w:szCs w:val="24"/>
        </w:rPr>
        <w:t>chain-referral sampling (</w:t>
      </w:r>
      <w:r w:rsidR="00C406EF">
        <w:rPr>
          <w:rFonts w:ascii="Times New Roman" w:hAnsi="Times New Roman" w:eastAsia="Times New Roman" w:cs="Times New Roman"/>
          <w:sz w:val="24"/>
          <w:szCs w:val="24"/>
        </w:rPr>
        <w:t xml:space="preserve">Kirchherr and Charles, </w:t>
      </w:r>
      <w:r w:rsidRPr="009428C1" w:rsidR="009428C1">
        <w:rPr>
          <w:rFonts w:ascii="Times New Roman" w:hAnsi="Times New Roman" w:eastAsia="Times New Roman" w:cs="Times New Roman"/>
          <w:sz w:val="24"/>
          <w:szCs w:val="24"/>
        </w:rPr>
        <w:t>, 201</w:t>
      </w:r>
      <w:r w:rsidR="00C406EF">
        <w:rPr>
          <w:rFonts w:ascii="Times New Roman" w:hAnsi="Times New Roman" w:eastAsia="Times New Roman" w:cs="Times New Roman"/>
          <w:sz w:val="24"/>
          <w:szCs w:val="24"/>
        </w:rPr>
        <w:t>8</w:t>
      </w:r>
      <w:r w:rsidRPr="009428C1" w:rsidR="009428C1">
        <w:rPr>
          <w:rFonts w:ascii="Times New Roman" w:hAnsi="Times New Roman" w:eastAsia="Times New Roman" w:cs="Times New Roman"/>
          <w:sz w:val="24"/>
          <w:szCs w:val="24"/>
        </w:rPr>
        <w:t>) to allow for a more accurate depiction of local information sharing networks. In each fishing community to be evaluated, between ten and fifteen initial respondents shall be interviewed for the survey. Recreational anglers will be asked to participate in the survey during visits to businesses and entities (marinas, bait and tackle shops, fishing clubs, state natural resource agencies, etc.,) within the community</w:t>
      </w:r>
      <w:r w:rsidR="004C0F1E">
        <w:rPr>
          <w:rFonts w:ascii="Times New Roman" w:hAnsi="Times New Roman" w:eastAsia="Times New Roman" w:cs="Times New Roman"/>
          <w:sz w:val="24"/>
          <w:szCs w:val="24"/>
        </w:rPr>
        <w:t xml:space="preserve"> either selected at random or </w:t>
      </w:r>
      <w:r w:rsidR="00B42EB3">
        <w:rPr>
          <w:rFonts w:ascii="Times New Roman" w:hAnsi="Times New Roman" w:eastAsia="Times New Roman" w:cs="Times New Roman"/>
          <w:sz w:val="24"/>
          <w:szCs w:val="24"/>
        </w:rPr>
        <w:t>identified by</w:t>
      </w:r>
      <w:r w:rsidR="004C0F1E">
        <w:rPr>
          <w:rFonts w:ascii="Times New Roman" w:hAnsi="Times New Roman" w:eastAsia="Times New Roman" w:cs="Times New Roman"/>
          <w:sz w:val="24"/>
          <w:szCs w:val="24"/>
        </w:rPr>
        <w:t xml:space="preserve"> </w:t>
      </w:r>
      <w:r w:rsidR="0078406F">
        <w:rPr>
          <w:rFonts w:ascii="Times New Roman" w:hAnsi="Times New Roman" w:eastAsia="Times New Roman" w:cs="Times New Roman"/>
          <w:sz w:val="24"/>
          <w:szCs w:val="24"/>
        </w:rPr>
        <w:t xml:space="preserve">local and state agency </w:t>
      </w:r>
      <w:r w:rsidR="00900CA1">
        <w:rPr>
          <w:rFonts w:ascii="Times New Roman" w:hAnsi="Times New Roman" w:eastAsia="Times New Roman" w:cs="Times New Roman"/>
          <w:sz w:val="24"/>
          <w:szCs w:val="24"/>
        </w:rPr>
        <w:t>personnel familiar with the recreational fishing community</w:t>
      </w:r>
      <w:r w:rsidR="004C0F1E">
        <w:rPr>
          <w:rFonts w:ascii="Times New Roman" w:hAnsi="Times New Roman" w:eastAsia="Times New Roman" w:cs="Times New Roman"/>
          <w:sz w:val="24"/>
          <w:szCs w:val="24"/>
        </w:rPr>
        <w:t xml:space="preserve"> </w:t>
      </w:r>
      <w:r w:rsidR="00EC4F8D">
        <w:rPr>
          <w:rFonts w:ascii="Times New Roman" w:hAnsi="Times New Roman" w:eastAsia="Times New Roman" w:cs="Times New Roman"/>
          <w:sz w:val="24"/>
          <w:szCs w:val="24"/>
        </w:rPr>
        <w:t xml:space="preserve">such as Sea Grant agents and </w:t>
      </w:r>
      <w:r w:rsidR="00B42EB3">
        <w:rPr>
          <w:rFonts w:ascii="Times New Roman" w:hAnsi="Times New Roman" w:eastAsia="Times New Roman" w:cs="Times New Roman"/>
          <w:sz w:val="24"/>
          <w:szCs w:val="24"/>
        </w:rPr>
        <w:t>state agency resource officers</w:t>
      </w:r>
      <w:r w:rsidRPr="009428C1" w:rsidR="009428C1">
        <w:rPr>
          <w:rFonts w:ascii="Times New Roman" w:hAnsi="Times New Roman" w:eastAsia="Times New Roman" w:cs="Times New Roman"/>
          <w:sz w:val="24"/>
          <w:szCs w:val="24"/>
        </w:rPr>
        <w:t>. Respondents will be asked to provide survey contact information to additional contacts from their network that could provide meaningful information for the study. These additional contacts will then be interviewed in the same man</w:t>
      </w:r>
      <w:r w:rsidR="007C1C14">
        <w:rPr>
          <w:rFonts w:ascii="Times New Roman" w:hAnsi="Times New Roman" w:eastAsia="Times New Roman" w:cs="Times New Roman"/>
          <w:sz w:val="24"/>
          <w:szCs w:val="24"/>
        </w:rPr>
        <w:t>ner as the initial respondents.</w:t>
      </w:r>
    </w:p>
    <w:p w:rsidR="009428C1" w:rsidP="006F739B" w:rsidRDefault="009428C1" w14:paraId="6E4A8C57"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006F739B" w:rsidP="006F739B" w:rsidRDefault="00E1236F" w14:paraId="3D8201B3" w14:textId="6FC888C0">
      <w:pPr>
        <w:widowControl w:val="0"/>
        <w:autoSpaceDE w:val="0"/>
        <w:autoSpaceDN w:val="0"/>
        <w:adjustRightInd w:val="0"/>
        <w:spacing w:after="0" w:line="240" w:lineRule="auto"/>
        <w:rPr>
          <w:rFonts w:ascii="Times New Roman" w:hAnsi="Times New Roman" w:eastAsia="Times New Roman" w:cs="Times New Roman"/>
          <w:sz w:val="24"/>
          <w:szCs w:val="24"/>
        </w:rPr>
      </w:pPr>
      <w:r w:rsidRPr="00E1236F">
        <w:rPr>
          <w:rFonts w:ascii="Times New Roman" w:hAnsi="Times New Roman" w:eastAsia="Times New Roman" w:cs="Times New Roman"/>
          <w:sz w:val="24"/>
          <w:szCs w:val="24"/>
        </w:rPr>
        <w:t xml:space="preserve">All efforts made to identify, select, contact, and interview </w:t>
      </w:r>
      <w:r w:rsidR="00E459CF">
        <w:rPr>
          <w:rFonts w:ascii="Times New Roman" w:hAnsi="Times New Roman" w:eastAsia="Times New Roman" w:cs="Times New Roman"/>
          <w:sz w:val="24"/>
          <w:szCs w:val="24"/>
        </w:rPr>
        <w:t xml:space="preserve">recreational saltwater </w:t>
      </w:r>
      <w:r w:rsidRPr="00E1236F">
        <w:rPr>
          <w:rFonts w:ascii="Times New Roman" w:hAnsi="Times New Roman" w:eastAsia="Times New Roman" w:cs="Times New Roman"/>
          <w:sz w:val="24"/>
          <w:szCs w:val="24"/>
        </w:rPr>
        <w:t>anglers will be documented as part of the study process so that participation rates can be determined.</w:t>
      </w:r>
      <w:r w:rsidR="00E459CF">
        <w:rPr>
          <w:rFonts w:ascii="Times New Roman" w:hAnsi="Times New Roman" w:eastAsia="Times New Roman" w:cs="Times New Roman"/>
          <w:sz w:val="24"/>
          <w:szCs w:val="24"/>
        </w:rPr>
        <w:t xml:space="preserve"> </w:t>
      </w:r>
      <w:r w:rsidR="006F739B">
        <w:rPr>
          <w:rFonts w:ascii="Times New Roman" w:hAnsi="Times New Roman" w:eastAsia="Times New Roman" w:cs="Times New Roman"/>
          <w:sz w:val="24"/>
          <w:szCs w:val="24"/>
        </w:rPr>
        <w:t>O</w:t>
      </w:r>
      <w:r w:rsidRPr="006F739B" w:rsidR="006F739B">
        <w:rPr>
          <w:rFonts w:ascii="Times New Roman" w:hAnsi="Times New Roman" w:eastAsia="Times New Roman" w:cs="Times New Roman"/>
          <w:sz w:val="24"/>
          <w:szCs w:val="24"/>
        </w:rPr>
        <w:t>ur goal is to achieve an unweighted response</w:t>
      </w:r>
      <w:r w:rsidR="007C1C14">
        <w:rPr>
          <w:rFonts w:ascii="Times New Roman" w:hAnsi="Times New Roman" w:eastAsia="Times New Roman" w:cs="Times New Roman"/>
          <w:sz w:val="24"/>
          <w:szCs w:val="24"/>
        </w:rPr>
        <w:t xml:space="preserve"> </w:t>
      </w:r>
      <w:r w:rsidRPr="006F739B" w:rsidR="006F739B">
        <w:rPr>
          <w:rFonts w:ascii="Times New Roman" w:hAnsi="Times New Roman" w:eastAsia="Times New Roman" w:cs="Times New Roman"/>
          <w:sz w:val="24"/>
          <w:szCs w:val="24"/>
        </w:rPr>
        <w:t>rate of 70%</w:t>
      </w:r>
      <w:r w:rsidR="005D3722">
        <w:rPr>
          <w:rFonts w:ascii="Times New Roman" w:hAnsi="Times New Roman" w:eastAsia="Times New Roman" w:cs="Times New Roman"/>
          <w:sz w:val="24"/>
          <w:szCs w:val="24"/>
        </w:rPr>
        <w:t>. That is, we expect that 257 anglers will be determined to be eligible for the survey and will be asked to participate in the SNAIS</w:t>
      </w:r>
      <w:r w:rsidR="00F446C6">
        <w:rPr>
          <w:rFonts w:ascii="Times New Roman" w:hAnsi="Times New Roman" w:eastAsia="Times New Roman" w:cs="Times New Roman"/>
          <w:sz w:val="24"/>
          <w:szCs w:val="24"/>
        </w:rPr>
        <w:t xml:space="preserve"> </w:t>
      </w:r>
      <w:r w:rsidR="00282E85">
        <w:rPr>
          <w:rFonts w:ascii="Times New Roman" w:hAnsi="Times New Roman" w:eastAsia="Times New Roman" w:cs="Times New Roman"/>
          <w:sz w:val="24"/>
          <w:szCs w:val="24"/>
        </w:rPr>
        <w:t>in the three communities</w:t>
      </w:r>
      <w:r w:rsidRPr="006F739B" w:rsidR="006F739B">
        <w:rPr>
          <w:rFonts w:ascii="Times New Roman" w:hAnsi="Times New Roman" w:eastAsia="Times New Roman" w:cs="Times New Roman"/>
          <w:sz w:val="24"/>
          <w:szCs w:val="24"/>
        </w:rPr>
        <w:t xml:space="preserve">, resulting in </w:t>
      </w:r>
      <w:r w:rsidR="006F739B">
        <w:rPr>
          <w:rFonts w:ascii="Times New Roman" w:hAnsi="Times New Roman" w:eastAsia="Times New Roman" w:cs="Times New Roman"/>
          <w:sz w:val="24"/>
          <w:szCs w:val="24"/>
        </w:rPr>
        <w:t>180</w:t>
      </w:r>
      <w:r w:rsidRPr="006F739B" w:rsidR="006F739B">
        <w:rPr>
          <w:rFonts w:ascii="Times New Roman" w:hAnsi="Times New Roman" w:eastAsia="Times New Roman" w:cs="Times New Roman"/>
          <w:sz w:val="24"/>
          <w:szCs w:val="24"/>
        </w:rPr>
        <w:t xml:space="preserve"> completed</w:t>
      </w:r>
      <w:r w:rsidR="009428C1">
        <w:rPr>
          <w:rFonts w:ascii="Times New Roman" w:hAnsi="Times New Roman" w:eastAsia="Times New Roman" w:cs="Times New Roman"/>
          <w:sz w:val="24"/>
          <w:szCs w:val="24"/>
        </w:rPr>
        <w:t xml:space="preserve"> </w:t>
      </w:r>
      <w:r w:rsidRPr="006F739B" w:rsidR="006F739B">
        <w:rPr>
          <w:rFonts w:ascii="Times New Roman" w:hAnsi="Times New Roman" w:eastAsia="Times New Roman" w:cs="Times New Roman"/>
          <w:sz w:val="24"/>
          <w:szCs w:val="24"/>
        </w:rPr>
        <w:t>surveys or sufficient partial</w:t>
      </w:r>
      <w:r w:rsidR="006F739B">
        <w:rPr>
          <w:rFonts w:ascii="Times New Roman" w:hAnsi="Times New Roman" w:eastAsia="Times New Roman" w:cs="Times New Roman"/>
          <w:sz w:val="24"/>
          <w:szCs w:val="24"/>
        </w:rPr>
        <w:t xml:space="preserve"> interviews</w:t>
      </w:r>
      <w:r w:rsidRPr="006F739B" w:rsidR="006F739B">
        <w:rPr>
          <w:rFonts w:ascii="Times New Roman" w:hAnsi="Times New Roman" w:eastAsia="Times New Roman" w:cs="Times New Roman"/>
          <w:sz w:val="24"/>
          <w:szCs w:val="24"/>
        </w:rPr>
        <w:t>.</w:t>
      </w:r>
      <w:r w:rsidR="006F739B">
        <w:rPr>
          <w:rFonts w:ascii="Times New Roman" w:hAnsi="Times New Roman" w:eastAsia="Times New Roman" w:cs="Times New Roman"/>
          <w:sz w:val="24"/>
          <w:szCs w:val="24"/>
        </w:rPr>
        <w:t xml:space="preserve"> </w:t>
      </w:r>
    </w:p>
    <w:p w:rsidR="006F739B" w:rsidP="006F739B" w:rsidRDefault="006F739B" w14:paraId="55EC4A21"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006F739B" w:rsidP="006F739B" w:rsidRDefault="006F739B" w14:paraId="33677E58" w14:textId="6445D9E6">
      <w:pPr>
        <w:widowControl w:val="0"/>
        <w:autoSpaceDE w:val="0"/>
        <w:autoSpaceDN w:val="0"/>
        <w:adjustRightInd w:val="0"/>
        <w:spacing w:after="0" w:line="240" w:lineRule="auto"/>
        <w:rPr>
          <w:rFonts w:ascii="Times New Roman" w:hAnsi="Times New Roman" w:eastAsia="Times New Roman" w:cs="Times New Roman"/>
          <w:sz w:val="24"/>
          <w:szCs w:val="24"/>
        </w:rPr>
      </w:pPr>
      <w:r w:rsidRPr="006F739B">
        <w:rPr>
          <w:rFonts w:ascii="Times New Roman" w:hAnsi="Times New Roman" w:eastAsia="Times New Roman" w:cs="Times New Roman"/>
          <w:sz w:val="24"/>
          <w:szCs w:val="24"/>
        </w:rPr>
        <w:t xml:space="preserve">Table </w:t>
      </w:r>
      <w:r w:rsidR="00315F8B">
        <w:rPr>
          <w:rFonts w:ascii="Times New Roman" w:hAnsi="Times New Roman" w:eastAsia="Times New Roman" w:cs="Times New Roman"/>
          <w:sz w:val="24"/>
          <w:szCs w:val="24"/>
        </w:rPr>
        <w:t>2</w:t>
      </w:r>
      <w:r w:rsidRPr="006F739B" w:rsidR="00315F8B">
        <w:rPr>
          <w:rFonts w:ascii="Times New Roman" w:hAnsi="Times New Roman" w:eastAsia="Times New Roman" w:cs="Times New Roman"/>
          <w:sz w:val="24"/>
          <w:szCs w:val="24"/>
        </w:rPr>
        <w:t xml:space="preserve"> </w:t>
      </w:r>
      <w:r w:rsidRPr="006F739B">
        <w:rPr>
          <w:rFonts w:ascii="Times New Roman" w:hAnsi="Times New Roman" w:eastAsia="Times New Roman" w:cs="Times New Roman"/>
          <w:sz w:val="24"/>
          <w:szCs w:val="24"/>
        </w:rPr>
        <w:t xml:space="preserve">summarizes the </w:t>
      </w:r>
      <w:r w:rsidRPr="002212ED" w:rsidR="002212ED">
        <w:rPr>
          <w:rFonts w:ascii="Times New Roman" w:hAnsi="Times New Roman" w:eastAsia="Times New Roman" w:cs="Times New Roman"/>
          <w:sz w:val="24"/>
          <w:szCs w:val="24"/>
        </w:rPr>
        <w:t>key statistics about the proposed sampling strategy.</w:t>
      </w:r>
    </w:p>
    <w:tbl>
      <w:tblPr>
        <w:tblStyle w:val="TableGrid"/>
        <w:tblW w:w="0" w:type="auto"/>
        <w:jc w:val="center"/>
        <w:tblLook w:val="04A0" w:firstRow="1" w:lastRow="0" w:firstColumn="1" w:lastColumn="0" w:noHBand="0" w:noVBand="1"/>
      </w:tblPr>
      <w:tblGrid>
        <w:gridCol w:w="1971"/>
        <w:gridCol w:w="1971"/>
        <w:gridCol w:w="2817"/>
        <w:gridCol w:w="2394"/>
      </w:tblGrid>
      <w:tr w:rsidR="00E913E6" w:rsidTr="00705646" w14:paraId="7CE00F4A" w14:textId="77777777">
        <w:trPr>
          <w:jc w:val="center"/>
        </w:trPr>
        <w:tc>
          <w:tcPr>
            <w:tcW w:w="1971" w:type="dxa"/>
          </w:tcPr>
          <w:p w:rsidRPr="006F739B" w:rsidR="00E913E6" w:rsidP="006F739B" w:rsidRDefault="00E913E6" w14:paraId="1114582C" w14:textId="4895968E">
            <w:pPr>
              <w:widowControl w:val="0"/>
              <w:autoSpaceDE w:val="0"/>
              <w:autoSpaceDN w:val="0"/>
              <w:adjustRightInd w:val="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Population</w:t>
            </w:r>
          </w:p>
        </w:tc>
        <w:tc>
          <w:tcPr>
            <w:tcW w:w="1971" w:type="dxa"/>
          </w:tcPr>
          <w:p w:rsidRPr="006F739B" w:rsidR="00E913E6" w:rsidP="006F739B" w:rsidRDefault="00E913E6" w14:paraId="214210CB" w14:textId="41C72CF4">
            <w:pPr>
              <w:widowControl w:val="0"/>
              <w:autoSpaceDE w:val="0"/>
              <w:autoSpaceDN w:val="0"/>
              <w:adjustRightInd w:val="0"/>
              <w:jc w:val="center"/>
              <w:rPr>
                <w:rFonts w:ascii="Times New Roman" w:hAnsi="Times New Roman" w:eastAsia="Times New Roman" w:cs="Times New Roman"/>
                <w:b/>
                <w:sz w:val="24"/>
                <w:szCs w:val="24"/>
              </w:rPr>
            </w:pPr>
            <w:r w:rsidRPr="006F739B">
              <w:rPr>
                <w:rFonts w:ascii="Times New Roman" w:hAnsi="Times New Roman" w:eastAsia="Times New Roman" w:cs="Times New Roman"/>
                <w:b/>
                <w:sz w:val="24"/>
                <w:szCs w:val="24"/>
              </w:rPr>
              <w:t>Target Sample</w:t>
            </w:r>
          </w:p>
        </w:tc>
        <w:tc>
          <w:tcPr>
            <w:tcW w:w="2817" w:type="dxa"/>
          </w:tcPr>
          <w:p w:rsidRPr="006F739B" w:rsidR="00E913E6" w:rsidP="006F739B" w:rsidRDefault="00E913E6" w14:paraId="7E8B0998" w14:textId="0187407E">
            <w:pPr>
              <w:widowControl w:val="0"/>
              <w:autoSpaceDE w:val="0"/>
              <w:autoSpaceDN w:val="0"/>
              <w:adjustRightInd w:val="0"/>
              <w:jc w:val="center"/>
              <w:rPr>
                <w:rFonts w:ascii="Times New Roman" w:hAnsi="Times New Roman" w:eastAsia="Times New Roman" w:cs="Times New Roman"/>
                <w:b/>
                <w:sz w:val="24"/>
                <w:szCs w:val="24"/>
              </w:rPr>
            </w:pPr>
            <w:r w:rsidRPr="006F739B">
              <w:rPr>
                <w:rFonts w:ascii="Times New Roman" w:hAnsi="Times New Roman" w:eastAsia="Times New Roman" w:cs="Times New Roman"/>
                <w:b/>
                <w:sz w:val="24"/>
                <w:szCs w:val="24"/>
              </w:rPr>
              <w:t>Expected Response Rate</w:t>
            </w:r>
          </w:p>
        </w:tc>
        <w:tc>
          <w:tcPr>
            <w:tcW w:w="2394" w:type="dxa"/>
          </w:tcPr>
          <w:p w:rsidRPr="006F739B" w:rsidR="00E913E6" w:rsidP="006F739B" w:rsidRDefault="00E913E6" w14:paraId="36FC01DB" w14:textId="7BB2CC5D">
            <w:pPr>
              <w:widowControl w:val="0"/>
              <w:autoSpaceDE w:val="0"/>
              <w:autoSpaceDN w:val="0"/>
              <w:adjustRightInd w:val="0"/>
              <w:jc w:val="center"/>
              <w:rPr>
                <w:rFonts w:ascii="Times New Roman" w:hAnsi="Times New Roman" w:eastAsia="Times New Roman" w:cs="Times New Roman"/>
                <w:b/>
                <w:sz w:val="24"/>
                <w:szCs w:val="24"/>
              </w:rPr>
            </w:pPr>
            <w:r w:rsidRPr="006F739B">
              <w:rPr>
                <w:rFonts w:ascii="Times New Roman" w:hAnsi="Times New Roman" w:eastAsia="Times New Roman" w:cs="Times New Roman"/>
                <w:b/>
                <w:sz w:val="24"/>
                <w:szCs w:val="24"/>
              </w:rPr>
              <w:t>Anticipated Sample</w:t>
            </w:r>
          </w:p>
        </w:tc>
      </w:tr>
      <w:tr w:rsidR="00E913E6" w:rsidTr="00705646" w14:paraId="55BBC081" w14:textId="77777777">
        <w:trPr>
          <w:jc w:val="center"/>
        </w:trPr>
        <w:tc>
          <w:tcPr>
            <w:tcW w:w="1971" w:type="dxa"/>
          </w:tcPr>
          <w:p w:rsidR="00E913E6" w:rsidP="006F739B" w:rsidRDefault="00E913E6" w14:paraId="64BDD154" w14:textId="77777777">
            <w:pPr>
              <w:widowControl w:val="0"/>
              <w:autoSpaceDE w:val="0"/>
              <w:autoSpaceDN w:val="0"/>
              <w:adjustRightInd w:val="0"/>
              <w:jc w:val="center"/>
              <w:rPr>
                <w:rFonts w:ascii="Times New Roman" w:hAnsi="Times New Roman" w:eastAsia="Times New Roman" w:cs="Times New Roman"/>
                <w:sz w:val="24"/>
                <w:szCs w:val="24"/>
              </w:rPr>
            </w:pPr>
          </w:p>
        </w:tc>
        <w:tc>
          <w:tcPr>
            <w:tcW w:w="1971" w:type="dxa"/>
          </w:tcPr>
          <w:p w:rsidR="00E913E6" w:rsidP="006F739B" w:rsidRDefault="00E913E6" w14:paraId="403E6AA9" w14:textId="5487470E">
            <w:pPr>
              <w:widowControl w:val="0"/>
              <w:autoSpaceDE w:val="0"/>
              <w:autoSpaceDN w:val="0"/>
              <w:adjustRightInd w:val="0"/>
              <w:jc w:val="center"/>
              <w:rPr>
                <w:rFonts w:ascii="Times New Roman" w:hAnsi="Times New Roman" w:eastAsia="Times New Roman" w:cs="Times New Roman"/>
                <w:sz w:val="24"/>
                <w:szCs w:val="24"/>
              </w:rPr>
            </w:pPr>
          </w:p>
        </w:tc>
        <w:tc>
          <w:tcPr>
            <w:tcW w:w="2817" w:type="dxa"/>
          </w:tcPr>
          <w:p w:rsidR="00E913E6" w:rsidP="006F739B" w:rsidRDefault="00E913E6" w14:paraId="358E9B01" w14:textId="77777777">
            <w:pPr>
              <w:widowControl w:val="0"/>
              <w:autoSpaceDE w:val="0"/>
              <w:autoSpaceDN w:val="0"/>
              <w:adjustRightInd w:val="0"/>
              <w:jc w:val="center"/>
              <w:rPr>
                <w:rFonts w:ascii="Times New Roman" w:hAnsi="Times New Roman" w:eastAsia="Times New Roman" w:cs="Times New Roman"/>
                <w:sz w:val="24"/>
                <w:szCs w:val="24"/>
              </w:rPr>
            </w:pPr>
          </w:p>
        </w:tc>
        <w:tc>
          <w:tcPr>
            <w:tcW w:w="2394" w:type="dxa"/>
          </w:tcPr>
          <w:p w:rsidR="00E913E6" w:rsidP="006F739B" w:rsidRDefault="00E913E6" w14:paraId="3ADD4563" w14:textId="77777777">
            <w:pPr>
              <w:widowControl w:val="0"/>
              <w:autoSpaceDE w:val="0"/>
              <w:autoSpaceDN w:val="0"/>
              <w:adjustRightInd w:val="0"/>
              <w:jc w:val="center"/>
              <w:rPr>
                <w:rFonts w:ascii="Times New Roman" w:hAnsi="Times New Roman" w:eastAsia="Times New Roman" w:cs="Times New Roman"/>
                <w:sz w:val="24"/>
                <w:szCs w:val="24"/>
              </w:rPr>
            </w:pPr>
          </w:p>
        </w:tc>
      </w:tr>
      <w:tr w:rsidR="00E913E6" w:rsidTr="00705646" w14:paraId="6A3D56D5" w14:textId="77777777">
        <w:trPr>
          <w:jc w:val="center"/>
        </w:trPr>
        <w:tc>
          <w:tcPr>
            <w:tcW w:w="1971" w:type="dxa"/>
          </w:tcPr>
          <w:p w:rsidR="00E913E6" w:rsidP="006F739B" w:rsidRDefault="00E913E6" w14:paraId="6A16C6A3" w14:textId="77EA27D6">
            <w:pPr>
              <w:widowControl w:val="0"/>
              <w:autoSpaceDE w:val="0"/>
              <w:autoSpaceDN w:val="0"/>
              <w:adjustRightInd w:val="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7,028,000</w:t>
            </w:r>
          </w:p>
        </w:tc>
        <w:tc>
          <w:tcPr>
            <w:tcW w:w="1971" w:type="dxa"/>
          </w:tcPr>
          <w:p w:rsidR="00E913E6" w:rsidP="006F739B" w:rsidRDefault="00E913E6" w14:paraId="4E570283" w14:textId="61147D46">
            <w:pPr>
              <w:widowControl w:val="0"/>
              <w:autoSpaceDE w:val="0"/>
              <w:autoSpaceDN w:val="0"/>
              <w:adjustRightInd w:val="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w:t>
            </w:r>
          </w:p>
        </w:tc>
        <w:tc>
          <w:tcPr>
            <w:tcW w:w="2817" w:type="dxa"/>
          </w:tcPr>
          <w:p w:rsidR="00E913E6" w:rsidP="006F739B" w:rsidRDefault="00E913E6" w14:paraId="7B083247" w14:textId="1A0B4000">
            <w:pPr>
              <w:widowControl w:val="0"/>
              <w:autoSpaceDE w:val="0"/>
              <w:autoSpaceDN w:val="0"/>
              <w:adjustRightInd w:val="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0.70</w:t>
            </w:r>
          </w:p>
        </w:tc>
        <w:tc>
          <w:tcPr>
            <w:tcW w:w="2394" w:type="dxa"/>
          </w:tcPr>
          <w:p w:rsidR="00E913E6" w:rsidP="006F739B" w:rsidRDefault="00E913E6" w14:paraId="047DD412" w14:textId="164F1259">
            <w:pPr>
              <w:widowControl w:val="0"/>
              <w:autoSpaceDE w:val="0"/>
              <w:autoSpaceDN w:val="0"/>
              <w:adjustRightInd w:val="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w:t>
            </w:r>
          </w:p>
        </w:tc>
      </w:tr>
    </w:tbl>
    <w:p w:rsidR="00E1236F" w:rsidP="00E1236F" w:rsidRDefault="00E1236F" w14:paraId="156C76CE" w14:textId="4D7D5679">
      <w:pPr>
        <w:widowControl w:val="0"/>
        <w:autoSpaceDE w:val="0"/>
        <w:autoSpaceDN w:val="0"/>
        <w:adjustRightInd w:val="0"/>
        <w:spacing w:after="0" w:line="240" w:lineRule="auto"/>
        <w:rPr>
          <w:rFonts w:ascii="Times New Roman" w:hAnsi="Times New Roman" w:eastAsia="Times New Roman" w:cs="Times New Roman"/>
          <w:sz w:val="24"/>
          <w:szCs w:val="24"/>
        </w:rPr>
      </w:pPr>
    </w:p>
    <w:p w:rsidRPr="003734B1" w:rsidR="003734B1" w:rsidP="003734B1" w:rsidRDefault="003734B1" w14:paraId="4BCCB2D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u w:val="single"/>
        </w:rPr>
      </w:pPr>
      <w:r w:rsidRPr="003734B1">
        <w:rPr>
          <w:rFonts w:ascii="Times New Roman" w:hAnsi="Times New Roman" w:eastAsia="Times New Roman" w:cs="Times New Roman"/>
          <w:b/>
          <w:bCs/>
          <w:sz w:val="24"/>
          <w:szCs w:val="24"/>
          <w:u w:val="single"/>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Pr="003734B1" w:rsidR="003734B1" w:rsidP="003734B1" w:rsidRDefault="003734B1" w14:paraId="06F54F7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rPr>
      </w:pPr>
    </w:p>
    <w:p w:rsidR="00AC78E9" w:rsidP="003734B1" w:rsidRDefault="00C218EB" w14:paraId="1757E553" w14:textId="7DD5FA59">
      <w:pPr>
        <w:spacing w:after="0" w:line="240" w:lineRule="auto"/>
        <w:rPr>
          <w:rFonts w:ascii="Times New Roman" w:hAnsi="Times New Roman" w:eastAsia="Times New Roman" w:cs="Times New Roman"/>
          <w:sz w:val="24"/>
          <w:szCs w:val="24"/>
        </w:rPr>
      </w:pPr>
      <w:r w:rsidRPr="008839CC">
        <w:rPr>
          <w:rFonts w:ascii="Times New Roman" w:hAnsi="Times New Roman" w:eastAsia="Times New Roman" w:cs="Times New Roman"/>
          <w:sz w:val="24"/>
          <w:szCs w:val="24"/>
        </w:rPr>
        <w:t xml:space="preserve">One time, voluntary surveys will be used to elicit </w:t>
      </w:r>
      <w:r w:rsidRPr="008839CC" w:rsidR="002212ED">
        <w:rPr>
          <w:rFonts w:ascii="Times New Roman" w:hAnsi="Times New Roman" w:eastAsia="Times New Roman" w:cs="Times New Roman"/>
          <w:sz w:val="24"/>
          <w:szCs w:val="24"/>
        </w:rPr>
        <w:t xml:space="preserve">fishing habit, </w:t>
      </w:r>
      <w:r w:rsidRPr="008839CC">
        <w:rPr>
          <w:rFonts w:ascii="Times New Roman" w:hAnsi="Times New Roman" w:eastAsia="Times New Roman" w:cs="Times New Roman"/>
          <w:sz w:val="24"/>
          <w:szCs w:val="24"/>
        </w:rPr>
        <w:t>information</w:t>
      </w:r>
      <w:r w:rsidRPr="008839CC" w:rsidR="002212ED">
        <w:rPr>
          <w:rFonts w:ascii="Times New Roman" w:hAnsi="Times New Roman" w:eastAsia="Times New Roman" w:cs="Times New Roman"/>
          <w:sz w:val="24"/>
          <w:szCs w:val="24"/>
        </w:rPr>
        <w:t xml:space="preserve"> sharing, and attitudinal information</w:t>
      </w:r>
      <w:r w:rsidRPr="008839CC">
        <w:rPr>
          <w:rFonts w:ascii="Times New Roman" w:hAnsi="Times New Roman" w:eastAsia="Times New Roman" w:cs="Times New Roman"/>
          <w:sz w:val="24"/>
          <w:szCs w:val="24"/>
        </w:rPr>
        <w:t xml:space="preserve"> from recreational saltwater anglers. Recreational anglers will be asked to participate in the survey during visits to relevant businesses and entities (marinas, bait and tackle shops, fishing clubs, state natural resource agencies, etc.,) within the community. </w:t>
      </w:r>
      <w:r w:rsidRPr="008839CC" w:rsidR="009428C1">
        <w:rPr>
          <w:rFonts w:ascii="Times New Roman" w:hAnsi="Times New Roman" w:eastAsia="Times New Roman" w:cs="Times New Roman"/>
          <w:sz w:val="24"/>
          <w:szCs w:val="24"/>
        </w:rPr>
        <w:t>The initial r</w:t>
      </w:r>
      <w:r w:rsidRPr="008839CC">
        <w:rPr>
          <w:rFonts w:ascii="Times New Roman" w:hAnsi="Times New Roman" w:eastAsia="Times New Roman" w:cs="Times New Roman"/>
          <w:sz w:val="24"/>
          <w:szCs w:val="24"/>
        </w:rPr>
        <w:t xml:space="preserve">espondents will be asked to provide survey contact information to additional contacts from their </w:t>
      </w:r>
      <w:r w:rsidRPr="008839CC">
        <w:rPr>
          <w:rFonts w:ascii="Times New Roman" w:hAnsi="Times New Roman" w:eastAsia="Times New Roman" w:cs="Times New Roman"/>
          <w:sz w:val="24"/>
          <w:szCs w:val="24"/>
        </w:rPr>
        <w:lastRenderedPageBreak/>
        <w:t xml:space="preserve">network that could provide meaningful information for the study. These additional contacts will then be interviewed in the same manner as the initial respondents. </w:t>
      </w:r>
      <w:r w:rsidRPr="008839CC" w:rsidR="004552DD">
        <w:rPr>
          <w:rFonts w:ascii="Times New Roman" w:hAnsi="Times New Roman" w:eastAsia="Times New Roman" w:cs="Times New Roman"/>
          <w:sz w:val="24"/>
          <w:szCs w:val="24"/>
        </w:rPr>
        <w:t xml:space="preserve">At the interview level, the information will be used to model </w:t>
      </w:r>
      <w:r w:rsidR="007C1C14">
        <w:rPr>
          <w:rFonts w:ascii="Times New Roman" w:hAnsi="Times New Roman" w:eastAsia="Times New Roman" w:cs="Times New Roman"/>
          <w:sz w:val="24"/>
          <w:szCs w:val="24"/>
        </w:rPr>
        <w:t xml:space="preserve">a </w:t>
      </w:r>
      <w:r w:rsidRPr="008839CC" w:rsidR="004552DD">
        <w:rPr>
          <w:rFonts w:ascii="Times New Roman" w:hAnsi="Times New Roman" w:eastAsia="Times New Roman" w:cs="Times New Roman"/>
          <w:sz w:val="24"/>
          <w:szCs w:val="24"/>
        </w:rPr>
        <w:t>respondent</w:t>
      </w:r>
      <w:r w:rsidR="007C1C14">
        <w:rPr>
          <w:rFonts w:ascii="Times New Roman" w:hAnsi="Times New Roman" w:eastAsia="Times New Roman" w:cs="Times New Roman"/>
          <w:sz w:val="24"/>
          <w:szCs w:val="24"/>
        </w:rPr>
        <w:t>’s</w:t>
      </w:r>
      <w:r w:rsidRPr="008839CC" w:rsidR="004552DD">
        <w:rPr>
          <w:rFonts w:ascii="Times New Roman" w:hAnsi="Times New Roman" w:eastAsia="Times New Roman" w:cs="Times New Roman"/>
          <w:sz w:val="24"/>
          <w:szCs w:val="24"/>
        </w:rPr>
        <w:t xml:space="preserve"> ego network. </w:t>
      </w:r>
      <w:r w:rsidR="002401B8">
        <w:rPr>
          <w:rFonts w:ascii="Times New Roman" w:hAnsi="Times New Roman" w:eastAsia="Times New Roman" w:cs="Times New Roman"/>
          <w:sz w:val="24"/>
          <w:szCs w:val="24"/>
        </w:rPr>
        <w:t xml:space="preserve">Ego networks </w:t>
      </w:r>
      <w:r w:rsidR="00C6476A">
        <w:rPr>
          <w:rFonts w:ascii="Times New Roman" w:hAnsi="Times New Roman" w:eastAsia="Times New Roman" w:cs="Times New Roman"/>
          <w:sz w:val="24"/>
          <w:szCs w:val="24"/>
        </w:rPr>
        <w:t>consist of a single individual (ego) together with other individuals they are directly connected to (alters)</w:t>
      </w:r>
      <w:r w:rsidR="00BB3006">
        <w:rPr>
          <w:rFonts w:ascii="Times New Roman" w:hAnsi="Times New Roman" w:eastAsia="Times New Roman" w:cs="Times New Roman"/>
          <w:sz w:val="24"/>
          <w:szCs w:val="24"/>
        </w:rPr>
        <w:t xml:space="preserve"> and all links between those alters (Everett and Borgatti, 2005). </w:t>
      </w:r>
      <w:r w:rsidR="000B6409">
        <w:rPr>
          <w:rFonts w:ascii="Times New Roman" w:hAnsi="Times New Roman" w:eastAsia="Times New Roman" w:cs="Times New Roman"/>
          <w:sz w:val="24"/>
          <w:szCs w:val="24"/>
        </w:rPr>
        <w:t xml:space="preserve">The benefit of ego network analysis </w:t>
      </w:r>
      <w:r w:rsidR="00613E16">
        <w:rPr>
          <w:rFonts w:ascii="Times New Roman" w:hAnsi="Times New Roman" w:eastAsia="Times New Roman" w:cs="Times New Roman"/>
          <w:sz w:val="24"/>
          <w:szCs w:val="24"/>
        </w:rPr>
        <w:t>is the ease of data collection relative to collecting data on the entire social network,</w:t>
      </w:r>
      <w:r w:rsidR="00C76F43">
        <w:rPr>
          <w:rFonts w:ascii="Times New Roman" w:hAnsi="Times New Roman" w:eastAsia="Times New Roman" w:cs="Times New Roman"/>
          <w:sz w:val="24"/>
          <w:szCs w:val="24"/>
        </w:rPr>
        <w:t xml:space="preserve"> an approach that </w:t>
      </w:r>
      <w:r w:rsidR="005C3679">
        <w:rPr>
          <w:rFonts w:ascii="Times New Roman" w:hAnsi="Times New Roman" w:eastAsia="Times New Roman" w:cs="Times New Roman"/>
          <w:sz w:val="24"/>
          <w:szCs w:val="24"/>
        </w:rPr>
        <w:t xml:space="preserve">is infeasible for this project due to the size and complexity of recreational </w:t>
      </w:r>
      <w:r w:rsidR="00B82A0A">
        <w:rPr>
          <w:rFonts w:ascii="Times New Roman" w:hAnsi="Times New Roman" w:eastAsia="Times New Roman" w:cs="Times New Roman"/>
          <w:sz w:val="24"/>
          <w:szCs w:val="24"/>
        </w:rPr>
        <w:t>angler</w:t>
      </w:r>
      <w:r w:rsidR="005C3679">
        <w:rPr>
          <w:rFonts w:ascii="Times New Roman" w:hAnsi="Times New Roman" w:eastAsia="Times New Roman" w:cs="Times New Roman"/>
          <w:sz w:val="24"/>
          <w:szCs w:val="24"/>
        </w:rPr>
        <w:t xml:space="preserve"> social networks. </w:t>
      </w:r>
      <w:r w:rsidR="00BC6BA2">
        <w:rPr>
          <w:rFonts w:ascii="Times New Roman" w:hAnsi="Times New Roman" w:eastAsia="Times New Roman" w:cs="Times New Roman"/>
          <w:sz w:val="24"/>
          <w:szCs w:val="24"/>
        </w:rPr>
        <w:t xml:space="preserve">All data in an ego network is collected directly from ego </w:t>
      </w:r>
      <w:r w:rsidR="007730D3">
        <w:rPr>
          <w:rFonts w:ascii="Times New Roman" w:hAnsi="Times New Roman" w:eastAsia="Times New Roman" w:cs="Times New Roman"/>
          <w:sz w:val="24"/>
          <w:szCs w:val="24"/>
        </w:rPr>
        <w:t>and ego networks can be used to make inferences about entire populations</w:t>
      </w:r>
      <w:r w:rsidR="00902FE1">
        <w:rPr>
          <w:rFonts w:ascii="Times New Roman" w:hAnsi="Times New Roman" w:eastAsia="Times New Roman" w:cs="Times New Roman"/>
          <w:sz w:val="24"/>
          <w:szCs w:val="24"/>
        </w:rPr>
        <w:t xml:space="preserve"> (Everett and Borgatti, 2005)</w:t>
      </w:r>
      <w:r w:rsidR="007730D3">
        <w:rPr>
          <w:rFonts w:ascii="Times New Roman" w:hAnsi="Times New Roman" w:eastAsia="Times New Roman" w:cs="Times New Roman"/>
          <w:sz w:val="24"/>
          <w:szCs w:val="24"/>
        </w:rPr>
        <w:t xml:space="preserve">. </w:t>
      </w:r>
      <w:r w:rsidR="006C069B">
        <w:rPr>
          <w:rFonts w:ascii="Times New Roman" w:hAnsi="Times New Roman" w:eastAsia="Times New Roman" w:cs="Times New Roman"/>
          <w:sz w:val="24"/>
          <w:szCs w:val="24"/>
        </w:rPr>
        <w:t>Ego networks will be analyzed regarding</w:t>
      </w:r>
      <w:r w:rsidR="005956C2">
        <w:rPr>
          <w:rFonts w:ascii="Times New Roman" w:hAnsi="Times New Roman" w:eastAsia="Times New Roman" w:cs="Times New Roman"/>
          <w:sz w:val="24"/>
          <w:szCs w:val="24"/>
        </w:rPr>
        <w:t xml:space="preserve"> the density of ties within each network, the role of ego in each network as measured by </w:t>
      </w:r>
      <w:r w:rsidR="005270C5">
        <w:rPr>
          <w:rFonts w:ascii="Times New Roman" w:hAnsi="Times New Roman" w:eastAsia="Times New Roman" w:cs="Times New Roman"/>
          <w:sz w:val="24"/>
          <w:szCs w:val="24"/>
        </w:rPr>
        <w:t xml:space="preserve">ego </w:t>
      </w:r>
      <w:r w:rsidR="008E0A1A">
        <w:rPr>
          <w:rFonts w:ascii="Times New Roman" w:hAnsi="Times New Roman" w:eastAsia="Times New Roman" w:cs="Times New Roman"/>
          <w:sz w:val="24"/>
          <w:szCs w:val="24"/>
        </w:rPr>
        <w:t>betweenness,</w:t>
      </w:r>
      <w:r w:rsidR="00263DE9">
        <w:rPr>
          <w:rFonts w:ascii="Times New Roman" w:hAnsi="Times New Roman" w:eastAsia="Times New Roman" w:cs="Times New Roman"/>
          <w:sz w:val="24"/>
          <w:szCs w:val="24"/>
        </w:rPr>
        <w:t xml:space="preserve"> and </w:t>
      </w:r>
      <w:r w:rsidR="00827CF7">
        <w:rPr>
          <w:rFonts w:ascii="Times New Roman" w:hAnsi="Times New Roman" w:eastAsia="Times New Roman" w:cs="Times New Roman"/>
          <w:sz w:val="24"/>
          <w:szCs w:val="24"/>
        </w:rPr>
        <w:t xml:space="preserve">network </w:t>
      </w:r>
      <w:r w:rsidR="00263DE9">
        <w:rPr>
          <w:rFonts w:ascii="Times New Roman" w:hAnsi="Times New Roman" w:eastAsia="Times New Roman" w:cs="Times New Roman"/>
          <w:sz w:val="24"/>
          <w:szCs w:val="24"/>
        </w:rPr>
        <w:t>homophily</w:t>
      </w:r>
      <w:r w:rsidR="00795A1D">
        <w:rPr>
          <w:rFonts w:ascii="Times New Roman" w:hAnsi="Times New Roman" w:eastAsia="Times New Roman" w:cs="Times New Roman"/>
          <w:sz w:val="24"/>
          <w:szCs w:val="24"/>
        </w:rPr>
        <w:t xml:space="preserve"> (the tendency to form connections with similar individuals) based on</w:t>
      </w:r>
      <w:r w:rsidR="00827CF7">
        <w:rPr>
          <w:rFonts w:ascii="Times New Roman" w:hAnsi="Times New Roman" w:eastAsia="Times New Roman" w:cs="Times New Roman"/>
          <w:sz w:val="24"/>
          <w:szCs w:val="24"/>
        </w:rPr>
        <w:t xml:space="preserve"> </w:t>
      </w:r>
      <w:r w:rsidR="006C4379">
        <w:rPr>
          <w:rFonts w:ascii="Times New Roman" w:hAnsi="Times New Roman" w:eastAsia="Times New Roman" w:cs="Times New Roman"/>
          <w:sz w:val="24"/>
          <w:szCs w:val="24"/>
        </w:rPr>
        <w:t xml:space="preserve">level of engagement in the </w:t>
      </w:r>
      <w:r w:rsidR="00213E84">
        <w:rPr>
          <w:rFonts w:ascii="Times New Roman" w:hAnsi="Times New Roman" w:eastAsia="Times New Roman" w:cs="Times New Roman"/>
          <w:sz w:val="24"/>
          <w:szCs w:val="24"/>
        </w:rPr>
        <w:t>fisheries management and data collection processes</w:t>
      </w:r>
      <w:r w:rsidR="005D44BF">
        <w:rPr>
          <w:rFonts w:ascii="Times New Roman" w:hAnsi="Times New Roman" w:eastAsia="Times New Roman" w:cs="Times New Roman"/>
          <w:sz w:val="24"/>
          <w:szCs w:val="24"/>
        </w:rPr>
        <w:t xml:space="preserve"> (</w:t>
      </w:r>
      <w:r w:rsidR="00583116">
        <w:rPr>
          <w:rFonts w:ascii="Times New Roman" w:hAnsi="Times New Roman" w:eastAsia="Times New Roman" w:cs="Times New Roman"/>
          <w:sz w:val="24"/>
          <w:szCs w:val="24"/>
        </w:rPr>
        <w:t>McPherson, Smith-Lovin, and Cook, 2001)</w:t>
      </w:r>
      <w:r w:rsidR="00213E84">
        <w:rPr>
          <w:rFonts w:ascii="Times New Roman" w:hAnsi="Times New Roman" w:eastAsia="Times New Roman" w:cs="Times New Roman"/>
          <w:sz w:val="24"/>
          <w:szCs w:val="24"/>
        </w:rPr>
        <w:t>.</w:t>
      </w:r>
      <w:r w:rsidR="00902FE1">
        <w:rPr>
          <w:rFonts w:ascii="Times New Roman" w:hAnsi="Times New Roman" w:eastAsia="Times New Roman" w:cs="Times New Roman"/>
          <w:sz w:val="24"/>
          <w:szCs w:val="24"/>
        </w:rPr>
        <w:t xml:space="preserve"> </w:t>
      </w:r>
    </w:p>
    <w:p w:rsidR="00AC78E9" w:rsidP="003734B1" w:rsidRDefault="00AC78E9" w14:paraId="42C00853" w14:textId="77777777">
      <w:pPr>
        <w:spacing w:after="0" w:line="240" w:lineRule="auto"/>
        <w:rPr>
          <w:rFonts w:ascii="Times New Roman" w:hAnsi="Times New Roman" w:eastAsia="Times New Roman" w:cs="Times New Roman"/>
          <w:sz w:val="24"/>
          <w:szCs w:val="24"/>
        </w:rPr>
      </w:pPr>
    </w:p>
    <w:p w:rsidR="00902FE1" w:rsidP="003734B1" w:rsidRDefault="00D6294E" w14:paraId="2F303646" w14:textId="6D88D6A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Density </w:t>
      </w:r>
      <w:r w:rsidR="00C020B6">
        <w:rPr>
          <w:rFonts w:ascii="Times New Roman" w:hAnsi="Times New Roman" w:eastAsia="Times New Roman" w:cs="Times New Roman"/>
          <w:sz w:val="24"/>
          <w:szCs w:val="24"/>
        </w:rPr>
        <w:t xml:space="preserve">is the amount of ties present in an ego network relative to the total number of </w:t>
      </w:r>
      <w:r w:rsidR="00E33742">
        <w:rPr>
          <w:rFonts w:ascii="Times New Roman" w:hAnsi="Times New Roman" w:eastAsia="Times New Roman" w:cs="Times New Roman"/>
          <w:sz w:val="24"/>
          <w:szCs w:val="24"/>
        </w:rPr>
        <w:t xml:space="preserve">ties possible (if all alters in the network were connected). </w:t>
      </w:r>
      <w:r w:rsidR="00EF214A">
        <w:rPr>
          <w:rFonts w:ascii="Times New Roman" w:hAnsi="Times New Roman" w:eastAsia="Times New Roman" w:cs="Times New Roman"/>
          <w:sz w:val="24"/>
          <w:szCs w:val="24"/>
        </w:rPr>
        <w:t xml:space="preserve">Average ego network densities and variations across </w:t>
      </w:r>
      <w:r w:rsidR="00415A9A">
        <w:rPr>
          <w:rFonts w:ascii="Times New Roman" w:hAnsi="Times New Roman" w:eastAsia="Times New Roman" w:cs="Times New Roman"/>
          <w:sz w:val="24"/>
          <w:szCs w:val="24"/>
        </w:rPr>
        <w:t xml:space="preserve">groups of anglers will provide insights into the connectedness of information sharing networks. </w:t>
      </w:r>
      <w:r w:rsidR="005270C5">
        <w:rPr>
          <w:rFonts w:ascii="Times New Roman" w:hAnsi="Times New Roman" w:eastAsia="Times New Roman" w:cs="Times New Roman"/>
          <w:sz w:val="24"/>
          <w:szCs w:val="24"/>
        </w:rPr>
        <w:t>Ego b</w:t>
      </w:r>
      <w:r w:rsidR="0047573F">
        <w:rPr>
          <w:rFonts w:ascii="Times New Roman" w:hAnsi="Times New Roman" w:eastAsia="Times New Roman" w:cs="Times New Roman"/>
          <w:sz w:val="24"/>
          <w:szCs w:val="24"/>
        </w:rPr>
        <w:t xml:space="preserve">etweenness </w:t>
      </w:r>
      <w:r w:rsidR="002B7A3C">
        <w:rPr>
          <w:rFonts w:ascii="Times New Roman" w:hAnsi="Times New Roman" w:eastAsia="Times New Roman" w:cs="Times New Roman"/>
          <w:sz w:val="24"/>
          <w:szCs w:val="24"/>
        </w:rPr>
        <w:t xml:space="preserve">measures the </w:t>
      </w:r>
      <w:r w:rsidR="005B3C7A">
        <w:rPr>
          <w:rFonts w:ascii="Times New Roman" w:hAnsi="Times New Roman" w:eastAsia="Times New Roman" w:cs="Times New Roman"/>
          <w:sz w:val="24"/>
          <w:szCs w:val="24"/>
        </w:rPr>
        <w:t xml:space="preserve">extent to which ego serves as </w:t>
      </w:r>
      <w:r w:rsidR="00697822">
        <w:rPr>
          <w:rFonts w:ascii="Times New Roman" w:hAnsi="Times New Roman" w:eastAsia="Times New Roman" w:cs="Times New Roman"/>
          <w:sz w:val="24"/>
          <w:szCs w:val="24"/>
        </w:rPr>
        <w:t>the only source of connections among their alters</w:t>
      </w:r>
      <w:r w:rsidR="00DF4CB1">
        <w:rPr>
          <w:rFonts w:ascii="Times New Roman" w:hAnsi="Times New Roman" w:eastAsia="Times New Roman" w:cs="Times New Roman"/>
          <w:sz w:val="24"/>
          <w:szCs w:val="24"/>
        </w:rPr>
        <w:t xml:space="preserve"> </w:t>
      </w:r>
      <w:r w:rsidR="00092458">
        <w:rPr>
          <w:rFonts w:ascii="Times New Roman" w:hAnsi="Times New Roman" w:eastAsia="Times New Roman" w:cs="Times New Roman"/>
          <w:sz w:val="24"/>
          <w:szCs w:val="24"/>
        </w:rPr>
        <w:t xml:space="preserve">(Freeman 1979). </w:t>
      </w:r>
      <w:r w:rsidR="00DF0FFE">
        <w:rPr>
          <w:rFonts w:ascii="Times New Roman" w:hAnsi="Times New Roman" w:eastAsia="Times New Roman" w:cs="Times New Roman"/>
          <w:sz w:val="24"/>
          <w:szCs w:val="24"/>
        </w:rPr>
        <w:t xml:space="preserve">Two betweenness measures will be </w:t>
      </w:r>
      <w:r w:rsidR="00BA0536">
        <w:rPr>
          <w:rFonts w:ascii="Times New Roman" w:hAnsi="Times New Roman" w:eastAsia="Times New Roman" w:cs="Times New Roman"/>
          <w:sz w:val="24"/>
          <w:szCs w:val="24"/>
        </w:rPr>
        <w:t xml:space="preserve">calculated: 1) a raw score that simply measures the number of geodesics (shortest paths) between alters that ego is a part of, and 2) </w:t>
      </w:r>
      <w:r w:rsidR="00CA7AE2">
        <w:rPr>
          <w:rFonts w:ascii="Times New Roman" w:hAnsi="Times New Roman" w:eastAsia="Times New Roman" w:cs="Times New Roman"/>
          <w:sz w:val="24"/>
          <w:szCs w:val="24"/>
        </w:rPr>
        <w:t xml:space="preserve">the percentage of all alter pair geodesics that ego </w:t>
      </w:r>
      <w:r w:rsidR="00472A95">
        <w:rPr>
          <w:rFonts w:ascii="Times New Roman" w:hAnsi="Times New Roman" w:eastAsia="Times New Roman" w:cs="Times New Roman"/>
          <w:sz w:val="24"/>
          <w:szCs w:val="24"/>
        </w:rPr>
        <w:t xml:space="preserve">is a part of. The first measure allows us to account for differences in ego network sizes. </w:t>
      </w:r>
      <w:r w:rsidR="00174B9F">
        <w:rPr>
          <w:rFonts w:ascii="Times New Roman" w:hAnsi="Times New Roman" w:eastAsia="Times New Roman" w:cs="Times New Roman"/>
          <w:sz w:val="24"/>
          <w:szCs w:val="24"/>
        </w:rPr>
        <w:t xml:space="preserve">Average ego betweenness scores and variations across </w:t>
      </w:r>
      <w:r w:rsidR="00B82A0A">
        <w:rPr>
          <w:rFonts w:ascii="Times New Roman" w:hAnsi="Times New Roman" w:eastAsia="Times New Roman" w:cs="Times New Roman"/>
          <w:sz w:val="24"/>
          <w:szCs w:val="24"/>
        </w:rPr>
        <w:t>angler</w:t>
      </w:r>
      <w:r w:rsidR="00174B9F">
        <w:rPr>
          <w:rFonts w:ascii="Times New Roman" w:hAnsi="Times New Roman" w:eastAsia="Times New Roman" w:cs="Times New Roman"/>
          <w:sz w:val="24"/>
          <w:szCs w:val="24"/>
        </w:rPr>
        <w:t xml:space="preserve"> groups will provide information o</w:t>
      </w:r>
      <w:r w:rsidR="001A49E8">
        <w:rPr>
          <w:rFonts w:ascii="Times New Roman" w:hAnsi="Times New Roman" w:eastAsia="Times New Roman" w:cs="Times New Roman"/>
          <w:sz w:val="24"/>
          <w:szCs w:val="24"/>
        </w:rPr>
        <w:t xml:space="preserve">n how reliant information sharing is on </w:t>
      </w:r>
      <w:r w:rsidR="005C5244">
        <w:rPr>
          <w:rFonts w:ascii="Times New Roman" w:hAnsi="Times New Roman" w:eastAsia="Times New Roman" w:cs="Times New Roman"/>
          <w:sz w:val="24"/>
          <w:szCs w:val="24"/>
        </w:rPr>
        <w:t xml:space="preserve">individuals acting as network hubs. </w:t>
      </w:r>
      <w:r w:rsidR="004D1B18">
        <w:rPr>
          <w:rFonts w:ascii="Times New Roman" w:hAnsi="Times New Roman" w:eastAsia="Times New Roman" w:cs="Times New Roman"/>
          <w:sz w:val="24"/>
          <w:szCs w:val="24"/>
        </w:rPr>
        <w:t xml:space="preserve">Homophily will be measured regarding the </w:t>
      </w:r>
      <w:r w:rsidR="00886E1F">
        <w:rPr>
          <w:rFonts w:ascii="Times New Roman" w:hAnsi="Times New Roman" w:eastAsia="Times New Roman" w:cs="Times New Roman"/>
          <w:sz w:val="24"/>
          <w:szCs w:val="24"/>
        </w:rPr>
        <w:t xml:space="preserve">engagement in the </w:t>
      </w:r>
      <w:r w:rsidR="009A4115">
        <w:rPr>
          <w:rFonts w:ascii="Times New Roman" w:hAnsi="Times New Roman" w:eastAsia="Times New Roman" w:cs="Times New Roman"/>
          <w:sz w:val="24"/>
          <w:szCs w:val="24"/>
        </w:rPr>
        <w:t xml:space="preserve">fisheries management and data collection process. We will examine whether </w:t>
      </w:r>
      <w:r w:rsidR="000941AE">
        <w:rPr>
          <w:rFonts w:ascii="Times New Roman" w:hAnsi="Times New Roman" w:eastAsia="Times New Roman" w:cs="Times New Roman"/>
          <w:sz w:val="24"/>
          <w:szCs w:val="24"/>
        </w:rPr>
        <w:t>highly engaged egos are more likely to form connections with other highly engaged anglers</w:t>
      </w:r>
      <w:r w:rsidR="003B7815">
        <w:rPr>
          <w:rFonts w:ascii="Times New Roman" w:hAnsi="Times New Roman" w:eastAsia="Times New Roman" w:cs="Times New Roman"/>
          <w:sz w:val="24"/>
          <w:szCs w:val="24"/>
        </w:rPr>
        <w:t xml:space="preserve"> or less-engaged anglers and vice versa. Homophily will be measured as the percentage of alters s</w:t>
      </w:r>
      <w:r w:rsidR="00931B4D">
        <w:rPr>
          <w:rFonts w:ascii="Times New Roman" w:hAnsi="Times New Roman" w:eastAsia="Times New Roman" w:cs="Times New Roman"/>
          <w:sz w:val="24"/>
          <w:szCs w:val="24"/>
        </w:rPr>
        <w:t>haring similar fisheries management and data collection engagement strategies (either engaging in the process or not).</w:t>
      </w:r>
      <w:r w:rsidR="00B07CF7">
        <w:rPr>
          <w:rFonts w:ascii="Times New Roman" w:hAnsi="Times New Roman" w:eastAsia="Times New Roman" w:cs="Times New Roman"/>
          <w:sz w:val="24"/>
          <w:szCs w:val="24"/>
        </w:rPr>
        <w:t xml:space="preserve"> </w:t>
      </w:r>
      <w:r w:rsidR="00A70D77">
        <w:rPr>
          <w:rFonts w:ascii="Times New Roman" w:hAnsi="Times New Roman" w:eastAsia="Times New Roman" w:cs="Times New Roman"/>
          <w:sz w:val="24"/>
          <w:szCs w:val="24"/>
        </w:rPr>
        <w:t xml:space="preserve"> </w:t>
      </w:r>
      <w:r w:rsidR="00795A1D">
        <w:rPr>
          <w:rFonts w:ascii="Times New Roman" w:hAnsi="Times New Roman" w:eastAsia="Times New Roman" w:cs="Times New Roman"/>
          <w:sz w:val="24"/>
          <w:szCs w:val="24"/>
        </w:rPr>
        <w:t xml:space="preserve"> </w:t>
      </w:r>
      <w:r w:rsidR="008E0A1A">
        <w:rPr>
          <w:rFonts w:ascii="Times New Roman" w:hAnsi="Times New Roman" w:eastAsia="Times New Roman" w:cs="Times New Roman"/>
          <w:sz w:val="24"/>
          <w:szCs w:val="24"/>
        </w:rPr>
        <w:t xml:space="preserve"> </w:t>
      </w:r>
    </w:p>
    <w:p w:rsidR="00902FE1" w:rsidP="003734B1" w:rsidRDefault="00902FE1" w14:paraId="58C3E345" w14:textId="77777777">
      <w:pPr>
        <w:spacing w:after="0" w:line="240" w:lineRule="auto"/>
        <w:rPr>
          <w:rFonts w:ascii="Times New Roman" w:hAnsi="Times New Roman" w:eastAsia="Times New Roman" w:cs="Times New Roman"/>
          <w:sz w:val="24"/>
          <w:szCs w:val="24"/>
        </w:rPr>
      </w:pPr>
    </w:p>
    <w:p w:rsidR="003734B1" w:rsidP="003734B1" w:rsidRDefault="00B65E72" w14:paraId="570EEEF6" w14:textId="032B39C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00322F4D">
        <w:rPr>
          <w:rFonts w:ascii="Times New Roman" w:hAnsi="Times New Roman" w:eastAsia="Times New Roman" w:cs="Times New Roman"/>
          <w:sz w:val="24"/>
          <w:szCs w:val="24"/>
        </w:rPr>
        <w:t xml:space="preserve"> visualization of an ego network is shown in </w:t>
      </w:r>
      <w:r w:rsidR="00D554A7">
        <w:rPr>
          <w:rFonts w:ascii="Times New Roman" w:hAnsi="Times New Roman" w:eastAsia="Times New Roman" w:cs="Times New Roman"/>
          <w:sz w:val="24"/>
          <w:szCs w:val="24"/>
        </w:rPr>
        <w:t xml:space="preserve">Figure 1. </w:t>
      </w:r>
      <w:r w:rsidRPr="008839CC" w:rsidR="004552DD">
        <w:rPr>
          <w:rFonts w:ascii="Times New Roman" w:hAnsi="Times New Roman" w:eastAsia="Times New Roman" w:cs="Times New Roman"/>
          <w:sz w:val="24"/>
          <w:szCs w:val="24"/>
        </w:rPr>
        <w:t xml:space="preserve">Interviewing additional contacts represented in their ego network may allow the connection of other angler ego networks and create a community level information sharing network model. </w:t>
      </w:r>
      <w:r w:rsidRPr="00705646" w:rsidR="00705646">
        <w:rPr>
          <w:rFonts w:ascii="Times New Roman" w:hAnsi="Times New Roman" w:eastAsia="Times New Roman" w:cs="Times New Roman"/>
          <w:sz w:val="24"/>
          <w:szCs w:val="24"/>
        </w:rPr>
        <w:t xml:space="preserve">For instance, if one of the initial targets provides an ego network similar to Figure 1 it is likely they will name additional contacts represented in their ego network (possibly “a”, “c”, and “f”) and interviewing these individuals will allow us to connect ego networks and create a localized information sharing network. </w:t>
      </w:r>
      <w:r w:rsidR="00436D77">
        <w:rPr>
          <w:rFonts w:ascii="Times New Roman" w:hAnsi="Times New Roman" w:eastAsia="Times New Roman" w:cs="Times New Roman"/>
          <w:sz w:val="24"/>
          <w:szCs w:val="24"/>
        </w:rPr>
        <w:t xml:space="preserve">Creation of localized information sharing networks could provide insights into homophily based on </w:t>
      </w:r>
      <w:r w:rsidR="00E21A1E">
        <w:rPr>
          <w:rFonts w:ascii="Times New Roman" w:hAnsi="Times New Roman" w:eastAsia="Times New Roman" w:cs="Times New Roman"/>
          <w:sz w:val="24"/>
          <w:szCs w:val="24"/>
        </w:rPr>
        <w:t xml:space="preserve">other </w:t>
      </w:r>
      <w:r w:rsidR="00B82A0A">
        <w:rPr>
          <w:rFonts w:ascii="Times New Roman" w:hAnsi="Times New Roman" w:eastAsia="Times New Roman" w:cs="Times New Roman"/>
          <w:sz w:val="24"/>
          <w:szCs w:val="24"/>
        </w:rPr>
        <w:t>angler</w:t>
      </w:r>
      <w:r w:rsidR="00E21A1E">
        <w:rPr>
          <w:rFonts w:ascii="Times New Roman" w:hAnsi="Times New Roman" w:eastAsia="Times New Roman" w:cs="Times New Roman"/>
          <w:sz w:val="24"/>
          <w:szCs w:val="24"/>
        </w:rPr>
        <w:t xml:space="preserve"> traits (</w:t>
      </w:r>
      <w:r w:rsidR="00B82A0A">
        <w:rPr>
          <w:rFonts w:ascii="Times New Roman" w:hAnsi="Times New Roman" w:eastAsia="Times New Roman" w:cs="Times New Roman"/>
          <w:sz w:val="24"/>
          <w:szCs w:val="24"/>
        </w:rPr>
        <w:t xml:space="preserve">e.g., </w:t>
      </w:r>
      <w:r w:rsidR="00CD3B27">
        <w:rPr>
          <w:rFonts w:ascii="Times New Roman" w:hAnsi="Times New Roman" w:eastAsia="Times New Roman" w:cs="Times New Roman"/>
          <w:sz w:val="24"/>
          <w:szCs w:val="24"/>
        </w:rPr>
        <w:t xml:space="preserve">beliefs regarding fisheries management, </w:t>
      </w:r>
      <w:r w:rsidR="00300D38">
        <w:rPr>
          <w:rFonts w:ascii="Times New Roman" w:hAnsi="Times New Roman" w:eastAsia="Times New Roman" w:cs="Times New Roman"/>
          <w:sz w:val="24"/>
          <w:szCs w:val="24"/>
        </w:rPr>
        <w:t xml:space="preserve">types of non-personal fishing information sources used, fishing club memberships). </w:t>
      </w:r>
      <w:r w:rsidRPr="008839CC" w:rsidR="004552DD">
        <w:rPr>
          <w:rFonts w:ascii="Times New Roman" w:hAnsi="Times New Roman" w:eastAsia="Times New Roman" w:cs="Times New Roman"/>
          <w:sz w:val="24"/>
          <w:szCs w:val="24"/>
        </w:rPr>
        <w:t xml:space="preserve">If </w:t>
      </w:r>
      <w:r w:rsidR="007C1C14">
        <w:rPr>
          <w:rFonts w:ascii="Times New Roman" w:hAnsi="Times New Roman" w:eastAsia="Times New Roman" w:cs="Times New Roman"/>
          <w:sz w:val="24"/>
          <w:szCs w:val="24"/>
        </w:rPr>
        <w:t>respondents</w:t>
      </w:r>
      <w:r w:rsidRPr="008839CC" w:rsidR="004552DD">
        <w:rPr>
          <w:rFonts w:ascii="Times New Roman" w:hAnsi="Times New Roman" w:eastAsia="Times New Roman" w:cs="Times New Roman"/>
          <w:sz w:val="24"/>
          <w:szCs w:val="24"/>
        </w:rPr>
        <w:t xml:space="preserve"> were</w:t>
      </w:r>
      <w:r w:rsidR="007C1C14">
        <w:rPr>
          <w:rFonts w:ascii="Times New Roman" w:hAnsi="Times New Roman" w:eastAsia="Times New Roman" w:cs="Times New Roman"/>
          <w:sz w:val="24"/>
          <w:szCs w:val="24"/>
        </w:rPr>
        <w:t xml:space="preserve"> </w:t>
      </w:r>
      <w:r w:rsidRPr="008839CC" w:rsidR="004552DD">
        <w:rPr>
          <w:rFonts w:ascii="Times New Roman" w:hAnsi="Times New Roman" w:eastAsia="Times New Roman" w:cs="Times New Roman"/>
          <w:sz w:val="24"/>
          <w:szCs w:val="24"/>
        </w:rPr>
        <w:t xml:space="preserve">selected </w:t>
      </w:r>
      <w:r w:rsidR="007C1C14">
        <w:rPr>
          <w:rFonts w:ascii="Times New Roman" w:hAnsi="Times New Roman" w:eastAsia="Times New Roman" w:cs="Times New Roman"/>
          <w:sz w:val="24"/>
          <w:szCs w:val="24"/>
        </w:rPr>
        <w:t>completely</w:t>
      </w:r>
      <w:r w:rsidRPr="008839CC" w:rsidR="007C1C14">
        <w:rPr>
          <w:rFonts w:ascii="Times New Roman" w:hAnsi="Times New Roman" w:eastAsia="Times New Roman" w:cs="Times New Roman"/>
          <w:sz w:val="24"/>
          <w:szCs w:val="24"/>
        </w:rPr>
        <w:t xml:space="preserve"> </w:t>
      </w:r>
      <w:r w:rsidRPr="008839CC" w:rsidR="004552DD">
        <w:rPr>
          <w:rFonts w:ascii="Times New Roman" w:hAnsi="Times New Roman" w:eastAsia="Times New Roman" w:cs="Times New Roman"/>
          <w:sz w:val="24"/>
          <w:szCs w:val="24"/>
        </w:rPr>
        <w:t xml:space="preserve">at random it is much less likely that ego networks would be connected and identification of </w:t>
      </w:r>
      <w:r w:rsidRPr="008839CC" w:rsidR="009428C1">
        <w:rPr>
          <w:rFonts w:ascii="Times New Roman" w:hAnsi="Times New Roman" w:eastAsia="Times New Roman" w:cs="Times New Roman"/>
          <w:sz w:val="24"/>
          <w:szCs w:val="24"/>
        </w:rPr>
        <w:t xml:space="preserve">community-level </w:t>
      </w:r>
      <w:r w:rsidRPr="008839CC" w:rsidR="004552DD">
        <w:rPr>
          <w:rFonts w:ascii="Times New Roman" w:hAnsi="Times New Roman" w:eastAsia="Times New Roman" w:cs="Times New Roman"/>
          <w:sz w:val="24"/>
          <w:szCs w:val="24"/>
        </w:rPr>
        <w:t xml:space="preserve">information sharing networks would </w:t>
      </w:r>
      <w:r w:rsidRPr="008839CC" w:rsidR="009428C1">
        <w:rPr>
          <w:rFonts w:ascii="Times New Roman" w:hAnsi="Times New Roman" w:eastAsia="Times New Roman" w:cs="Times New Roman"/>
          <w:sz w:val="24"/>
          <w:szCs w:val="24"/>
        </w:rPr>
        <w:t>be unlikely</w:t>
      </w:r>
      <w:r w:rsidRPr="008839CC" w:rsidR="004552DD">
        <w:rPr>
          <w:rFonts w:ascii="Times New Roman" w:hAnsi="Times New Roman" w:eastAsia="Times New Roman" w:cs="Times New Roman"/>
          <w:sz w:val="24"/>
          <w:szCs w:val="24"/>
        </w:rPr>
        <w:t>.</w:t>
      </w:r>
    </w:p>
    <w:p w:rsidR="00D554A7" w:rsidP="003734B1" w:rsidRDefault="00D554A7" w14:paraId="3F2512CB" w14:textId="20AA450F">
      <w:pPr>
        <w:spacing w:after="0" w:line="240" w:lineRule="auto"/>
        <w:rPr>
          <w:rFonts w:ascii="Times New Roman" w:hAnsi="Times New Roman" w:eastAsia="Times New Roman" w:cs="Times New Roman"/>
          <w:sz w:val="24"/>
          <w:szCs w:val="24"/>
        </w:rPr>
      </w:pPr>
    </w:p>
    <w:p w:rsidRPr="008839CC" w:rsidR="00D554A7" w:rsidP="003734B1" w:rsidRDefault="00D554A7" w14:paraId="3F28031A" w14:textId="1FE7408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Figure 1: Visualization of an ego network (</w:t>
      </w:r>
      <w:r w:rsidR="00B65E72">
        <w:rPr>
          <w:rFonts w:ascii="Times New Roman" w:hAnsi="Times New Roman" w:eastAsia="Times New Roman" w:cs="Times New Roman"/>
          <w:sz w:val="24"/>
          <w:szCs w:val="24"/>
        </w:rPr>
        <w:t>Chase and Borgatti</w:t>
      </w:r>
      <w:r>
        <w:rPr>
          <w:rFonts w:ascii="Times New Roman" w:hAnsi="Times New Roman" w:eastAsia="Times New Roman" w:cs="Times New Roman"/>
          <w:sz w:val="24"/>
          <w:szCs w:val="24"/>
        </w:rPr>
        <w:t>, 2019).</w:t>
      </w:r>
      <w:r>
        <w:rPr>
          <w:noProof/>
        </w:rPr>
        <w:drawing>
          <wp:inline distT="0" distB="0" distL="0" distR="0" wp14:anchorId="718471F5" wp14:editId="0114C27D">
            <wp:extent cx="5543550" cy="3371850"/>
            <wp:effectExtent l="19050" t="19050" r="19050" b="19050"/>
            <wp:docPr id="1" name="Picture 1" descr="http://www.analytictech.com/networks/egonet3.jpg"/>
            <wp:cNvGraphicFramePr/>
            <a:graphic xmlns:a="http://schemas.openxmlformats.org/drawingml/2006/main">
              <a:graphicData uri="http://schemas.openxmlformats.org/drawingml/2006/picture">
                <pic:pic xmlns:pic="http://schemas.openxmlformats.org/drawingml/2006/picture">
                  <pic:nvPicPr>
                    <pic:cNvPr id="1" name="Picture 1" descr="http://www.analytictech.com/networks/egonet3.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3371850"/>
                    </a:xfrm>
                    <a:prstGeom prst="rect">
                      <a:avLst/>
                    </a:prstGeom>
                    <a:noFill/>
                    <a:ln w="19050">
                      <a:solidFill>
                        <a:schemeClr val="tx1"/>
                      </a:solidFill>
                    </a:ln>
                  </pic:spPr>
                </pic:pic>
              </a:graphicData>
            </a:graphic>
          </wp:inline>
        </w:drawing>
      </w:r>
    </w:p>
    <w:p w:rsidRPr="00E459CF" w:rsidR="004552DD" w:rsidP="003734B1" w:rsidRDefault="004552DD" w14:paraId="66486CF6" w14:textId="77777777">
      <w:pPr>
        <w:spacing w:after="0" w:line="240" w:lineRule="auto"/>
        <w:rPr>
          <w:rFonts w:ascii="Times New Roman" w:hAnsi="Times New Roman" w:eastAsia="Times New Roman" w:cs="Times New Roman"/>
          <w:color w:val="FF0000"/>
          <w:sz w:val="24"/>
          <w:szCs w:val="24"/>
        </w:rPr>
      </w:pPr>
    </w:p>
    <w:p w:rsidRPr="003734B1" w:rsidR="003734B1" w:rsidP="003734B1" w:rsidRDefault="003734B1" w14:paraId="745F20D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u w:val="single"/>
        </w:rPr>
      </w:pPr>
      <w:r w:rsidRPr="003734B1">
        <w:rPr>
          <w:rFonts w:ascii="Times New Roman" w:hAnsi="Times New Roman" w:eastAsia="Times New Roman" w:cs="Times New Roman"/>
          <w:b/>
          <w:bCs/>
          <w:sz w:val="24"/>
          <w:szCs w:val="24"/>
          <w:u w:val="single"/>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9428C1" w:rsidP="009428C1" w:rsidRDefault="009428C1" w14:paraId="3B0BC42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rPr>
      </w:pPr>
    </w:p>
    <w:p w:rsidRPr="006226C2" w:rsidR="006226C2" w:rsidP="006226C2" w:rsidRDefault="006226C2" w14:paraId="62CE41C8" w14:textId="5E60C7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rPr>
      </w:pPr>
      <w:r w:rsidRPr="006226C2">
        <w:rPr>
          <w:rFonts w:ascii="Times New Roman" w:hAnsi="Times New Roman" w:eastAsia="Times New Roman" w:cs="Times New Roman"/>
          <w:sz w:val="24"/>
          <w:szCs w:val="24"/>
        </w:rPr>
        <w:t xml:space="preserve">During contacts with potential respondents, interviewers will stress the importance of the data to be collected, and the opportunity the interview provides to saltwater recreational anglers to provide input to improvements to the MRIP. Interviewers will also make clear the voluntary nature of participation and confidential treatment of the data. Since in-person interviews require a time commitment on the part of participants information elicitation using interviews can sometimes lead to responses by only the most engaged and invested stakeholders on the topic being examined. In this case, such an outcome would involve only those recreational anglers that are already invested in the fisheries management and data collection process (e.g., those that already attend fisheries management meetings or provide input on fishery data collection processes). Chain referral sampling </w:t>
      </w:r>
      <w:r w:rsidR="00F376C4">
        <w:rPr>
          <w:rFonts w:ascii="Times New Roman" w:hAnsi="Times New Roman" w:eastAsia="Times New Roman" w:cs="Times New Roman"/>
          <w:sz w:val="24"/>
          <w:szCs w:val="24"/>
        </w:rPr>
        <w:t xml:space="preserve">as outlined in Griffiths </w:t>
      </w:r>
      <w:r w:rsidR="00F376C4">
        <w:rPr>
          <w:rFonts w:ascii="Times New Roman" w:hAnsi="Times New Roman" w:eastAsia="Times New Roman" w:cs="Times New Roman"/>
          <w:i/>
          <w:sz w:val="24"/>
          <w:szCs w:val="24"/>
        </w:rPr>
        <w:t xml:space="preserve">et al. </w:t>
      </w:r>
      <w:r w:rsidR="009711A0">
        <w:rPr>
          <w:rFonts w:ascii="Times New Roman" w:hAnsi="Times New Roman" w:eastAsia="Times New Roman" w:cs="Times New Roman"/>
          <w:i/>
          <w:sz w:val="24"/>
          <w:szCs w:val="24"/>
        </w:rPr>
        <w:t>(</w:t>
      </w:r>
      <w:r w:rsidR="00F376C4">
        <w:rPr>
          <w:rFonts w:ascii="Times New Roman" w:hAnsi="Times New Roman" w:eastAsia="Times New Roman" w:cs="Times New Roman"/>
          <w:i/>
          <w:sz w:val="24"/>
          <w:szCs w:val="24"/>
        </w:rPr>
        <w:t>2010</w:t>
      </w:r>
      <w:r w:rsidR="009711A0">
        <w:rPr>
          <w:rFonts w:ascii="Times New Roman" w:hAnsi="Times New Roman" w:eastAsia="Times New Roman" w:cs="Times New Roman"/>
          <w:i/>
          <w:sz w:val="24"/>
          <w:szCs w:val="24"/>
        </w:rPr>
        <w:t>)</w:t>
      </w:r>
      <w:r w:rsidR="00F376C4">
        <w:rPr>
          <w:rFonts w:ascii="Times New Roman" w:hAnsi="Times New Roman" w:eastAsia="Times New Roman" w:cs="Times New Roman"/>
          <w:sz w:val="24"/>
          <w:szCs w:val="24"/>
        </w:rPr>
        <w:t xml:space="preserve"> will </w:t>
      </w:r>
      <w:r w:rsidRPr="006226C2">
        <w:rPr>
          <w:rFonts w:ascii="Times New Roman" w:hAnsi="Times New Roman" w:eastAsia="Times New Roman" w:cs="Times New Roman"/>
          <w:sz w:val="24"/>
          <w:szCs w:val="24"/>
        </w:rPr>
        <w:t>be employed to complete interviews with a variety of marine recreational anglers in each community. Respondents will be asked about both their level of engagement in fishery management and data collection issues and the involvement of their alters (members of their ego networks). Alters ranging from “more-involved” to “less-involved” will be interviewed to obtain a broad cross-section of angler ego networks.</w:t>
      </w:r>
    </w:p>
    <w:p w:rsidRPr="006226C2" w:rsidR="006226C2" w:rsidP="006226C2" w:rsidRDefault="006226C2" w14:paraId="12D3047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rPr>
      </w:pPr>
    </w:p>
    <w:p w:rsidRPr="006226C2" w:rsidR="006226C2" w:rsidP="006226C2" w:rsidRDefault="006226C2" w14:paraId="445F2C7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rPr>
      </w:pPr>
      <w:r w:rsidRPr="006226C2">
        <w:rPr>
          <w:rFonts w:ascii="Times New Roman" w:hAnsi="Times New Roman" w:eastAsia="Times New Roman" w:cs="Times New Roman"/>
          <w:sz w:val="24"/>
          <w:szCs w:val="24"/>
        </w:rPr>
        <w:t xml:space="preserve">While the SNAMS was designed to provide appropriately weighted estimates of the target population of anglers covered by the license frame, the SNAIS is intended to be an observational study of the different angler network types encountered during sampling. The validity of the analysis that will be conducted using the SNAIS data, is dependent on having different types of </w:t>
      </w:r>
      <w:r w:rsidRPr="006226C2">
        <w:rPr>
          <w:rFonts w:ascii="Times New Roman" w:hAnsi="Times New Roman" w:eastAsia="Times New Roman" w:cs="Times New Roman"/>
          <w:sz w:val="24"/>
          <w:szCs w:val="24"/>
        </w:rPr>
        <w:lastRenderedPageBreak/>
        <w:t>anglers or networks included in the sample but is not dependent on having them included in a distribution that accurately approximates the full population.</w:t>
      </w:r>
    </w:p>
    <w:p w:rsidRPr="003734B1" w:rsidR="003734B1" w:rsidP="003734B1" w:rsidRDefault="003734B1" w14:paraId="1DB4950E" w14:textId="77777777">
      <w:pPr>
        <w:tabs>
          <w:tab w:val="left" w:pos="1152"/>
        </w:tabs>
        <w:spacing w:after="0" w:line="240" w:lineRule="auto"/>
        <w:rPr>
          <w:rFonts w:ascii="Times New Roman" w:hAnsi="Times New Roman" w:eastAsia="Times New Roman" w:cs="Times New Roman"/>
          <w:sz w:val="24"/>
          <w:szCs w:val="20"/>
        </w:rPr>
      </w:pPr>
    </w:p>
    <w:p w:rsidR="00705646" w:rsidP="003734B1" w:rsidRDefault="003734B1" w14:paraId="4515C80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b/>
          <w:bCs/>
          <w:sz w:val="24"/>
          <w:szCs w:val="24"/>
          <w:u w:val="single"/>
        </w:rPr>
      </w:pPr>
      <w:r w:rsidRPr="003734B1">
        <w:rPr>
          <w:rFonts w:ascii="Times New Roman" w:hAnsi="Times New Roman" w:eastAsia="Times New Roman" w:cs="Times New Roman"/>
          <w:b/>
          <w:bCs/>
          <w:sz w:val="24"/>
          <w:szCs w:val="24"/>
          <w:u w:val="single"/>
        </w:rPr>
        <w:t>4.  Describe any tests of procedures or methods to be undertaken. Tests are encouraged as effective means to refine collections, but if ten or more test respondents are involved OMB must give prior approval.</w:t>
      </w:r>
    </w:p>
    <w:p w:rsidR="00705646" w:rsidP="003734B1" w:rsidRDefault="00705646" w14:paraId="51A9244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b/>
          <w:bCs/>
          <w:sz w:val="24"/>
          <w:szCs w:val="24"/>
          <w:u w:val="single"/>
        </w:rPr>
      </w:pPr>
    </w:p>
    <w:p w:rsidR="004E6619" w:rsidP="00C55058" w:rsidRDefault="00C55058" w14:paraId="64CD19D1" w14:textId="1CBA32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bCs/>
          <w:sz w:val="24"/>
          <w:szCs w:val="24"/>
        </w:rPr>
      </w:pPr>
      <w:r w:rsidRPr="00C55058">
        <w:rPr>
          <w:rFonts w:ascii="Times New Roman" w:hAnsi="Times New Roman" w:eastAsia="Times New Roman" w:cs="Times New Roman"/>
          <w:bCs/>
          <w:sz w:val="24"/>
          <w:szCs w:val="24"/>
        </w:rPr>
        <w:t xml:space="preserve">In addition to sharing the </w:t>
      </w:r>
      <w:r>
        <w:rPr>
          <w:rFonts w:ascii="Times New Roman" w:hAnsi="Times New Roman" w:eastAsia="Times New Roman" w:cs="Times New Roman"/>
          <w:bCs/>
          <w:sz w:val="24"/>
          <w:szCs w:val="24"/>
        </w:rPr>
        <w:t>survey instrument with NMFS Office of Science and Technology, Division of Fisheries Statistics staff who are members of the MRIP Research and Evaluation Team and Communications and Education Team, NMFS line offices staff members who are also RET and CET members</w:t>
      </w:r>
      <w:r w:rsidRPr="00C55058">
        <w:rPr>
          <w:rFonts w:ascii="Times New Roman" w:hAnsi="Times New Roman" w:eastAsia="Times New Roman" w:cs="Times New Roman"/>
          <w:bCs/>
          <w:sz w:val="24"/>
          <w:szCs w:val="24"/>
        </w:rPr>
        <w:t>,</w:t>
      </w:r>
      <w:r>
        <w:rPr>
          <w:rFonts w:ascii="Times New Roman" w:hAnsi="Times New Roman" w:eastAsia="Times New Roman" w:cs="Times New Roman"/>
          <w:bCs/>
          <w:sz w:val="24"/>
          <w:szCs w:val="24"/>
        </w:rPr>
        <w:t xml:space="preserve"> and </w:t>
      </w:r>
      <w:r w:rsidRPr="00C55058">
        <w:rPr>
          <w:rFonts w:ascii="Times New Roman" w:hAnsi="Times New Roman" w:eastAsia="Times New Roman" w:cs="Times New Roman"/>
          <w:bCs/>
          <w:sz w:val="24"/>
          <w:szCs w:val="24"/>
        </w:rPr>
        <w:t>experts in</w:t>
      </w:r>
      <w:r>
        <w:rPr>
          <w:rFonts w:ascii="Times New Roman" w:hAnsi="Times New Roman" w:eastAsia="Times New Roman" w:cs="Times New Roman"/>
          <w:bCs/>
          <w:sz w:val="24"/>
          <w:szCs w:val="24"/>
        </w:rPr>
        <w:t xml:space="preserve"> </w:t>
      </w:r>
      <w:r w:rsidRPr="00C55058">
        <w:rPr>
          <w:rFonts w:ascii="Times New Roman" w:hAnsi="Times New Roman" w:eastAsia="Times New Roman" w:cs="Times New Roman"/>
          <w:bCs/>
          <w:sz w:val="24"/>
          <w:szCs w:val="24"/>
        </w:rPr>
        <w:t xml:space="preserve">academia, the attached survey was pre-tested with </w:t>
      </w:r>
      <w:r>
        <w:rPr>
          <w:rFonts w:ascii="Times New Roman" w:hAnsi="Times New Roman" w:eastAsia="Times New Roman" w:cs="Times New Roman"/>
          <w:bCs/>
          <w:sz w:val="24"/>
          <w:szCs w:val="24"/>
        </w:rPr>
        <w:t xml:space="preserve">seven saltwater anglers. Members of NMFS, academia, and recreational saltwater anglers </w:t>
      </w:r>
      <w:r w:rsidRPr="00C55058">
        <w:rPr>
          <w:rFonts w:ascii="Times New Roman" w:hAnsi="Times New Roman" w:eastAsia="Times New Roman" w:cs="Times New Roman"/>
          <w:bCs/>
          <w:sz w:val="24"/>
          <w:szCs w:val="24"/>
        </w:rPr>
        <w:t>provided suggestions to improve the content and clarity of the final</w:t>
      </w:r>
      <w:r>
        <w:rPr>
          <w:rFonts w:ascii="Times New Roman" w:hAnsi="Times New Roman" w:eastAsia="Times New Roman" w:cs="Times New Roman"/>
          <w:bCs/>
          <w:sz w:val="24"/>
          <w:szCs w:val="24"/>
        </w:rPr>
        <w:t xml:space="preserve"> </w:t>
      </w:r>
      <w:r w:rsidRPr="00C55058">
        <w:rPr>
          <w:rFonts w:ascii="Times New Roman" w:hAnsi="Times New Roman" w:eastAsia="Times New Roman" w:cs="Times New Roman"/>
          <w:bCs/>
          <w:sz w:val="24"/>
          <w:szCs w:val="24"/>
        </w:rPr>
        <w:t>survey.</w:t>
      </w:r>
      <w:r>
        <w:rPr>
          <w:rFonts w:ascii="Times New Roman" w:hAnsi="Times New Roman" w:eastAsia="Times New Roman" w:cs="Times New Roman"/>
          <w:bCs/>
          <w:sz w:val="24"/>
          <w:szCs w:val="24"/>
        </w:rPr>
        <w:t xml:space="preserve"> </w:t>
      </w:r>
      <w:r w:rsidR="00705646">
        <w:rPr>
          <w:rFonts w:ascii="Times New Roman" w:hAnsi="Times New Roman" w:eastAsia="Times New Roman" w:cs="Times New Roman"/>
          <w:bCs/>
          <w:sz w:val="24"/>
          <w:szCs w:val="24"/>
        </w:rPr>
        <w:t xml:space="preserve">No </w:t>
      </w:r>
      <w:r>
        <w:rPr>
          <w:rFonts w:ascii="Times New Roman" w:hAnsi="Times New Roman" w:eastAsia="Times New Roman" w:cs="Times New Roman"/>
          <w:bCs/>
          <w:sz w:val="24"/>
          <w:szCs w:val="24"/>
        </w:rPr>
        <w:t xml:space="preserve">additional </w:t>
      </w:r>
      <w:r w:rsidR="00705646">
        <w:rPr>
          <w:rFonts w:ascii="Times New Roman" w:hAnsi="Times New Roman" w:eastAsia="Times New Roman" w:cs="Times New Roman"/>
          <w:bCs/>
          <w:sz w:val="24"/>
          <w:szCs w:val="24"/>
        </w:rPr>
        <w:t>tests of procedures or methods will be undertaken.</w:t>
      </w:r>
    </w:p>
    <w:p w:rsidR="008338E6" w:rsidP="00C55058" w:rsidRDefault="008338E6" w14:paraId="2E2F46D7" w14:textId="0E413F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bCs/>
          <w:sz w:val="24"/>
          <w:szCs w:val="24"/>
        </w:rPr>
      </w:pPr>
    </w:p>
    <w:p w:rsidR="008338E6" w:rsidP="00C55058" w:rsidRDefault="008338E6" w14:paraId="783A8200" w14:textId="71F449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The use of ego network surveys to gather informatio</w:t>
      </w:r>
      <w:r w:rsidR="00C16A42">
        <w:rPr>
          <w:rFonts w:ascii="Times New Roman" w:hAnsi="Times New Roman" w:eastAsia="Times New Roman" w:cs="Times New Roman"/>
          <w:bCs/>
          <w:sz w:val="24"/>
          <w:szCs w:val="24"/>
        </w:rPr>
        <w:t>n on variations and commonalities in</w:t>
      </w:r>
      <w:r w:rsidR="00252FA6">
        <w:rPr>
          <w:rFonts w:ascii="Times New Roman" w:hAnsi="Times New Roman" w:eastAsia="Times New Roman" w:cs="Times New Roman"/>
          <w:bCs/>
          <w:sz w:val="24"/>
          <w:szCs w:val="24"/>
        </w:rPr>
        <w:t xml:space="preserve"> how different individuals interact with other</w:t>
      </w:r>
      <w:r w:rsidR="00CC027C">
        <w:rPr>
          <w:rFonts w:ascii="Times New Roman" w:hAnsi="Times New Roman" w:eastAsia="Times New Roman" w:cs="Times New Roman"/>
          <w:bCs/>
          <w:sz w:val="24"/>
          <w:szCs w:val="24"/>
        </w:rPr>
        <w:t xml:space="preserve">s is quite common </w:t>
      </w:r>
      <w:r w:rsidR="00252FA6">
        <w:rPr>
          <w:rFonts w:ascii="Times New Roman" w:hAnsi="Times New Roman" w:eastAsia="Times New Roman" w:cs="Times New Roman"/>
          <w:bCs/>
          <w:sz w:val="24"/>
          <w:szCs w:val="24"/>
        </w:rPr>
        <w:t>(Hanneman</w:t>
      </w:r>
      <w:r w:rsidR="00A33928">
        <w:rPr>
          <w:rFonts w:ascii="Times New Roman" w:hAnsi="Times New Roman" w:eastAsia="Times New Roman" w:cs="Times New Roman"/>
          <w:bCs/>
          <w:sz w:val="24"/>
          <w:szCs w:val="24"/>
        </w:rPr>
        <w:t xml:space="preserve"> and Riddle, 2005).</w:t>
      </w:r>
      <w:r w:rsidR="004914A0">
        <w:rPr>
          <w:rFonts w:ascii="Times New Roman" w:hAnsi="Times New Roman" w:eastAsia="Times New Roman" w:cs="Times New Roman"/>
          <w:bCs/>
          <w:sz w:val="24"/>
          <w:szCs w:val="24"/>
        </w:rPr>
        <w:t xml:space="preserve"> Ego network surveys have been used to examine issues </w:t>
      </w:r>
      <w:r w:rsidR="00E73CE9">
        <w:rPr>
          <w:rFonts w:ascii="Times New Roman" w:hAnsi="Times New Roman" w:eastAsia="Times New Roman" w:cs="Times New Roman"/>
          <w:bCs/>
          <w:sz w:val="24"/>
          <w:szCs w:val="24"/>
        </w:rPr>
        <w:t>including:</w:t>
      </w:r>
      <w:r w:rsidR="004914A0">
        <w:rPr>
          <w:rFonts w:ascii="Times New Roman" w:hAnsi="Times New Roman" w:eastAsia="Times New Roman" w:cs="Times New Roman"/>
          <w:bCs/>
          <w:sz w:val="24"/>
          <w:szCs w:val="24"/>
        </w:rPr>
        <w:t xml:space="preserve"> </w:t>
      </w:r>
      <w:r w:rsidR="005D5068">
        <w:rPr>
          <w:rFonts w:ascii="Times New Roman" w:hAnsi="Times New Roman" w:eastAsia="Times New Roman" w:cs="Times New Roman"/>
          <w:bCs/>
          <w:sz w:val="24"/>
          <w:szCs w:val="24"/>
        </w:rPr>
        <w:t>professional networks and productivity in academia (Hara</w:t>
      </w:r>
      <w:r w:rsidR="00E73CE9">
        <w:rPr>
          <w:rFonts w:ascii="Times New Roman" w:hAnsi="Times New Roman" w:eastAsia="Times New Roman" w:cs="Times New Roman"/>
          <w:bCs/>
          <w:sz w:val="24"/>
          <w:szCs w:val="24"/>
        </w:rPr>
        <w:t>, Chen, and Ynalvez, 2017)</w:t>
      </w:r>
      <w:r w:rsidR="00377B93">
        <w:rPr>
          <w:rFonts w:ascii="Times New Roman" w:hAnsi="Times New Roman" w:eastAsia="Times New Roman" w:cs="Times New Roman"/>
          <w:bCs/>
          <w:sz w:val="24"/>
          <w:szCs w:val="24"/>
        </w:rPr>
        <w:t xml:space="preserve">, </w:t>
      </w:r>
      <w:r w:rsidR="00C4597C">
        <w:rPr>
          <w:rFonts w:ascii="Times New Roman" w:hAnsi="Times New Roman" w:eastAsia="Times New Roman" w:cs="Times New Roman"/>
          <w:bCs/>
          <w:sz w:val="24"/>
          <w:szCs w:val="24"/>
        </w:rPr>
        <w:t>assimilation and transnationalism among immigrants (Vacca et al., 2018)</w:t>
      </w:r>
      <w:r w:rsidR="000A0ACC">
        <w:rPr>
          <w:rFonts w:ascii="Times New Roman" w:hAnsi="Times New Roman" w:eastAsia="Times New Roman" w:cs="Times New Roman"/>
          <w:bCs/>
          <w:sz w:val="24"/>
          <w:szCs w:val="24"/>
        </w:rPr>
        <w:t xml:space="preserve"> and</w:t>
      </w:r>
      <w:r w:rsidR="00C4597C">
        <w:rPr>
          <w:rFonts w:ascii="Times New Roman" w:hAnsi="Times New Roman" w:eastAsia="Times New Roman" w:cs="Times New Roman"/>
          <w:bCs/>
          <w:sz w:val="24"/>
          <w:szCs w:val="24"/>
        </w:rPr>
        <w:t xml:space="preserve"> </w:t>
      </w:r>
      <w:r w:rsidR="00F30447">
        <w:rPr>
          <w:rFonts w:ascii="Times New Roman" w:hAnsi="Times New Roman" w:eastAsia="Times New Roman" w:cs="Times New Roman"/>
          <w:bCs/>
          <w:sz w:val="24"/>
          <w:szCs w:val="24"/>
        </w:rPr>
        <w:t xml:space="preserve">online social networks </w:t>
      </w:r>
      <w:r w:rsidR="005275E6">
        <w:rPr>
          <w:rFonts w:ascii="Times New Roman" w:hAnsi="Times New Roman" w:eastAsia="Times New Roman" w:cs="Times New Roman"/>
          <w:bCs/>
          <w:sz w:val="24"/>
          <w:szCs w:val="24"/>
        </w:rPr>
        <w:t>(Arnaboldi et al., 2012)</w:t>
      </w:r>
      <w:r w:rsidR="00F76CF0">
        <w:rPr>
          <w:rFonts w:ascii="Times New Roman" w:hAnsi="Times New Roman" w:eastAsia="Times New Roman" w:cs="Times New Roman"/>
          <w:bCs/>
          <w:sz w:val="24"/>
          <w:szCs w:val="24"/>
        </w:rPr>
        <w:t xml:space="preserve">. The implementation of an ego network survey involves surveying </w:t>
      </w:r>
      <w:r w:rsidR="00642368">
        <w:rPr>
          <w:rFonts w:ascii="Times New Roman" w:hAnsi="Times New Roman" w:eastAsia="Times New Roman" w:cs="Times New Roman"/>
          <w:bCs/>
          <w:sz w:val="24"/>
          <w:szCs w:val="24"/>
        </w:rPr>
        <w:t>respondents</w:t>
      </w:r>
      <w:r w:rsidR="004F696F">
        <w:rPr>
          <w:rFonts w:ascii="Times New Roman" w:hAnsi="Times New Roman" w:eastAsia="Times New Roman" w:cs="Times New Roman"/>
          <w:bCs/>
          <w:sz w:val="24"/>
          <w:szCs w:val="24"/>
        </w:rPr>
        <w:t xml:space="preserve"> (egos)</w:t>
      </w:r>
      <w:r w:rsidR="00642368">
        <w:rPr>
          <w:rFonts w:ascii="Times New Roman" w:hAnsi="Times New Roman" w:eastAsia="Times New Roman" w:cs="Times New Roman"/>
          <w:bCs/>
          <w:sz w:val="24"/>
          <w:szCs w:val="24"/>
        </w:rPr>
        <w:t xml:space="preserve"> regarding who they interact with </w:t>
      </w:r>
      <w:r w:rsidR="00DC5B81">
        <w:rPr>
          <w:rFonts w:ascii="Times New Roman" w:hAnsi="Times New Roman" w:eastAsia="Times New Roman" w:cs="Times New Roman"/>
          <w:bCs/>
          <w:sz w:val="24"/>
          <w:szCs w:val="24"/>
        </w:rPr>
        <w:t>(question 9 in the SNAIS)</w:t>
      </w:r>
      <w:r w:rsidR="004F696F">
        <w:rPr>
          <w:rFonts w:ascii="Times New Roman" w:hAnsi="Times New Roman" w:eastAsia="Times New Roman" w:cs="Times New Roman"/>
          <w:bCs/>
          <w:sz w:val="24"/>
          <w:szCs w:val="24"/>
        </w:rPr>
        <w:t xml:space="preserve"> and whether those individuals (alters) interact </w:t>
      </w:r>
      <w:r w:rsidR="0047016E">
        <w:rPr>
          <w:rFonts w:ascii="Times New Roman" w:hAnsi="Times New Roman" w:eastAsia="Times New Roman" w:cs="Times New Roman"/>
          <w:bCs/>
          <w:sz w:val="24"/>
          <w:szCs w:val="24"/>
        </w:rPr>
        <w:t>amongst themselves (</w:t>
      </w:r>
      <w:r w:rsidR="00216326">
        <w:rPr>
          <w:rFonts w:ascii="Times New Roman" w:hAnsi="Times New Roman" w:eastAsia="Times New Roman" w:cs="Times New Roman"/>
          <w:bCs/>
          <w:sz w:val="24"/>
          <w:szCs w:val="24"/>
        </w:rPr>
        <w:t>question 16 in the SNAIS) (</w:t>
      </w:r>
      <w:r w:rsidR="00241AE6">
        <w:rPr>
          <w:rFonts w:ascii="Times New Roman" w:hAnsi="Times New Roman" w:eastAsia="Times New Roman" w:cs="Times New Roman"/>
          <w:bCs/>
          <w:sz w:val="24"/>
          <w:szCs w:val="24"/>
        </w:rPr>
        <w:t>Chase and Borgatti, 2019).</w:t>
      </w:r>
    </w:p>
    <w:p w:rsidR="004E6619" w:rsidP="00C55058" w:rsidRDefault="004E6619" w14:paraId="42C471F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bCs/>
          <w:sz w:val="24"/>
          <w:szCs w:val="24"/>
        </w:rPr>
      </w:pPr>
    </w:p>
    <w:p w:rsidRPr="003734B1" w:rsidR="003734B1" w:rsidP="003734B1" w:rsidRDefault="003734B1" w14:paraId="067C3305" w14:textId="154133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b/>
          <w:bCs/>
          <w:sz w:val="24"/>
          <w:szCs w:val="24"/>
          <w:u w:val="single"/>
        </w:rPr>
      </w:pPr>
      <w:r w:rsidRPr="003734B1">
        <w:rPr>
          <w:rFonts w:ascii="Times New Roman" w:hAnsi="Times New Roman" w:eastAsia="Times New Roman" w:cs="Times New Roman"/>
          <w:b/>
          <w:bCs/>
          <w:sz w:val="24"/>
          <w:szCs w:val="24"/>
          <w:u w:val="single"/>
        </w:rPr>
        <w:t>5.  Provide the name and telephone number of individuals consulted on the statistical aspects of the design, and the name of the agency unit, contractor(s), grantee(s), or other person(s) who will actually collect and/or analyze the information for the agency.</w:t>
      </w:r>
    </w:p>
    <w:p w:rsidRPr="003734B1" w:rsidR="003734B1" w:rsidP="003734B1" w:rsidRDefault="003734B1" w14:paraId="65BE0C4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u w:val="single"/>
        </w:rPr>
      </w:pPr>
    </w:p>
    <w:p w:rsidRPr="003734B1" w:rsidR="003734B1" w:rsidP="003734B1" w:rsidRDefault="003734B1" w14:paraId="46E9C1E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rPr>
      </w:pPr>
      <w:r w:rsidRPr="003734B1">
        <w:rPr>
          <w:rFonts w:ascii="Times New Roman" w:hAnsi="Times New Roman" w:eastAsia="Times New Roman" w:cs="Times New Roman"/>
          <w:sz w:val="24"/>
          <w:szCs w:val="24"/>
        </w:rPr>
        <w:t>Statistical support was provided by the following:</w:t>
      </w:r>
    </w:p>
    <w:p w:rsidRPr="003734B1" w:rsidR="003734B1" w:rsidP="003734B1" w:rsidRDefault="003734B1" w14:paraId="10BFB686" w14:textId="44E8D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rPr>
      </w:pPr>
      <w:r w:rsidRPr="003734B1">
        <w:rPr>
          <w:rFonts w:ascii="Times New Roman" w:hAnsi="Times New Roman" w:eastAsia="Times New Roman" w:cs="Times New Roman"/>
          <w:sz w:val="24"/>
          <w:szCs w:val="24"/>
        </w:rPr>
        <w:t xml:space="preserve">Dr. Andrew Ropicki, </w:t>
      </w:r>
      <w:r w:rsidR="008D09EE">
        <w:rPr>
          <w:rFonts w:ascii="Times New Roman" w:hAnsi="Times New Roman" w:eastAsia="Times New Roman" w:cs="Times New Roman"/>
          <w:sz w:val="24"/>
          <w:szCs w:val="24"/>
        </w:rPr>
        <w:t>University of Florida</w:t>
      </w:r>
      <w:r w:rsidRPr="003734B1">
        <w:rPr>
          <w:rFonts w:ascii="Times New Roman" w:hAnsi="Times New Roman" w:eastAsia="Times New Roman" w:cs="Times New Roman"/>
          <w:sz w:val="24"/>
          <w:szCs w:val="24"/>
        </w:rPr>
        <w:t>, 3</w:t>
      </w:r>
      <w:r w:rsidR="008D09EE">
        <w:rPr>
          <w:rFonts w:ascii="Times New Roman" w:hAnsi="Times New Roman" w:eastAsia="Times New Roman" w:cs="Times New Roman"/>
          <w:sz w:val="24"/>
          <w:szCs w:val="24"/>
        </w:rPr>
        <w:t>52</w:t>
      </w:r>
      <w:r w:rsidR="00067ED5">
        <w:rPr>
          <w:rFonts w:ascii="Times New Roman" w:hAnsi="Times New Roman" w:eastAsia="Times New Roman" w:cs="Times New Roman"/>
          <w:sz w:val="24"/>
          <w:szCs w:val="24"/>
        </w:rPr>
        <w:t>-294-7667</w:t>
      </w:r>
    </w:p>
    <w:p w:rsidRPr="003734B1" w:rsidR="003734B1" w:rsidP="003734B1" w:rsidRDefault="003734B1" w14:paraId="25C9E7B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rPr>
      </w:pPr>
      <w:r w:rsidRPr="003734B1">
        <w:rPr>
          <w:rFonts w:ascii="Times New Roman" w:hAnsi="Times New Roman" w:eastAsia="Times New Roman" w:cs="Times New Roman"/>
          <w:sz w:val="24"/>
          <w:szCs w:val="24"/>
        </w:rPr>
        <w:t>Dr. Stuart Carlton, Purdue University, 765-494-3726</w:t>
      </w:r>
    </w:p>
    <w:p w:rsidRPr="003734B1" w:rsidR="003734B1" w:rsidP="003734B1" w:rsidRDefault="003734B1" w14:paraId="4DCBBB7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rPr>
      </w:pPr>
    </w:p>
    <w:p w:rsidRPr="003734B1" w:rsidR="003734B1" w:rsidP="003734B1" w:rsidRDefault="003734B1" w14:paraId="1BE479F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sz w:val="24"/>
          <w:szCs w:val="24"/>
        </w:rPr>
        <w:sectPr w:rsidRPr="003734B1" w:rsidR="003734B1" w:rsidSect="00C5322F">
          <w:footerReference w:type="default" r:id="rId9"/>
          <w:footerReference w:type="first" r:id="rId10"/>
          <w:footnotePr>
            <w:numRestart w:val="eachSect"/>
          </w:footnotePr>
          <w:endnotePr>
            <w:numFmt w:val="decimal"/>
          </w:endnotePr>
          <w:pgSz w:w="12240" w:h="15840"/>
          <w:pgMar w:top="1440" w:right="1440" w:bottom="1080" w:left="1440" w:header="720" w:footer="720" w:gutter="0"/>
          <w:cols w:space="720"/>
        </w:sectPr>
      </w:pPr>
      <w:r w:rsidRPr="003734B1">
        <w:rPr>
          <w:rFonts w:ascii="Times New Roman" w:hAnsi="Times New Roman" w:eastAsia="Times New Roman" w:cs="Times New Roman"/>
          <w:sz w:val="24"/>
          <w:szCs w:val="24"/>
        </w:rPr>
        <w:t>Adam Rettig, Survey Statistician, NOAA Fisheries Service, Office of Science and Technology, 301-427-8216 is the point-of-contact for the Agency.</w:t>
      </w:r>
    </w:p>
    <w:p w:rsidRPr="003734B1" w:rsidR="003734B1" w:rsidP="003734B1" w:rsidRDefault="003734B1" w14:paraId="27288EA4" w14:textId="77777777">
      <w:pPr>
        <w:widowControl w:val="0"/>
        <w:autoSpaceDE w:val="0"/>
        <w:autoSpaceDN w:val="0"/>
        <w:adjustRightInd w:val="0"/>
        <w:spacing w:after="0" w:line="240" w:lineRule="auto"/>
        <w:rPr>
          <w:rFonts w:ascii="Times New Roman" w:hAnsi="Times New Roman" w:eastAsia="Times New Roman" w:cs="Times New Roman"/>
          <w:b/>
          <w:color w:val="000000"/>
          <w:sz w:val="24"/>
          <w:szCs w:val="24"/>
        </w:rPr>
      </w:pPr>
      <w:r w:rsidRPr="003734B1">
        <w:rPr>
          <w:rFonts w:ascii="Times New Roman" w:hAnsi="Times New Roman" w:eastAsia="Times New Roman" w:cs="Times New Roman"/>
          <w:b/>
          <w:color w:val="000000"/>
          <w:sz w:val="24"/>
          <w:szCs w:val="24"/>
        </w:rPr>
        <w:lastRenderedPageBreak/>
        <w:t>References</w:t>
      </w:r>
    </w:p>
    <w:p w:rsidRPr="003734B1" w:rsidR="003734B1" w:rsidP="003734B1" w:rsidRDefault="003734B1" w14:paraId="59F4F81A"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005275E6" w:rsidP="00B65E72" w:rsidRDefault="00014A50" w14:paraId="08841243" w14:textId="18F4BAE7">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Arnaboldi, V., Conti, M., Passarella, A., &amp;</w:t>
      </w:r>
      <w:r w:rsidR="00B3220C">
        <w:rPr>
          <w:rFonts w:ascii="Times New Roman" w:hAnsi="Times New Roman" w:eastAsia="Times New Roman" w:cs="Times New Roman"/>
          <w:sz w:val="24"/>
          <w:szCs w:val="24"/>
        </w:rPr>
        <w:t xml:space="preserve"> Pezzoni, F. (2012). Analysis of Ego Network Structure in Online Social Networks</w:t>
      </w:r>
      <w:r w:rsidR="002A634F">
        <w:rPr>
          <w:rFonts w:ascii="Times New Roman" w:hAnsi="Times New Roman" w:eastAsia="Times New Roman" w:cs="Times New Roman"/>
          <w:sz w:val="24"/>
          <w:szCs w:val="24"/>
        </w:rPr>
        <w:t>. Proceedings of the 2012 International Conference on Privacy, Security, Risk and Trust and 2012 International Conference on Social Computing</w:t>
      </w:r>
      <w:r w:rsidR="00B11A40">
        <w:rPr>
          <w:rFonts w:ascii="Times New Roman" w:hAnsi="Times New Roman" w:eastAsia="Times New Roman" w:cs="Times New Roman"/>
          <w:sz w:val="24"/>
          <w:szCs w:val="24"/>
        </w:rPr>
        <w:t xml:space="preserve"> (</w:t>
      </w:r>
      <w:hyperlink w:tgtFrame="_blank" w:history="1" r:id="rId11">
        <w:r w:rsidR="00B11A40">
          <w:rPr>
            <w:rStyle w:val="Hyperlink"/>
            <w:rFonts w:ascii="Arial" w:hAnsi="Arial" w:cs="Arial"/>
            <w:color w:val="17445A"/>
            <w:sz w:val="23"/>
            <w:szCs w:val="23"/>
            <w:shd w:val="clear" w:color="auto" w:fill="FFFFFF"/>
          </w:rPr>
          <w:t>10.1109/SocialCom-PASSAT.2012.41</w:t>
        </w:r>
      </w:hyperlink>
      <w:r w:rsidR="00B11A40">
        <w:t>).</w:t>
      </w:r>
    </w:p>
    <w:p w:rsidR="005275E6" w:rsidP="00B65E72" w:rsidRDefault="005275E6" w14:paraId="72FFDD02"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00B65E72" w:rsidP="00B65E72" w:rsidRDefault="00B65E72" w14:paraId="439D28F6" w14:textId="0F7E5279">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Chase, R. </w:t>
      </w:r>
      <w:r w:rsidR="00B3220C">
        <w:rPr>
          <w:rFonts w:ascii="Times New Roman" w:hAnsi="Times New Roman" w:eastAsia="Times New Roman" w:cs="Times New Roman"/>
          <w:sz w:val="24"/>
          <w:szCs w:val="24"/>
        </w:rPr>
        <w:t>&amp;</w:t>
      </w:r>
      <w:r>
        <w:rPr>
          <w:rFonts w:ascii="Times New Roman" w:hAnsi="Times New Roman" w:eastAsia="Times New Roman" w:cs="Times New Roman"/>
          <w:sz w:val="24"/>
          <w:szCs w:val="24"/>
        </w:rPr>
        <w:t xml:space="preserve"> Borgatti, S. 2019. Ego Networks. </w:t>
      </w:r>
      <w:r w:rsidRPr="003734B1">
        <w:rPr>
          <w:rFonts w:ascii="Times New Roman" w:hAnsi="Times New Roman" w:eastAsia="Times New Roman" w:cs="Times New Roman"/>
          <w:sz w:val="24"/>
          <w:szCs w:val="24"/>
        </w:rPr>
        <w:t xml:space="preserve">Available at: </w:t>
      </w:r>
      <w:hyperlink w:history="1" r:id="rId12">
        <w:r w:rsidRPr="0008581E">
          <w:rPr>
            <w:rStyle w:val="Hyperlink"/>
            <w:rFonts w:ascii="Times New Roman" w:hAnsi="Times New Roman" w:eastAsia="Times New Roman" w:cs="Times New Roman"/>
            <w:sz w:val="24"/>
            <w:szCs w:val="24"/>
          </w:rPr>
          <w:t>http://www.analytictech.com/networks/egonet.htm</w:t>
        </w:r>
      </w:hyperlink>
    </w:p>
    <w:p w:rsidR="00B65E72" w:rsidP="003734B1" w:rsidRDefault="00B65E72" w14:paraId="4B7A8E0A" w14:textId="77777777">
      <w:pPr>
        <w:autoSpaceDE w:val="0"/>
        <w:autoSpaceDN w:val="0"/>
        <w:adjustRightInd w:val="0"/>
        <w:spacing w:after="0" w:line="240" w:lineRule="auto"/>
        <w:rPr>
          <w:rFonts w:ascii="Times New Roman" w:hAnsi="Times New Roman" w:eastAsia="Times New Roman" w:cs="Times New Roman"/>
          <w:sz w:val="24"/>
          <w:szCs w:val="24"/>
        </w:rPr>
      </w:pPr>
    </w:p>
    <w:p w:rsidR="003734B1" w:rsidP="003734B1" w:rsidRDefault="003734B1" w14:paraId="65CF9612" w14:textId="695D0DE9">
      <w:pPr>
        <w:autoSpaceDE w:val="0"/>
        <w:autoSpaceDN w:val="0"/>
        <w:adjustRightInd w:val="0"/>
        <w:spacing w:after="0" w:line="240" w:lineRule="auto"/>
        <w:rPr>
          <w:rFonts w:ascii="Times New Roman" w:hAnsi="Times New Roman" w:eastAsia="Times New Roman" w:cs="Times New Roman"/>
          <w:sz w:val="24"/>
          <w:szCs w:val="24"/>
        </w:rPr>
      </w:pPr>
      <w:r w:rsidRPr="003734B1">
        <w:rPr>
          <w:rFonts w:ascii="Times New Roman" w:hAnsi="Times New Roman" w:eastAsia="Times New Roman" w:cs="Times New Roman"/>
          <w:sz w:val="24"/>
          <w:szCs w:val="24"/>
        </w:rPr>
        <w:t xml:space="preserve">Cochran, W. 1977. </w:t>
      </w:r>
      <w:r w:rsidRPr="003734B1">
        <w:rPr>
          <w:rFonts w:ascii="Times New Roman" w:hAnsi="Times New Roman" w:eastAsia="Times New Roman" w:cs="Times New Roman"/>
          <w:i/>
          <w:iCs/>
          <w:sz w:val="24"/>
          <w:szCs w:val="24"/>
        </w:rPr>
        <w:t>Sampling Techniques</w:t>
      </w:r>
      <w:r w:rsidRPr="003734B1">
        <w:rPr>
          <w:rFonts w:ascii="Times New Roman" w:hAnsi="Times New Roman" w:eastAsia="Times New Roman" w:cs="Times New Roman"/>
          <w:sz w:val="24"/>
          <w:szCs w:val="24"/>
        </w:rPr>
        <w:t>. 3rd Edition. Toronto. John Wiley and Sons.</w:t>
      </w:r>
    </w:p>
    <w:p w:rsidR="00BB3006" w:rsidP="003734B1" w:rsidRDefault="00BB3006" w14:paraId="31EB8B92" w14:textId="34563768">
      <w:pPr>
        <w:autoSpaceDE w:val="0"/>
        <w:autoSpaceDN w:val="0"/>
        <w:adjustRightInd w:val="0"/>
        <w:spacing w:after="0" w:line="240" w:lineRule="auto"/>
        <w:rPr>
          <w:rFonts w:ascii="Times New Roman" w:hAnsi="Times New Roman" w:eastAsia="Times New Roman" w:cs="Times New Roman"/>
          <w:sz w:val="24"/>
          <w:szCs w:val="24"/>
        </w:rPr>
      </w:pPr>
    </w:p>
    <w:p w:rsidRPr="003734B1" w:rsidR="00BB3006" w:rsidP="003734B1" w:rsidRDefault="00BB3006" w14:paraId="6A9862AD" w14:textId="6678B7CA">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Everett, M., </w:t>
      </w:r>
      <w:r w:rsidR="005838BE">
        <w:rPr>
          <w:rFonts w:ascii="Times New Roman" w:hAnsi="Times New Roman" w:eastAsia="Times New Roman" w:cs="Times New Roman"/>
          <w:sz w:val="24"/>
          <w:szCs w:val="24"/>
        </w:rPr>
        <w:t>&amp; Borgatti, S. P. (2005). Ego network betweenness</w:t>
      </w:r>
      <w:r w:rsidR="007C7647">
        <w:rPr>
          <w:rFonts w:ascii="Times New Roman" w:hAnsi="Times New Roman" w:eastAsia="Times New Roman" w:cs="Times New Roman"/>
          <w:sz w:val="24"/>
          <w:szCs w:val="24"/>
        </w:rPr>
        <w:t xml:space="preserve">. </w:t>
      </w:r>
      <w:r w:rsidR="009D4576">
        <w:rPr>
          <w:rFonts w:ascii="Times New Roman" w:hAnsi="Times New Roman" w:eastAsia="Times New Roman" w:cs="Times New Roman"/>
          <w:sz w:val="24"/>
          <w:szCs w:val="24"/>
        </w:rPr>
        <w:t xml:space="preserve">Social Networks, 27, </w:t>
      </w:r>
      <w:r w:rsidR="00854AE3">
        <w:rPr>
          <w:rFonts w:ascii="Times New Roman" w:hAnsi="Times New Roman" w:eastAsia="Times New Roman" w:cs="Times New Roman"/>
          <w:sz w:val="24"/>
          <w:szCs w:val="24"/>
        </w:rPr>
        <w:t>31-38.</w:t>
      </w:r>
    </w:p>
    <w:p w:rsidRPr="003734B1" w:rsidR="003734B1" w:rsidP="003734B1" w:rsidRDefault="003734B1" w14:paraId="67BD1D68" w14:textId="77777777">
      <w:pPr>
        <w:autoSpaceDE w:val="0"/>
        <w:autoSpaceDN w:val="0"/>
        <w:adjustRightInd w:val="0"/>
        <w:spacing w:after="0" w:line="240" w:lineRule="auto"/>
        <w:rPr>
          <w:rFonts w:ascii="Times New Roman" w:hAnsi="Times New Roman" w:eastAsia="Times New Roman" w:cs="Times New Roman"/>
          <w:sz w:val="16"/>
          <w:szCs w:val="16"/>
        </w:rPr>
      </w:pPr>
    </w:p>
    <w:p w:rsidR="00DC1213" w:rsidP="003734B1" w:rsidRDefault="00DC1213" w14:paraId="512001BB" w14:textId="1BC0B5BD">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Freeman, L. C. 1979. Centrality in social networks: conceptual cla</w:t>
      </w:r>
      <w:r w:rsidR="002C5724">
        <w:rPr>
          <w:rFonts w:ascii="Times New Roman" w:hAnsi="Times New Roman" w:eastAsia="Times New Roman" w:cs="Times New Roman"/>
          <w:sz w:val="24"/>
          <w:szCs w:val="24"/>
        </w:rPr>
        <w:t>rification. Social Networks, 1, 215-239.</w:t>
      </w:r>
    </w:p>
    <w:p w:rsidR="00DC1213" w:rsidP="003734B1" w:rsidRDefault="00DC1213" w14:paraId="1D069D94" w14:textId="42C40DD2">
      <w:pPr>
        <w:autoSpaceDE w:val="0"/>
        <w:autoSpaceDN w:val="0"/>
        <w:adjustRightInd w:val="0"/>
        <w:spacing w:after="0" w:line="240" w:lineRule="auto"/>
        <w:rPr>
          <w:rFonts w:ascii="Times New Roman" w:hAnsi="Times New Roman" w:eastAsia="Times New Roman" w:cs="Times New Roman"/>
          <w:sz w:val="24"/>
          <w:szCs w:val="24"/>
        </w:rPr>
      </w:pPr>
    </w:p>
    <w:p w:rsidR="00D71FB1" w:rsidP="003734B1" w:rsidRDefault="00D71FB1" w14:paraId="1F8616C6" w14:textId="35206CC6">
      <w:pPr>
        <w:autoSpaceDE w:val="0"/>
        <w:autoSpaceDN w:val="0"/>
        <w:adjustRightInd w:val="0"/>
        <w:spacing w:after="0" w:line="240" w:lineRule="auto"/>
        <w:rPr>
          <w:rFonts w:ascii="Times New Roman" w:hAnsi="Times New Roman" w:eastAsia="Times New Roman" w:cs="Times New Roman"/>
          <w:sz w:val="24"/>
          <w:szCs w:val="24"/>
        </w:rPr>
      </w:pPr>
      <w:r w:rsidRPr="00D71FB1">
        <w:rPr>
          <w:rFonts w:ascii="Times New Roman" w:hAnsi="Times New Roman" w:eastAsia="Times New Roman" w:cs="Times New Roman"/>
          <w:sz w:val="24"/>
          <w:szCs w:val="24"/>
        </w:rPr>
        <w:t>Griffiths, S.P., Pollock, K.H., Lyle, J.M., Pepperell, J.G., Tonks, M.L. and Sawynok, W. (2010), Following the chain to elusive anglers. Fish and Fisheries, 11: 220-228. doi:10.1111/j.1467-2979.2010.00354.x</w:t>
      </w:r>
    </w:p>
    <w:p w:rsidR="00D71FB1" w:rsidP="003734B1" w:rsidRDefault="00D71FB1" w14:paraId="37F9BC00" w14:textId="77777777">
      <w:pPr>
        <w:autoSpaceDE w:val="0"/>
        <w:autoSpaceDN w:val="0"/>
        <w:adjustRightInd w:val="0"/>
        <w:spacing w:after="0" w:line="240" w:lineRule="auto"/>
        <w:rPr>
          <w:rFonts w:ascii="Times New Roman" w:hAnsi="Times New Roman" w:eastAsia="Times New Roman" w:cs="Times New Roman"/>
          <w:sz w:val="24"/>
          <w:szCs w:val="24"/>
        </w:rPr>
      </w:pPr>
    </w:p>
    <w:p w:rsidR="00AC288C" w:rsidP="003734B1" w:rsidRDefault="00AC288C" w14:paraId="0EB31A8B" w14:textId="53EF43BD">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Hanneman, R. A., &amp; Riddle, M. 2005. Introduction to social network methods. </w:t>
      </w:r>
      <w:r w:rsidR="00B228DB">
        <w:rPr>
          <w:rFonts w:ascii="Times New Roman" w:hAnsi="Times New Roman" w:eastAsia="Times New Roman" w:cs="Times New Roman"/>
          <w:sz w:val="24"/>
          <w:szCs w:val="24"/>
        </w:rPr>
        <w:t>Riverside, CA: University of California, Riverside (published in digital form at http://faculty.ucr.edu/~hanneman/.</w:t>
      </w:r>
    </w:p>
    <w:p w:rsidR="00AC288C" w:rsidP="003734B1" w:rsidRDefault="00AC288C" w14:paraId="1B35D764" w14:textId="5852AF31">
      <w:pPr>
        <w:autoSpaceDE w:val="0"/>
        <w:autoSpaceDN w:val="0"/>
        <w:adjustRightInd w:val="0"/>
        <w:spacing w:after="0" w:line="240" w:lineRule="auto"/>
        <w:rPr>
          <w:rFonts w:ascii="Times New Roman" w:hAnsi="Times New Roman" w:eastAsia="Times New Roman" w:cs="Times New Roman"/>
          <w:sz w:val="24"/>
          <w:szCs w:val="24"/>
        </w:rPr>
      </w:pPr>
    </w:p>
    <w:p w:rsidR="00DE4579" w:rsidP="003734B1" w:rsidRDefault="00DE4579" w14:paraId="7717BD5E" w14:textId="13FE2C4B">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Hara, N., </w:t>
      </w:r>
      <w:r w:rsidR="000B3ED4">
        <w:rPr>
          <w:rFonts w:ascii="Times New Roman" w:hAnsi="Times New Roman" w:eastAsia="Times New Roman" w:cs="Times New Roman"/>
          <w:sz w:val="24"/>
          <w:szCs w:val="24"/>
        </w:rPr>
        <w:t xml:space="preserve">Chen, H., &amp; Ynalvez, M. A. (2017). Using egocentric analysis to investigate professional networks and productivity of graduate students and faculty in life sciences in Japan, Singapore, and Taiwan. </w:t>
      </w:r>
      <w:r w:rsidR="00A82EB9">
        <w:rPr>
          <w:rFonts w:ascii="Times New Roman" w:hAnsi="Times New Roman" w:eastAsia="Times New Roman" w:cs="Times New Roman"/>
          <w:sz w:val="24"/>
          <w:szCs w:val="24"/>
        </w:rPr>
        <w:t xml:space="preserve">PLoS ONE 12(10): e0186608. </w:t>
      </w:r>
      <w:r w:rsidRPr="006458CC" w:rsidR="006458CC">
        <w:rPr>
          <w:rFonts w:ascii="Times New Roman" w:hAnsi="Times New Roman" w:eastAsia="Times New Roman" w:cs="Times New Roman"/>
          <w:sz w:val="24"/>
          <w:szCs w:val="24"/>
        </w:rPr>
        <w:t>https://doi.org/10.1371/journal.pone.0186608</w:t>
      </w:r>
      <w:r w:rsidR="006458CC">
        <w:rPr>
          <w:rFonts w:ascii="Times New Roman" w:hAnsi="Times New Roman" w:eastAsia="Times New Roman" w:cs="Times New Roman"/>
          <w:sz w:val="24"/>
          <w:szCs w:val="24"/>
        </w:rPr>
        <w:t>.</w:t>
      </w:r>
    </w:p>
    <w:p w:rsidR="00DE4579" w:rsidP="003734B1" w:rsidRDefault="00DE4579" w14:paraId="45152C56" w14:textId="77777777">
      <w:pPr>
        <w:autoSpaceDE w:val="0"/>
        <w:autoSpaceDN w:val="0"/>
        <w:adjustRightInd w:val="0"/>
        <w:spacing w:after="0" w:line="240" w:lineRule="auto"/>
        <w:rPr>
          <w:rFonts w:ascii="Times New Roman" w:hAnsi="Times New Roman" w:eastAsia="Times New Roman" w:cs="Times New Roman"/>
          <w:sz w:val="24"/>
          <w:szCs w:val="24"/>
        </w:rPr>
      </w:pPr>
    </w:p>
    <w:p w:rsidRPr="003734B1" w:rsidR="003734B1" w:rsidP="003734B1" w:rsidRDefault="003734B1" w14:paraId="6CA4CAFF" w14:textId="6F08F112">
      <w:pPr>
        <w:autoSpaceDE w:val="0"/>
        <w:autoSpaceDN w:val="0"/>
        <w:adjustRightInd w:val="0"/>
        <w:spacing w:after="0" w:line="240" w:lineRule="auto"/>
        <w:rPr>
          <w:rFonts w:ascii="Times New Roman" w:hAnsi="Times New Roman" w:eastAsia="Times New Roman" w:cs="Times New Roman"/>
          <w:sz w:val="24"/>
          <w:szCs w:val="24"/>
        </w:rPr>
      </w:pPr>
      <w:r w:rsidRPr="003734B1">
        <w:rPr>
          <w:rFonts w:ascii="Times New Roman" w:hAnsi="Times New Roman" w:eastAsia="Times New Roman" w:cs="Times New Roman"/>
          <w:sz w:val="24"/>
          <w:szCs w:val="24"/>
        </w:rPr>
        <w:t>Lohr, S., 1998. Sampling: Design and Analysis. Duxbury Press.</w:t>
      </w:r>
    </w:p>
    <w:p w:rsidRPr="003734B1" w:rsidR="003734B1" w:rsidP="003734B1" w:rsidRDefault="003734B1" w14:paraId="090C7E9E"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9254C2" w:rsidR="00736947" w:rsidP="003734B1" w:rsidRDefault="00736947" w14:paraId="4F8D9501" w14:textId="3C242BEA">
      <w:pPr>
        <w:widowControl w:val="0"/>
        <w:autoSpaceDE w:val="0"/>
        <w:autoSpaceDN w:val="0"/>
        <w:adjustRightInd w:val="0"/>
        <w:spacing w:after="0" w:line="240" w:lineRule="auto"/>
        <w:rPr>
          <w:rFonts w:ascii="Times New Roman" w:hAnsi="Times New Roman" w:eastAsia="Times New Roman" w:cs="Times New Roman"/>
          <w:sz w:val="24"/>
          <w:szCs w:val="24"/>
        </w:rPr>
      </w:pPr>
      <w:r w:rsidRPr="009254C2">
        <w:rPr>
          <w:rFonts w:ascii="Times New Roman" w:hAnsi="Times New Roman" w:eastAsia="Times New Roman" w:cs="Times New Roman"/>
          <w:sz w:val="24"/>
          <w:szCs w:val="24"/>
        </w:rPr>
        <w:t>Kirchherr, J., &amp; Char</w:t>
      </w:r>
      <w:r w:rsidRPr="00C665E8">
        <w:rPr>
          <w:rFonts w:ascii="Times New Roman" w:hAnsi="Times New Roman" w:eastAsia="Times New Roman" w:cs="Times New Roman"/>
          <w:sz w:val="24"/>
          <w:szCs w:val="24"/>
        </w:rPr>
        <w:t xml:space="preserve">les, </w:t>
      </w:r>
      <w:r w:rsidRPr="00C665E8" w:rsidR="00502FB6">
        <w:rPr>
          <w:rFonts w:ascii="Times New Roman" w:hAnsi="Times New Roman" w:eastAsia="Times New Roman" w:cs="Times New Roman"/>
          <w:sz w:val="24"/>
          <w:szCs w:val="24"/>
        </w:rPr>
        <w:t>K. (2018.) Enhancing the sample diversity of snowball samp</w:t>
      </w:r>
      <w:r w:rsidRPr="00973B94" w:rsidR="00502FB6">
        <w:rPr>
          <w:rFonts w:ascii="Times New Roman" w:hAnsi="Times New Roman" w:eastAsia="Times New Roman" w:cs="Times New Roman"/>
          <w:sz w:val="24"/>
          <w:szCs w:val="24"/>
        </w:rPr>
        <w:t>les: Recommendations from a research project on anti-dam movements in Southeast Asia.</w:t>
      </w:r>
      <w:r w:rsidRPr="00973B94" w:rsidR="00FD5242">
        <w:rPr>
          <w:rFonts w:ascii="Times New Roman" w:hAnsi="Times New Roman" w:eastAsia="Times New Roman" w:cs="Times New Roman"/>
          <w:sz w:val="24"/>
          <w:szCs w:val="24"/>
        </w:rPr>
        <w:t xml:space="preserve"> PLoS ONE 13(8):</w:t>
      </w:r>
      <w:r w:rsidRPr="00973B94" w:rsidR="00DB5BC1">
        <w:rPr>
          <w:rFonts w:ascii="Times New Roman" w:hAnsi="Times New Roman" w:eastAsia="Times New Roman" w:cs="Times New Roman"/>
          <w:sz w:val="24"/>
          <w:szCs w:val="24"/>
        </w:rPr>
        <w:t xml:space="preserve"> e0201710</w:t>
      </w:r>
      <w:r w:rsidRPr="00F446C6" w:rsidR="00DB5BC1">
        <w:rPr>
          <w:rFonts w:ascii="Times New Roman" w:hAnsi="Times New Roman" w:cs="Times New Roman"/>
          <w:sz w:val="24"/>
          <w:szCs w:val="24"/>
        </w:rPr>
        <w:t>. https://doi.org/10.1371/journal. pone.0201710</w:t>
      </w:r>
      <w:r w:rsidRPr="00F446C6" w:rsidR="009254C2">
        <w:rPr>
          <w:rFonts w:ascii="Times New Roman" w:hAnsi="Times New Roman" w:cs="Times New Roman"/>
          <w:sz w:val="24"/>
          <w:szCs w:val="24"/>
        </w:rPr>
        <w:t>.</w:t>
      </w:r>
    </w:p>
    <w:p w:rsidR="00736947" w:rsidP="003734B1" w:rsidRDefault="00736947" w14:paraId="03A848B3"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00DD1C3F" w:rsidP="003734B1" w:rsidRDefault="00DD1C3F" w14:paraId="26889052" w14:textId="6560D9BA">
      <w:pPr>
        <w:widowControl w:val="0"/>
        <w:autoSpaceDE w:val="0"/>
        <w:autoSpaceDN w:val="0"/>
        <w:adjustRightInd w:val="0"/>
        <w:spacing w:after="0" w:line="240" w:lineRule="auto"/>
        <w:rPr>
          <w:rFonts w:ascii="Times New Roman" w:hAnsi="Times New Roman" w:eastAsia="Times New Roman" w:cs="Times New Roman"/>
          <w:sz w:val="24"/>
          <w:szCs w:val="24"/>
        </w:rPr>
      </w:pPr>
      <w:r w:rsidRPr="00DD1C3F">
        <w:rPr>
          <w:rFonts w:ascii="Times New Roman" w:hAnsi="Times New Roman" w:eastAsia="Times New Roman" w:cs="Times New Roman"/>
          <w:sz w:val="24"/>
          <w:szCs w:val="24"/>
        </w:rPr>
        <w:t>Kroloff, E. K., Heinen, J. T., Braddock, K. N., Rehage, J. S., &amp; Santos, R. O. (2019). Understanding the decline of catch-and-release fishery with angler knowledge: a key informant approach applied to South Florida bonefish. Environmental Biology of Fishes, 102(2), 319-328.</w:t>
      </w:r>
    </w:p>
    <w:p w:rsidR="00DD1C3F" w:rsidP="003734B1" w:rsidRDefault="00DD1C3F" w14:paraId="036939F7"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00583116" w:rsidP="003734B1" w:rsidRDefault="00583116" w14:paraId="422770EB" w14:textId="0FA149EB">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McPherson, </w:t>
      </w:r>
      <w:r w:rsidR="00381378">
        <w:rPr>
          <w:rFonts w:ascii="Times New Roman" w:hAnsi="Times New Roman" w:eastAsia="Times New Roman" w:cs="Times New Roman"/>
          <w:sz w:val="24"/>
          <w:szCs w:val="24"/>
        </w:rPr>
        <w:t xml:space="preserve">M., Smith-Lovin, L., &amp; Cook, J. M. (2001). </w:t>
      </w:r>
      <w:r w:rsidR="002B108C">
        <w:rPr>
          <w:rFonts w:ascii="Times New Roman" w:hAnsi="Times New Roman" w:eastAsia="Times New Roman" w:cs="Times New Roman"/>
          <w:sz w:val="24"/>
          <w:szCs w:val="24"/>
        </w:rPr>
        <w:t xml:space="preserve">Birds of a Feather: Homophily in Social Networks. Annual Review of Sociology, </w:t>
      </w:r>
      <w:r w:rsidR="007C2DC4">
        <w:rPr>
          <w:rFonts w:ascii="Times New Roman" w:hAnsi="Times New Roman" w:eastAsia="Times New Roman" w:cs="Times New Roman"/>
          <w:sz w:val="24"/>
          <w:szCs w:val="24"/>
        </w:rPr>
        <w:t>27(1), 415-444.</w:t>
      </w:r>
    </w:p>
    <w:p w:rsidR="00583116" w:rsidP="003734B1" w:rsidRDefault="00583116" w14:paraId="3C05CE4F"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3734B1" w:rsidR="003734B1" w:rsidP="003734B1" w:rsidRDefault="003734B1" w14:paraId="3F622F1E" w14:textId="1A261605">
      <w:pPr>
        <w:widowControl w:val="0"/>
        <w:autoSpaceDE w:val="0"/>
        <w:autoSpaceDN w:val="0"/>
        <w:adjustRightInd w:val="0"/>
        <w:spacing w:after="0" w:line="240" w:lineRule="auto"/>
        <w:rPr>
          <w:rFonts w:ascii="Times New Roman" w:hAnsi="Times New Roman" w:eastAsia="Times New Roman" w:cs="Times New Roman"/>
          <w:sz w:val="24"/>
          <w:szCs w:val="24"/>
        </w:rPr>
      </w:pPr>
      <w:r w:rsidRPr="003734B1">
        <w:rPr>
          <w:rFonts w:ascii="Times New Roman" w:hAnsi="Times New Roman" w:eastAsia="Times New Roman" w:cs="Times New Roman"/>
          <w:sz w:val="24"/>
          <w:szCs w:val="24"/>
        </w:rPr>
        <w:t xml:space="preserve">National Marine Fisheries Service. </w:t>
      </w:r>
      <w:r w:rsidRPr="003734B1" w:rsidR="00FA0615">
        <w:rPr>
          <w:rFonts w:ascii="Times New Roman" w:hAnsi="Times New Roman" w:eastAsia="Times New Roman" w:cs="Times New Roman"/>
          <w:sz w:val="24"/>
          <w:szCs w:val="24"/>
        </w:rPr>
        <w:t>201</w:t>
      </w:r>
      <w:r w:rsidR="00FA0615">
        <w:rPr>
          <w:rFonts w:ascii="Times New Roman" w:hAnsi="Times New Roman" w:eastAsia="Times New Roman" w:cs="Times New Roman"/>
          <w:sz w:val="24"/>
          <w:szCs w:val="24"/>
        </w:rPr>
        <w:t>9</w:t>
      </w:r>
      <w:r w:rsidRPr="003734B1">
        <w:rPr>
          <w:rFonts w:ascii="Times New Roman" w:hAnsi="Times New Roman" w:eastAsia="Times New Roman" w:cs="Times New Roman"/>
          <w:sz w:val="24"/>
          <w:szCs w:val="24"/>
        </w:rPr>
        <w:t xml:space="preserve">. Fisheries of the United States, </w:t>
      </w:r>
      <w:r w:rsidRPr="003734B1" w:rsidR="00FA0615">
        <w:rPr>
          <w:rFonts w:ascii="Times New Roman" w:hAnsi="Times New Roman" w:eastAsia="Times New Roman" w:cs="Times New Roman"/>
          <w:sz w:val="24"/>
          <w:szCs w:val="24"/>
        </w:rPr>
        <w:t>201</w:t>
      </w:r>
      <w:r w:rsidR="00FA0615">
        <w:rPr>
          <w:rFonts w:ascii="Times New Roman" w:hAnsi="Times New Roman" w:eastAsia="Times New Roman" w:cs="Times New Roman"/>
          <w:sz w:val="24"/>
          <w:szCs w:val="24"/>
        </w:rPr>
        <w:t>8</w:t>
      </w:r>
      <w:r w:rsidRPr="003734B1">
        <w:rPr>
          <w:rFonts w:ascii="Times New Roman" w:hAnsi="Times New Roman" w:eastAsia="Times New Roman" w:cs="Times New Roman"/>
          <w:sz w:val="24"/>
          <w:szCs w:val="24"/>
        </w:rPr>
        <w:t xml:space="preserve">. U.S. Department of Commerce, NOAA Current Fishery Statistics No. </w:t>
      </w:r>
      <w:r w:rsidRPr="003734B1" w:rsidR="00FA0615">
        <w:rPr>
          <w:rFonts w:ascii="Times New Roman" w:hAnsi="Times New Roman" w:eastAsia="Times New Roman" w:cs="Times New Roman"/>
          <w:sz w:val="24"/>
          <w:szCs w:val="24"/>
        </w:rPr>
        <w:t>201</w:t>
      </w:r>
      <w:r w:rsidR="00FA0615">
        <w:rPr>
          <w:rFonts w:ascii="Times New Roman" w:hAnsi="Times New Roman" w:eastAsia="Times New Roman" w:cs="Times New Roman"/>
          <w:sz w:val="24"/>
          <w:szCs w:val="24"/>
        </w:rPr>
        <w:t>7</w:t>
      </w:r>
      <w:r w:rsidRPr="003734B1">
        <w:rPr>
          <w:rFonts w:ascii="Times New Roman" w:hAnsi="Times New Roman" w:eastAsia="Times New Roman" w:cs="Times New Roman"/>
          <w:sz w:val="24"/>
          <w:szCs w:val="24"/>
        </w:rPr>
        <w:t xml:space="preserve">. Available at: </w:t>
      </w:r>
      <w:hyperlink w:history="1" r:id="rId13">
        <w:r w:rsidRPr="003734B1" w:rsidR="00FA0615">
          <w:rPr>
            <w:rFonts w:ascii="Times New Roman" w:hAnsi="Times New Roman" w:eastAsia="Times New Roman" w:cs="Times New Roman"/>
            <w:color w:val="0000FF"/>
            <w:sz w:val="24"/>
            <w:szCs w:val="24"/>
            <w:u w:val="single"/>
          </w:rPr>
          <w:t>https://www.fisheries.noaa.gov/feature-story/fisheries-united-states-201</w:t>
        </w:r>
        <w:r w:rsidR="00FA0615">
          <w:rPr>
            <w:rFonts w:ascii="Times New Roman" w:hAnsi="Times New Roman" w:eastAsia="Times New Roman" w:cs="Times New Roman"/>
            <w:color w:val="0000FF"/>
            <w:sz w:val="24"/>
            <w:szCs w:val="24"/>
            <w:u w:val="single"/>
          </w:rPr>
          <w:t>8</w:t>
        </w:r>
      </w:hyperlink>
      <w:r w:rsidRPr="003734B1">
        <w:rPr>
          <w:rFonts w:ascii="Times New Roman" w:hAnsi="Times New Roman" w:eastAsia="Times New Roman" w:cs="Times New Roman"/>
          <w:sz w:val="24"/>
          <w:szCs w:val="24"/>
        </w:rPr>
        <w:t>.</w:t>
      </w:r>
    </w:p>
    <w:p w:rsidRPr="003734B1" w:rsidR="003734B1" w:rsidP="003734B1" w:rsidRDefault="003734B1" w14:paraId="34B662D2"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003734B1" w:rsidP="003734B1" w:rsidRDefault="003734B1" w14:paraId="53F9F2B9" w14:textId="7721BAB4">
      <w:pPr>
        <w:widowControl w:val="0"/>
        <w:autoSpaceDE w:val="0"/>
        <w:autoSpaceDN w:val="0"/>
        <w:adjustRightInd w:val="0"/>
        <w:spacing w:after="0" w:line="240" w:lineRule="auto"/>
        <w:rPr>
          <w:rFonts w:ascii="Times New Roman" w:hAnsi="Times New Roman" w:eastAsia="Times New Roman" w:cs="Times New Roman"/>
          <w:sz w:val="24"/>
          <w:szCs w:val="24"/>
        </w:rPr>
      </w:pPr>
      <w:r w:rsidRPr="003734B1">
        <w:rPr>
          <w:rFonts w:ascii="Times New Roman" w:hAnsi="Times New Roman" w:eastAsia="Times New Roman" w:cs="Times New Roman"/>
          <w:sz w:val="24"/>
          <w:szCs w:val="24"/>
        </w:rPr>
        <w:lastRenderedPageBreak/>
        <w:t xml:space="preserve">National Marine Fisheries Service. 2018. Fisheries Economics of the United States, 2016. U.S. Department of Commerce, NOAA Tech. Memo. NMFS-F/SPO-187, 243p. Available at: </w:t>
      </w:r>
      <w:hyperlink w:history="1" r:id="rId14">
        <w:r w:rsidRPr="003734B1">
          <w:rPr>
            <w:rFonts w:ascii="Times New Roman" w:hAnsi="Times New Roman" w:eastAsia="Times New Roman" w:cs="Times New Roman"/>
            <w:color w:val="0000FF"/>
            <w:sz w:val="24"/>
            <w:szCs w:val="24"/>
            <w:u w:val="single"/>
          </w:rPr>
          <w:t>https://www.fisheries.noaa.gov/content/fisheries-economics-united-states-2016</w:t>
        </w:r>
      </w:hyperlink>
      <w:r w:rsidRPr="003734B1">
        <w:rPr>
          <w:rFonts w:ascii="Times New Roman" w:hAnsi="Times New Roman" w:eastAsia="Times New Roman" w:cs="Times New Roman"/>
          <w:sz w:val="24"/>
          <w:szCs w:val="24"/>
        </w:rPr>
        <w:t>.</w:t>
      </w:r>
    </w:p>
    <w:p w:rsidR="00BE79BF" w:rsidP="003734B1" w:rsidRDefault="00BE79BF" w14:paraId="64048B11" w14:textId="0BF8AE49">
      <w:pPr>
        <w:widowControl w:val="0"/>
        <w:autoSpaceDE w:val="0"/>
        <w:autoSpaceDN w:val="0"/>
        <w:adjustRightInd w:val="0"/>
        <w:spacing w:after="0" w:line="240" w:lineRule="auto"/>
        <w:rPr>
          <w:rFonts w:ascii="Times New Roman" w:hAnsi="Times New Roman" w:eastAsia="Times New Roman" w:cs="Times New Roman"/>
          <w:sz w:val="24"/>
          <w:szCs w:val="24"/>
        </w:rPr>
      </w:pPr>
    </w:p>
    <w:p w:rsidRPr="00313F93" w:rsidR="00AA6A9E" w:rsidP="00313F93" w:rsidRDefault="00AA6A9E" w14:paraId="29C5A553" w14:textId="3BFC496A">
      <w:pPr>
        <w:widowControl w:val="0"/>
        <w:autoSpaceDE w:val="0"/>
        <w:autoSpaceDN w:val="0"/>
        <w:adjustRightInd w:val="0"/>
        <w:spacing w:after="0" w:line="240" w:lineRule="auto"/>
        <w:rPr>
          <w:rFonts w:ascii="Times New Roman" w:hAnsi="Times New Roman" w:eastAsia="Times New Roman" w:cs="Times New Roman"/>
          <w:sz w:val="24"/>
          <w:szCs w:val="24"/>
        </w:rPr>
      </w:pPr>
      <w:bookmarkStart w:name="_GoBack" w:id="0"/>
      <w:bookmarkEnd w:id="0"/>
      <w:r>
        <w:rPr>
          <w:rFonts w:ascii="Times New Roman" w:hAnsi="Times New Roman" w:eastAsia="Times New Roman" w:cs="Times New Roman"/>
          <w:sz w:val="24"/>
          <w:szCs w:val="24"/>
        </w:rPr>
        <w:t xml:space="preserve">Vacca, R., </w:t>
      </w:r>
      <w:r w:rsidR="00DB0551">
        <w:rPr>
          <w:rFonts w:ascii="Times New Roman" w:hAnsi="Times New Roman" w:eastAsia="Times New Roman" w:cs="Times New Roman"/>
          <w:sz w:val="24"/>
          <w:szCs w:val="24"/>
        </w:rPr>
        <w:t>Solano, G., Lubbers, M. J., Molina, J. L., &amp; McCarty, C. (201</w:t>
      </w:r>
      <w:r w:rsidR="001E52D9">
        <w:rPr>
          <w:rFonts w:ascii="Times New Roman" w:hAnsi="Times New Roman" w:eastAsia="Times New Roman" w:cs="Times New Roman"/>
          <w:sz w:val="24"/>
          <w:szCs w:val="24"/>
        </w:rPr>
        <w:t>8</w:t>
      </w:r>
      <w:r w:rsidR="00DB0551">
        <w:rPr>
          <w:rFonts w:ascii="Times New Roman" w:hAnsi="Times New Roman" w:eastAsia="Times New Roman" w:cs="Times New Roman"/>
          <w:sz w:val="24"/>
          <w:szCs w:val="24"/>
        </w:rPr>
        <w:t>)</w:t>
      </w:r>
      <w:r w:rsidR="001E52D9">
        <w:rPr>
          <w:rFonts w:ascii="Times New Roman" w:hAnsi="Times New Roman" w:eastAsia="Times New Roman" w:cs="Times New Roman"/>
          <w:sz w:val="24"/>
          <w:szCs w:val="24"/>
        </w:rPr>
        <w:t xml:space="preserve">. A personal network approach to the study of immigrant structural assimilation and transnationalism. </w:t>
      </w:r>
      <w:r w:rsidR="00FD4F8E">
        <w:rPr>
          <w:rFonts w:ascii="Times New Roman" w:hAnsi="Times New Roman" w:eastAsia="Times New Roman" w:cs="Times New Roman"/>
          <w:sz w:val="24"/>
          <w:szCs w:val="24"/>
        </w:rPr>
        <w:t>Social Networks, 53, 72-89.</w:t>
      </w:r>
    </w:p>
    <w:p w:rsidR="00313F93" w:rsidP="00C5322F" w:rsidRDefault="00313F93" w14:paraId="57F83A3A"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003734B1" w:rsidRDefault="003734B1" w14:paraId="33BE12B9" w14:textId="77777777"/>
    <w:sectPr w:rsidR="003734B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BE3DD" w16cid:durableId="214968D8"/>
  <w16cid:commentId w16cid:paraId="1542298A" w16cid:durableId="214968D9"/>
  <w16cid:commentId w16cid:paraId="4E8BB89F" w16cid:durableId="214968DA"/>
  <w16cid:commentId w16cid:paraId="33553714" w16cid:durableId="214968DB"/>
  <w16cid:commentId w16cid:paraId="71EA8A4A" w16cid:durableId="2149B01E"/>
  <w16cid:commentId w16cid:paraId="192B8DAA" w16cid:durableId="214968DC"/>
  <w16cid:commentId w16cid:paraId="456C7D22" w16cid:durableId="214968DD"/>
  <w16cid:commentId w16cid:paraId="39AACAB1" w16cid:durableId="214968DE"/>
  <w16cid:commentId w16cid:paraId="0D975B21" w16cid:durableId="2149C6D3"/>
  <w16cid:commentId w16cid:paraId="19CF9A9D" w16cid:durableId="214968DF"/>
  <w16cid:commentId w16cid:paraId="071D2C19" w16cid:durableId="214968E0"/>
  <w16cid:commentId w16cid:paraId="3B97F726" w16cid:durableId="2149C676"/>
  <w16cid:commentId w16cid:paraId="4CE9E71B" w16cid:durableId="214968E1"/>
  <w16cid:commentId w16cid:paraId="5F073B86" w16cid:durableId="2149C6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9F646" w14:textId="77777777" w:rsidR="00457F1B" w:rsidRDefault="00457F1B" w:rsidP="003734B1">
      <w:pPr>
        <w:spacing w:after="0" w:line="240" w:lineRule="auto"/>
      </w:pPr>
      <w:r>
        <w:separator/>
      </w:r>
    </w:p>
  </w:endnote>
  <w:endnote w:type="continuationSeparator" w:id="0">
    <w:p w14:paraId="4B244E46" w14:textId="77777777" w:rsidR="00457F1B" w:rsidRDefault="00457F1B" w:rsidP="0037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8E250" w14:textId="2C03A975" w:rsidR="00705646" w:rsidRDefault="00705646">
    <w:pPr>
      <w:pStyle w:val="Footer"/>
      <w:jc w:val="center"/>
    </w:pPr>
    <w:r>
      <w:fldChar w:fldCharType="begin"/>
    </w:r>
    <w:r>
      <w:instrText xml:space="preserve"> PAGE   \* MERGEFORMAT </w:instrText>
    </w:r>
    <w:r>
      <w:fldChar w:fldCharType="separate"/>
    </w:r>
    <w:r w:rsidR="00DD0E80">
      <w:rPr>
        <w:noProof/>
      </w:rPr>
      <w:t>7</w:t>
    </w:r>
    <w:r>
      <w:rPr>
        <w:noProof/>
      </w:rPr>
      <w:fldChar w:fldCharType="end"/>
    </w:r>
  </w:p>
  <w:p w14:paraId="3ACF1162" w14:textId="77777777" w:rsidR="00705646" w:rsidRDefault="00705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FCC8" w14:textId="77777777" w:rsidR="00705646" w:rsidRDefault="00705646">
    <w:pPr>
      <w:pStyle w:val="Footer"/>
      <w:jc w:val="center"/>
    </w:pPr>
    <w:r>
      <w:fldChar w:fldCharType="begin"/>
    </w:r>
    <w:r>
      <w:instrText xml:space="preserve"> PAGE   \* MERGEFORMAT </w:instrText>
    </w:r>
    <w:r>
      <w:fldChar w:fldCharType="separate"/>
    </w:r>
    <w:r>
      <w:rPr>
        <w:noProof/>
      </w:rPr>
      <w:t>1</w:t>
    </w:r>
    <w:r>
      <w:rPr>
        <w:noProof/>
      </w:rPr>
      <w:fldChar w:fldCharType="end"/>
    </w:r>
  </w:p>
  <w:p w14:paraId="17AE6CF6" w14:textId="77777777" w:rsidR="00705646" w:rsidRDefault="00705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34380" w14:textId="77777777" w:rsidR="00457F1B" w:rsidRDefault="00457F1B" w:rsidP="003734B1">
      <w:pPr>
        <w:spacing w:after="0" w:line="240" w:lineRule="auto"/>
      </w:pPr>
      <w:r>
        <w:separator/>
      </w:r>
    </w:p>
  </w:footnote>
  <w:footnote w:type="continuationSeparator" w:id="0">
    <w:p w14:paraId="00B717B4" w14:textId="77777777" w:rsidR="00457F1B" w:rsidRDefault="00457F1B" w:rsidP="003734B1">
      <w:pPr>
        <w:spacing w:after="0" w:line="240" w:lineRule="auto"/>
      </w:pPr>
      <w:r>
        <w:continuationSeparator/>
      </w:r>
    </w:p>
  </w:footnote>
  <w:footnote w:id="1">
    <w:p w14:paraId="71C8D795" w14:textId="32ABB978" w:rsidR="00B25AFD" w:rsidRDefault="00B25AFD">
      <w:pPr>
        <w:pStyle w:val="FootnoteText"/>
      </w:pPr>
      <w:r>
        <w:rPr>
          <w:rStyle w:val="FootnoteReference"/>
        </w:rPr>
        <w:footnoteRef/>
      </w:r>
      <w:r>
        <w:t xml:space="preserve"> </w:t>
      </w:r>
      <w:r w:rsidR="00AE255A">
        <w:t xml:space="preserve">Urban, suburban and rural </w:t>
      </w:r>
      <w:r w:rsidR="00646F8E">
        <w:t>communities</w:t>
      </w:r>
      <w:r w:rsidR="00AE255A">
        <w:t xml:space="preserve"> will be defined based on 2010 </w:t>
      </w:r>
      <w:r w:rsidR="00123008">
        <w:t>United States Census statistics regarding the percentage of residents within the county living in u</w:t>
      </w:r>
      <w:r w:rsidR="009D477D">
        <w:t xml:space="preserve">rban areas. Rural counties </w:t>
      </w:r>
      <w:r w:rsidR="00693DE6">
        <w:t>are</w:t>
      </w:r>
      <w:r w:rsidR="009D477D">
        <w:t xml:space="preserve"> those with less than 20% urban population, suburb</w:t>
      </w:r>
      <w:r w:rsidR="00693DE6">
        <w:t>an counties have 20 to 80% urban populations, and urban counties are those with &gt;80% urban populations.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A1CB8"/>
    <w:multiLevelType w:val="hybridMultilevel"/>
    <w:tmpl w:val="81C6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D56391"/>
    <w:multiLevelType w:val="hybridMultilevel"/>
    <w:tmpl w:val="79BE007C"/>
    <w:lvl w:ilvl="0" w:tplc="ECE80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B1"/>
    <w:rsid w:val="0000460A"/>
    <w:rsid w:val="00014A50"/>
    <w:rsid w:val="000401C2"/>
    <w:rsid w:val="00050079"/>
    <w:rsid w:val="00067ED5"/>
    <w:rsid w:val="00082CA9"/>
    <w:rsid w:val="00092458"/>
    <w:rsid w:val="000941AE"/>
    <w:rsid w:val="000A0ACC"/>
    <w:rsid w:val="000A70AD"/>
    <w:rsid w:val="000B3ED4"/>
    <w:rsid w:val="000B6409"/>
    <w:rsid w:val="000C2A88"/>
    <w:rsid w:val="000D0D65"/>
    <w:rsid w:val="00123008"/>
    <w:rsid w:val="001426B9"/>
    <w:rsid w:val="00146D07"/>
    <w:rsid w:val="00174B9F"/>
    <w:rsid w:val="001934A7"/>
    <w:rsid w:val="00197AE1"/>
    <w:rsid w:val="001A49E8"/>
    <w:rsid w:val="001B171B"/>
    <w:rsid w:val="001B24C1"/>
    <w:rsid w:val="001C111C"/>
    <w:rsid w:val="001C18DB"/>
    <w:rsid w:val="001C245A"/>
    <w:rsid w:val="001E52D9"/>
    <w:rsid w:val="00213E84"/>
    <w:rsid w:val="00216326"/>
    <w:rsid w:val="002212ED"/>
    <w:rsid w:val="002401B8"/>
    <w:rsid w:val="00241AE6"/>
    <w:rsid w:val="002446B3"/>
    <w:rsid w:val="00252FA6"/>
    <w:rsid w:val="0026202D"/>
    <w:rsid w:val="00263DE9"/>
    <w:rsid w:val="00273E4D"/>
    <w:rsid w:val="00282E85"/>
    <w:rsid w:val="00287882"/>
    <w:rsid w:val="00297C57"/>
    <w:rsid w:val="002A634F"/>
    <w:rsid w:val="002A780C"/>
    <w:rsid w:val="002B108C"/>
    <w:rsid w:val="002B7A3C"/>
    <w:rsid w:val="002C5724"/>
    <w:rsid w:val="002E0EAA"/>
    <w:rsid w:val="00300D38"/>
    <w:rsid w:val="00313F93"/>
    <w:rsid w:val="00315F8B"/>
    <w:rsid w:val="00322F4D"/>
    <w:rsid w:val="00356CD4"/>
    <w:rsid w:val="003734B1"/>
    <w:rsid w:val="00377770"/>
    <w:rsid w:val="00377B93"/>
    <w:rsid w:val="00381378"/>
    <w:rsid w:val="003826D3"/>
    <w:rsid w:val="003841ED"/>
    <w:rsid w:val="00397361"/>
    <w:rsid w:val="003B7815"/>
    <w:rsid w:val="003C369C"/>
    <w:rsid w:val="003D232A"/>
    <w:rsid w:val="003E503E"/>
    <w:rsid w:val="00415A9A"/>
    <w:rsid w:val="00425171"/>
    <w:rsid w:val="00436D77"/>
    <w:rsid w:val="004552DD"/>
    <w:rsid w:val="00457F1B"/>
    <w:rsid w:val="0047016E"/>
    <w:rsid w:val="00472A95"/>
    <w:rsid w:val="0047573F"/>
    <w:rsid w:val="0048055E"/>
    <w:rsid w:val="00481E0D"/>
    <w:rsid w:val="004914A0"/>
    <w:rsid w:val="004A1EE0"/>
    <w:rsid w:val="004A665C"/>
    <w:rsid w:val="004C0F1E"/>
    <w:rsid w:val="004D1B18"/>
    <w:rsid w:val="004D6298"/>
    <w:rsid w:val="004E6619"/>
    <w:rsid w:val="004F57ED"/>
    <w:rsid w:val="004F696F"/>
    <w:rsid w:val="00502FB6"/>
    <w:rsid w:val="005270C5"/>
    <w:rsid w:val="005275E6"/>
    <w:rsid w:val="0055016B"/>
    <w:rsid w:val="00553A7D"/>
    <w:rsid w:val="0057178F"/>
    <w:rsid w:val="0058213A"/>
    <w:rsid w:val="00583116"/>
    <w:rsid w:val="005838BE"/>
    <w:rsid w:val="005956C2"/>
    <w:rsid w:val="005B3C7A"/>
    <w:rsid w:val="005C3679"/>
    <w:rsid w:val="005C5244"/>
    <w:rsid w:val="005D3722"/>
    <w:rsid w:val="005D44BF"/>
    <w:rsid w:val="005D5068"/>
    <w:rsid w:val="00613E16"/>
    <w:rsid w:val="0062014F"/>
    <w:rsid w:val="006226C2"/>
    <w:rsid w:val="0062649E"/>
    <w:rsid w:val="00642368"/>
    <w:rsid w:val="006458CC"/>
    <w:rsid w:val="00646488"/>
    <w:rsid w:val="00646F8E"/>
    <w:rsid w:val="006723B9"/>
    <w:rsid w:val="00674103"/>
    <w:rsid w:val="00693DE6"/>
    <w:rsid w:val="00697822"/>
    <w:rsid w:val="006A1CD1"/>
    <w:rsid w:val="006C069B"/>
    <w:rsid w:val="006C4379"/>
    <w:rsid w:val="006C7C9D"/>
    <w:rsid w:val="006D39FA"/>
    <w:rsid w:val="006E0CBF"/>
    <w:rsid w:val="006E0F59"/>
    <w:rsid w:val="006F697A"/>
    <w:rsid w:val="006F739B"/>
    <w:rsid w:val="00705646"/>
    <w:rsid w:val="00723964"/>
    <w:rsid w:val="007305D0"/>
    <w:rsid w:val="00736947"/>
    <w:rsid w:val="007730D3"/>
    <w:rsid w:val="0078406F"/>
    <w:rsid w:val="00792343"/>
    <w:rsid w:val="00795A1D"/>
    <w:rsid w:val="007B5D3C"/>
    <w:rsid w:val="007C1C14"/>
    <w:rsid w:val="007C2DC4"/>
    <w:rsid w:val="007C7647"/>
    <w:rsid w:val="007D2E01"/>
    <w:rsid w:val="007D55C9"/>
    <w:rsid w:val="00827CF7"/>
    <w:rsid w:val="008338E6"/>
    <w:rsid w:val="00854AE3"/>
    <w:rsid w:val="00866DA6"/>
    <w:rsid w:val="00881093"/>
    <w:rsid w:val="008839CC"/>
    <w:rsid w:val="00886E1F"/>
    <w:rsid w:val="008A39CF"/>
    <w:rsid w:val="008D09EE"/>
    <w:rsid w:val="008E0A1A"/>
    <w:rsid w:val="008F16D9"/>
    <w:rsid w:val="008F5C2B"/>
    <w:rsid w:val="00900CA1"/>
    <w:rsid w:val="00902FE1"/>
    <w:rsid w:val="009254C2"/>
    <w:rsid w:val="00931B4D"/>
    <w:rsid w:val="009428C1"/>
    <w:rsid w:val="00952399"/>
    <w:rsid w:val="009552A8"/>
    <w:rsid w:val="009711A0"/>
    <w:rsid w:val="00973B94"/>
    <w:rsid w:val="0099310F"/>
    <w:rsid w:val="00996A77"/>
    <w:rsid w:val="009A4115"/>
    <w:rsid w:val="009D4576"/>
    <w:rsid w:val="009D477D"/>
    <w:rsid w:val="009E3496"/>
    <w:rsid w:val="00A01F45"/>
    <w:rsid w:val="00A33866"/>
    <w:rsid w:val="00A33928"/>
    <w:rsid w:val="00A70D77"/>
    <w:rsid w:val="00A76ACF"/>
    <w:rsid w:val="00A77748"/>
    <w:rsid w:val="00A82EB9"/>
    <w:rsid w:val="00AA6A9E"/>
    <w:rsid w:val="00AC288C"/>
    <w:rsid w:val="00AC78E9"/>
    <w:rsid w:val="00AD3B1D"/>
    <w:rsid w:val="00AE1734"/>
    <w:rsid w:val="00AE255A"/>
    <w:rsid w:val="00B04E04"/>
    <w:rsid w:val="00B07CF7"/>
    <w:rsid w:val="00B11A40"/>
    <w:rsid w:val="00B11D73"/>
    <w:rsid w:val="00B228DB"/>
    <w:rsid w:val="00B25AFD"/>
    <w:rsid w:val="00B3220C"/>
    <w:rsid w:val="00B42EB3"/>
    <w:rsid w:val="00B65E72"/>
    <w:rsid w:val="00B82A0A"/>
    <w:rsid w:val="00BA0536"/>
    <w:rsid w:val="00BB3006"/>
    <w:rsid w:val="00BB6BF0"/>
    <w:rsid w:val="00BC6BA2"/>
    <w:rsid w:val="00BD32B3"/>
    <w:rsid w:val="00BE5B66"/>
    <w:rsid w:val="00BE79BF"/>
    <w:rsid w:val="00BF137C"/>
    <w:rsid w:val="00C020B6"/>
    <w:rsid w:val="00C16A42"/>
    <w:rsid w:val="00C218EB"/>
    <w:rsid w:val="00C406EF"/>
    <w:rsid w:val="00C43407"/>
    <w:rsid w:val="00C4597C"/>
    <w:rsid w:val="00C5322F"/>
    <w:rsid w:val="00C55058"/>
    <w:rsid w:val="00C6476A"/>
    <w:rsid w:val="00C665E8"/>
    <w:rsid w:val="00C76F43"/>
    <w:rsid w:val="00CA7AE2"/>
    <w:rsid w:val="00CC027C"/>
    <w:rsid w:val="00CC4BC2"/>
    <w:rsid w:val="00CD3B27"/>
    <w:rsid w:val="00D017CC"/>
    <w:rsid w:val="00D05B17"/>
    <w:rsid w:val="00D255F7"/>
    <w:rsid w:val="00D31B2F"/>
    <w:rsid w:val="00D51D7D"/>
    <w:rsid w:val="00D554A7"/>
    <w:rsid w:val="00D6294E"/>
    <w:rsid w:val="00D64BB7"/>
    <w:rsid w:val="00D71FB1"/>
    <w:rsid w:val="00D915F8"/>
    <w:rsid w:val="00DA6FCD"/>
    <w:rsid w:val="00DB0551"/>
    <w:rsid w:val="00DB1206"/>
    <w:rsid w:val="00DB5BC1"/>
    <w:rsid w:val="00DC1213"/>
    <w:rsid w:val="00DC5B81"/>
    <w:rsid w:val="00DD0E80"/>
    <w:rsid w:val="00DD1C3F"/>
    <w:rsid w:val="00DE4579"/>
    <w:rsid w:val="00DF0FFE"/>
    <w:rsid w:val="00DF4CB1"/>
    <w:rsid w:val="00DF578C"/>
    <w:rsid w:val="00E1236F"/>
    <w:rsid w:val="00E12A79"/>
    <w:rsid w:val="00E21A1E"/>
    <w:rsid w:val="00E33742"/>
    <w:rsid w:val="00E40E62"/>
    <w:rsid w:val="00E4352E"/>
    <w:rsid w:val="00E459CF"/>
    <w:rsid w:val="00E610EE"/>
    <w:rsid w:val="00E658F1"/>
    <w:rsid w:val="00E73CE9"/>
    <w:rsid w:val="00E80A74"/>
    <w:rsid w:val="00E913E6"/>
    <w:rsid w:val="00EB1340"/>
    <w:rsid w:val="00EC40C2"/>
    <w:rsid w:val="00EC4F8D"/>
    <w:rsid w:val="00EC7D4E"/>
    <w:rsid w:val="00EE32AB"/>
    <w:rsid w:val="00EF214A"/>
    <w:rsid w:val="00F12F3E"/>
    <w:rsid w:val="00F15C0D"/>
    <w:rsid w:val="00F16DFF"/>
    <w:rsid w:val="00F25EAC"/>
    <w:rsid w:val="00F30447"/>
    <w:rsid w:val="00F376C4"/>
    <w:rsid w:val="00F446C6"/>
    <w:rsid w:val="00F50383"/>
    <w:rsid w:val="00F523FB"/>
    <w:rsid w:val="00F538BF"/>
    <w:rsid w:val="00F76CF0"/>
    <w:rsid w:val="00F865B6"/>
    <w:rsid w:val="00F92C9E"/>
    <w:rsid w:val="00FA0615"/>
    <w:rsid w:val="00FB5CB0"/>
    <w:rsid w:val="00FC18F9"/>
    <w:rsid w:val="00FC3B23"/>
    <w:rsid w:val="00FD4F8E"/>
    <w:rsid w:val="00FD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ECD7"/>
  <w15:docId w15:val="{93AF164D-FA47-4C5B-A86D-A8E08469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734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34B1"/>
  </w:style>
  <w:style w:type="character" w:styleId="Hyperlink">
    <w:name w:val="Hyperlink"/>
    <w:uiPriority w:val="99"/>
    <w:unhideWhenUsed/>
    <w:rsid w:val="003734B1"/>
    <w:rPr>
      <w:color w:val="0000FF"/>
      <w:u w:val="single"/>
    </w:rPr>
  </w:style>
  <w:style w:type="paragraph" w:styleId="FootnoteText">
    <w:name w:val="footnote text"/>
    <w:basedOn w:val="Normal"/>
    <w:link w:val="FootnoteTextChar"/>
    <w:uiPriority w:val="99"/>
    <w:rsid w:val="003734B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734B1"/>
    <w:rPr>
      <w:rFonts w:ascii="Times New Roman" w:eastAsia="Times New Roman" w:hAnsi="Times New Roman" w:cs="Times New Roman"/>
      <w:sz w:val="20"/>
      <w:szCs w:val="20"/>
    </w:rPr>
  </w:style>
  <w:style w:type="character" w:styleId="FootnoteReference">
    <w:name w:val="footnote reference"/>
    <w:uiPriority w:val="99"/>
    <w:rsid w:val="003734B1"/>
    <w:rPr>
      <w:rFonts w:cs="Times New Roman"/>
      <w:vertAlign w:val="superscript"/>
    </w:rPr>
  </w:style>
  <w:style w:type="paragraph" w:styleId="ListParagraph">
    <w:name w:val="List Paragraph"/>
    <w:basedOn w:val="Normal"/>
    <w:uiPriority w:val="34"/>
    <w:qFormat/>
    <w:rsid w:val="002E0EAA"/>
    <w:pPr>
      <w:ind w:left="720"/>
      <w:contextualSpacing/>
    </w:pPr>
  </w:style>
  <w:style w:type="paragraph" w:styleId="BalloonText">
    <w:name w:val="Balloon Text"/>
    <w:basedOn w:val="Normal"/>
    <w:link w:val="BalloonTextChar"/>
    <w:uiPriority w:val="99"/>
    <w:semiHidden/>
    <w:unhideWhenUsed/>
    <w:rsid w:val="00BD3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B3"/>
    <w:rPr>
      <w:rFonts w:ascii="Segoe UI" w:hAnsi="Segoe UI" w:cs="Segoe UI"/>
      <w:sz w:val="18"/>
      <w:szCs w:val="18"/>
    </w:rPr>
  </w:style>
  <w:style w:type="character" w:styleId="CommentReference">
    <w:name w:val="annotation reference"/>
    <w:basedOn w:val="DefaultParagraphFont"/>
    <w:uiPriority w:val="99"/>
    <w:semiHidden/>
    <w:unhideWhenUsed/>
    <w:rsid w:val="000A70AD"/>
    <w:rPr>
      <w:sz w:val="16"/>
      <w:szCs w:val="16"/>
    </w:rPr>
  </w:style>
  <w:style w:type="paragraph" w:styleId="CommentText">
    <w:name w:val="annotation text"/>
    <w:basedOn w:val="Normal"/>
    <w:link w:val="CommentTextChar"/>
    <w:uiPriority w:val="99"/>
    <w:unhideWhenUsed/>
    <w:rsid w:val="000A70AD"/>
    <w:pPr>
      <w:spacing w:line="240" w:lineRule="auto"/>
    </w:pPr>
    <w:rPr>
      <w:sz w:val="20"/>
      <w:szCs w:val="20"/>
    </w:rPr>
  </w:style>
  <w:style w:type="character" w:customStyle="1" w:styleId="CommentTextChar">
    <w:name w:val="Comment Text Char"/>
    <w:basedOn w:val="DefaultParagraphFont"/>
    <w:link w:val="CommentText"/>
    <w:uiPriority w:val="99"/>
    <w:rsid w:val="000A70AD"/>
    <w:rPr>
      <w:sz w:val="20"/>
      <w:szCs w:val="20"/>
    </w:rPr>
  </w:style>
  <w:style w:type="paragraph" w:styleId="CommentSubject">
    <w:name w:val="annotation subject"/>
    <w:basedOn w:val="CommentText"/>
    <w:next w:val="CommentText"/>
    <w:link w:val="CommentSubjectChar"/>
    <w:uiPriority w:val="99"/>
    <w:semiHidden/>
    <w:unhideWhenUsed/>
    <w:rsid w:val="000A70AD"/>
    <w:rPr>
      <w:b/>
      <w:bCs/>
    </w:rPr>
  </w:style>
  <w:style w:type="character" w:customStyle="1" w:styleId="CommentSubjectChar">
    <w:name w:val="Comment Subject Char"/>
    <w:basedOn w:val="CommentTextChar"/>
    <w:link w:val="CommentSubject"/>
    <w:uiPriority w:val="99"/>
    <w:semiHidden/>
    <w:rsid w:val="000A70AD"/>
    <w:rPr>
      <w:b/>
      <w:bCs/>
      <w:sz w:val="20"/>
      <w:szCs w:val="20"/>
    </w:rPr>
  </w:style>
  <w:style w:type="paragraph" w:styleId="Caption">
    <w:name w:val="caption"/>
    <w:basedOn w:val="Normal"/>
    <w:next w:val="Normal"/>
    <w:uiPriority w:val="35"/>
    <w:unhideWhenUsed/>
    <w:qFormat/>
    <w:rsid w:val="00E1236F"/>
    <w:pPr>
      <w:spacing w:after="200" w:line="240" w:lineRule="auto"/>
    </w:pPr>
    <w:rPr>
      <w:i/>
      <w:iCs/>
      <w:color w:val="44546A" w:themeColor="text2"/>
      <w:sz w:val="18"/>
      <w:szCs w:val="18"/>
    </w:rPr>
  </w:style>
  <w:style w:type="table" w:styleId="TableGrid">
    <w:name w:val="Table Grid"/>
    <w:basedOn w:val="TableNormal"/>
    <w:uiPriority w:val="39"/>
    <w:rsid w:val="006F7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2F3E"/>
    <w:pPr>
      <w:spacing w:after="0" w:line="240" w:lineRule="auto"/>
    </w:pPr>
  </w:style>
  <w:style w:type="character" w:customStyle="1" w:styleId="UnresolvedMention">
    <w:name w:val="Unresolved Mention"/>
    <w:basedOn w:val="DefaultParagraphFont"/>
    <w:uiPriority w:val="99"/>
    <w:semiHidden/>
    <w:unhideWhenUsed/>
    <w:rsid w:val="00481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585648790">
      <w:bodyDiv w:val="1"/>
      <w:marLeft w:val="0"/>
      <w:marRight w:val="0"/>
      <w:marTop w:val="0"/>
      <w:marBottom w:val="0"/>
      <w:divBdr>
        <w:top w:val="none" w:sz="0" w:space="0" w:color="auto"/>
        <w:left w:val="none" w:sz="0" w:space="0" w:color="auto"/>
        <w:bottom w:val="none" w:sz="0" w:space="0" w:color="auto"/>
        <w:right w:val="none" w:sz="0" w:space="0" w:color="auto"/>
      </w:divBdr>
      <w:divsChild>
        <w:div w:id="627667049">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608003716">
      <w:bodyDiv w:val="1"/>
      <w:marLeft w:val="0"/>
      <w:marRight w:val="0"/>
      <w:marTop w:val="0"/>
      <w:marBottom w:val="0"/>
      <w:divBdr>
        <w:top w:val="none" w:sz="0" w:space="0" w:color="auto"/>
        <w:left w:val="none" w:sz="0" w:space="0" w:color="auto"/>
        <w:bottom w:val="none" w:sz="0" w:space="0" w:color="auto"/>
        <w:right w:val="none" w:sz="0" w:space="0" w:color="auto"/>
      </w:divBdr>
    </w:div>
    <w:div w:id="20602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sheries.noaa.gov/feature-story/fisheries-united-states-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alytictech.com/networks/egonet.htm"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9/SocialCom-PASSAT.2012.4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isheries.noaa.gov/content/fisheries-economics-united-states-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4391-4B91-4628-B70A-DE391BF2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Sheleen (Federal)</dc:creator>
  <cp:keywords/>
  <dc:description/>
  <cp:lastModifiedBy>Adrienne Thomas</cp:lastModifiedBy>
  <cp:revision>2</cp:revision>
  <dcterms:created xsi:type="dcterms:W3CDTF">2020-02-15T22:19:00Z</dcterms:created>
  <dcterms:modified xsi:type="dcterms:W3CDTF">2020-02-15T22:19:00Z</dcterms:modified>
</cp:coreProperties>
</file>