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A" w:rsidP="00243BAE" w:rsidRDefault="00364051" w14:paraId="01798217" w14:textId="77777777">
      <w:pPr>
        <w:pStyle w:val="Heading2"/>
        <w:tabs>
          <w:tab w:val="left" w:pos="900"/>
        </w:tabs>
        <w:ind w:right="-180"/>
        <w:rPr>
          <w:sz w:val="28"/>
        </w:rPr>
      </w:pPr>
      <w:r>
        <w:rPr>
          <w:sz w:val="28"/>
        </w:rPr>
        <w:t>FDA</w:t>
      </w:r>
      <w:r w:rsidR="00243BAE">
        <w:rPr>
          <w:sz w:val="28"/>
        </w:rPr>
        <w:t xml:space="preserve"> </w:t>
      </w:r>
      <w:r w:rsidR="003F1C7A">
        <w:rPr>
          <w:sz w:val="28"/>
        </w:rPr>
        <w:t>DOCUMENTATION FOR THE GENERIC CLEARANCE</w:t>
      </w:r>
    </w:p>
    <w:p w:rsidR="003F1C7A" w:rsidRDefault="003F1C7A" w14:paraId="2D805F4F" w14:textId="280C833A">
      <w:pPr>
        <w:jc w:val="center"/>
      </w:pPr>
      <w:r>
        <w:rPr>
          <w:b/>
          <w:sz w:val="28"/>
        </w:rPr>
        <w:t xml:space="preserve">OF </w:t>
      </w:r>
      <w:r w:rsidR="00F12AEE">
        <w:rPr>
          <w:b/>
          <w:sz w:val="28"/>
        </w:rPr>
        <w:t>FOCUS GROUPS</w:t>
      </w:r>
      <w:r w:rsidR="000F2F28">
        <w:rPr>
          <w:b/>
          <w:sz w:val="28"/>
        </w:rPr>
        <w:t xml:space="preserve"> (</w:t>
      </w:r>
      <w:r w:rsidR="00A843A4">
        <w:rPr>
          <w:b/>
          <w:sz w:val="28"/>
        </w:rPr>
        <w:t>0910</w:t>
      </w:r>
      <w:r w:rsidRPr="003B34D4" w:rsidR="003B34D4">
        <w:rPr>
          <w:b/>
          <w:sz w:val="28"/>
        </w:rPr>
        <w:t>-</w:t>
      </w:r>
      <w:r w:rsidR="00A843A4">
        <w:rPr>
          <w:b/>
          <w:sz w:val="28"/>
        </w:rPr>
        <w:t>0497</w:t>
      </w:r>
      <w:r w:rsidR="000F2F28">
        <w:rPr>
          <w:b/>
          <w:sz w:val="28"/>
        </w:rPr>
        <w:t>)</w:t>
      </w:r>
    </w:p>
    <w:p w:rsidR="003F1C7A" w:rsidRDefault="00043795" w14:paraId="30D520F5" w14:textId="77777777">
      <w:r>
        <w:rPr>
          <w:noProof/>
          <w:sz w:val="18"/>
          <w:szCs w:val="18"/>
        </w:rPr>
        <mc:AlternateContent>
          <mc:Choice Requires="wps">
            <w:drawing>
              <wp:anchor distT="0" distB="0" distL="114300" distR="114300" simplePos="0" relativeHeight="251658240" behindDoc="0" locked="0" layoutInCell="1" allowOverlap="1" wp14:editId="070EF6D5" wp14:anchorId="56BF6192">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05396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Pr="008D2DA3" w:rsidR="003F1C7A" w:rsidRDefault="009404FA" w14:paraId="7B5E3260" w14:textId="77777777">
      <w:pPr>
        <w:rPr>
          <w:sz w:val="20"/>
          <w:szCs w:val="20"/>
        </w:rPr>
      </w:pPr>
      <w:r w:rsidRPr="008D2DA3">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BC1C35" w:rsidP="005E23BA" w:rsidRDefault="00BC1C35" w14:paraId="2C95AD8F" w14:textId="77777777">
      <w:pPr>
        <w:spacing w:before="120"/>
        <w:rPr>
          <w:b/>
        </w:rPr>
      </w:pPr>
    </w:p>
    <w:p w:rsidR="008D2DA3" w:rsidP="005E23BA" w:rsidRDefault="003F1C7A" w14:paraId="3AA3D957" w14:textId="77777777">
      <w:pPr>
        <w:spacing w:before="120"/>
      </w:pPr>
      <w:r>
        <w:rPr>
          <w:b/>
        </w:rPr>
        <w:t>TITLE OF INFORMATION COLLECTION:</w:t>
      </w:r>
      <w:r>
        <w:t xml:space="preserve">  </w:t>
      </w:r>
    </w:p>
    <w:p w:rsidRPr="005E4981" w:rsidR="00734ECE" w:rsidP="008D2DA3" w:rsidRDefault="00C952A0" w14:paraId="5B853FB4" w14:textId="6CD1B09F">
      <w:pPr>
        <w:spacing w:before="120"/>
        <w:ind w:left="360"/>
      </w:pPr>
      <w:bookmarkStart w:name="_Hlk34749141" w:id="0"/>
      <w:r>
        <w:t>End-User Testing Associated with the “Pregnancy and Lactation Labeling Rule” to Improve Health Communications and Prescribing Decisions in Pregnant Women</w:t>
      </w:r>
    </w:p>
    <w:bookmarkEnd w:id="0"/>
    <w:p w:rsidR="003F1C7A" w:rsidRDefault="003F1C7A" w14:paraId="322BF4F1" w14:textId="77777777"/>
    <w:p w:rsidR="003F1C7A" w:rsidRDefault="003F1C7A" w14:paraId="5B60A0DC" w14:textId="77777777">
      <w:pPr>
        <w:spacing w:after="120"/>
      </w:pPr>
      <w:r>
        <w:rPr>
          <w:b/>
        </w:rPr>
        <w:t>DESCRIPTION OF THIS SPECIFIC COLLECTION</w:t>
      </w:r>
      <w:r>
        <w:t xml:space="preserve"> </w:t>
      </w:r>
    </w:p>
    <w:p w:rsidR="003F1C7A" w:rsidP="00A843A4" w:rsidRDefault="0049419A" w14:paraId="2507F390" w14:textId="77777777">
      <w:pPr>
        <w:numPr>
          <w:ilvl w:val="0"/>
          <w:numId w:val="15"/>
        </w:numPr>
        <w:tabs>
          <w:tab w:val="clear" w:pos="1296"/>
          <w:tab w:val="num" w:pos="720"/>
        </w:tabs>
        <w:spacing w:after="120"/>
        <w:ind w:left="360" w:firstLine="0"/>
      </w:pPr>
      <w:r>
        <w:rPr>
          <w:b/>
        </w:rPr>
        <w:t>Statement of n</w:t>
      </w:r>
      <w:r w:rsidR="00F12AEE">
        <w:rPr>
          <w:b/>
        </w:rPr>
        <w:t>eed</w:t>
      </w:r>
      <w:r w:rsidRPr="00E26798" w:rsidR="003F1C7A">
        <w:rPr>
          <w:b/>
        </w:rPr>
        <w:t>:</w:t>
      </w:r>
      <w:r w:rsidR="003F1C7A">
        <w:t xml:space="preserve">  </w:t>
      </w:r>
    </w:p>
    <w:p w:rsidR="0040798D" w:rsidP="00A843A4" w:rsidRDefault="0097005F" w14:paraId="3D179469" w14:textId="6BBB44E4">
      <w:pPr>
        <w:spacing w:before="120"/>
        <w:ind w:left="360"/>
      </w:pPr>
      <w:r>
        <w:t xml:space="preserve">The Food and Drug Administration (FDA), Center for </w:t>
      </w:r>
      <w:r w:rsidR="002566C9">
        <w:t xml:space="preserve">Drug and Evaluation Research (CDER) and Center for Biologics Evaluation and Research (CBER) </w:t>
      </w:r>
      <w:r>
        <w:t xml:space="preserve">is seeking OMB approval </w:t>
      </w:r>
      <w:r w:rsidR="002566C9">
        <w:t xml:space="preserve">under the generic clearance </w:t>
      </w:r>
      <w:r w:rsidR="00A843A4">
        <w:t>0910-0497</w:t>
      </w:r>
      <w:r w:rsidRPr="003B34D4" w:rsidR="003B34D4">
        <w:t xml:space="preserve"> </w:t>
      </w:r>
      <w:r>
        <w:t xml:space="preserve">to conduct </w:t>
      </w:r>
      <w:r w:rsidR="000E0CDB">
        <w:t xml:space="preserve">a </w:t>
      </w:r>
      <w:r>
        <w:t>focus group stud</w:t>
      </w:r>
      <w:r w:rsidR="000E0CDB">
        <w:t>y</w:t>
      </w:r>
      <w:r>
        <w:t>, “</w:t>
      </w:r>
      <w:r w:rsidR="00C952A0">
        <w:t xml:space="preserve">End-User Testing Associated with the “Pregnancy and Lactation Labeling Rule” </w:t>
      </w:r>
      <w:r w:rsidR="002566C9">
        <w:t>to Improve Health Communications and Prescribing Decisions in Pregnant Women</w:t>
      </w:r>
      <w:r w:rsidR="00834F94">
        <w:t>.</w:t>
      </w:r>
      <w:r w:rsidR="000E0CDB">
        <w:t>”</w:t>
      </w:r>
      <w:r w:rsidR="00834F94">
        <w:t xml:space="preserve"> </w:t>
      </w:r>
      <w:r w:rsidR="00F34CB2">
        <w:t xml:space="preserve"> </w:t>
      </w:r>
      <w:r w:rsidR="00834F94">
        <w:t>The objective of this study is to</w:t>
      </w:r>
      <w:r w:rsidRPr="00834F94" w:rsidR="00834F94">
        <w:t xml:space="preserve"> </w:t>
      </w:r>
      <w:r w:rsidR="00834F94">
        <w:t>collect qualitative information</w:t>
      </w:r>
      <w:r w:rsidRPr="00834F94" w:rsidR="00834F94">
        <w:rPr>
          <w:rFonts w:eastAsia="Calibri"/>
          <w:sz w:val="22"/>
          <w:szCs w:val="22"/>
        </w:rPr>
        <w:t xml:space="preserve"> </w:t>
      </w:r>
      <w:r w:rsidRPr="00834F94" w:rsidR="00834F94">
        <w:t xml:space="preserve">from </w:t>
      </w:r>
      <w:r w:rsidR="002566C9">
        <w:t>health care p</w:t>
      </w:r>
      <w:r w:rsidR="00D8660D">
        <w:t xml:space="preserve">rofessionals </w:t>
      </w:r>
      <w:r w:rsidR="000C29BA">
        <w:t>(</w:t>
      </w:r>
      <w:r w:rsidR="00146D0A">
        <w:t>HCPs)</w:t>
      </w:r>
      <w:r w:rsidRPr="00834F94" w:rsidR="00834F94">
        <w:t xml:space="preserve"> </w:t>
      </w:r>
      <w:r w:rsidR="002566C9">
        <w:t>to obtain their feedback about effective risk messaging in the Pregnancy subsection of the Pregnancy and Labeling Lactation Rule (PLLR) labeling</w:t>
      </w:r>
      <w:r w:rsidR="00C50074">
        <w:t xml:space="preserve">, as well as examining their reactions to </w:t>
      </w:r>
      <w:r w:rsidR="002566C9">
        <w:t>an infographic designed to supplement information offered in the Pregnancy subsection</w:t>
      </w:r>
      <w:r w:rsidR="00C50074">
        <w:t xml:space="preserve">. </w:t>
      </w:r>
    </w:p>
    <w:p w:rsidR="0013026B" w:rsidP="00593512" w:rsidRDefault="0013026B" w14:paraId="2125DA4C" w14:textId="4F599047">
      <w:pPr>
        <w:contextualSpacing/>
      </w:pPr>
      <w:bookmarkStart w:name="OLE_LINK1" w:id="1"/>
      <w:bookmarkStart w:name="OLE_LINK2" w:id="2"/>
    </w:p>
    <w:p w:rsidR="00383D2F" w:rsidP="00B82761" w:rsidRDefault="00593512" w14:paraId="236B72E4" w14:textId="32718190">
      <w:pPr>
        <w:ind w:left="360"/>
        <w:contextualSpacing/>
      </w:pPr>
      <w:r>
        <w:t>To help inform HCPs about the impacts prescription drugs may have on pregnancy, the FDA requires specific labeling on prescription drugs. The current regulation, the PLLR, became effective June 30, 2015.</w:t>
      </w:r>
      <w:r w:rsidR="00383D2F">
        <w:t xml:space="preserve"> </w:t>
      </w:r>
      <w:r>
        <w:t xml:space="preserve">PLLR aims to assist HCPs in counseling patients to make informed medical decisions when using </w:t>
      </w:r>
      <w:r w:rsidR="00056613">
        <w:t xml:space="preserve">a prescription </w:t>
      </w:r>
      <w:r>
        <w:t xml:space="preserve">product during pregnancy. However, risk communication when there are limited data coupled with uncertainty presents a significant challenge. </w:t>
      </w:r>
      <w:r w:rsidR="00383D2F">
        <w:t xml:space="preserve">A recent study found a majority of participants thought </w:t>
      </w:r>
      <w:r w:rsidR="00056613">
        <w:t xml:space="preserve">PLLR </w:t>
      </w:r>
      <w:r w:rsidR="00383D2F">
        <w:t>labeling was “unhelpful” and less than half said it was not “clear.”</w:t>
      </w:r>
      <w:r w:rsidR="00383D2F">
        <w:rPr>
          <w:rStyle w:val="FootnoteReference"/>
        </w:rPr>
        <w:footnoteReference w:id="2"/>
      </w:r>
      <w:r w:rsidR="00B16E3E">
        <w:t xml:space="preserve"> Other recent research has found that HCPs hold divergent understandings of the purpose, content, and evidence used in</w:t>
      </w:r>
      <w:r w:rsidR="00711099">
        <w:t xml:space="preserve"> vaccine</w:t>
      </w:r>
      <w:r w:rsidR="00B16E3E">
        <w:t xml:space="preserve"> labeling</w:t>
      </w:r>
      <w:r w:rsidR="00711099">
        <w:t xml:space="preserve"> for pregnant women</w:t>
      </w:r>
      <w:r w:rsidR="00B16E3E">
        <w:t>.</w:t>
      </w:r>
      <w:r w:rsidR="00B16E3E">
        <w:rPr>
          <w:rStyle w:val="FootnoteReference"/>
        </w:rPr>
        <w:footnoteReference w:id="3"/>
      </w:r>
    </w:p>
    <w:p w:rsidR="00383D2F" w:rsidP="00B82761" w:rsidRDefault="00383D2F" w14:paraId="466FD61C" w14:textId="77777777">
      <w:pPr>
        <w:ind w:left="360"/>
        <w:contextualSpacing/>
      </w:pPr>
    </w:p>
    <w:p w:rsidR="00593512" w:rsidP="00383D2F" w:rsidRDefault="00593512" w14:paraId="54AEC91D" w14:textId="4EB9CDF5">
      <w:pPr>
        <w:ind w:left="360"/>
        <w:contextualSpacing/>
      </w:pPr>
      <w:r>
        <w:t xml:space="preserve">There is minimal published literature on best practices in risk communication in prescription product labeling. Similarly, no published literature exists on best practices regarding graphical representations to convey limitations or risk uncertainty in labeling. FDA proposes to identify best approaches for risk messaging in PLLR subsections of labeling. Findings from the HCP focus groups will provide input into the major themes and gaps in HCP perceptions, interpretations, and understandings of risk messaging in labeling. </w:t>
      </w:r>
    </w:p>
    <w:p w:rsidR="00A436BF" w:rsidP="00383D2F" w:rsidRDefault="00A436BF" w14:paraId="491F1096" w14:textId="682760A4">
      <w:pPr>
        <w:ind w:left="360"/>
        <w:contextualSpacing/>
      </w:pPr>
    </w:p>
    <w:p w:rsidR="00A436BF" w:rsidP="00383D2F" w:rsidRDefault="00A436BF" w14:paraId="49B357C2" w14:textId="5E2C66A4">
      <w:pPr>
        <w:ind w:left="360"/>
        <w:contextualSpacing/>
      </w:pPr>
      <w:r>
        <w:lastRenderedPageBreak/>
        <w:t xml:space="preserve">The </w:t>
      </w:r>
      <w:r w:rsidR="00C51A02">
        <w:t xml:space="preserve">Wave I </w:t>
      </w:r>
      <w:r>
        <w:t xml:space="preserve">focus groups </w:t>
      </w:r>
      <w:r w:rsidR="00F4169F">
        <w:t xml:space="preserve">described in this memo </w:t>
      </w:r>
      <w:r>
        <w:t xml:space="preserve">will be followed by a second </w:t>
      </w:r>
      <w:r w:rsidR="00F4169F">
        <w:t>w</w:t>
      </w:r>
      <w:r>
        <w:t>ave of focus groups</w:t>
      </w:r>
      <w:r w:rsidR="00F4169F">
        <w:t xml:space="preserve"> to be conducted in fiscal year 2021</w:t>
      </w:r>
      <w:r w:rsidR="00C51A02">
        <w:t>. The second wave</w:t>
      </w:r>
      <w:r>
        <w:t xml:space="preserve"> will explore</w:t>
      </w:r>
      <w:r w:rsidR="00F4169F">
        <w:t xml:space="preserve"> best approaches for risk messaging in PLLR subsections of labeling with </w:t>
      </w:r>
      <w:r w:rsidR="00D77A2A">
        <w:t xml:space="preserve">nurse midwives, </w:t>
      </w:r>
      <w:r w:rsidR="00F4169F">
        <w:t>nurse practitioners</w:t>
      </w:r>
      <w:r w:rsidR="00D77A2A">
        <w:t>, pharmacists,</w:t>
      </w:r>
      <w:r w:rsidR="00F4169F">
        <w:t xml:space="preserve"> and physician assistants. We will seek a separate OMB review for Wave II.</w:t>
      </w:r>
    </w:p>
    <w:bookmarkEnd w:id="1"/>
    <w:bookmarkEnd w:id="2"/>
    <w:p w:rsidR="007A4331" w:rsidP="00A97438" w:rsidRDefault="007A4331" w14:paraId="6CE66D73" w14:textId="77777777">
      <w:pPr>
        <w:jc w:val="both"/>
      </w:pPr>
    </w:p>
    <w:p w:rsidR="00B82761" w:rsidP="00202E56" w:rsidRDefault="0049419A" w14:paraId="6431F47B" w14:textId="49BD6D77">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rsidR="00202E56" w:rsidP="00202E56" w:rsidRDefault="00202E56" w14:paraId="031D5004" w14:textId="77777777">
      <w:pPr>
        <w:ind w:left="720"/>
      </w:pPr>
    </w:p>
    <w:p w:rsidR="00121F34" w:rsidP="00121F34" w:rsidRDefault="00121F34" w14:paraId="302034F6" w14:textId="0DDA3314">
      <w:pPr>
        <w:ind w:left="360"/>
      </w:pPr>
      <w:r>
        <w:t>Information from the focus groups will be used to ass</w:t>
      </w:r>
      <w:r w:rsidR="00D8660D">
        <w:t>ess HCPs</w:t>
      </w:r>
      <w:r w:rsidR="004D736A">
        <w:t>’</w:t>
      </w:r>
      <w:r>
        <w:t xml:space="preserve"> understanding of a modified PLLR labeling approach (plain language text, quick-take summaries, and infographics) intended to facilitate use of labeling information, and to identify gaps in communication of the risk message in PLLR </w:t>
      </w:r>
      <w:r w:rsidR="00D8625B">
        <w:t xml:space="preserve">labeling. Specific </w:t>
      </w:r>
      <w:r>
        <w:t>study</w:t>
      </w:r>
      <w:r w:rsidR="00D8625B">
        <w:t xml:space="preserve"> endpoints</w:t>
      </w:r>
      <w:r>
        <w:t xml:space="preserve"> include:</w:t>
      </w:r>
    </w:p>
    <w:p w:rsidR="00121F34" w:rsidP="00121F34" w:rsidRDefault="00121F34" w14:paraId="1F2CBD54" w14:textId="4B85EEC2">
      <w:pPr>
        <w:ind w:left="360"/>
      </w:pPr>
    </w:p>
    <w:p w:rsidR="00121F34" w:rsidP="00121F34" w:rsidRDefault="00121F34" w14:paraId="6C255EF1" w14:textId="2E1568D3">
      <w:pPr>
        <w:ind w:left="360"/>
      </w:pPr>
      <w:r>
        <w:t>Primary endpoints:</w:t>
      </w:r>
    </w:p>
    <w:p w:rsidR="00121F34" w:rsidP="00121F34" w:rsidRDefault="00121F34" w14:paraId="5C588506" w14:textId="77777777">
      <w:pPr>
        <w:pStyle w:val="ListParagraph"/>
        <w:numPr>
          <w:ilvl w:val="0"/>
          <w:numId w:val="23"/>
        </w:numPr>
      </w:pPr>
      <w:r>
        <w:t>Identify and detail major themes that arise as prescribers interpret the risk message based on the PLLR labeling test materials</w:t>
      </w:r>
    </w:p>
    <w:p w:rsidR="00121F34" w:rsidP="00121F34" w:rsidRDefault="00121F34" w14:paraId="4AF41B6F" w14:textId="45D2F786">
      <w:pPr>
        <w:pStyle w:val="ListParagraph"/>
        <w:numPr>
          <w:ilvl w:val="0"/>
          <w:numId w:val="23"/>
        </w:numPr>
      </w:pPr>
      <w:r>
        <w:t>Identify and describe gaps in HCP perceptions of the risk message presented in the PLLR labeling test materials</w:t>
      </w:r>
    </w:p>
    <w:p w:rsidR="00121F34" w:rsidP="00121F34" w:rsidRDefault="00121F34" w14:paraId="11CD4C84" w14:textId="09D1B194">
      <w:pPr>
        <w:pStyle w:val="ListParagraph"/>
        <w:numPr>
          <w:ilvl w:val="0"/>
          <w:numId w:val="23"/>
        </w:numPr>
      </w:pPr>
      <w:r>
        <w:t>Evaluate the messaging and comprehension of nonclinical data as it relates to clinical decision-making</w:t>
      </w:r>
    </w:p>
    <w:p w:rsidR="00D8625B" w:rsidP="00D8625B" w:rsidRDefault="00D8625B" w14:paraId="4C963A3B" w14:textId="77777777">
      <w:pPr>
        <w:pStyle w:val="ListParagraph"/>
        <w:ind w:left="1080"/>
      </w:pPr>
    </w:p>
    <w:p w:rsidR="00121F34" w:rsidP="00121F34" w:rsidRDefault="00121F34" w14:paraId="0BFD199B" w14:textId="07560045">
      <w:pPr>
        <w:ind w:left="360"/>
      </w:pPr>
      <w:r>
        <w:t>Secondary endpoints:</w:t>
      </w:r>
    </w:p>
    <w:p w:rsidR="00121F34" w:rsidP="00121F34" w:rsidRDefault="00686512" w14:paraId="07CC04E3" w14:textId="2539AC64">
      <w:pPr>
        <w:pStyle w:val="ListParagraph"/>
        <w:numPr>
          <w:ilvl w:val="0"/>
          <w:numId w:val="24"/>
        </w:numPr>
      </w:pPr>
      <w:r>
        <w:t>Qualitatively g</w:t>
      </w:r>
      <w:r w:rsidR="00121F34">
        <w:t>enerate a ranked list from most to least understood statistical estimates from clinical studies that impact decision-making.</w:t>
      </w:r>
    </w:p>
    <w:p w:rsidR="00121F34" w:rsidP="00121F34" w:rsidRDefault="00121F34" w14:paraId="06633302" w14:textId="098C3495">
      <w:pPr>
        <w:pStyle w:val="ListParagraph"/>
        <w:numPr>
          <w:ilvl w:val="0"/>
          <w:numId w:val="24"/>
        </w:numPr>
      </w:pPr>
      <w:r>
        <w:t>Qualitatively generate a list of best practices of risk messaging in the existing Pregnancy subsections of prescription product labeling.</w:t>
      </w:r>
    </w:p>
    <w:p w:rsidR="00121F34" w:rsidP="00121F34" w:rsidRDefault="00121F34" w14:paraId="64627CAD" w14:textId="7C230EC7"/>
    <w:p w:rsidR="0040798D" w:rsidP="00121F34" w:rsidRDefault="00121F34" w14:paraId="6B7CFE21" w14:textId="32939FB4">
      <w:pPr>
        <w:ind w:left="360"/>
      </w:pPr>
      <w:r>
        <w:t xml:space="preserve">Knowledge gained from the focus groups can impact medical practice by improving health communications and informing prescribing decisions between HCPs and pregnant women, thereby optimizing obstetrical and perinatal outcomes. This project could also serve as a model for HCP feedback on effective risk messaging in labeling and contribute to other subsections of labeling beyond PLLR. </w:t>
      </w:r>
    </w:p>
    <w:p w:rsidR="0040798D" w:rsidP="0040798D" w:rsidRDefault="0040798D" w14:paraId="352E23F6" w14:textId="27105BE8">
      <w:pPr>
        <w:ind w:left="360"/>
      </w:pPr>
    </w:p>
    <w:p w:rsidR="00686512" w:rsidP="0040798D" w:rsidRDefault="00686512" w14:paraId="39A2A8A0" w14:textId="37092FA8">
      <w:pPr>
        <w:ind w:left="360"/>
      </w:pPr>
      <w:r w:rsidRPr="00686512">
        <w:t>FDA recognizes that the data collected will only be representative of the participants and will not be generalizable to the population segments characterized by the groups. The data will not be used for the purposes of making policy or regulatory decisions.</w:t>
      </w:r>
    </w:p>
    <w:p w:rsidR="0040798D" w:rsidP="0040798D" w:rsidRDefault="0040798D" w14:paraId="49E909BD" w14:textId="77777777">
      <w:pPr>
        <w:ind w:left="360"/>
      </w:pPr>
    </w:p>
    <w:p w:rsidR="002909BB" w:rsidP="00202E56" w:rsidRDefault="0049419A" w14:paraId="39BC6445" w14:textId="0E5B93FE">
      <w:pPr>
        <w:numPr>
          <w:ilvl w:val="0"/>
          <w:numId w:val="15"/>
        </w:numPr>
        <w:tabs>
          <w:tab w:val="clear" w:pos="1296"/>
          <w:tab w:val="num" w:pos="720"/>
        </w:tabs>
        <w:spacing w:after="120"/>
        <w:ind w:left="720"/>
      </w:pPr>
      <w:r>
        <w:rPr>
          <w:b/>
        </w:rPr>
        <w:t>Description of r</w:t>
      </w:r>
      <w:r w:rsidR="00F12AEE">
        <w:rPr>
          <w:b/>
        </w:rPr>
        <w:t>espondents</w:t>
      </w:r>
      <w:r w:rsidRPr="00E26798" w:rsidR="003F1C7A">
        <w:rPr>
          <w:b/>
        </w:rPr>
        <w:t>:</w:t>
      </w:r>
      <w:r w:rsidR="003F1C7A">
        <w:t xml:space="preserve">  </w:t>
      </w:r>
    </w:p>
    <w:p w:rsidR="002909BB" w:rsidP="00FC510C" w:rsidRDefault="002909BB" w14:paraId="6A9B1805" w14:textId="596D411F">
      <w:pPr>
        <w:ind w:left="360"/>
      </w:pPr>
      <w:r>
        <w:t xml:space="preserve">Focus groups will be conducted with </w:t>
      </w:r>
      <w:r w:rsidR="00C952A0">
        <w:t>3</w:t>
      </w:r>
      <w:r>
        <w:t xml:space="preserve"> segments of HCPs who care for pregnant women: 1. Obstetrician/gynecologists, 2. Family medicine physicians, 3. </w:t>
      </w:r>
      <w:r w:rsidR="00D576A2">
        <w:t>other</w:t>
      </w:r>
      <w:r>
        <w:t xml:space="preserve"> specialty physicians (psychiatrists, rheumatologists, neurologists, </w:t>
      </w:r>
      <w:r w:rsidR="00D576A2">
        <w:t>and gastroenterologists</w:t>
      </w:r>
      <w:r>
        <w:t xml:space="preserve">). </w:t>
      </w:r>
    </w:p>
    <w:p w:rsidR="002909BB" w:rsidP="00FC510C" w:rsidRDefault="002909BB" w14:paraId="53108355" w14:textId="77777777">
      <w:pPr>
        <w:ind w:left="360"/>
      </w:pPr>
    </w:p>
    <w:p w:rsidR="00FC510C" w:rsidP="00FC510C" w:rsidRDefault="00FC510C" w14:paraId="5FF51046" w14:textId="5BE280D2">
      <w:pPr>
        <w:ind w:left="360"/>
      </w:pPr>
      <w:r>
        <w:t>A</w:t>
      </w:r>
      <w:r w:rsidRPr="00B32157">
        <w:t xml:space="preserve">ll groups will include </w:t>
      </w:r>
      <w:r>
        <w:t xml:space="preserve">individuals ages 18 and over and will include participants of diverse ages and races/ethnicities. </w:t>
      </w:r>
      <w:r w:rsidR="002909BB">
        <w:t xml:space="preserve">Groups will also include a diverse mix of years in practice, </w:t>
      </w:r>
      <w:r w:rsidR="00146D0A">
        <w:t xml:space="preserve">number of </w:t>
      </w:r>
      <w:r w:rsidR="002909BB">
        <w:t>pregnant patients seen each month,</w:t>
      </w:r>
      <w:r w:rsidR="000A6375">
        <w:t xml:space="preserve"> medical setting, geographic area,</w:t>
      </w:r>
      <w:r w:rsidR="002909BB">
        <w:t xml:space="preserve"> and </w:t>
      </w:r>
      <w:r w:rsidR="00146D0A">
        <w:t xml:space="preserve">amount of </w:t>
      </w:r>
      <w:r w:rsidR="002909BB">
        <w:t xml:space="preserve">time </w:t>
      </w:r>
      <w:r w:rsidR="00146D0A">
        <w:t xml:space="preserve">per day </w:t>
      </w:r>
      <w:r w:rsidR="002909BB">
        <w:t>spent in patient care</w:t>
      </w:r>
      <w:r w:rsidR="004D736A">
        <w:t xml:space="preserve"> (See Appendix I)</w:t>
      </w:r>
      <w:r w:rsidR="002909BB">
        <w:t xml:space="preserve">. </w:t>
      </w:r>
    </w:p>
    <w:p w:rsidR="0092677B" w:rsidP="00490134" w:rsidRDefault="0092677B" w14:paraId="577E3CFF" w14:textId="77777777">
      <w:pPr>
        <w:ind w:left="360"/>
      </w:pPr>
    </w:p>
    <w:p w:rsidRPr="00234A9A" w:rsidR="00BC1C35" w:rsidP="00BC1C35" w:rsidRDefault="00BC1C35" w14:paraId="272B55FF" w14:textId="750F6CDE">
      <w:pPr>
        <w:rPr>
          <w:rFonts w:ascii="Calibri" w:hAnsi="Calibri"/>
          <w:sz w:val="22"/>
          <w:szCs w:val="22"/>
        </w:rPr>
      </w:pPr>
    </w:p>
    <w:p w:rsidRPr="00202E56" w:rsidR="000A6375" w:rsidP="00795932" w:rsidRDefault="003F1C7A" w14:paraId="2CC27515" w14:textId="24C5ECB3">
      <w:pPr>
        <w:keepNext/>
        <w:numPr>
          <w:ilvl w:val="0"/>
          <w:numId w:val="15"/>
        </w:numPr>
        <w:tabs>
          <w:tab w:val="clear" w:pos="1296"/>
          <w:tab w:val="num" w:pos="720"/>
        </w:tabs>
        <w:spacing w:after="120"/>
        <w:ind w:left="720"/>
      </w:pPr>
      <w:r w:rsidRPr="00E26798">
        <w:rPr>
          <w:b/>
        </w:rPr>
        <w:lastRenderedPageBreak/>
        <w:t xml:space="preserve">Date(s) </w:t>
      </w:r>
      <w:r w:rsidR="009404FA">
        <w:rPr>
          <w:b/>
        </w:rPr>
        <w:t xml:space="preserve">to be conducted </w:t>
      </w:r>
      <w:r w:rsidRPr="00E26798">
        <w:rPr>
          <w:b/>
        </w:rPr>
        <w:t>and location(s)</w:t>
      </w:r>
      <w:r w:rsidR="0049419A">
        <w:rPr>
          <w:b/>
        </w:rPr>
        <w:t>:</w:t>
      </w:r>
      <w:r w:rsidRPr="00E26798">
        <w:rPr>
          <w:b/>
        </w:rPr>
        <w:t xml:space="preserve">  </w:t>
      </w:r>
    </w:p>
    <w:p w:rsidR="000A6375" w:rsidP="000A6375" w:rsidRDefault="00C952A0" w14:paraId="2EDCA265" w14:textId="14D6176D">
      <w:pPr>
        <w:spacing w:after="120"/>
        <w:ind w:left="360"/>
      </w:pPr>
      <w:r>
        <w:t>Focus groups</w:t>
      </w:r>
      <w:r w:rsidR="000A6375">
        <w:t xml:space="preserve"> will be conducted in June of 2020,</w:t>
      </w:r>
      <w:r w:rsidR="00D8660D">
        <w:t xml:space="preserve"> or</w:t>
      </w:r>
      <w:r w:rsidR="000A6375">
        <w:t xml:space="preserve"> within approximately six weeks </w:t>
      </w:r>
      <w:r w:rsidR="00D8625B">
        <w:t>of</w:t>
      </w:r>
      <w:r w:rsidR="000A6375">
        <w:t xml:space="preserve"> OMB approval. </w:t>
      </w:r>
      <w:r w:rsidR="00F4169F">
        <w:t>Given the ongoing COVID-19 pandemic, the groups will be conducted after receipt of OMB approval and when it is safe to do so.</w:t>
      </w:r>
    </w:p>
    <w:p w:rsidR="000A6375" w:rsidP="000A6375" w:rsidRDefault="00B318A9" w14:paraId="04EB794D" w14:textId="69C80628">
      <w:pPr>
        <w:spacing w:after="120"/>
        <w:ind w:left="360"/>
      </w:pPr>
      <w:r>
        <w:t>Focus</w:t>
      </w:r>
      <w:r w:rsidR="00D8625B">
        <w:t xml:space="preserve"> groups will be conducted</w:t>
      </w:r>
      <w:r>
        <w:t xml:space="preserve"> remotely</w:t>
      </w:r>
      <w:r w:rsidR="00D8625B">
        <w:t xml:space="preserve"> in </w:t>
      </w:r>
      <w:r w:rsidR="000A6375">
        <w:t xml:space="preserve">order to capture the most diverse range of experience in practice and geographic area. </w:t>
      </w:r>
    </w:p>
    <w:p w:rsidRPr="000A6375" w:rsidR="005E0D3A" w:rsidP="000A6375" w:rsidRDefault="00A10EA5" w14:paraId="4FDAFF44" w14:textId="75D2504A">
      <w:pPr>
        <w:spacing w:after="120"/>
        <w:ind w:left="360"/>
      </w:pPr>
      <w:r>
        <w:t xml:space="preserve">Participants in the remote focus groups will come from any geographic location in the United States. </w:t>
      </w:r>
      <w:r w:rsidR="005E0D3A">
        <w:t xml:space="preserve">Remote groups will be conducted using WebEx. Participants will be directed to log on to the focus group at an appointed time. </w:t>
      </w:r>
    </w:p>
    <w:p w:rsidR="00190AA2" w:rsidP="007425FE" w:rsidRDefault="00190AA2" w14:paraId="68DCF410" w14:textId="77777777">
      <w:pPr>
        <w:ind w:left="360"/>
      </w:pPr>
    </w:p>
    <w:p w:rsidR="00E26798" w:rsidP="00D921D6" w:rsidRDefault="007E26EE" w14:paraId="7F8BE6B8" w14:textId="050D63A8">
      <w:pPr>
        <w:numPr>
          <w:ilvl w:val="0"/>
          <w:numId w:val="15"/>
        </w:numPr>
        <w:tabs>
          <w:tab w:val="clear" w:pos="1296"/>
          <w:tab w:val="num" w:pos="720"/>
        </w:tabs>
        <w:spacing w:after="120"/>
        <w:ind w:left="720"/>
      </w:pPr>
      <w:r>
        <w:rPr>
          <w:b/>
        </w:rPr>
        <w:t>How the i</w:t>
      </w:r>
      <w:r w:rsidR="00140A0D">
        <w:rPr>
          <w:b/>
        </w:rPr>
        <w:t>nformation is being collected</w:t>
      </w:r>
      <w:r w:rsidR="0049419A">
        <w:rPr>
          <w:b/>
        </w:rPr>
        <w:t>:</w:t>
      </w:r>
    </w:p>
    <w:p w:rsidRPr="003E4CB8" w:rsidR="00862EEA" w:rsidP="007425FE" w:rsidRDefault="00862EEA" w14:paraId="351F2A0A" w14:textId="77777777">
      <w:pPr>
        <w:spacing w:after="120"/>
        <w:ind w:firstLine="360"/>
        <w:rPr>
          <w:u w:val="single"/>
        </w:rPr>
      </w:pPr>
      <w:r w:rsidRPr="003E4CB8">
        <w:rPr>
          <w:u w:val="single"/>
        </w:rPr>
        <w:t>Recruitment Information</w:t>
      </w:r>
    </w:p>
    <w:p w:rsidR="00D576A2" w:rsidP="00C17A11" w:rsidRDefault="00862EEA" w14:paraId="24F5890D" w14:textId="0EA98B2F">
      <w:pPr>
        <w:spacing w:after="120"/>
        <w:ind w:left="360"/>
      </w:pPr>
      <w:r>
        <w:t>All recruitment will be conducted by</w:t>
      </w:r>
      <w:r w:rsidR="007263FF">
        <w:t xml:space="preserve"> the contractor Westat, through professional associations corresponding to the </w:t>
      </w:r>
      <w:r w:rsidR="00C952A0">
        <w:t>3</w:t>
      </w:r>
      <w:r w:rsidR="007263FF">
        <w:t xml:space="preserve"> HCP segments</w:t>
      </w:r>
      <w:r w:rsidR="00D576A2">
        <w:t>, including:</w:t>
      </w:r>
    </w:p>
    <w:p w:rsidR="00D576A2" w:rsidP="00744785" w:rsidRDefault="00744785" w14:paraId="0E8DFF71" w14:textId="1E479289">
      <w:pPr>
        <w:pStyle w:val="ListParagraph"/>
        <w:numPr>
          <w:ilvl w:val="0"/>
          <w:numId w:val="25"/>
        </w:numPr>
        <w:spacing w:after="120"/>
      </w:pPr>
      <w:r>
        <w:t xml:space="preserve">Segment 1: </w:t>
      </w:r>
      <w:r w:rsidR="00D576A2">
        <w:t>Society for Maternal Fetal Medicine</w:t>
      </w:r>
      <w:r>
        <w:t xml:space="preserve">, </w:t>
      </w:r>
      <w:r w:rsidR="00D576A2">
        <w:t>American College of Obstetricians and Gynecologists</w:t>
      </w:r>
    </w:p>
    <w:p w:rsidR="00D576A2" w:rsidP="00D576A2" w:rsidRDefault="00744785" w14:paraId="427B8C34" w14:textId="32EC7FB5">
      <w:pPr>
        <w:pStyle w:val="ListParagraph"/>
        <w:numPr>
          <w:ilvl w:val="0"/>
          <w:numId w:val="25"/>
        </w:numPr>
        <w:spacing w:after="120"/>
      </w:pPr>
      <w:r>
        <w:t xml:space="preserve">Segment 2: </w:t>
      </w:r>
      <w:r w:rsidR="00D576A2">
        <w:t>American Academy of Family Physicians</w:t>
      </w:r>
    </w:p>
    <w:p w:rsidR="00D576A2" w:rsidP="00744785" w:rsidRDefault="00744785" w14:paraId="4C277975" w14:textId="50085B66">
      <w:pPr>
        <w:pStyle w:val="ListParagraph"/>
        <w:numPr>
          <w:ilvl w:val="0"/>
          <w:numId w:val="25"/>
        </w:numPr>
        <w:spacing w:after="120"/>
      </w:pPr>
      <w:r>
        <w:t xml:space="preserve">Segment 3: </w:t>
      </w:r>
      <w:r w:rsidR="00D576A2">
        <w:t>American Psychiatric Association</w:t>
      </w:r>
      <w:r>
        <w:t>, American Academy of Neurology, American College of Gastroenterology, American Gastroenterological Association, American College of Rheumatology</w:t>
      </w:r>
    </w:p>
    <w:p w:rsidR="00D576A2" w:rsidP="001459DD" w:rsidRDefault="00D576A2" w14:paraId="2DA09B52" w14:textId="19DB021F">
      <w:pPr>
        <w:ind w:left="720"/>
      </w:pPr>
    </w:p>
    <w:p w:rsidR="001915BB" w:rsidP="001915BB" w:rsidRDefault="00862EEA" w14:paraId="6979A015" w14:textId="0247880E">
      <w:pPr>
        <w:spacing w:after="120"/>
        <w:ind w:left="360"/>
      </w:pPr>
      <w:r>
        <w:t xml:space="preserve">Recruitment </w:t>
      </w:r>
      <w:r w:rsidR="00D576A2">
        <w:t xml:space="preserve">for </w:t>
      </w:r>
      <w:r w:rsidR="00722DAA">
        <w:t>the</w:t>
      </w:r>
      <w:r w:rsidR="00D576A2">
        <w:t xml:space="preserve"> online</w:t>
      </w:r>
      <w:r w:rsidR="00722DAA">
        <w:t xml:space="preserve"> focus</w:t>
      </w:r>
      <w:r w:rsidR="00D576A2">
        <w:t xml:space="preserve"> groups will entail</w:t>
      </w:r>
      <w:r w:rsidR="007263FF">
        <w:t xml:space="preserve"> outreach to </w:t>
      </w:r>
      <w:r w:rsidR="00C17A11">
        <w:t>relevant</w:t>
      </w:r>
      <w:r w:rsidR="007263FF">
        <w:t xml:space="preserve"> professional association membership</w:t>
      </w:r>
      <w:r w:rsidR="00945BBA">
        <w:t>s</w:t>
      </w:r>
      <w:r w:rsidR="00C17A11">
        <w:t xml:space="preserve"> via email</w:t>
      </w:r>
      <w:r w:rsidR="007263FF">
        <w:t>.</w:t>
      </w:r>
      <w:r w:rsidR="001459DD">
        <w:t xml:space="preserve"> The associations will review data from their member directories to identify eligible participants and forward contact information for these potential participants to Westat. </w:t>
      </w:r>
      <w:r w:rsidR="001915BB">
        <w:t xml:space="preserve">Working with these member lists provided by the association partners, Westat will send an email invitation to members who meet the study criteria of working with pregnant patients. That email will direct the potential participants to complete an online screener. Participants will be selected to represent a mix of time spent in patient care, years in practice, number of pregnant patients seen each month, and practice location. </w:t>
      </w:r>
    </w:p>
    <w:p w:rsidR="00862EEA" w:rsidP="00C17A11" w:rsidRDefault="001915BB" w14:paraId="079C8B97" w14:textId="3695B24F">
      <w:pPr>
        <w:spacing w:after="120"/>
        <w:ind w:left="360"/>
      </w:pPr>
      <w:r>
        <w:t xml:space="preserve"> Content for the</w:t>
      </w:r>
      <w:r w:rsidR="00C17A11">
        <w:t xml:space="preserve"> online screener </w:t>
      </w:r>
      <w:r>
        <w:t xml:space="preserve">can be found in </w:t>
      </w:r>
      <w:r w:rsidR="00C17A11">
        <w:t>Appendix I</w:t>
      </w:r>
      <w:r>
        <w:t xml:space="preserve">, and for </w:t>
      </w:r>
      <w:r w:rsidR="006C371A">
        <w:t>the email</w:t>
      </w:r>
      <w:r w:rsidRPr="005D7162" w:rsidR="00862EEA">
        <w:t xml:space="preserve"> in Appendix</w:t>
      </w:r>
      <w:r w:rsidRPr="005D7162" w:rsidR="00C50074">
        <w:t xml:space="preserve"> II</w:t>
      </w:r>
      <w:r w:rsidRPr="005D7162" w:rsidR="00D650D8">
        <w:t>.</w:t>
      </w:r>
    </w:p>
    <w:p w:rsidR="00EB3041" w:rsidP="00C17A11" w:rsidRDefault="00EB3041" w14:paraId="5CF48A0C" w14:textId="0912F8CF">
      <w:pPr>
        <w:spacing w:after="120"/>
        <w:ind w:left="360"/>
      </w:pPr>
      <w:r>
        <w:t xml:space="preserve">In the event that online recruitment is not sufficient, recruitment for groups will also be conducted by a professional focus group facility. The recruitment strategy for these facilities will consist of outreach to their proprietary databases. </w:t>
      </w:r>
      <w:r w:rsidR="003140F3">
        <w:t xml:space="preserve">Facility staff will provide all necessary information and instructions to ensure participants </w:t>
      </w:r>
      <w:r w:rsidR="00722DAA">
        <w:t xml:space="preserve">log on at </w:t>
      </w:r>
      <w:r w:rsidR="003140F3">
        <w:t xml:space="preserve">the agreed upon date and time. They will conduct recruitment and ensure that the needed number of participants </w:t>
      </w:r>
      <w:r w:rsidR="00722DAA">
        <w:t>attend</w:t>
      </w:r>
      <w:r w:rsidR="003140F3">
        <w:t xml:space="preserve"> their scheduled time slot. The facilities will send confirmation and reminder correspondences to recruited participants to help ensure attendance. </w:t>
      </w:r>
    </w:p>
    <w:p w:rsidR="000802BD" w:rsidP="001459DD" w:rsidRDefault="006C7264" w14:paraId="56B73AF6" w14:textId="1F04FDA7">
      <w:pPr>
        <w:spacing w:after="120"/>
        <w:ind w:left="360"/>
        <w:rPr>
          <w:u w:val="single"/>
        </w:rPr>
      </w:pPr>
      <w:r>
        <w:t xml:space="preserve">HCPs </w:t>
      </w:r>
      <w:r w:rsidR="00C17A11">
        <w:t xml:space="preserve">will be notified of their </w:t>
      </w:r>
      <w:r w:rsidR="00D576A2">
        <w:t>eligibility</w:t>
      </w:r>
      <w:r w:rsidR="00C17A11">
        <w:t xml:space="preserve"> upon completion of the screener. Eligible participants will be re-contacted via telephone or email to notify them of their selection and</w:t>
      </w:r>
      <w:r w:rsidR="00D576A2">
        <w:t xml:space="preserve"> to</w:t>
      </w:r>
      <w:r w:rsidR="00C17A11">
        <w:t xml:space="preserve"> schedule the focus group. All participants will receive an email confirmation with details on the specific time of the focus group. A </w:t>
      </w:r>
      <w:r w:rsidRPr="00B32157" w:rsidR="00862EEA">
        <w:t>confirmat</w:t>
      </w:r>
      <w:r w:rsidR="00C17A11">
        <w:t>ion and reminder correspondence will be sent</w:t>
      </w:r>
      <w:r w:rsidRPr="00B32157" w:rsidR="00862EEA">
        <w:t xml:space="preserve"> to recruited participants to help ensure attendance.</w:t>
      </w:r>
    </w:p>
    <w:p w:rsidRPr="00B32157" w:rsidR="00862EEA" w:rsidP="007425FE" w:rsidRDefault="00862EEA" w14:paraId="6B3B61FA" w14:textId="77777777">
      <w:pPr>
        <w:spacing w:after="120"/>
        <w:ind w:firstLine="360"/>
        <w:rPr>
          <w:u w:val="single"/>
        </w:rPr>
      </w:pPr>
      <w:r w:rsidRPr="00B32157">
        <w:rPr>
          <w:u w:val="single"/>
        </w:rPr>
        <w:lastRenderedPageBreak/>
        <w:t>Focus Group Discussions</w:t>
      </w:r>
    </w:p>
    <w:p w:rsidR="005E0D3A" w:rsidP="007425FE" w:rsidRDefault="00862EEA" w14:paraId="2E932C2C" w14:textId="67432200">
      <w:pPr>
        <w:spacing w:after="120"/>
        <w:ind w:left="360"/>
      </w:pPr>
      <w:r>
        <w:t xml:space="preserve">A Westat senior social science researcher will </w:t>
      </w:r>
      <w:r w:rsidRPr="00B32157">
        <w:t xml:space="preserve">serve as </w:t>
      </w:r>
      <w:r>
        <w:t xml:space="preserve">a </w:t>
      </w:r>
      <w:r w:rsidRPr="00B32157">
        <w:t>moderator for all focus groups</w:t>
      </w:r>
      <w:r>
        <w:t xml:space="preserve">. </w:t>
      </w:r>
      <w:r w:rsidR="00F34CB2">
        <w:t xml:space="preserve"> </w:t>
      </w:r>
      <w:r w:rsidR="00722DAA">
        <w:t>T</w:t>
      </w:r>
      <w:r w:rsidR="00C4607D">
        <w:t xml:space="preserve">he moderator will review the items of consent at the beginning of each group and obtain </w:t>
      </w:r>
      <w:r w:rsidR="005E0D3A">
        <w:t xml:space="preserve">verbal consent from each participant. Individuals who do not give verbal consent will not be able to participate in the focus group.  </w:t>
      </w:r>
    </w:p>
    <w:p w:rsidR="007C0F20" w:rsidP="007425FE" w:rsidRDefault="00862EEA" w14:paraId="602A9141" w14:textId="3A16B002">
      <w:pPr>
        <w:spacing w:after="120"/>
        <w:ind w:left="360"/>
      </w:pPr>
      <w:r>
        <w:t xml:space="preserve">The moderator will then </w:t>
      </w:r>
      <w:r w:rsidR="00C4607D">
        <w:t xml:space="preserve">conduct the group </w:t>
      </w:r>
      <w:r w:rsidR="003C6C82">
        <w:t>using</w:t>
      </w:r>
      <w:r>
        <w:t xml:space="preserve"> the </w:t>
      </w:r>
      <w:r w:rsidRPr="00B32157">
        <w:t>attached moderator</w:t>
      </w:r>
      <w:r w:rsidR="007C0F20">
        <w:t>’s</w:t>
      </w:r>
      <w:r w:rsidRPr="00B32157">
        <w:t xml:space="preserve"> guide (</w:t>
      </w:r>
      <w:r w:rsidRPr="003E4CB8">
        <w:t>Appendix I</w:t>
      </w:r>
      <w:r w:rsidR="003E4CB8">
        <w:t>V</w:t>
      </w:r>
      <w:r w:rsidRPr="00B32157">
        <w:t>) to ensure that all relev</w:t>
      </w:r>
      <w:r>
        <w:t>ant topic areas are addressed.</w:t>
      </w:r>
      <w:r w:rsidRPr="00B32157">
        <w:t xml:space="preserve"> </w:t>
      </w:r>
      <w:r w:rsidR="00F34CB2">
        <w:t xml:space="preserve"> </w:t>
      </w:r>
      <w:r w:rsidR="007C0F20">
        <w:t xml:space="preserve">The moderator’s guide </w:t>
      </w:r>
      <w:r w:rsidR="00BA0ABE">
        <w:t xml:space="preserve">will </w:t>
      </w:r>
      <w:r w:rsidR="007C0F20">
        <w:t>be versioned</w:t>
      </w:r>
      <w:r w:rsidR="00B4723E">
        <w:t xml:space="preserve"> to rotate the order in which partic</w:t>
      </w:r>
      <w:r w:rsidR="008C6CB2">
        <w:t xml:space="preserve">ipants see the labeling examples. The labeling examples and infographic mockup are included as Appendix V. </w:t>
      </w:r>
      <w:r w:rsidR="001459DD">
        <w:t xml:space="preserve">The labeling examples will be displayed using screen sharing through WebEx. Participants will be able to view the examples on their screens and have control, if needed, to scroll through the documents at their own pace. WebEx is easily installed on personal computers through a temporary app. </w:t>
      </w:r>
      <w:r w:rsidR="00602583">
        <w:t xml:space="preserve"> </w:t>
      </w:r>
      <w:r w:rsidR="001459DD">
        <w:t xml:space="preserve">Detailed instructions with a test link will be sent before the focus group to ensure that participants can access the group. </w:t>
      </w:r>
    </w:p>
    <w:p w:rsidRPr="00B32157" w:rsidR="00862EEA" w:rsidP="007425FE" w:rsidRDefault="00862EEA" w14:paraId="5C1357EF" w14:textId="73BF6201">
      <w:pPr>
        <w:spacing w:after="120"/>
        <w:ind w:left="360"/>
      </w:pPr>
      <w:r>
        <w:t xml:space="preserve">Prior to beginning the discussion, the moderator will ensure that the </w:t>
      </w:r>
      <w:r w:rsidRPr="00B32157">
        <w:t xml:space="preserve">FDA </w:t>
      </w:r>
      <w:r w:rsidR="00B4723E">
        <w:t>project staff</w:t>
      </w:r>
      <w:r>
        <w:t xml:space="preserve"> may</w:t>
      </w:r>
      <w:r w:rsidRPr="00B32157">
        <w:t xml:space="preserve"> observe </w:t>
      </w:r>
      <w:r w:rsidRPr="00B32157" w:rsidR="003E4CB8">
        <w:t>all</w:t>
      </w:r>
      <w:r w:rsidRPr="00B32157">
        <w:t xml:space="preserve"> the sessions</w:t>
      </w:r>
      <w:r>
        <w:t xml:space="preserve"> </w:t>
      </w:r>
      <w:r w:rsidRPr="00B32157">
        <w:t xml:space="preserve">remotely using streaming </w:t>
      </w:r>
      <w:r>
        <w:t xml:space="preserve">video </w:t>
      </w:r>
      <w:r w:rsidRPr="00B32157">
        <w:t>technology.</w:t>
      </w:r>
      <w:r>
        <w:t xml:space="preserve"> </w:t>
      </w:r>
      <w:r w:rsidR="00F34CB2">
        <w:t xml:space="preserve"> </w:t>
      </w:r>
      <w:r w:rsidR="00722DAA">
        <w:t xml:space="preserve">Westat </w:t>
      </w:r>
      <w:r>
        <w:t>will</w:t>
      </w:r>
      <w:r w:rsidR="00722DAA">
        <w:t xml:space="preserve"> provide</w:t>
      </w:r>
      <w:r>
        <w:t xml:space="preserve"> both audio and vi</w:t>
      </w:r>
      <w:r w:rsidR="00D85DEE">
        <w:t>sual</w:t>
      </w:r>
      <w:r>
        <w:t xml:space="preserve"> recordings of each group, as well as provide a near-verbatim transcript of each discussion, to ensure that participants’ views and opinions are accurately captured. </w:t>
      </w:r>
      <w:r w:rsidR="00F34CB2">
        <w:t xml:space="preserve"> </w:t>
      </w:r>
      <w:r>
        <w:t>These transcripts will form the basis of the data analysis.</w:t>
      </w:r>
    </w:p>
    <w:p w:rsidRPr="00B32157" w:rsidR="00862EEA" w:rsidP="007425FE" w:rsidRDefault="00862EEA" w14:paraId="6D21462F" w14:textId="2B793FE1">
      <w:pPr>
        <w:ind w:left="360"/>
      </w:pPr>
      <w:r>
        <w:t>Westat and all contracted vendors (</w:t>
      </w:r>
      <w:r w:rsidR="000802BD">
        <w:t xml:space="preserve">e.g., focus group facilities, </w:t>
      </w:r>
      <w:r w:rsidR="00722DAA">
        <w:t>transcription</w:t>
      </w:r>
      <w:r w:rsidR="00D85DEE">
        <w:t xml:space="preserve"> vendor</w:t>
      </w:r>
      <w:r>
        <w:t>)</w:t>
      </w:r>
      <w:r w:rsidRPr="00B32157">
        <w:t xml:space="preserve"> will comply with safeguards for ensuring participant information is kept</w:t>
      </w:r>
      <w:r w:rsidR="00686512">
        <w:t xml:space="preserve"> secure</w:t>
      </w:r>
      <w:r w:rsidRPr="00B32157">
        <w:t xml:space="preserve"> to the extent permitted by law.</w:t>
      </w:r>
      <w:r w:rsidR="00F34CB2">
        <w:t xml:space="preserve"> </w:t>
      </w:r>
      <w:r w:rsidRPr="00B32157">
        <w:t xml:space="preserve"> The last names of the participants will not appear on any focus group materials.</w:t>
      </w:r>
      <w:r w:rsidR="001459DD">
        <w:t xml:space="preserve"> Participants will be instructed not to enter their full name when logging onto the WebEx group.</w:t>
      </w:r>
      <w:r w:rsidR="00F34CB2">
        <w:t xml:space="preserve"> </w:t>
      </w:r>
      <w:r w:rsidRPr="00B32157">
        <w:t>Verbatim quotes included in the final report will not be attributed to any individual.</w:t>
      </w:r>
    </w:p>
    <w:p w:rsidR="00855235" w:rsidP="00855235" w:rsidRDefault="00855235" w14:paraId="4C64C3CD" w14:textId="77777777">
      <w:pPr>
        <w:spacing w:after="120"/>
        <w:ind w:left="360"/>
      </w:pPr>
    </w:p>
    <w:p w:rsidRPr="003E147E" w:rsidR="00855235" w:rsidP="00855235" w:rsidRDefault="00855235" w14:paraId="6D509305" w14:textId="7320CCFC">
      <w:pPr>
        <w:spacing w:after="120"/>
        <w:ind w:left="360"/>
      </w:pPr>
      <w:r w:rsidRPr="003E147E">
        <w:t xml:space="preserve">All focus group audio recordings and transcripts delivered to FDA by Westat will be de-identified. The key to the coded data allowing for re-identification will never be released to the FDA, and the FDA will have no need for reidentification of the HCPs participating in the focus groups. </w:t>
      </w:r>
    </w:p>
    <w:p w:rsidR="00F12AEE" w:rsidP="00D921D6" w:rsidRDefault="00F12AEE" w14:paraId="308E7B87" w14:textId="77777777">
      <w:pPr>
        <w:ind w:left="720"/>
      </w:pPr>
    </w:p>
    <w:p w:rsidRPr="00E215FA" w:rsidR="003F1C7A" w:rsidP="007425FE" w:rsidRDefault="003F1C7A" w14:paraId="6525A6A8" w14:textId="77777777">
      <w:pPr>
        <w:numPr>
          <w:ilvl w:val="0"/>
          <w:numId w:val="15"/>
        </w:numPr>
        <w:tabs>
          <w:tab w:val="clear" w:pos="1296"/>
          <w:tab w:val="num" w:pos="720"/>
        </w:tabs>
        <w:spacing w:after="120"/>
        <w:ind w:left="720"/>
      </w:pPr>
      <w:r w:rsidRPr="00E26798">
        <w:rPr>
          <w:b/>
        </w:rPr>
        <w:t>Number of focus groups</w:t>
      </w:r>
      <w:r w:rsidR="0049419A">
        <w:rPr>
          <w:b/>
        </w:rPr>
        <w:t>:</w:t>
      </w:r>
    </w:p>
    <w:p w:rsidR="007A4331" w:rsidRDefault="00D85DEE" w14:paraId="70777935" w14:textId="5E293E16">
      <w:pPr>
        <w:ind w:left="360"/>
      </w:pPr>
      <w:r>
        <w:t xml:space="preserve"> Remote</w:t>
      </w:r>
      <w:r w:rsidR="00DB7D99">
        <w:t xml:space="preserve"> </w:t>
      </w:r>
      <w:r w:rsidR="000078CB">
        <w:t>focus group</w:t>
      </w:r>
      <w:r w:rsidR="00DB7D99">
        <w:t xml:space="preserve">s will consist of </w:t>
      </w:r>
      <w:r>
        <w:t>5 to 6</w:t>
      </w:r>
      <w:r w:rsidR="00DB7D99">
        <w:t xml:space="preserve"> participants</w:t>
      </w:r>
      <w:r>
        <w:t>.</w:t>
      </w:r>
      <w:r w:rsidR="007002F0">
        <w:t xml:space="preserve"> Table </w:t>
      </w:r>
      <w:r w:rsidR="00F05C84">
        <w:t>1</w:t>
      </w:r>
      <w:r w:rsidR="007002F0">
        <w:t xml:space="preserve"> demonstrates the total number of participants that will participate by segment.</w:t>
      </w:r>
      <w:r w:rsidR="000078CB">
        <w:t xml:space="preserve"> </w:t>
      </w:r>
      <w:r w:rsidR="003C6C82">
        <w:t xml:space="preserve">Since HCPs have a higher than usual </w:t>
      </w:r>
      <w:r w:rsidR="002A733D">
        <w:t>drop-off</w:t>
      </w:r>
      <w:r w:rsidR="003C6C82">
        <w:t xml:space="preserve"> rate</w:t>
      </w:r>
      <w:r w:rsidR="00461345">
        <w:t>,</w:t>
      </w:r>
      <w:r w:rsidR="003C6C82">
        <w:t xml:space="preserve"> we </w:t>
      </w:r>
      <w:r w:rsidR="00DB7D99">
        <w:t>will</w:t>
      </w:r>
      <w:r w:rsidRPr="00B87084" w:rsidR="00B87084">
        <w:t xml:space="preserve"> r</w:t>
      </w:r>
      <w:r w:rsidR="00D8625B">
        <w:t>ecruit</w:t>
      </w:r>
      <w:r w:rsidR="000078CB">
        <w:t xml:space="preserve"> 7 participants per remote group.</w:t>
      </w:r>
      <w:r w:rsidR="002A733D">
        <w:rPr>
          <w:rStyle w:val="FootnoteReference"/>
        </w:rPr>
        <w:footnoteReference w:id="4"/>
      </w:r>
      <w:r w:rsidR="000078CB">
        <w:t xml:space="preserve"> Remaining participants above the</w:t>
      </w:r>
      <w:r w:rsidR="00D8625B">
        <w:t>se</w:t>
      </w:r>
      <w:r w:rsidR="000078CB">
        <w:t xml:space="preserve"> participation levels will be dismissed. </w:t>
      </w:r>
      <w:r>
        <w:t>R</w:t>
      </w:r>
      <w:r w:rsidR="000078CB">
        <w:t xml:space="preserve">emote groups will be 75 minutes. </w:t>
      </w:r>
      <w:r w:rsidR="00DB7D99">
        <w:t xml:space="preserve">Up to </w:t>
      </w:r>
      <w:r w:rsidR="00F05C84">
        <w:t>1</w:t>
      </w:r>
      <w:r w:rsidR="00DB7D99">
        <w:t xml:space="preserve">5 remote focus groups will be conducted. </w:t>
      </w:r>
    </w:p>
    <w:p w:rsidR="00CA2628" w:rsidRDefault="00CA2628" w14:paraId="2449DA74" w14:textId="77777777">
      <w:pPr>
        <w:ind w:left="360"/>
        <w:rPr>
          <w:b/>
        </w:rPr>
      </w:pPr>
    </w:p>
    <w:p w:rsidR="008C0176" w:rsidRDefault="007002F0" w14:paraId="26AF33B8" w14:textId="02CD97EC">
      <w:pPr>
        <w:ind w:left="360"/>
        <w:rPr>
          <w:b/>
        </w:rPr>
      </w:pPr>
      <w:r>
        <w:rPr>
          <w:b/>
        </w:rPr>
        <w:t>Table 1. Number of focus groups and participants by segment</w:t>
      </w:r>
    </w:p>
    <w:p w:rsidR="007002F0" w:rsidRDefault="007002F0" w14:paraId="602CF1BE" w14:textId="558AEBE8">
      <w:pPr>
        <w:ind w:left="360"/>
        <w:rPr>
          <w:b/>
        </w:rPr>
      </w:pPr>
    </w:p>
    <w:tbl>
      <w:tblPr>
        <w:tblStyle w:val="TableWestatStandardFormat"/>
        <w:tblW w:w="0" w:type="auto"/>
        <w:tblInd w:w="423" w:type="dxa"/>
        <w:tblLook w:val="04A0" w:firstRow="1" w:lastRow="0" w:firstColumn="1" w:lastColumn="0" w:noHBand="0" w:noVBand="1"/>
      </w:tblPr>
      <w:tblGrid>
        <w:gridCol w:w="1611"/>
        <w:gridCol w:w="1354"/>
        <w:gridCol w:w="2160"/>
        <w:gridCol w:w="1170"/>
      </w:tblGrid>
      <w:tr w:rsidR="00CF54D9" w:rsidTr="00CF54D9" w14:paraId="44070EAF" w14:textId="77777777">
        <w:trPr>
          <w:cnfStyle w:val="100000000000" w:firstRow="1" w:lastRow="0" w:firstColumn="0" w:lastColumn="0" w:oddVBand="0" w:evenVBand="0" w:oddHBand="0" w:evenHBand="0" w:firstRowFirstColumn="0" w:firstRowLastColumn="0" w:lastRowFirstColumn="0" w:lastRowLastColumn="0"/>
        </w:trPr>
        <w:tc>
          <w:tcPr>
            <w:tcW w:w="1611" w:type="dxa"/>
          </w:tcPr>
          <w:p w:rsidRPr="00E609D0" w:rsidR="00CF54D9" w:rsidP="00F05C84" w:rsidRDefault="00CF54D9" w14:paraId="24370EA8" w14:textId="77777777">
            <w:pPr>
              <w:rPr>
                <w:b/>
              </w:rPr>
            </w:pPr>
            <w:r w:rsidRPr="00E609D0">
              <w:rPr>
                <w:b/>
              </w:rPr>
              <w:t>Segment</w:t>
            </w:r>
          </w:p>
        </w:tc>
        <w:tc>
          <w:tcPr>
            <w:tcW w:w="1354" w:type="dxa"/>
          </w:tcPr>
          <w:p w:rsidRPr="00E609D0" w:rsidR="00CF54D9" w:rsidP="00F05C84" w:rsidRDefault="00CF54D9" w14:paraId="6F3A0351" w14:textId="77777777">
            <w:pPr>
              <w:rPr>
                <w:b/>
              </w:rPr>
            </w:pPr>
            <w:r w:rsidRPr="00E609D0">
              <w:rPr>
                <w:b/>
              </w:rPr>
              <w:t>Group</w:t>
            </w:r>
          </w:p>
        </w:tc>
        <w:tc>
          <w:tcPr>
            <w:tcW w:w="2160" w:type="dxa"/>
          </w:tcPr>
          <w:p w:rsidRPr="00E609D0" w:rsidR="00CF54D9" w:rsidP="00F05C84" w:rsidRDefault="00CF54D9" w14:paraId="1F9E34C9" w14:textId="77777777">
            <w:pPr>
              <w:rPr>
                <w:b/>
              </w:rPr>
            </w:pPr>
            <w:r>
              <w:rPr>
                <w:b/>
              </w:rPr>
              <w:t>Maximum number of participants per group</w:t>
            </w:r>
          </w:p>
        </w:tc>
        <w:tc>
          <w:tcPr>
            <w:tcW w:w="1170" w:type="dxa"/>
          </w:tcPr>
          <w:p w:rsidRPr="00E609D0" w:rsidR="00CF54D9" w:rsidP="00F05C84" w:rsidRDefault="00CF54D9" w14:paraId="135BCE53" w14:textId="77777777">
            <w:pPr>
              <w:rPr>
                <w:b/>
              </w:rPr>
            </w:pPr>
            <w:r>
              <w:rPr>
                <w:b/>
              </w:rPr>
              <w:t>Total</w:t>
            </w:r>
          </w:p>
        </w:tc>
      </w:tr>
      <w:tr w:rsidR="00CF54D9" w:rsidTr="00CF54D9" w14:paraId="7BD0BBC3" w14:textId="77777777">
        <w:tc>
          <w:tcPr>
            <w:tcW w:w="1611" w:type="dxa"/>
            <w:vMerge w:val="restart"/>
          </w:tcPr>
          <w:p w:rsidRPr="00E609D0" w:rsidR="00CF54D9" w:rsidP="00F05C84" w:rsidRDefault="00CF54D9" w14:paraId="5DCB22D1" w14:textId="77777777">
            <w:pPr>
              <w:jc w:val="center"/>
              <w:rPr>
                <w:b/>
              </w:rPr>
            </w:pPr>
            <w:r w:rsidRPr="00E609D0">
              <w:rPr>
                <w:b/>
              </w:rPr>
              <w:t>Segment 1</w:t>
            </w:r>
            <w:r>
              <w:rPr>
                <w:b/>
              </w:rPr>
              <w:t>: OB/GYN</w:t>
            </w:r>
          </w:p>
        </w:tc>
        <w:tc>
          <w:tcPr>
            <w:tcW w:w="1354" w:type="dxa"/>
          </w:tcPr>
          <w:p w:rsidR="00CF54D9" w:rsidP="00F05C84" w:rsidRDefault="00CF54D9" w14:paraId="5503A48F" w14:textId="77777777">
            <w:pPr>
              <w:jc w:val="center"/>
            </w:pPr>
            <w:r>
              <w:t>Group 1</w:t>
            </w:r>
          </w:p>
        </w:tc>
        <w:tc>
          <w:tcPr>
            <w:tcW w:w="2160" w:type="dxa"/>
          </w:tcPr>
          <w:p w:rsidR="00CF54D9" w:rsidP="00F05C84" w:rsidRDefault="00CF54D9" w14:paraId="07CCECBA" w14:textId="77777777">
            <w:pPr>
              <w:jc w:val="center"/>
            </w:pPr>
            <w:r>
              <w:t>6</w:t>
            </w:r>
          </w:p>
        </w:tc>
        <w:tc>
          <w:tcPr>
            <w:tcW w:w="1170" w:type="dxa"/>
            <w:vMerge w:val="restart"/>
          </w:tcPr>
          <w:p w:rsidRPr="00C45217" w:rsidR="00CF54D9" w:rsidP="00F05C84" w:rsidRDefault="00CF54D9" w14:paraId="5BA248D3" w14:textId="77777777">
            <w:pPr>
              <w:jc w:val="center"/>
              <w:rPr>
                <w:b/>
              </w:rPr>
            </w:pPr>
            <w:r w:rsidRPr="00C45217">
              <w:rPr>
                <w:b/>
              </w:rPr>
              <w:t>30</w:t>
            </w:r>
          </w:p>
        </w:tc>
      </w:tr>
      <w:tr w:rsidR="00CF54D9" w:rsidTr="00CF54D9" w14:paraId="3F00D401" w14:textId="77777777">
        <w:tc>
          <w:tcPr>
            <w:tcW w:w="1611" w:type="dxa"/>
            <w:vMerge/>
          </w:tcPr>
          <w:p w:rsidRPr="00E609D0" w:rsidR="00CF54D9" w:rsidP="00F05C84" w:rsidRDefault="00CF54D9" w14:paraId="11C02460" w14:textId="77777777">
            <w:pPr>
              <w:jc w:val="center"/>
              <w:rPr>
                <w:b/>
              </w:rPr>
            </w:pPr>
          </w:p>
        </w:tc>
        <w:tc>
          <w:tcPr>
            <w:tcW w:w="1354" w:type="dxa"/>
          </w:tcPr>
          <w:p w:rsidR="00CF54D9" w:rsidP="00F05C84" w:rsidRDefault="00CF54D9" w14:paraId="13402628" w14:textId="77777777">
            <w:pPr>
              <w:jc w:val="center"/>
            </w:pPr>
            <w:r>
              <w:t>Group 2</w:t>
            </w:r>
          </w:p>
        </w:tc>
        <w:tc>
          <w:tcPr>
            <w:tcW w:w="2160" w:type="dxa"/>
          </w:tcPr>
          <w:p w:rsidR="00CF54D9" w:rsidP="00F05C84" w:rsidRDefault="00CF54D9" w14:paraId="1F04979D" w14:textId="77777777">
            <w:pPr>
              <w:jc w:val="center"/>
            </w:pPr>
            <w:r>
              <w:t>6</w:t>
            </w:r>
          </w:p>
        </w:tc>
        <w:tc>
          <w:tcPr>
            <w:tcW w:w="1170" w:type="dxa"/>
            <w:vMerge/>
          </w:tcPr>
          <w:p w:rsidRPr="00C45217" w:rsidR="00CF54D9" w:rsidP="00F05C84" w:rsidRDefault="00CF54D9" w14:paraId="0E3915AA" w14:textId="77777777">
            <w:pPr>
              <w:jc w:val="center"/>
              <w:rPr>
                <w:b/>
              </w:rPr>
            </w:pPr>
          </w:p>
        </w:tc>
      </w:tr>
      <w:tr w:rsidR="00CF54D9" w:rsidTr="00CF54D9" w14:paraId="78191258" w14:textId="77777777">
        <w:tc>
          <w:tcPr>
            <w:tcW w:w="1611" w:type="dxa"/>
            <w:vMerge/>
          </w:tcPr>
          <w:p w:rsidRPr="00E609D0" w:rsidR="00CF54D9" w:rsidP="00F05C84" w:rsidRDefault="00CF54D9" w14:paraId="1DD1FB83" w14:textId="77777777">
            <w:pPr>
              <w:jc w:val="center"/>
              <w:rPr>
                <w:b/>
              </w:rPr>
            </w:pPr>
          </w:p>
        </w:tc>
        <w:tc>
          <w:tcPr>
            <w:tcW w:w="1354" w:type="dxa"/>
          </w:tcPr>
          <w:p w:rsidR="00CF54D9" w:rsidP="00F05C84" w:rsidRDefault="00CF54D9" w14:paraId="1BAA9F91" w14:textId="77777777">
            <w:pPr>
              <w:jc w:val="center"/>
            </w:pPr>
            <w:r>
              <w:t>Group 3</w:t>
            </w:r>
          </w:p>
        </w:tc>
        <w:tc>
          <w:tcPr>
            <w:tcW w:w="2160" w:type="dxa"/>
          </w:tcPr>
          <w:p w:rsidR="00CF54D9" w:rsidP="00F05C84" w:rsidRDefault="00CF54D9" w14:paraId="7BB84262" w14:textId="77777777">
            <w:pPr>
              <w:jc w:val="center"/>
            </w:pPr>
            <w:r>
              <w:t>6</w:t>
            </w:r>
          </w:p>
        </w:tc>
        <w:tc>
          <w:tcPr>
            <w:tcW w:w="1170" w:type="dxa"/>
            <w:vMerge/>
          </w:tcPr>
          <w:p w:rsidRPr="00C45217" w:rsidR="00CF54D9" w:rsidP="00F05C84" w:rsidRDefault="00CF54D9" w14:paraId="66D79918" w14:textId="77777777">
            <w:pPr>
              <w:jc w:val="center"/>
              <w:rPr>
                <w:b/>
              </w:rPr>
            </w:pPr>
          </w:p>
        </w:tc>
      </w:tr>
      <w:tr w:rsidR="00CF54D9" w:rsidTr="00CF54D9" w14:paraId="0EABA538" w14:textId="77777777">
        <w:tc>
          <w:tcPr>
            <w:tcW w:w="1611" w:type="dxa"/>
            <w:vMerge/>
          </w:tcPr>
          <w:p w:rsidRPr="00E609D0" w:rsidR="00CF54D9" w:rsidP="00F05C84" w:rsidRDefault="00CF54D9" w14:paraId="74E1B7FF" w14:textId="77777777">
            <w:pPr>
              <w:jc w:val="center"/>
              <w:rPr>
                <w:b/>
              </w:rPr>
            </w:pPr>
          </w:p>
        </w:tc>
        <w:tc>
          <w:tcPr>
            <w:tcW w:w="1354" w:type="dxa"/>
          </w:tcPr>
          <w:p w:rsidR="00CF54D9" w:rsidP="00F05C84" w:rsidRDefault="00CF54D9" w14:paraId="125C9F8F" w14:textId="77777777">
            <w:pPr>
              <w:jc w:val="center"/>
            </w:pPr>
            <w:r>
              <w:t>Group 4</w:t>
            </w:r>
          </w:p>
        </w:tc>
        <w:tc>
          <w:tcPr>
            <w:tcW w:w="2160" w:type="dxa"/>
          </w:tcPr>
          <w:p w:rsidR="00CF54D9" w:rsidP="00F05C84" w:rsidRDefault="00CF54D9" w14:paraId="0661F669" w14:textId="77777777">
            <w:pPr>
              <w:jc w:val="center"/>
            </w:pPr>
            <w:r>
              <w:t>6</w:t>
            </w:r>
          </w:p>
        </w:tc>
        <w:tc>
          <w:tcPr>
            <w:tcW w:w="1170" w:type="dxa"/>
            <w:vMerge/>
          </w:tcPr>
          <w:p w:rsidRPr="00C45217" w:rsidR="00CF54D9" w:rsidP="00F05C84" w:rsidRDefault="00CF54D9" w14:paraId="7736DC3A" w14:textId="77777777">
            <w:pPr>
              <w:jc w:val="center"/>
              <w:rPr>
                <w:b/>
              </w:rPr>
            </w:pPr>
          </w:p>
        </w:tc>
      </w:tr>
      <w:tr w:rsidR="00CF54D9" w:rsidTr="00CF54D9" w14:paraId="264B6222" w14:textId="77777777">
        <w:tc>
          <w:tcPr>
            <w:tcW w:w="1611" w:type="dxa"/>
            <w:vMerge/>
          </w:tcPr>
          <w:p w:rsidRPr="00E609D0" w:rsidR="00CF54D9" w:rsidP="00F05C84" w:rsidRDefault="00CF54D9" w14:paraId="69EE0A77" w14:textId="77777777">
            <w:pPr>
              <w:jc w:val="center"/>
              <w:rPr>
                <w:b/>
              </w:rPr>
            </w:pPr>
          </w:p>
        </w:tc>
        <w:tc>
          <w:tcPr>
            <w:tcW w:w="1354" w:type="dxa"/>
          </w:tcPr>
          <w:p w:rsidR="00CF54D9" w:rsidP="00F05C84" w:rsidRDefault="00CF54D9" w14:paraId="6C146F1D" w14:textId="77777777">
            <w:pPr>
              <w:jc w:val="center"/>
            </w:pPr>
            <w:r>
              <w:t>Group 5</w:t>
            </w:r>
          </w:p>
        </w:tc>
        <w:tc>
          <w:tcPr>
            <w:tcW w:w="2160" w:type="dxa"/>
          </w:tcPr>
          <w:p w:rsidR="00CF54D9" w:rsidP="00F05C84" w:rsidRDefault="00CF54D9" w14:paraId="66F79D59" w14:textId="77777777">
            <w:pPr>
              <w:jc w:val="center"/>
            </w:pPr>
            <w:r>
              <w:t>6</w:t>
            </w:r>
          </w:p>
        </w:tc>
        <w:tc>
          <w:tcPr>
            <w:tcW w:w="1170" w:type="dxa"/>
            <w:vMerge/>
          </w:tcPr>
          <w:p w:rsidRPr="00C45217" w:rsidR="00CF54D9" w:rsidP="00F05C84" w:rsidRDefault="00CF54D9" w14:paraId="445C5C3D" w14:textId="77777777">
            <w:pPr>
              <w:jc w:val="center"/>
              <w:rPr>
                <w:b/>
              </w:rPr>
            </w:pPr>
          </w:p>
        </w:tc>
      </w:tr>
      <w:tr w:rsidR="00CF54D9" w:rsidTr="00CF54D9" w14:paraId="0D1685B4" w14:textId="77777777">
        <w:tc>
          <w:tcPr>
            <w:tcW w:w="1611" w:type="dxa"/>
            <w:vMerge w:val="restart"/>
          </w:tcPr>
          <w:p w:rsidRPr="00E609D0" w:rsidR="00CF54D9" w:rsidP="00F05C84" w:rsidRDefault="00CF54D9" w14:paraId="35008141" w14:textId="77777777">
            <w:pPr>
              <w:jc w:val="center"/>
              <w:rPr>
                <w:b/>
              </w:rPr>
            </w:pPr>
            <w:r w:rsidRPr="00E609D0">
              <w:rPr>
                <w:b/>
              </w:rPr>
              <w:t>Segment 2</w:t>
            </w:r>
            <w:r>
              <w:rPr>
                <w:b/>
              </w:rPr>
              <w:t>: Family Medicine</w:t>
            </w:r>
          </w:p>
        </w:tc>
        <w:tc>
          <w:tcPr>
            <w:tcW w:w="1354" w:type="dxa"/>
          </w:tcPr>
          <w:p w:rsidR="00CF54D9" w:rsidP="00F05C84" w:rsidRDefault="00CF54D9" w14:paraId="6F6B585A" w14:textId="77777777">
            <w:pPr>
              <w:jc w:val="center"/>
            </w:pPr>
            <w:r>
              <w:t>Group 1</w:t>
            </w:r>
          </w:p>
        </w:tc>
        <w:tc>
          <w:tcPr>
            <w:tcW w:w="2160" w:type="dxa"/>
          </w:tcPr>
          <w:p w:rsidR="00CF54D9" w:rsidP="00F05C84" w:rsidRDefault="00CF54D9" w14:paraId="04296850" w14:textId="77777777">
            <w:pPr>
              <w:jc w:val="center"/>
            </w:pPr>
            <w:r>
              <w:t>6</w:t>
            </w:r>
          </w:p>
        </w:tc>
        <w:tc>
          <w:tcPr>
            <w:tcW w:w="1170" w:type="dxa"/>
            <w:vMerge w:val="restart"/>
          </w:tcPr>
          <w:p w:rsidRPr="00C45217" w:rsidR="00CF54D9" w:rsidP="00F05C84" w:rsidRDefault="00CF54D9" w14:paraId="43938307" w14:textId="77777777">
            <w:pPr>
              <w:jc w:val="center"/>
              <w:rPr>
                <w:b/>
              </w:rPr>
            </w:pPr>
            <w:r w:rsidRPr="00C45217">
              <w:rPr>
                <w:b/>
              </w:rPr>
              <w:t>30</w:t>
            </w:r>
          </w:p>
        </w:tc>
      </w:tr>
      <w:tr w:rsidR="00CF54D9" w:rsidTr="00CF54D9" w14:paraId="7E37E337" w14:textId="77777777">
        <w:tc>
          <w:tcPr>
            <w:tcW w:w="1611" w:type="dxa"/>
            <w:vMerge/>
          </w:tcPr>
          <w:p w:rsidRPr="00E609D0" w:rsidR="00CF54D9" w:rsidP="00F05C84" w:rsidRDefault="00CF54D9" w14:paraId="3413FBEB" w14:textId="77777777">
            <w:pPr>
              <w:jc w:val="center"/>
              <w:rPr>
                <w:b/>
              </w:rPr>
            </w:pPr>
          </w:p>
        </w:tc>
        <w:tc>
          <w:tcPr>
            <w:tcW w:w="1354" w:type="dxa"/>
          </w:tcPr>
          <w:p w:rsidR="00CF54D9" w:rsidP="00F05C84" w:rsidRDefault="00CF54D9" w14:paraId="7DB442AE" w14:textId="77777777">
            <w:pPr>
              <w:jc w:val="center"/>
            </w:pPr>
            <w:r>
              <w:t>Group 2</w:t>
            </w:r>
          </w:p>
        </w:tc>
        <w:tc>
          <w:tcPr>
            <w:tcW w:w="2160" w:type="dxa"/>
          </w:tcPr>
          <w:p w:rsidR="00CF54D9" w:rsidP="00F05C84" w:rsidRDefault="00CF54D9" w14:paraId="076F0506" w14:textId="77777777">
            <w:pPr>
              <w:jc w:val="center"/>
            </w:pPr>
            <w:r>
              <w:t>6</w:t>
            </w:r>
          </w:p>
        </w:tc>
        <w:tc>
          <w:tcPr>
            <w:tcW w:w="1170" w:type="dxa"/>
            <w:vMerge/>
          </w:tcPr>
          <w:p w:rsidRPr="00C45217" w:rsidR="00CF54D9" w:rsidP="00F05C84" w:rsidRDefault="00CF54D9" w14:paraId="49207BBD" w14:textId="77777777">
            <w:pPr>
              <w:jc w:val="center"/>
              <w:rPr>
                <w:b/>
              </w:rPr>
            </w:pPr>
          </w:p>
        </w:tc>
      </w:tr>
      <w:tr w:rsidR="00CF54D9" w:rsidTr="00CF54D9" w14:paraId="11B56613" w14:textId="77777777">
        <w:tc>
          <w:tcPr>
            <w:tcW w:w="1611" w:type="dxa"/>
            <w:vMerge/>
          </w:tcPr>
          <w:p w:rsidRPr="00E609D0" w:rsidR="00CF54D9" w:rsidP="00F05C84" w:rsidRDefault="00CF54D9" w14:paraId="4114A1DA" w14:textId="77777777">
            <w:pPr>
              <w:jc w:val="center"/>
              <w:rPr>
                <w:b/>
              </w:rPr>
            </w:pPr>
          </w:p>
        </w:tc>
        <w:tc>
          <w:tcPr>
            <w:tcW w:w="1354" w:type="dxa"/>
          </w:tcPr>
          <w:p w:rsidR="00CF54D9" w:rsidP="00F05C84" w:rsidRDefault="00CF54D9" w14:paraId="4F91FF30" w14:textId="77777777">
            <w:pPr>
              <w:jc w:val="center"/>
            </w:pPr>
            <w:r>
              <w:t>Group 3</w:t>
            </w:r>
          </w:p>
        </w:tc>
        <w:tc>
          <w:tcPr>
            <w:tcW w:w="2160" w:type="dxa"/>
          </w:tcPr>
          <w:p w:rsidR="00CF54D9" w:rsidP="00F05C84" w:rsidRDefault="00CF54D9" w14:paraId="2EF7A9DB" w14:textId="77777777">
            <w:pPr>
              <w:jc w:val="center"/>
            </w:pPr>
            <w:r>
              <w:t>6</w:t>
            </w:r>
          </w:p>
        </w:tc>
        <w:tc>
          <w:tcPr>
            <w:tcW w:w="1170" w:type="dxa"/>
            <w:vMerge/>
          </w:tcPr>
          <w:p w:rsidRPr="00C45217" w:rsidR="00CF54D9" w:rsidP="00F05C84" w:rsidRDefault="00CF54D9" w14:paraId="6E3C1318" w14:textId="77777777">
            <w:pPr>
              <w:jc w:val="center"/>
              <w:rPr>
                <w:b/>
              </w:rPr>
            </w:pPr>
          </w:p>
        </w:tc>
      </w:tr>
      <w:tr w:rsidR="00CF54D9" w:rsidTr="00CF54D9" w14:paraId="42BB0A49" w14:textId="77777777">
        <w:tc>
          <w:tcPr>
            <w:tcW w:w="1611" w:type="dxa"/>
            <w:vMerge/>
          </w:tcPr>
          <w:p w:rsidRPr="00E609D0" w:rsidR="00CF54D9" w:rsidP="00F05C84" w:rsidRDefault="00CF54D9" w14:paraId="77199F2C" w14:textId="77777777">
            <w:pPr>
              <w:jc w:val="center"/>
              <w:rPr>
                <w:b/>
              </w:rPr>
            </w:pPr>
          </w:p>
        </w:tc>
        <w:tc>
          <w:tcPr>
            <w:tcW w:w="1354" w:type="dxa"/>
          </w:tcPr>
          <w:p w:rsidR="00CF54D9" w:rsidP="00F05C84" w:rsidRDefault="00CF54D9" w14:paraId="2CFC44A3" w14:textId="77777777">
            <w:pPr>
              <w:jc w:val="center"/>
            </w:pPr>
            <w:r>
              <w:t>Group 4</w:t>
            </w:r>
          </w:p>
        </w:tc>
        <w:tc>
          <w:tcPr>
            <w:tcW w:w="2160" w:type="dxa"/>
          </w:tcPr>
          <w:p w:rsidR="00CF54D9" w:rsidP="00F05C84" w:rsidRDefault="00CF54D9" w14:paraId="64E1D92F" w14:textId="77777777">
            <w:pPr>
              <w:jc w:val="center"/>
            </w:pPr>
            <w:r>
              <w:t>6</w:t>
            </w:r>
          </w:p>
        </w:tc>
        <w:tc>
          <w:tcPr>
            <w:tcW w:w="1170" w:type="dxa"/>
            <w:vMerge/>
          </w:tcPr>
          <w:p w:rsidRPr="00C45217" w:rsidR="00CF54D9" w:rsidP="00F05C84" w:rsidRDefault="00CF54D9" w14:paraId="4755D437" w14:textId="77777777">
            <w:pPr>
              <w:jc w:val="center"/>
              <w:rPr>
                <w:b/>
              </w:rPr>
            </w:pPr>
          </w:p>
        </w:tc>
      </w:tr>
      <w:tr w:rsidR="00CF54D9" w:rsidTr="00CF54D9" w14:paraId="1A4B860E" w14:textId="77777777">
        <w:tc>
          <w:tcPr>
            <w:tcW w:w="1611" w:type="dxa"/>
            <w:vMerge/>
          </w:tcPr>
          <w:p w:rsidRPr="00E609D0" w:rsidR="00CF54D9" w:rsidP="00F05C84" w:rsidRDefault="00CF54D9" w14:paraId="1C86773A" w14:textId="77777777">
            <w:pPr>
              <w:jc w:val="center"/>
              <w:rPr>
                <w:b/>
              </w:rPr>
            </w:pPr>
          </w:p>
        </w:tc>
        <w:tc>
          <w:tcPr>
            <w:tcW w:w="1354" w:type="dxa"/>
          </w:tcPr>
          <w:p w:rsidR="00CF54D9" w:rsidP="00F05C84" w:rsidRDefault="00CF54D9" w14:paraId="6D98A457" w14:textId="77777777">
            <w:pPr>
              <w:jc w:val="center"/>
            </w:pPr>
            <w:r>
              <w:t>Group 5</w:t>
            </w:r>
          </w:p>
        </w:tc>
        <w:tc>
          <w:tcPr>
            <w:tcW w:w="2160" w:type="dxa"/>
          </w:tcPr>
          <w:p w:rsidR="00CF54D9" w:rsidP="00F05C84" w:rsidRDefault="00CF54D9" w14:paraId="13E58742" w14:textId="77777777">
            <w:pPr>
              <w:jc w:val="center"/>
            </w:pPr>
            <w:r>
              <w:t>6</w:t>
            </w:r>
          </w:p>
        </w:tc>
        <w:tc>
          <w:tcPr>
            <w:tcW w:w="1170" w:type="dxa"/>
            <w:vMerge/>
          </w:tcPr>
          <w:p w:rsidRPr="00C45217" w:rsidR="00CF54D9" w:rsidP="00F05C84" w:rsidRDefault="00CF54D9" w14:paraId="6782A6F2" w14:textId="77777777">
            <w:pPr>
              <w:jc w:val="center"/>
              <w:rPr>
                <w:b/>
              </w:rPr>
            </w:pPr>
          </w:p>
        </w:tc>
      </w:tr>
      <w:tr w:rsidR="00CF54D9" w:rsidTr="00CF54D9" w14:paraId="1AB42ED8" w14:textId="77777777">
        <w:tc>
          <w:tcPr>
            <w:tcW w:w="1611" w:type="dxa"/>
            <w:vMerge w:val="restart"/>
          </w:tcPr>
          <w:p w:rsidRPr="00E609D0" w:rsidR="00CF54D9" w:rsidP="00F05C84" w:rsidRDefault="00CF54D9" w14:paraId="5E628F64" w14:textId="77777777">
            <w:pPr>
              <w:jc w:val="center"/>
              <w:rPr>
                <w:b/>
              </w:rPr>
            </w:pPr>
            <w:r w:rsidRPr="00E609D0">
              <w:rPr>
                <w:b/>
              </w:rPr>
              <w:t>Segment 3</w:t>
            </w:r>
            <w:r>
              <w:rPr>
                <w:b/>
              </w:rPr>
              <w:t>: Other specialty physicians</w:t>
            </w:r>
          </w:p>
        </w:tc>
        <w:tc>
          <w:tcPr>
            <w:tcW w:w="1354" w:type="dxa"/>
          </w:tcPr>
          <w:p w:rsidR="00CF54D9" w:rsidP="00F05C84" w:rsidRDefault="00CF54D9" w14:paraId="0623D409" w14:textId="77777777">
            <w:pPr>
              <w:jc w:val="center"/>
            </w:pPr>
            <w:r>
              <w:t>Group 1</w:t>
            </w:r>
          </w:p>
        </w:tc>
        <w:tc>
          <w:tcPr>
            <w:tcW w:w="2160" w:type="dxa"/>
          </w:tcPr>
          <w:p w:rsidR="00CF54D9" w:rsidP="00F05C84" w:rsidRDefault="00CF54D9" w14:paraId="278A158B" w14:textId="77777777">
            <w:pPr>
              <w:jc w:val="center"/>
            </w:pPr>
            <w:r>
              <w:t>6</w:t>
            </w:r>
          </w:p>
        </w:tc>
        <w:tc>
          <w:tcPr>
            <w:tcW w:w="1170" w:type="dxa"/>
            <w:vMerge w:val="restart"/>
          </w:tcPr>
          <w:p w:rsidRPr="00C45217" w:rsidR="00CF54D9" w:rsidP="00F05C84" w:rsidRDefault="00CF54D9" w14:paraId="776938C7" w14:textId="77777777">
            <w:pPr>
              <w:jc w:val="center"/>
              <w:rPr>
                <w:b/>
              </w:rPr>
            </w:pPr>
            <w:r w:rsidRPr="00C45217">
              <w:rPr>
                <w:b/>
              </w:rPr>
              <w:t>30</w:t>
            </w:r>
          </w:p>
        </w:tc>
      </w:tr>
      <w:tr w:rsidR="00CF54D9" w:rsidTr="00CF54D9" w14:paraId="747D7064" w14:textId="77777777">
        <w:tc>
          <w:tcPr>
            <w:tcW w:w="1611" w:type="dxa"/>
            <w:vMerge/>
          </w:tcPr>
          <w:p w:rsidRPr="00E609D0" w:rsidR="00CF54D9" w:rsidP="00F05C84" w:rsidRDefault="00CF54D9" w14:paraId="0D75D463" w14:textId="77777777">
            <w:pPr>
              <w:jc w:val="center"/>
              <w:rPr>
                <w:b/>
              </w:rPr>
            </w:pPr>
          </w:p>
        </w:tc>
        <w:tc>
          <w:tcPr>
            <w:tcW w:w="1354" w:type="dxa"/>
          </w:tcPr>
          <w:p w:rsidR="00CF54D9" w:rsidP="00F05C84" w:rsidRDefault="00CF54D9" w14:paraId="7C618B1D" w14:textId="77777777">
            <w:pPr>
              <w:jc w:val="center"/>
            </w:pPr>
            <w:r>
              <w:t>Group 2</w:t>
            </w:r>
          </w:p>
        </w:tc>
        <w:tc>
          <w:tcPr>
            <w:tcW w:w="2160" w:type="dxa"/>
          </w:tcPr>
          <w:p w:rsidR="00CF54D9" w:rsidP="00F05C84" w:rsidRDefault="00CF54D9" w14:paraId="4522DDBB" w14:textId="77777777">
            <w:pPr>
              <w:jc w:val="center"/>
            </w:pPr>
            <w:r>
              <w:t>6</w:t>
            </w:r>
          </w:p>
        </w:tc>
        <w:tc>
          <w:tcPr>
            <w:tcW w:w="1170" w:type="dxa"/>
            <w:vMerge/>
          </w:tcPr>
          <w:p w:rsidR="00CF54D9" w:rsidP="00F05C84" w:rsidRDefault="00CF54D9" w14:paraId="65A1350F" w14:textId="77777777">
            <w:pPr>
              <w:jc w:val="center"/>
            </w:pPr>
          </w:p>
        </w:tc>
      </w:tr>
      <w:tr w:rsidR="00CF54D9" w:rsidTr="00CF54D9" w14:paraId="5D264D1D" w14:textId="77777777">
        <w:tc>
          <w:tcPr>
            <w:tcW w:w="1611" w:type="dxa"/>
            <w:vMerge/>
          </w:tcPr>
          <w:p w:rsidRPr="00E609D0" w:rsidR="00CF54D9" w:rsidP="00F05C84" w:rsidRDefault="00CF54D9" w14:paraId="0B4D9468" w14:textId="77777777">
            <w:pPr>
              <w:jc w:val="center"/>
              <w:rPr>
                <w:b/>
              </w:rPr>
            </w:pPr>
          </w:p>
        </w:tc>
        <w:tc>
          <w:tcPr>
            <w:tcW w:w="1354" w:type="dxa"/>
          </w:tcPr>
          <w:p w:rsidR="00CF54D9" w:rsidP="00F05C84" w:rsidRDefault="00CF54D9" w14:paraId="3A4318CC" w14:textId="77777777">
            <w:pPr>
              <w:jc w:val="center"/>
            </w:pPr>
            <w:r>
              <w:t>Group 3</w:t>
            </w:r>
          </w:p>
        </w:tc>
        <w:tc>
          <w:tcPr>
            <w:tcW w:w="2160" w:type="dxa"/>
          </w:tcPr>
          <w:p w:rsidR="00CF54D9" w:rsidP="00F05C84" w:rsidRDefault="00CF54D9" w14:paraId="3B1B1ABC" w14:textId="77777777">
            <w:pPr>
              <w:jc w:val="center"/>
            </w:pPr>
            <w:r>
              <w:t>6</w:t>
            </w:r>
          </w:p>
        </w:tc>
        <w:tc>
          <w:tcPr>
            <w:tcW w:w="1170" w:type="dxa"/>
            <w:vMerge/>
          </w:tcPr>
          <w:p w:rsidR="00CF54D9" w:rsidP="00F05C84" w:rsidRDefault="00CF54D9" w14:paraId="19DD62DC" w14:textId="77777777">
            <w:pPr>
              <w:jc w:val="center"/>
            </w:pPr>
          </w:p>
        </w:tc>
      </w:tr>
      <w:tr w:rsidR="00CF54D9" w:rsidTr="00CF54D9" w14:paraId="673A07CC" w14:textId="77777777">
        <w:tc>
          <w:tcPr>
            <w:tcW w:w="1611" w:type="dxa"/>
            <w:vMerge/>
          </w:tcPr>
          <w:p w:rsidRPr="00E609D0" w:rsidR="00CF54D9" w:rsidP="00F05C84" w:rsidRDefault="00CF54D9" w14:paraId="21693E68" w14:textId="77777777">
            <w:pPr>
              <w:jc w:val="center"/>
              <w:rPr>
                <w:b/>
              </w:rPr>
            </w:pPr>
          </w:p>
        </w:tc>
        <w:tc>
          <w:tcPr>
            <w:tcW w:w="1354" w:type="dxa"/>
          </w:tcPr>
          <w:p w:rsidR="00CF54D9" w:rsidP="00F05C84" w:rsidRDefault="00CF54D9" w14:paraId="5D8BF2B2" w14:textId="77777777">
            <w:pPr>
              <w:jc w:val="center"/>
            </w:pPr>
            <w:r>
              <w:t>Group 4</w:t>
            </w:r>
          </w:p>
        </w:tc>
        <w:tc>
          <w:tcPr>
            <w:tcW w:w="2160" w:type="dxa"/>
          </w:tcPr>
          <w:p w:rsidR="00CF54D9" w:rsidP="00F05C84" w:rsidRDefault="00CF54D9" w14:paraId="5CEA8B7A" w14:textId="77777777">
            <w:pPr>
              <w:jc w:val="center"/>
            </w:pPr>
            <w:r>
              <w:t>6</w:t>
            </w:r>
          </w:p>
        </w:tc>
        <w:tc>
          <w:tcPr>
            <w:tcW w:w="1170" w:type="dxa"/>
            <w:vMerge/>
          </w:tcPr>
          <w:p w:rsidR="00CF54D9" w:rsidP="00F05C84" w:rsidRDefault="00CF54D9" w14:paraId="2CF5A7FB" w14:textId="77777777">
            <w:pPr>
              <w:jc w:val="center"/>
            </w:pPr>
          </w:p>
        </w:tc>
      </w:tr>
      <w:tr w:rsidR="00CF54D9" w:rsidTr="00CF54D9" w14:paraId="496E634E" w14:textId="77777777">
        <w:tc>
          <w:tcPr>
            <w:tcW w:w="1611" w:type="dxa"/>
            <w:vMerge/>
          </w:tcPr>
          <w:p w:rsidRPr="00E609D0" w:rsidR="00CF54D9" w:rsidP="00F05C84" w:rsidRDefault="00CF54D9" w14:paraId="3849FF1E" w14:textId="77777777">
            <w:pPr>
              <w:jc w:val="center"/>
              <w:rPr>
                <w:b/>
              </w:rPr>
            </w:pPr>
          </w:p>
        </w:tc>
        <w:tc>
          <w:tcPr>
            <w:tcW w:w="1354" w:type="dxa"/>
          </w:tcPr>
          <w:p w:rsidR="00CF54D9" w:rsidP="00F05C84" w:rsidRDefault="00CF54D9" w14:paraId="09CCEBDB" w14:textId="77777777">
            <w:pPr>
              <w:jc w:val="center"/>
            </w:pPr>
            <w:r>
              <w:t>Group 5</w:t>
            </w:r>
          </w:p>
        </w:tc>
        <w:tc>
          <w:tcPr>
            <w:tcW w:w="2160" w:type="dxa"/>
          </w:tcPr>
          <w:p w:rsidR="00CF54D9" w:rsidP="00F05C84" w:rsidRDefault="00CF54D9" w14:paraId="1580EEC1" w14:textId="77777777">
            <w:pPr>
              <w:jc w:val="center"/>
            </w:pPr>
            <w:r>
              <w:t>6</w:t>
            </w:r>
          </w:p>
        </w:tc>
        <w:tc>
          <w:tcPr>
            <w:tcW w:w="1170" w:type="dxa"/>
            <w:vMerge/>
          </w:tcPr>
          <w:p w:rsidR="00CF54D9" w:rsidP="00F05C84" w:rsidRDefault="00CF54D9" w14:paraId="0E540C73" w14:textId="77777777">
            <w:pPr>
              <w:jc w:val="center"/>
            </w:pPr>
          </w:p>
        </w:tc>
      </w:tr>
    </w:tbl>
    <w:p w:rsidR="00341B7D" w:rsidP="00A97438" w:rsidRDefault="00341B7D" w14:paraId="6D496008" w14:textId="77777777"/>
    <w:p w:rsidR="008148A8" w:rsidP="007425FE" w:rsidRDefault="0049419A" w14:paraId="55F67002" w14:textId="77777777">
      <w:pPr>
        <w:numPr>
          <w:ilvl w:val="0"/>
          <w:numId w:val="15"/>
        </w:numPr>
        <w:tabs>
          <w:tab w:val="clear" w:pos="1296"/>
          <w:tab w:val="num" w:pos="720"/>
        </w:tabs>
        <w:spacing w:after="120"/>
        <w:ind w:left="720"/>
        <w:rPr>
          <w:b/>
        </w:rPr>
      </w:pPr>
      <w:r>
        <w:rPr>
          <w:b/>
        </w:rPr>
        <w:t>Amount and justification for any proposed incentive:</w:t>
      </w:r>
      <w:r w:rsidR="003F1C7A">
        <w:t xml:space="preserve"> </w:t>
      </w:r>
    </w:p>
    <w:p w:rsidR="000078CB" w:rsidRDefault="008148A8" w14:paraId="5DB3F121" w14:textId="3F4E7F51">
      <w:pPr>
        <w:ind w:left="360"/>
      </w:pPr>
      <w:r>
        <w:t xml:space="preserve">To prepare </w:t>
      </w:r>
      <w:r w:rsidRPr="00336FCF">
        <w:t xml:space="preserve">for these focus groups, </w:t>
      </w:r>
      <w:r>
        <w:t xml:space="preserve">we </w:t>
      </w:r>
      <w:r w:rsidRPr="00336FCF">
        <w:t>consulted with facilities that host focus groups to deter</w:t>
      </w:r>
      <w:r>
        <w:t>mine incentive rates</w:t>
      </w:r>
      <w:r w:rsidR="000078CB">
        <w:t xml:space="preserve"> for each segment of HCPs</w:t>
      </w:r>
      <w:r>
        <w:t>.</w:t>
      </w:r>
      <w:r w:rsidR="00F34CB2">
        <w:t xml:space="preserve"> </w:t>
      </w:r>
      <w:r w:rsidR="002618CB">
        <w:t>The</w:t>
      </w:r>
      <w:r>
        <w:t xml:space="preserve"> incentives </w:t>
      </w:r>
      <w:r w:rsidR="00365B86">
        <w:t>will</w:t>
      </w:r>
      <w:r w:rsidRPr="00336FCF">
        <w:t xml:space="preserve"> ensure that we are able to attract a reasonable cross</w:t>
      </w:r>
      <w:r>
        <w:t xml:space="preserve"> </w:t>
      </w:r>
      <w:r w:rsidRPr="00336FCF">
        <w:t>section of participants</w:t>
      </w:r>
      <w:r>
        <w:t xml:space="preserve"> who meet our screening requirements to participate in </w:t>
      </w:r>
      <w:r w:rsidR="00365B86">
        <w:t>the focus groups.</w:t>
      </w:r>
    </w:p>
    <w:p w:rsidR="00341B7D" w:rsidP="00BB687E" w:rsidRDefault="00BB687E" w14:paraId="09429B32" w14:textId="41771853">
      <w:pPr>
        <w:autoSpaceDE w:val="0"/>
        <w:autoSpaceDN w:val="0"/>
        <w:adjustRightInd w:val="0"/>
        <w:spacing w:before="120" w:after="120"/>
        <w:ind w:left="360"/>
      </w:pPr>
      <w:r>
        <w:rPr>
          <w:color w:val="000000"/>
        </w:rPr>
        <w:t>R</w:t>
      </w:r>
      <w:r w:rsidRPr="005C109C" w:rsidR="00341B7D">
        <w:rPr>
          <w:color w:val="000000"/>
        </w:rPr>
        <w:t>ecogniz</w:t>
      </w:r>
      <w:r w:rsidR="00341B7D">
        <w:rPr>
          <w:color w:val="000000"/>
        </w:rPr>
        <w:t>ing</w:t>
      </w:r>
      <w:r w:rsidRPr="005C109C" w:rsidR="00341B7D">
        <w:rPr>
          <w:color w:val="000000"/>
        </w:rPr>
        <w:t xml:space="preserve"> the </w:t>
      </w:r>
      <w:r w:rsidR="00341B7D">
        <w:rPr>
          <w:color w:val="000000"/>
        </w:rPr>
        <w:t xml:space="preserve">significant </w:t>
      </w:r>
      <w:r w:rsidRPr="005C109C" w:rsidR="00341B7D">
        <w:rPr>
          <w:color w:val="000000"/>
        </w:rPr>
        <w:t xml:space="preserve">time </w:t>
      </w:r>
      <w:r w:rsidR="00341B7D">
        <w:rPr>
          <w:color w:val="000000"/>
        </w:rPr>
        <w:t xml:space="preserve">and other </w:t>
      </w:r>
      <w:r w:rsidRPr="005C109C" w:rsidR="00341B7D">
        <w:rPr>
          <w:color w:val="000000"/>
        </w:rPr>
        <w:t>burden</w:t>
      </w:r>
      <w:r w:rsidR="00341B7D">
        <w:rPr>
          <w:color w:val="000000"/>
        </w:rPr>
        <w:t>s</w:t>
      </w:r>
      <w:r w:rsidRPr="005C109C" w:rsidR="00341B7D">
        <w:rPr>
          <w:color w:val="000000"/>
        </w:rPr>
        <w:t xml:space="preserve"> </w:t>
      </w:r>
      <w:r w:rsidR="00341B7D">
        <w:rPr>
          <w:color w:val="000000"/>
        </w:rPr>
        <w:t>involved with participation in research and to convey the importance of the research to participants</w:t>
      </w:r>
      <w:r w:rsidR="00341B7D">
        <w:t xml:space="preserve">, </w:t>
      </w:r>
      <w:r w:rsidR="00341B7D">
        <w:rPr>
          <w:color w:val="000000"/>
        </w:rPr>
        <w:t>honorariums</w:t>
      </w:r>
      <w:r w:rsidRPr="005C109C" w:rsidR="00341B7D">
        <w:rPr>
          <w:color w:val="000000"/>
        </w:rPr>
        <w:t xml:space="preserve"> are intended to</w:t>
      </w:r>
      <w:r w:rsidR="00341B7D">
        <w:rPr>
          <w:color w:val="000000"/>
        </w:rPr>
        <w:t xml:space="preserve"> help defray these “costs” in order to encourage individuals to participate</w:t>
      </w:r>
      <w:r w:rsidR="00341B7D">
        <w:t>.</w:t>
      </w:r>
      <w:r w:rsidR="00341B7D">
        <w:rPr>
          <w:rStyle w:val="FootnoteReference"/>
        </w:rPr>
        <w:footnoteReference w:id="5"/>
      </w:r>
      <w:r w:rsidR="00341B7D">
        <w:t xml:space="preserve"> </w:t>
      </w:r>
      <w:r w:rsidRPr="005C109C" w:rsidR="00341B7D">
        <w:rPr>
          <w:color w:val="000000"/>
        </w:rPr>
        <w:t>Numerous empirical studies have established</w:t>
      </w:r>
      <w:r w:rsidR="00341B7D">
        <w:rPr>
          <w:color w:val="000000"/>
        </w:rPr>
        <w:t xml:space="preserve"> t</w:t>
      </w:r>
      <w:r w:rsidRPr="005C109C" w:rsidR="00341B7D">
        <w:rPr>
          <w:color w:val="000000"/>
        </w:rPr>
        <w:t xml:space="preserve">hat </w:t>
      </w:r>
      <w:r w:rsidR="00341B7D">
        <w:rPr>
          <w:color w:val="000000"/>
        </w:rPr>
        <w:t>an honorarium</w:t>
      </w:r>
      <w:r w:rsidRPr="005C109C" w:rsidR="00341B7D">
        <w:rPr>
          <w:color w:val="000000"/>
        </w:rPr>
        <w:t xml:space="preserve"> can significantly increase participation rates.</w:t>
      </w:r>
      <w:r w:rsidR="00341B7D">
        <w:rPr>
          <w:color w:val="000000"/>
        </w:rPr>
        <w:t xml:space="preserve"> </w:t>
      </w:r>
      <w:r w:rsidR="00341B7D">
        <w:rPr>
          <w:rStyle w:val="FootnoteReference"/>
          <w:color w:val="000000"/>
        </w:rPr>
        <w:footnoteReference w:id="6"/>
      </w:r>
      <w:r w:rsidRPr="002356CF" w:rsidR="00341B7D">
        <w:rPr>
          <w:color w:val="000000"/>
          <w:vertAlign w:val="superscript"/>
        </w:rPr>
        <w:t>,</w:t>
      </w:r>
      <w:r w:rsidR="00341B7D">
        <w:rPr>
          <w:rStyle w:val="FootnoteReference"/>
          <w:color w:val="000000"/>
        </w:rPr>
        <w:footnoteReference w:id="7"/>
      </w:r>
      <w:r w:rsidRPr="002356CF" w:rsidR="00341B7D">
        <w:rPr>
          <w:color w:val="000000"/>
          <w:vertAlign w:val="superscript"/>
        </w:rPr>
        <w:t>,</w:t>
      </w:r>
      <w:r w:rsidR="00341B7D">
        <w:rPr>
          <w:rStyle w:val="FootnoteReference"/>
          <w:color w:val="000000"/>
        </w:rPr>
        <w:footnoteReference w:id="8"/>
      </w:r>
      <w:r w:rsidRPr="002356CF" w:rsidR="00341B7D">
        <w:rPr>
          <w:color w:val="000000"/>
          <w:vertAlign w:val="superscript"/>
        </w:rPr>
        <w:t>,</w:t>
      </w:r>
      <w:r w:rsidR="00341B7D">
        <w:rPr>
          <w:rStyle w:val="FootnoteReference"/>
          <w:color w:val="000000"/>
        </w:rPr>
        <w:footnoteReference w:id="9"/>
      </w:r>
      <w:r w:rsidRPr="002356CF" w:rsidR="00341B7D">
        <w:rPr>
          <w:color w:val="000000"/>
          <w:vertAlign w:val="superscript"/>
        </w:rPr>
        <w:t>,</w:t>
      </w:r>
      <w:r w:rsidR="00341B7D">
        <w:rPr>
          <w:rStyle w:val="FootnoteReference"/>
          <w:color w:val="000000"/>
        </w:rPr>
        <w:footnoteReference w:id="10"/>
      </w:r>
      <w:r w:rsidRPr="002356CF" w:rsidR="00341B7D">
        <w:rPr>
          <w:color w:val="000000"/>
          <w:vertAlign w:val="superscript"/>
        </w:rPr>
        <w:t>,</w:t>
      </w:r>
      <w:r w:rsidR="00341B7D">
        <w:rPr>
          <w:rStyle w:val="FootnoteReference"/>
          <w:color w:val="000000"/>
        </w:rPr>
        <w:footnoteReference w:id="11"/>
      </w:r>
      <w:r w:rsidRPr="002356CF" w:rsidR="00341B7D">
        <w:rPr>
          <w:color w:val="000000"/>
          <w:vertAlign w:val="superscript"/>
        </w:rPr>
        <w:t>,</w:t>
      </w:r>
      <w:r w:rsidR="00341B7D">
        <w:rPr>
          <w:rStyle w:val="FootnoteReference"/>
          <w:color w:val="000000"/>
        </w:rPr>
        <w:footnoteReference w:id="12"/>
      </w:r>
      <w:r w:rsidRPr="002356CF" w:rsidR="00341B7D">
        <w:rPr>
          <w:color w:val="000000"/>
          <w:vertAlign w:val="superscript"/>
        </w:rPr>
        <w:t>,</w:t>
      </w:r>
      <w:r w:rsidR="00341B7D">
        <w:rPr>
          <w:rStyle w:val="FootnoteReference"/>
          <w:color w:val="000000"/>
        </w:rPr>
        <w:footnoteReference w:id="13"/>
      </w:r>
      <w:r w:rsidRPr="002356CF" w:rsidR="00341B7D">
        <w:rPr>
          <w:color w:val="000000"/>
          <w:vertAlign w:val="superscript"/>
        </w:rPr>
        <w:t>,</w:t>
      </w:r>
      <w:r w:rsidR="00341B7D">
        <w:rPr>
          <w:rStyle w:val="FootnoteReference"/>
          <w:color w:val="000000"/>
        </w:rPr>
        <w:footnoteReference w:id="14"/>
      </w:r>
      <w:r w:rsidRPr="002356CF" w:rsidR="00341B7D">
        <w:rPr>
          <w:color w:val="000000"/>
          <w:vertAlign w:val="superscript"/>
        </w:rPr>
        <w:t>,</w:t>
      </w:r>
      <w:r w:rsidR="00341B7D">
        <w:rPr>
          <w:rStyle w:val="FootnoteReference"/>
          <w:color w:val="000000"/>
        </w:rPr>
        <w:footnoteReference w:id="15"/>
      </w:r>
      <w:r w:rsidR="00341B7D">
        <w:rPr>
          <w:color w:val="000000"/>
        </w:rPr>
        <w:t xml:space="preserve"> This </w:t>
      </w:r>
      <w:r w:rsidR="00341B7D">
        <w:rPr>
          <w:color w:val="000000"/>
        </w:rPr>
        <w:lastRenderedPageBreak/>
        <w:t>is particularly true for HCPs who are more difficult to recruit as study participants than members of the general population</w:t>
      </w:r>
      <w:r w:rsidR="00341B7D">
        <w:t>.</w:t>
      </w:r>
      <w:r w:rsidR="00341B7D">
        <w:rPr>
          <w:rStyle w:val="FootnoteReference"/>
        </w:rPr>
        <w:footnoteReference w:id="16"/>
      </w:r>
      <w:r w:rsidRPr="002356CF" w:rsidR="00341B7D">
        <w:rPr>
          <w:vertAlign w:val="superscript"/>
        </w:rPr>
        <w:t>,</w:t>
      </w:r>
      <w:r w:rsidR="00341B7D">
        <w:rPr>
          <w:rStyle w:val="FootnoteReference"/>
        </w:rPr>
        <w:footnoteReference w:id="17"/>
      </w:r>
    </w:p>
    <w:p w:rsidR="00341B7D" w:rsidP="00BB687E" w:rsidRDefault="00341B7D" w14:paraId="5B4871CD" w14:textId="77777777">
      <w:pPr>
        <w:autoSpaceDE w:val="0"/>
        <w:autoSpaceDN w:val="0"/>
        <w:adjustRightInd w:val="0"/>
        <w:spacing w:before="120" w:after="120"/>
        <w:ind w:left="360"/>
        <w:rPr>
          <w:color w:val="000000"/>
        </w:rPr>
      </w:pPr>
      <w:r>
        <w:rPr>
          <w:color w:val="000000"/>
        </w:rPr>
        <w:t xml:space="preserve">There are many reasons why HCPs are difficult to engage in research, most of which are </w:t>
      </w:r>
      <w:r w:rsidRPr="00C50FBC">
        <w:t xml:space="preserve">related to </w:t>
      </w:r>
      <w:r>
        <w:t xml:space="preserve">their professional demands and </w:t>
      </w:r>
      <w:r w:rsidRPr="00C50FBC">
        <w:t xml:space="preserve">time </w:t>
      </w:r>
      <w:r>
        <w:t>constraints.</w:t>
      </w:r>
      <w:r>
        <w:rPr>
          <w:rStyle w:val="FootnoteReference"/>
        </w:rPr>
        <w:footnoteReference w:id="18"/>
      </w:r>
      <w:r>
        <w:t xml:space="preserve"> For example, many HCPs work irregular hours and must respond to clinical emergencies, making them less available to participate in research that must be scheduled in advance</w:t>
      </w:r>
      <w:r w:rsidRPr="00C50FBC">
        <w:t>.</w:t>
      </w:r>
      <w:r>
        <w:rPr>
          <w:color w:val="000000"/>
        </w:rPr>
        <w:t xml:space="preserve"> Relatedly, focus groups must be scheduled to accommodate the needs of a diverse group of eight to 10 participants. Although researchers try to accommodate HCPs’ demanding schedules (e.g., offer multiple timeslots, conduct groups early or late in the day, etc.), it is challenging to find times that do not interfere with their patient care and other required activities.</w:t>
      </w:r>
      <w:r>
        <w:rPr>
          <w:rStyle w:val="FootnoteReference"/>
          <w:color w:val="000000"/>
        </w:rPr>
        <w:footnoteReference w:id="19"/>
      </w:r>
      <w:r>
        <w:rPr>
          <w:color w:val="000000"/>
        </w:rPr>
        <w:t xml:space="preserve"> The amount of time required for data collection is another factor that limits HCPs’ participation in research. High patient-volume, back-to-back scheduling, and the need to respond to patient emergencies leaves little time in the day to participate in nonessential activities.</w:t>
      </w:r>
      <w:r>
        <w:rPr>
          <w:rStyle w:val="FootnoteReference"/>
          <w:color w:val="000000"/>
        </w:rPr>
        <w:footnoteReference w:id="20"/>
      </w:r>
      <w:r>
        <w:rPr>
          <w:color w:val="000000"/>
        </w:rPr>
        <w:t xml:space="preserve"> For example, </w:t>
      </w:r>
      <w:r>
        <w:rPr>
          <w:color w:val="000000"/>
          <w:shd w:val="clear" w:color="auto" w:fill="FFFFFF"/>
        </w:rPr>
        <w:t xml:space="preserve">a 2015 study found that burden was the primary reason for nonresponse in a study involving a web-based survey, with </w:t>
      </w:r>
      <w:r>
        <w:rPr>
          <w:color w:val="000000"/>
        </w:rPr>
        <w:t>60% of physicians saying they had insufficient time to complete the survey requests.</w:t>
      </w:r>
      <w:r>
        <w:rPr>
          <w:rStyle w:val="FootnoteReference"/>
          <w:color w:val="000000"/>
        </w:rPr>
        <w:footnoteReference w:id="21"/>
      </w:r>
      <w:r>
        <w:rPr>
          <w:color w:val="000000"/>
        </w:rPr>
        <w:t xml:space="preserve"> Building on these earlier findings, a recent survey conducted by The Physicians Foundation</w:t>
      </w:r>
      <w:r>
        <w:rPr>
          <w:rStyle w:val="FootnoteReference"/>
          <w:color w:val="000000"/>
        </w:rPr>
        <w:footnoteReference w:id="22"/>
      </w:r>
      <w:r>
        <w:rPr>
          <w:color w:val="000000"/>
        </w:rPr>
        <w:t xml:space="preserve"> found that</w:t>
      </w:r>
      <w:r>
        <w:rPr>
          <w:color w:val="000000"/>
          <w:shd w:val="clear" w:color="auto" w:fill="FFFFFF"/>
        </w:rPr>
        <w:t xml:space="preserve"> physicians</w:t>
      </w:r>
      <w:r w:rsidRPr="00AA4A89">
        <w:rPr>
          <w:color w:val="000000"/>
          <w:shd w:val="clear" w:color="auto" w:fill="FFFFFF"/>
        </w:rPr>
        <w:t xml:space="preserve"> saw </w:t>
      </w:r>
      <w:r>
        <w:rPr>
          <w:color w:val="000000"/>
          <w:shd w:val="clear" w:color="auto" w:fill="FFFFFF"/>
        </w:rPr>
        <w:t xml:space="preserve">an average of </w:t>
      </w:r>
      <w:r w:rsidRPr="00AA4A89">
        <w:rPr>
          <w:color w:val="000000"/>
          <w:shd w:val="clear" w:color="auto" w:fill="FFFFFF"/>
        </w:rPr>
        <w:t>20 patients per day</w:t>
      </w:r>
      <w:r>
        <w:rPr>
          <w:color w:val="000000"/>
          <w:shd w:val="clear" w:color="auto" w:fill="FFFFFF"/>
        </w:rPr>
        <w:t>,</w:t>
      </w:r>
      <w:r w:rsidRPr="00AA4A89">
        <w:rPr>
          <w:color w:val="000000"/>
          <w:shd w:val="clear" w:color="auto" w:fill="FFFFFF"/>
        </w:rPr>
        <w:t xml:space="preserve"> </w:t>
      </w:r>
      <w:r>
        <w:rPr>
          <w:color w:val="000000"/>
          <w:shd w:val="clear" w:color="auto" w:fill="FFFFFF"/>
        </w:rPr>
        <w:t>and about</w:t>
      </w:r>
      <w:r w:rsidRPr="00AA4A89">
        <w:rPr>
          <w:color w:val="000000"/>
          <w:shd w:val="clear" w:color="auto" w:fill="FFFFFF"/>
        </w:rPr>
        <w:t xml:space="preserve"> 80% said they were overworked/overextended or at capacity</w:t>
      </w:r>
      <w:r>
        <w:t xml:space="preserve">. </w:t>
      </w:r>
      <w:r>
        <w:rPr>
          <w:color w:val="000000"/>
        </w:rPr>
        <w:t xml:space="preserve">These time constraints are particularly salient for qualitative data collections like focus groups because they tend to be more time consuming than surveys and may require travel to an offsite location (typically 60-90 minutes). </w:t>
      </w:r>
    </w:p>
    <w:p w:rsidR="00341B7D" w:rsidP="00BB687E" w:rsidRDefault="00341B7D" w14:paraId="0542BEDC" w14:textId="77777777">
      <w:pPr>
        <w:autoSpaceDE w:val="0"/>
        <w:autoSpaceDN w:val="0"/>
        <w:adjustRightInd w:val="0"/>
        <w:spacing w:before="120" w:after="120"/>
        <w:ind w:left="360"/>
      </w:pPr>
      <w:r>
        <w:t>Studies with HCPs have shown that participation rates vary by specialty, gender, and other factors.</w:t>
      </w:r>
      <w:r>
        <w:rPr>
          <w:rStyle w:val="FootnoteReference"/>
        </w:rPr>
        <w:footnoteReference w:id="23"/>
      </w:r>
      <w:r>
        <w:t xml:space="preserve"> For example, a recent study found that </w:t>
      </w:r>
      <w:r>
        <w:rPr>
          <w:color w:val="000000"/>
          <w:shd w:val="clear" w:color="auto" w:fill="FFFFFF"/>
        </w:rPr>
        <w:t xml:space="preserve">general surgeons (29.6%), pediatricians (29.2%), and psychiatrists (27.1%) were less likely to participate in a web-based survey </w:t>
      </w:r>
      <w:r>
        <w:t>than n</w:t>
      </w:r>
      <w:r>
        <w:rPr>
          <w:color w:val="000000"/>
          <w:shd w:val="clear" w:color="auto" w:fill="FFFFFF"/>
        </w:rPr>
        <w:t xml:space="preserve">eurologists or neurosurgeons (46.6%) and internists (42.9%). Furthermore, </w:t>
      </w:r>
      <w:r w:rsidRPr="0034220A">
        <w:rPr>
          <w:color w:val="000000"/>
          <w:shd w:val="clear" w:color="auto" w:fill="FFFFFF"/>
        </w:rPr>
        <w:t>Juster and Suzman</w:t>
      </w:r>
      <w:r>
        <w:rPr>
          <w:rStyle w:val="FootnoteReference"/>
          <w:color w:val="000000"/>
          <w:shd w:val="clear" w:color="auto" w:fill="FFFFFF"/>
        </w:rPr>
        <w:footnoteReference w:id="24"/>
      </w:r>
      <w:r w:rsidRPr="0034220A">
        <w:rPr>
          <w:color w:val="000000"/>
          <w:shd w:val="clear" w:color="auto" w:fill="FFFFFF"/>
        </w:rPr>
        <w:t xml:space="preserve"> (1995) found that high incentives reduced nonresponse bias for people with high incomes</w:t>
      </w:r>
      <w:r>
        <w:rPr>
          <w:color w:val="000000"/>
          <w:shd w:val="clear" w:color="auto" w:fill="FFFFFF"/>
        </w:rPr>
        <w:t>.</w:t>
      </w:r>
      <w:r w:rsidRPr="0034220A">
        <w:rPr>
          <w:color w:val="000000"/>
          <w:shd w:val="clear" w:color="auto" w:fill="FFFFFF"/>
        </w:rPr>
        <w:t xml:space="preserve"> </w:t>
      </w:r>
      <w:r>
        <w:rPr>
          <w:color w:val="000000"/>
          <w:shd w:val="clear" w:color="auto" w:fill="FFFFFF"/>
        </w:rPr>
        <w:t xml:space="preserve">These findings are particularly relevant for our study because we intend to recruit physicians from a variety of specialties, including neurologists, gastroenterologists, and psychiatrists as well as others that are even less common, such as rheumatologists. </w:t>
      </w:r>
    </w:p>
    <w:p w:rsidR="00341B7D" w:rsidP="00BB687E" w:rsidRDefault="00341B7D" w14:paraId="6CA0BB49" w14:textId="6DA1A870">
      <w:pPr>
        <w:autoSpaceDE w:val="0"/>
        <w:autoSpaceDN w:val="0"/>
        <w:adjustRightInd w:val="0"/>
        <w:spacing w:before="120" w:after="120"/>
        <w:ind w:left="360"/>
        <w:rPr>
          <w:color w:val="000000"/>
        </w:rPr>
      </w:pPr>
      <w:bookmarkStart w:name="_Hlk183930" w:id="3"/>
      <w:bookmarkStart w:name="_Hlk534637442" w:id="4"/>
      <w:r>
        <w:rPr>
          <w:color w:val="000000"/>
        </w:rPr>
        <w:t xml:space="preserve">For this study, we will provide all focus groups participants with a $300 honorarium </w:t>
      </w:r>
      <w:r w:rsidRPr="00972439">
        <w:rPr>
          <w:color w:val="000000"/>
        </w:rPr>
        <w:t xml:space="preserve">which OMB approved for </w:t>
      </w:r>
      <w:r>
        <w:rPr>
          <w:color w:val="000000"/>
        </w:rPr>
        <w:t xml:space="preserve">the </w:t>
      </w:r>
      <w:r w:rsidRPr="00972439">
        <w:rPr>
          <w:color w:val="000000"/>
        </w:rPr>
        <w:t xml:space="preserve">previous </w:t>
      </w:r>
      <w:r>
        <w:rPr>
          <w:color w:val="000000"/>
        </w:rPr>
        <w:t xml:space="preserve">FDA </w:t>
      </w:r>
      <w:r w:rsidRPr="00972439">
        <w:rPr>
          <w:color w:val="000000"/>
        </w:rPr>
        <w:t xml:space="preserve">research project </w:t>
      </w:r>
      <w:r>
        <w:rPr>
          <w:color w:val="000000"/>
        </w:rPr>
        <w:t xml:space="preserve">titled </w:t>
      </w:r>
      <w:bookmarkStart w:name="_Hlk260786" w:id="5"/>
      <w:r>
        <w:rPr>
          <w:color w:val="000000"/>
        </w:rPr>
        <w:t xml:space="preserve">Testing Communications on Biological </w:t>
      </w:r>
      <w:r>
        <w:rPr>
          <w:color w:val="000000"/>
        </w:rPr>
        <w:lastRenderedPageBreak/>
        <w:t xml:space="preserve">Products, </w:t>
      </w:r>
      <w:r w:rsidRPr="00BA644D">
        <w:rPr>
          <w:shd w:val="clear" w:color="auto" w:fill="F8F8F8"/>
        </w:rPr>
        <w:t xml:space="preserve">approved </w:t>
      </w:r>
      <w:bookmarkEnd w:id="5"/>
      <w:r w:rsidRPr="00BA644D">
        <w:rPr>
          <w:shd w:val="clear" w:color="auto" w:fill="F8F8F8"/>
        </w:rPr>
        <w:t>in 2014 under</w:t>
      </w:r>
      <w:r>
        <w:rPr>
          <w:shd w:val="clear" w:color="auto" w:fill="F8F8F8"/>
        </w:rPr>
        <w:t xml:space="preserve"> </w:t>
      </w:r>
      <w:r w:rsidRPr="000A528B">
        <w:t>generi</w:t>
      </w:r>
      <w:r w:rsidRPr="00972439">
        <w:rPr>
          <w:color w:val="000000"/>
        </w:rPr>
        <w:t xml:space="preserve">c clearance </w:t>
      </w:r>
      <w:bookmarkStart w:name="_Hlk260964" w:id="6"/>
      <w:r w:rsidRPr="00972439">
        <w:rPr>
          <w:color w:val="000000"/>
        </w:rPr>
        <w:t>0910-0687</w:t>
      </w:r>
      <w:bookmarkEnd w:id="3"/>
      <w:bookmarkEnd w:id="6"/>
      <w:r w:rsidRPr="00972439">
        <w:rPr>
          <w:color w:val="000000"/>
        </w:rPr>
        <w:t>.</w:t>
      </w:r>
      <w:r>
        <w:rPr>
          <w:color w:val="000000"/>
        </w:rPr>
        <w:t xml:space="preserve"> </w:t>
      </w:r>
      <w:r>
        <w:t xml:space="preserve">Only </w:t>
      </w:r>
      <w:r>
        <w:rPr>
          <w:color w:val="000000"/>
        </w:rPr>
        <w:t>if HCPs decline to participate based on their stated reason that the $300 incentive is too low, we will reserve the option to offer them an additional $100 in an attempt to convert these refusals to willingness to participate ($400</w:t>
      </w:r>
      <w:r w:rsidRPr="009F5071">
        <w:rPr>
          <w:color w:val="000000"/>
        </w:rPr>
        <w:t xml:space="preserve"> </w:t>
      </w:r>
      <w:r>
        <w:rPr>
          <w:color w:val="000000"/>
        </w:rPr>
        <w:t>maximum). This option</w:t>
      </w:r>
      <w:r w:rsidRPr="00E27B78">
        <w:rPr>
          <w:shd w:val="clear" w:color="auto" w:fill="FFFFFF"/>
        </w:rPr>
        <w:t xml:space="preserve"> will enable FDA to address costs that have risen over the past 5 years and better ensure recruitment of the very specialized and difficult-to-recruit populations</w:t>
      </w:r>
      <w:r>
        <w:rPr>
          <w:shd w:val="clear" w:color="auto" w:fill="FFFFFF"/>
        </w:rPr>
        <w:t xml:space="preserve">. </w:t>
      </w:r>
      <w:r>
        <w:rPr>
          <w:color w:val="000000"/>
        </w:rPr>
        <w:t xml:space="preserve">A similar tiered strategy was approved by OMB in 2017 for the Centers for Disease Control and Prevention’s </w:t>
      </w:r>
      <w:r w:rsidRPr="00C0133C">
        <w:rPr>
          <w:i/>
        </w:rPr>
        <w:t>Formative Research to Develop HIV Social Marketing Campaigns for Healthcare Providers</w:t>
      </w:r>
      <w:r>
        <w:t xml:space="preserve"> (OMB No. 0920-1182).</w:t>
      </w:r>
      <w:r>
        <w:rPr>
          <w:color w:val="000000"/>
        </w:rPr>
        <w:t xml:space="preserve"> </w:t>
      </w:r>
      <w:r w:rsidR="001915BB">
        <w:rPr>
          <w:color w:val="000000"/>
        </w:rPr>
        <w:t>Participants will receive the honorarium by check after the completion of the focus group.</w:t>
      </w:r>
    </w:p>
    <w:p w:rsidRPr="00CD402A" w:rsidR="00341B7D" w:rsidP="00BB687E" w:rsidRDefault="00341B7D" w14:paraId="6D3DD6A7" w14:textId="77777777">
      <w:pPr>
        <w:autoSpaceDE w:val="0"/>
        <w:autoSpaceDN w:val="0"/>
        <w:adjustRightInd w:val="0"/>
        <w:spacing w:before="120" w:after="120"/>
        <w:ind w:left="360"/>
        <w:rPr>
          <w:shd w:val="clear" w:color="auto" w:fill="FFFFFF"/>
        </w:rPr>
      </w:pPr>
      <w:bookmarkStart w:name="_Hlk183358" w:id="7"/>
      <w:r>
        <w:rPr>
          <w:color w:val="000000"/>
        </w:rPr>
        <w:t xml:space="preserve">Several studies have explored strategies to improve recruitment of HCPs, and some have </w:t>
      </w:r>
      <w:r w:rsidRPr="00247B07">
        <w:t xml:space="preserve">examined participation rates by </w:t>
      </w:r>
      <w:r>
        <w:t>incentive</w:t>
      </w:r>
      <w:r w:rsidRPr="00247B07">
        <w:t xml:space="preserve"> amount and/or type</w:t>
      </w:r>
      <w:r>
        <w:t xml:space="preserve"> </w:t>
      </w:r>
      <w:r>
        <w:rPr>
          <w:color w:val="000000"/>
        </w:rPr>
        <w:t>.</w:t>
      </w:r>
      <w:r>
        <w:rPr>
          <w:rStyle w:val="FootnoteReference"/>
          <w:color w:val="000000"/>
        </w:rPr>
        <w:footnoteReference w:id="25"/>
      </w:r>
      <w:r w:rsidRPr="002356CF">
        <w:rPr>
          <w:color w:val="000000"/>
          <w:vertAlign w:val="superscript"/>
        </w:rPr>
        <w:t>,</w:t>
      </w:r>
      <w:r>
        <w:rPr>
          <w:rStyle w:val="FootnoteReference"/>
          <w:color w:val="000000"/>
        </w:rPr>
        <w:footnoteReference w:id="26"/>
      </w:r>
      <w:r w:rsidRPr="002356CF">
        <w:rPr>
          <w:color w:val="000000"/>
          <w:vertAlign w:val="superscript"/>
        </w:rPr>
        <w:t>,</w:t>
      </w:r>
      <w:r>
        <w:rPr>
          <w:rStyle w:val="FootnoteReference"/>
          <w:color w:val="000000"/>
        </w:rPr>
        <w:footnoteReference w:id="27"/>
      </w:r>
      <w:r w:rsidRPr="002356CF">
        <w:rPr>
          <w:color w:val="000000"/>
          <w:vertAlign w:val="superscript"/>
        </w:rPr>
        <w:t>,</w:t>
      </w:r>
      <w:r>
        <w:rPr>
          <w:rStyle w:val="FootnoteReference"/>
          <w:color w:val="000000"/>
        </w:rPr>
        <w:footnoteReference w:id="28"/>
      </w:r>
      <w:r w:rsidRPr="002356CF">
        <w:rPr>
          <w:color w:val="000000"/>
          <w:vertAlign w:val="superscript"/>
        </w:rPr>
        <w:t>,</w:t>
      </w:r>
      <w:r>
        <w:rPr>
          <w:rStyle w:val="FootnoteReference"/>
          <w:color w:val="000000"/>
        </w:rPr>
        <w:footnoteReference w:id="29"/>
      </w:r>
      <w:r>
        <w:rPr>
          <w:color w:val="000000"/>
        </w:rPr>
        <w:t xml:space="preserve"> This research shows that monetary incentives resulted in higher survey response rates compared to nonmonetary incentives and</w:t>
      </w:r>
      <w:r>
        <w:rPr>
          <w:color w:val="000000"/>
          <w:shd w:val="clear" w:color="auto" w:fill="FFFFFF"/>
        </w:rPr>
        <w:t xml:space="preserve"> that the value (or perceived value) of the incentive matters, with higher incentives yielding greater participation than lower incentives. Although the incentives in this literature were lower than those proposed here, they involved significantly shorter survey participation and are often from many years ago</w:t>
      </w:r>
      <w:bookmarkEnd w:id="7"/>
      <w:r>
        <w:t>. However, p</w:t>
      </w:r>
      <w:r>
        <w:rPr>
          <w:shd w:val="clear" w:color="auto" w:fill="FFFFFF"/>
        </w:rPr>
        <w:t>rovision of high-value honorariums is supported by leading qualitative researchers who suggest that f</w:t>
      </w:r>
      <w:r w:rsidRPr="001B7477">
        <w:rPr>
          <w:shd w:val="clear" w:color="auto" w:fill="FFFFFF"/>
        </w:rPr>
        <w:t>ocus groups with physicians</w:t>
      </w:r>
      <w:r>
        <w:rPr>
          <w:shd w:val="clear" w:color="auto" w:fill="FFFFFF"/>
        </w:rPr>
        <w:t xml:space="preserve"> may require amounts up to or exceeding $500</w:t>
      </w:r>
      <w:r w:rsidRPr="00247569">
        <w:rPr>
          <w:shd w:val="clear" w:color="auto" w:fill="FFFFFF"/>
        </w:rPr>
        <w:t>.</w:t>
      </w:r>
      <w:r>
        <w:rPr>
          <w:rStyle w:val="FootnoteReference"/>
          <w:shd w:val="clear" w:color="auto" w:fill="FFFFFF"/>
        </w:rPr>
        <w:footnoteReference w:id="30"/>
      </w:r>
      <w:r w:rsidRPr="00247569">
        <w:rPr>
          <w:shd w:val="clear" w:color="auto" w:fill="FFFFFF"/>
        </w:rPr>
        <w:t xml:space="preserve"> </w:t>
      </w:r>
      <w:r w:rsidRPr="00247569">
        <w:t>In addition, past experience on other projects our contractor has conducted, and their recent consultation with two national research firms (Plaza Research and Fieldwork, Inc.), show that the amounts offered are consistent with what specialized HCPs such as those we are targeting for this project require to take time out of their already time-constrained clinical practices to participate in these types of research projects.</w:t>
      </w:r>
      <w:r w:rsidRPr="00E27B78">
        <w:rPr>
          <w:shd w:val="clear" w:color="auto" w:fill="FFFFFF"/>
        </w:rPr>
        <w:t xml:space="preserve"> </w:t>
      </w:r>
      <w:bookmarkStart w:name="_Hlk183323" w:id="8"/>
      <w:r>
        <w:rPr>
          <w:shd w:val="clear" w:color="auto" w:fill="FFFFFF"/>
        </w:rPr>
        <w:t xml:space="preserve">For example, in line with the $300 incentives for the 90-minute focus group participation in the FDA biological products study mentioned above, the contractor also </w:t>
      </w:r>
      <w:r w:rsidRPr="00EF4FD5">
        <w:t>paid</w:t>
      </w:r>
      <w:r w:rsidRPr="00B92089">
        <w:rPr>
          <w:shd w:val="clear" w:color="auto" w:fill="FFFFFF"/>
        </w:rPr>
        <w:t xml:space="preserve"> specialists</w:t>
      </w:r>
      <w:r>
        <w:rPr>
          <w:shd w:val="clear" w:color="auto" w:fill="FFFFFF"/>
        </w:rPr>
        <w:t xml:space="preserve"> incentives of </w:t>
      </w:r>
      <w:r w:rsidRPr="007365E9">
        <w:t xml:space="preserve">$250 </w:t>
      </w:r>
      <w:r>
        <w:rPr>
          <w:shd w:val="clear" w:color="auto" w:fill="FFFFFF"/>
        </w:rPr>
        <w:t xml:space="preserve">for participating in </w:t>
      </w:r>
      <w:r w:rsidRPr="007365E9">
        <w:t>interview</w:t>
      </w:r>
      <w:r>
        <w:t xml:space="preserve">s that were substantially shorter (60 minutes). </w:t>
      </w:r>
      <w:bookmarkStart w:name="_Hlk184406" w:id="9"/>
      <w:bookmarkStart w:name="_Hlk536190507" w:id="10"/>
      <w:bookmarkStart w:name="_Hlk536188661" w:id="11"/>
      <w:bookmarkEnd w:id="8"/>
      <w:r>
        <w:t xml:space="preserve">Similarly, specialists received $250 incentives for participating in a one-hour focus group as part of FDA’s </w:t>
      </w:r>
      <w:r w:rsidRPr="00DE3419">
        <w:rPr>
          <w:i/>
        </w:rPr>
        <w:t xml:space="preserve">Generic Drug Substitution in Special Populations </w:t>
      </w:r>
      <w:r w:rsidRPr="00DE3419">
        <w:t>study</w:t>
      </w:r>
      <w:bookmarkEnd w:id="9"/>
      <w:r w:rsidRPr="00DE3419">
        <w:t xml:space="preserve"> </w:t>
      </w:r>
      <w:r>
        <w:t xml:space="preserve">(OMB No. </w:t>
      </w:r>
      <w:r w:rsidRPr="007B4380">
        <w:t>0910-0677</w:t>
      </w:r>
      <w:r>
        <w:t xml:space="preserve">; 2017) and in 60-minute telephone interviews for </w:t>
      </w:r>
      <w:r w:rsidRPr="002356CF">
        <w:rPr>
          <w:i/>
          <w:iCs/>
          <w:shd w:val="clear" w:color="auto" w:fill="F8F8F8"/>
        </w:rPr>
        <w:t>Studies to Enhance FDA Communications Addressing Opioids and Other Potentially Addictive Pain Medications</w:t>
      </w:r>
      <w:r w:rsidRPr="00247569">
        <w:rPr>
          <w:i/>
          <w:iCs/>
          <w:color w:val="7030A0"/>
          <w:shd w:val="clear" w:color="auto" w:fill="F8F8F8"/>
        </w:rPr>
        <w:t xml:space="preserve"> </w:t>
      </w:r>
      <w:r w:rsidRPr="00247569">
        <w:t>(</w:t>
      </w:r>
      <w:r>
        <w:t xml:space="preserve">OMB No. </w:t>
      </w:r>
      <w:r w:rsidRPr="007365E9">
        <w:t>0910-0695</w:t>
      </w:r>
      <w:r>
        <w:t>; 2016</w:t>
      </w:r>
      <w:r w:rsidRPr="007365E9">
        <w:t>)</w:t>
      </w:r>
      <w:r>
        <w:t>, an incentive rate that would have amounted to $375 for 90 minutes</w:t>
      </w:r>
      <w:bookmarkEnd w:id="10"/>
      <w:r>
        <w:t>.</w:t>
      </w:r>
    </w:p>
    <w:bookmarkEnd w:id="4"/>
    <w:bookmarkEnd w:id="11"/>
    <w:p w:rsidR="00341B7D" w:rsidP="00BB687E" w:rsidRDefault="00341B7D" w14:paraId="7860BDAD" w14:textId="77777777">
      <w:pPr>
        <w:autoSpaceDE w:val="0"/>
        <w:autoSpaceDN w:val="0"/>
        <w:adjustRightInd w:val="0"/>
        <w:spacing w:before="120" w:after="120"/>
        <w:ind w:left="360"/>
        <w:rPr>
          <w:color w:val="000000"/>
        </w:rPr>
      </w:pPr>
      <w:r>
        <w:rPr>
          <w:color w:val="000000"/>
        </w:rPr>
        <w:t xml:space="preserve">The decision to provide the proposed honorarium amounts is based on the principles set forth in OMB’s guidance on factors that may justify provision of an incentive (Office of Management and Budget, 2006):  </w:t>
      </w:r>
    </w:p>
    <w:p w:rsidR="00341B7D" w:rsidP="00341B7D" w:rsidRDefault="00341B7D" w14:paraId="32597D2D" w14:textId="77777777">
      <w:pPr>
        <w:numPr>
          <w:ilvl w:val="0"/>
          <w:numId w:val="26"/>
        </w:numPr>
        <w:autoSpaceDE w:val="0"/>
        <w:autoSpaceDN w:val="0"/>
        <w:adjustRightInd w:val="0"/>
        <w:spacing w:before="120"/>
        <w:ind w:left="720"/>
      </w:pPr>
      <w:r w:rsidRPr="005C109C">
        <w:rPr>
          <w:i/>
        </w:rPr>
        <w:lastRenderedPageBreak/>
        <w:t xml:space="preserve">Data quality: </w:t>
      </w:r>
      <w:r>
        <w:t xml:space="preserve">One strategy we will implement to improve the quality and robustness of the data is to recruit HCPs with wide-ranging behaviors, specialties, and sociodemographic characteristics. </w:t>
      </w:r>
      <w:r>
        <w:rPr>
          <w:shd w:val="clear" w:color="auto" w:fill="FFFFFF"/>
        </w:rPr>
        <w:t>Offering</w:t>
      </w:r>
      <w:r w:rsidRPr="00E27B78">
        <w:rPr>
          <w:shd w:val="clear" w:color="auto" w:fill="FFFFFF"/>
        </w:rPr>
        <w:t xml:space="preserve"> less than the proposed amounts</w:t>
      </w:r>
      <w:r>
        <w:rPr>
          <w:shd w:val="clear" w:color="auto" w:fill="FFFFFF"/>
        </w:rPr>
        <w:t>, however,</w:t>
      </w:r>
      <w:r w:rsidRPr="00E27B78">
        <w:rPr>
          <w:shd w:val="clear" w:color="auto" w:fill="FFFFFF"/>
        </w:rPr>
        <w:t xml:space="preserve"> </w:t>
      </w:r>
      <w:r>
        <w:rPr>
          <w:shd w:val="clear" w:color="auto" w:fill="FFFFFF"/>
        </w:rPr>
        <w:t xml:space="preserve">is </w:t>
      </w:r>
      <w:r w:rsidRPr="00E27B78">
        <w:rPr>
          <w:shd w:val="clear" w:color="auto" w:fill="FFFFFF"/>
        </w:rPr>
        <w:t>likely</w:t>
      </w:r>
      <w:r>
        <w:rPr>
          <w:shd w:val="clear" w:color="auto" w:fill="FFFFFF"/>
        </w:rPr>
        <w:t xml:space="preserve"> to</w:t>
      </w:r>
      <w:r w:rsidRPr="00E27B78">
        <w:rPr>
          <w:shd w:val="clear" w:color="auto" w:fill="FFFFFF"/>
        </w:rPr>
        <w:t xml:space="preserve"> </w:t>
      </w:r>
      <w:r>
        <w:rPr>
          <w:shd w:val="clear" w:color="auto" w:fill="FFFFFF"/>
        </w:rPr>
        <w:t xml:space="preserve">limit </w:t>
      </w:r>
      <w:r w:rsidRPr="00E27B78">
        <w:rPr>
          <w:shd w:val="clear" w:color="auto" w:fill="FFFFFF"/>
        </w:rPr>
        <w:t>our ability to recruit the diversity of the desired subgroups and provide the breadth of the expertise, experience, and prescribing practices necessary for this project</w:t>
      </w:r>
      <w:r>
        <w:rPr>
          <w:shd w:val="clear" w:color="auto" w:fill="FFFFFF"/>
        </w:rPr>
        <w:t xml:space="preserve">. </w:t>
      </w:r>
      <w:r>
        <w:t>Prior studies have shown variations in participation rates by medical specialty, age, and race/ethnicity. Furthermore, the difficulties engaging HCPs for research studies have been well-documented. Numerous studies have shown that honorariums can reduce sample bias which occurs when research participants do not represent the diversity of the intended audience (Griffin et al., 2011; Lesser et al., 2001; Singer &amp; Kulka, 2002).</w:t>
      </w:r>
      <w:r>
        <w:rPr>
          <w:rStyle w:val="FootnoteReference"/>
        </w:rPr>
        <w:footnoteReference w:id="31"/>
      </w:r>
      <w:r w:rsidRPr="002356CF">
        <w:rPr>
          <w:vertAlign w:val="superscript"/>
        </w:rPr>
        <w:t>,</w:t>
      </w:r>
      <w:r>
        <w:rPr>
          <w:rStyle w:val="FootnoteReference"/>
        </w:rPr>
        <w:footnoteReference w:id="32"/>
      </w:r>
      <w:r w:rsidRPr="002356CF">
        <w:rPr>
          <w:vertAlign w:val="superscript"/>
        </w:rPr>
        <w:t>,</w:t>
      </w:r>
      <w:r>
        <w:rPr>
          <w:rStyle w:val="FootnoteReference"/>
        </w:rPr>
        <w:footnoteReference w:id="33"/>
      </w:r>
      <w:r>
        <w:t xml:space="preserve"> A biased sample will compromise the usefulness and validity of the findings. </w:t>
      </w:r>
    </w:p>
    <w:p w:rsidRPr="00D240D8" w:rsidR="00341B7D" w:rsidP="00341B7D" w:rsidRDefault="00341B7D" w14:paraId="2E23ED68" w14:textId="77777777">
      <w:pPr>
        <w:numPr>
          <w:ilvl w:val="0"/>
          <w:numId w:val="26"/>
        </w:numPr>
        <w:autoSpaceDE w:val="0"/>
        <w:autoSpaceDN w:val="0"/>
        <w:adjustRightInd w:val="0"/>
        <w:spacing w:before="120"/>
        <w:ind w:left="720"/>
      </w:pPr>
      <w:r w:rsidRPr="00EE0D49">
        <w:rPr>
          <w:i/>
          <w:iCs/>
        </w:rPr>
        <w:t>HCP participant burden.</w:t>
      </w:r>
      <w:r w:rsidRPr="00EE0D49">
        <w:rPr>
          <w:color w:val="000000"/>
          <w:shd w:val="clear" w:color="auto" w:fill="FFFFFF"/>
        </w:rPr>
        <w:t xml:space="preserve"> Lack of time and competing demands are significant barriers to research participation among HCPs. Although we will aim to limit burden to the extent possible, the study desig</w:t>
      </w:r>
      <w:r>
        <w:rPr>
          <w:color w:val="000000"/>
          <w:shd w:val="clear" w:color="auto" w:fill="FFFFFF"/>
        </w:rPr>
        <w:t>n requires participation in a 75</w:t>
      </w:r>
      <w:r w:rsidRPr="00EE0D49">
        <w:rPr>
          <w:color w:val="000000"/>
          <w:shd w:val="clear" w:color="auto" w:fill="FFFFFF"/>
        </w:rPr>
        <w:t xml:space="preserve">-minute prescheduled focus group session. Participants may need to find coverage for their patients to attend the session and/or work </w:t>
      </w:r>
      <w:r>
        <w:rPr>
          <w:color w:val="000000"/>
          <w:shd w:val="clear" w:color="auto" w:fill="FFFFFF"/>
        </w:rPr>
        <w:t>longer days</w:t>
      </w:r>
      <w:r w:rsidRPr="00EE0D49">
        <w:rPr>
          <w:color w:val="000000"/>
          <w:shd w:val="clear" w:color="auto" w:fill="FFFFFF"/>
        </w:rPr>
        <w:t xml:space="preserve"> to complete paperwork or follow up with patients. Burden concerns </w:t>
      </w:r>
      <w:r>
        <w:rPr>
          <w:color w:val="000000"/>
          <w:shd w:val="clear" w:color="auto" w:fill="FFFFFF"/>
        </w:rPr>
        <w:t>are</w:t>
      </w:r>
      <w:r w:rsidRPr="00EE0D49">
        <w:rPr>
          <w:color w:val="000000"/>
          <w:shd w:val="clear" w:color="auto" w:fill="FFFFFF"/>
        </w:rPr>
        <w:t xml:space="preserve"> a common deterrent to participation, particularly among high-volume HCPs or high-demand and/or uncommon specialists, which would lead to sample bias and affect data quality</w:t>
      </w:r>
      <w:r>
        <w:rPr>
          <w:color w:val="000000"/>
          <w:shd w:val="clear" w:color="auto" w:fill="FFFFFF"/>
        </w:rPr>
        <w:t xml:space="preserve"> (see above)</w:t>
      </w:r>
      <w:r w:rsidRPr="00EE0D49">
        <w:rPr>
          <w:color w:val="000000"/>
          <w:shd w:val="clear" w:color="auto" w:fill="FFFFFF"/>
        </w:rPr>
        <w:t xml:space="preserve">. The honorarium will </w:t>
      </w:r>
      <w:r>
        <w:rPr>
          <w:color w:val="000000"/>
          <w:shd w:val="clear" w:color="auto" w:fill="FFFFFF"/>
        </w:rPr>
        <w:t xml:space="preserve">help </w:t>
      </w:r>
      <w:r w:rsidRPr="00EE0D49">
        <w:rPr>
          <w:color w:val="000000"/>
          <w:shd w:val="clear" w:color="auto" w:fill="FFFFFF"/>
        </w:rPr>
        <w:t>offset or reduce concerns about time and other burdens, such as disruption</w:t>
      </w:r>
      <w:r>
        <w:rPr>
          <w:color w:val="000000"/>
          <w:shd w:val="clear" w:color="auto" w:fill="FFFFFF"/>
        </w:rPr>
        <w:t>s to patient flow</w:t>
      </w:r>
      <w:r w:rsidRPr="00EE0D49">
        <w:rPr>
          <w:color w:val="000000"/>
          <w:shd w:val="clear" w:color="auto" w:fill="FFFFFF"/>
        </w:rPr>
        <w:t xml:space="preserve">, inconvenience, </w:t>
      </w:r>
      <w:r>
        <w:rPr>
          <w:color w:val="000000"/>
          <w:shd w:val="clear" w:color="auto" w:fill="FFFFFF"/>
        </w:rPr>
        <w:t xml:space="preserve">financial loss, </w:t>
      </w:r>
      <w:r w:rsidRPr="00EE0D49">
        <w:rPr>
          <w:color w:val="000000"/>
          <w:shd w:val="clear" w:color="auto" w:fill="FFFFFF"/>
        </w:rPr>
        <w:t>and the need to limit or reschedule patient appointments</w:t>
      </w:r>
      <w:r>
        <w:rPr>
          <w:color w:val="000000"/>
          <w:shd w:val="clear" w:color="auto" w:fill="FFFFFF"/>
        </w:rPr>
        <w:t xml:space="preserve">. </w:t>
      </w:r>
    </w:p>
    <w:p w:rsidRPr="00022C54" w:rsidR="00341B7D" w:rsidP="00341B7D" w:rsidRDefault="00341B7D" w14:paraId="33578241" w14:textId="77777777">
      <w:pPr>
        <w:numPr>
          <w:ilvl w:val="0"/>
          <w:numId w:val="26"/>
        </w:numPr>
        <w:autoSpaceDE w:val="0"/>
        <w:autoSpaceDN w:val="0"/>
        <w:adjustRightInd w:val="0"/>
        <w:spacing w:before="120"/>
        <w:ind w:left="720"/>
        <w:rPr>
          <w:strike/>
        </w:rPr>
      </w:pPr>
      <w:r w:rsidRPr="00EE0D49">
        <w:rPr>
          <w:i/>
          <w:iCs/>
        </w:rPr>
        <w:t>Past experience:</w:t>
      </w:r>
      <w:r w:rsidRPr="00EE0D49">
        <w:rPr>
          <w:shd w:val="clear" w:color="auto" w:fill="FFFFFF"/>
        </w:rPr>
        <w:t xml:space="preserve"> </w:t>
      </w:r>
      <w:r>
        <w:rPr>
          <w:shd w:val="clear" w:color="auto" w:fill="FFFFFF"/>
        </w:rPr>
        <w:t>As described previously, t</w:t>
      </w:r>
      <w:r w:rsidRPr="00EE0D49">
        <w:rPr>
          <w:shd w:val="clear" w:color="auto" w:fill="FFFFFF"/>
        </w:rPr>
        <w:t xml:space="preserve">he study team has conducted qualitative studies with HCPs, and our experience confirms that they are a very challenging population to recruit. </w:t>
      </w:r>
      <w:r>
        <w:rPr>
          <w:shd w:val="clear" w:color="auto" w:fill="FFFFFF"/>
        </w:rPr>
        <w:t xml:space="preserve">The requested amount is consistent with the amounts provided for the prior FDA studies that involved qualitative research methods with similar populations (see above). </w:t>
      </w:r>
    </w:p>
    <w:p w:rsidRPr="005C109C" w:rsidR="00341B7D" w:rsidP="00341B7D" w:rsidRDefault="00341B7D" w14:paraId="3F2CB86D" w14:textId="77777777">
      <w:pPr>
        <w:numPr>
          <w:ilvl w:val="0"/>
          <w:numId w:val="26"/>
        </w:numPr>
        <w:autoSpaceDE w:val="0"/>
        <w:autoSpaceDN w:val="0"/>
        <w:adjustRightInd w:val="0"/>
        <w:spacing w:before="120"/>
        <w:ind w:left="720"/>
      </w:pPr>
      <w:r w:rsidRPr="005C109C">
        <w:rPr>
          <w:i/>
          <w:iCs/>
        </w:rPr>
        <w:t>Improved coverage of specialized respondents</w:t>
      </w:r>
      <w:r>
        <w:rPr>
          <w:i/>
          <w:iCs/>
        </w:rPr>
        <w:t xml:space="preserve"> or rare groups</w:t>
      </w:r>
      <w:r w:rsidRPr="005C109C">
        <w:t xml:space="preserve">: </w:t>
      </w:r>
      <w:r>
        <w:t>The HCP participants in this study are considered specialized because they have specific knowledge and experience related to the topic area</w:t>
      </w:r>
      <w:r w:rsidRPr="005C109C">
        <w:rPr>
          <w:iCs/>
        </w:rPr>
        <w:t>.</w:t>
      </w:r>
      <w:r>
        <w:rPr>
          <w:iCs/>
        </w:rPr>
        <w:t xml:space="preserve"> Although the number of professionally active primary care and specialty physicians in the United States are similar, the latter are distributed across multiple specialty types, increasing specialists’ rarity. </w:t>
      </w:r>
      <w:r w:rsidRPr="00C0518F">
        <w:rPr>
          <w:iCs/>
        </w:rPr>
        <w:t>In 2018, for example, psychiatrists made up just 11% of all specialists and Ob/Gyns made up 11% of all primary care doctors.</w:t>
      </w:r>
      <w:r>
        <w:rPr>
          <w:rStyle w:val="FootnoteReference"/>
          <w:iCs/>
        </w:rPr>
        <w:footnoteReference w:id="34"/>
      </w:r>
      <w:r>
        <w:rPr>
          <w:iCs/>
        </w:rPr>
        <w:t xml:space="preserve"> Other specialties, such as rheumatology face a short-fall in an adequate number of providers.</w:t>
      </w:r>
      <w:r>
        <w:rPr>
          <w:rStyle w:val="FootnoteReference"/>
          <w:iCs/>
        </w:rPr>
        <w:footnoteReference w:id="35"/>
      </w:r>
      <w:r>
        <w:rPr>
          <w:iCs/>
        </w:rPr>
        <w:t xml:space="preserve"> These data demonstrate </w:t>
      </w:r>
      <w:r>
        <w:rPr>
          <w:iCs/>
        </w:rPr>
        <w:lastRenderedPageBreak/>
        <w:t xml:space="preserve">that the pool of potentially-eligible HCPs is limited, and our eligibility criteria impose further eligibility restrictions. Rarity coupled with barriers related to time and other burdens make specialists particularly hard-to-recruit.  </w:t>
      </w:r>
    </w:p>
    <w:p w:rsidR="00341B7D" w:rsidRDefault="00341B7D" w14:paraId="699B6BA2" w14:textId="77777777">
      <w:pPr>
        <w:ind w:left="360"/>
      </w:pPr>
      <w:bookmarkStart w:name="_GoBack" w:id="14"/>
      <w:bookmarkEnd w:id="14"/>
    </w:p>
    <w:p w:rsidR="00140A0D" w:rsidP="007425FE" w:rsidRDefault="00140A0D" w14:paraId="69DE33FC" w14:textId="77777777">
      <w:pPr>
        <w:numPr>
          <w:ilvl w:val="0"/>
          <w:numId w:val="15"/>
        </w:numPr>
        <w:tabs>
          <w:tab w:val="clear" w:pos="1296"/>
          <w:tab w:val="num" w:pos="720"/>
          <w:tab w:val="num" w:pos="900"/>
        </w:tabs>
        <w:spacing w:after="120"/>
        <w:ind w:left="720"/>
        <w:rPr>
          <w:b/>
        </w:rPr>
      </w:pPr>
      <w:r>
        <w:rPr>
          <w:b/>
        </w:rPr>
        <w:t>Questions of a Sensitive Nature:</w:t>
      </w:r>
    </w:p>
    <w:p w:rsidR="00140A0D" w:rsidRDefault="00D314ED" w14:paraId="0C7D2C08" w14:textId="77777777">
      <w:pPr>
        <w:pStyle w:val="ListParagraph"/>
        <w:ind w:left="0" w:firstLine="360"/>
      </w:pPr>
      <w:r>
        <w:t>There will be no questions of a sensitive nature asked of participants.</w:t>
      </w:r>
    </w:p>
    <w:p w:rsidR="00140A0D" w:rsidP="00140A0D" w:rsidRDefault="00140A0D" w14:paraId="390EEE72" w14:textId="77777777">
      <w:pPr>
        <w:pStyle w:val="ListParagraph"/>
      </w:pPr>
    </w:p>
    <w:p w:rsidR="00140A0D" w:rsidP="008D2DA3" w:rsidRDefault="00140A0D" w14:paraId="0CDE6675" w14:textId="77777777">
      <w:pPr>
        <w:numPr>
          <w:ilvl w:val="0"/>
          <w:numId w:val="15"/>
        </w:numPr>
        <w:tabs>
          <w:tab w:val="clear" w:pos="1296"/>
          <w:tab w:val="num" w:pos="720"/>
          <w:tab w:val="num" w:pos="900"/>
        </w:tabs>
        <w:spacing w:after="120"/>
        <w:ind w:left="720"/>
        <w:rPr>
          <w:b/>
        </w:rPr>
      </w:pPr>
      <w:r>
        <w:rPr>
          <w:b/>
        </w:rPr>
        <w:t>Description of Statistical Methods (</w:t>
      </w:r>
      <w:r w:rsidR="00E971FC">
        <w:rPr>
          <w:b/>
        </w:rPr>
        <w:t xml:space="preserve"> </w:t>
      </w:r>
      <w:r w:rsidR="008D2DA3">
        <w:rPr>
          <w:b/>
        </w:rPr>
        <w:t>i</w:t>
      </w:r>
      <w:r w:rsidR="00E971FC">
        <w:rPr>
          <w:b/>
        </w:rPr>
        <w:t>.</w:t>
      </w:r>
      <w:r w:rsidR="008D2DA3">
        <w:rPr>
          <w:b/>
        </w:rPr>
        <w:t>e</w:t>
      </w:r>
      <w:r w:rsidR="00E971FC">
        <w:rPr>
          <w:b/>
        </w:rPr>
        <w:t>.</w:t>
      </w:r>
      <w:r w:rsidR="00843019">
        <w:rPr>
          <w:b/>
        </w:rPr>
        <w:t>,</w:t>
      </w:r>
      <w:r w:rsidR="00E971FC">
        <w:rPr>
          <w:b/>
        </w:rPr>
        <w:t xml:space="preserve"> </w:t>
      </w:r>
      <w:r>
        <w:rPr>
          <w:b/>
        </w:rPr>
        <w:t xml:space="preserve">Sample Size </w:t>
      </w:r>
      <w:r w:rsidR="008D2DA3">
        <w:rPr>
          <w:b/>
        </w:rPr>
        <w:t>and</w:t>
      </w:r>
      <w:r>
        <w:rPr>
          <w:b/>
        </w:rPr>
        <w:t xml:space="preserve"> Method of Selection):</w:t>
      </w:r>
    </w:p>
    <w:p w:rsidR="007C0F20" w:rsidP="00AB3C68" w:rsidRDefault="00AA0BF6" w14:paraId="4B0D3E37" w14:textId="2DA7ABC6">
      <w:pPr>
        <w:pStyle w:val="ListParagraph"/>
        <w:ind w:left="360"/>
      </w:pPr>
      <w:r>
        <w:t xml:space="preserve">This is a qualitative study using a convenience sample. It does not entail the use of any statistical methods. </w:t>
      </w:r>
      <w:r w:rsidR="007C4F02">
        <w:t>The qualitative and analytical methods are described below.</w:t>
      </w:r>
    </w:p>
    <w:p w:rsidR="007C4F02" w:rsidP="007C0F20" w:rsidRDefault="007C4F02" w14:paraId="54E667E3" w14:textId="0BBE93B6">
      <w:pPr>
        <w:pStyle w:val="ListParagraph"/>
        <w:ind w:left="360"/>
      </w:pPr>
    </w:p>
    <w:p w:rsidR="007C0F20" w:rsidP="007C4F02" w:rsidRDefault="007C4F02" w14:paraId="5618A829" w14:textId="5CFE5764">
      <w:pPr>
        <w:pStyle w:val="ListParagraph"/>
        <w:ind w:left="360"/>
      </w:pPr>
      <w:r w:rsidRPr="007C4F02">
        <w:t>Transcribed recordings and notes from all focus groups will be analyzed using standard qualitative methodologies. As notes and transcripts are read, sections of text that indicate or suggest key themes will be marked and provisionally labeled. The labels will form the basis for a coding scheme, for which each code is defined and illustrated. The process of code development will be iterative and will take place over time. The set of codes accumulated during data review will be repeatedly revisited and revised to produce the final coding scheme. Actual data coding will then consist of reviewing the set of notes and transcripts and assigning codes to the sections of text to which they correspond. Data will be coded using NVivo, a software program for analyzing qualitative data. The findings will be summarized in manuscripts and presentations and shared with stakeholders.</w:t>
      </w:r>
    </w:p>
    <w:p w:rsidR="000802BD" w:rsidP="00AB3C68" w:rsidRDefault="007C4F02" w14:paraId="27B54EF1" w14:textId="404E63F1">
      <w:r>
        <w:rPr>
          <w:color w:val="000000"/>
        </w:rPr>
        <w:t xml:space="preserve">     </w:t>
      </w:r>
    </w:p>
    <w:p w:rsidR="000802BD" w:rsidP="00AB3C68" w:rsidRDefault="000802BD" w14:paraId="383DCFE5" w14:textId="77777777"/>
    <w:p w:rsidR="003F1C7A" w:rsidRDefault="003F1C7A" w14:paraId="732D9CAE" w14:textId="77777777">
      <w:pPr>
        <w:rPr>
          <w:i/>
        </w:rPr>
      </w:pPr>
      <w:r>
        <w:rPr>
          <w:b/>
        </w:rPr>
        <w:t>BURDEN HOUR COMPUTATION</w:t>
      </w:r>
      <w:r>
        <w:t xml:space="preserve"> </w:t>
      </w:r>
      <w:r>
        <w:rPr>
          <w:i/>
        </w:rPr>
        <w:t>(Number of respon</w:t>
      </w:r>
      <w:r w:rsidR="00736C68">
        <w:rPr>
          <w:i/>
        </w:rPr>
        <w:t>dents</w:t>
      </w:r>
      <w:r w:rsidR="0049419A">
        <w:rPr>
          <w:i/>
        </w:rPr>
        <w:t xml:space="preserve"> </w:t>
      </w:r>
      <w:r>
        <w:rPr>
          <w:i/>
        </w:rPr>
        <w:t>(X) estimated response or participation time in minutes (/60) = annual burden hours):</w:t>
      </w:r>
    </w:p>
    <w:p w:rsidR="003F1C7A" w:rsidRDefault="003F1C7A" w14:paraId="37E0BE11" w14:textId="77777777">
      <w:pPr>
        <w:keepNext/>
        <w:keepLines/>
        <w:rPr>
          <w:b/>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5"/>
        <w:gridCol w:w="2211"/>
        <w:gridCol w:w="1619"/>
        <w:gridCol w:w="1877"/>
      </w:tblGrid>
      <w:tr w:rsidRPr="00063E51" w:rsidR="00012079" w:rsidTr="00F05C84" w14:paraId="2F47DC51" w14:textId="77777777">
        <w:trPr>
          <w:trHeight w:val="274"/>
          <w:jc w:val="center"/>
        </w:trPr>
        <w:tc>
          <w:tcPr>
            <w:tcW w:w="2785" w:type="dxa"/>
            <w:shd w:val="clear" w:color="auto" w:fill="E0E0E0"/>
            <w:vAlign w:val="center"/>
          </w:tcPr>
          <w:p w:rsidRPr="00063E51" w:rsidR="00012079" w:rsidP="00F05C84" w:rsidRDefault="00012079" w14:paraId="33E7AB28" w14:textId="77777777">
            <w:pPr>
              <w:jc w:val="center"/>
              <w:rPr>
                <w:b/>
              </w:rPr>
            </w:pPr>
            <w:r w:rsidRPr="00063E51">
              <w:rPr>
                <w:b/>
              </w:rPr>
              <w:t>Type/Category of Respondent</w:t>
            </w:r>
          </w:p>
        </w:tc>
        <w:tc>
          <w:tcPr>
            <w:tcW w:w="2211" w:type="dxa"/>
            <w:shd w:val="clear" w:color="auto" w:fill="E0E0E0"/>
            <w:vAlign w:val="center"/>
          </w:tcPr>
          <w:p w:rsidRPr="00063E51" w:rsidR="00012079" w:rsidP="00F05C84" w:rsidRDefault="00012079" w14:paraId="599DD9EC" w14:textId="77777777">
            <w:pPr>
              <w:jc w:val="center"/>
              <w:rPr>
                <w:b/>
              </w:rPr>
            </w:pPr>
            <w:r>
              <w:rPr>
                <w:b/>
              </w:rPr>
              <w:t xml:space="preserve">Total </w:t>
            </w:r>
            <w:r w:rsidRPr="00063E51">
              <w:rPr>
                <w:b/>
              </w:rPr>
              <w:t>No. of Respondents</w:t>
            </w:r>
          </w:p>
        </w:tc>
        <w:tc>
          <w:tcPr>
            <w:tcW w:w="1619" w:type="dxa"/>
            <w:shd w:val="clear" w:color="auto" w:fill="E0E0E0"/>
            <w:vAlign w:val="center"/>
          </w:tcPr>
          <w:p w:rsidRPr="00063E51" w:rsidR="00012079" w:rsidP="00F05C84" w:rsidRDefault="00012079" w14:paraId="17BE1C03" w14:textId="77777777">
            <w:pPr>
              <w:jc w:val="center"/>
              <w:rPr>
                <w:b/>
              </w:rPr>
            </w:pPr>
            <w:r w:rsidRPr="00063E51">
              <w:rPr>
                <w:b/>
              </w:rPr>
              <w:t>Participation Time (minutes)</w:t>
            </w:r>
          </w:p>
        </w:tc>
        <w:tc>
          <w:tcPr>
            <w:tcW w:w="1877" w:type="dxa"/>
            <w:shd w:val="clear" w:color="auto" w:fill="E0E0E0"/>
            <w:vAlign w:val="center"/>
          </w:tcPr>
          <w:p w:rsidRPr="00063E51" w:rsidR="00012079" w:rsidP="00F05C84" w:rsidRDefault="00012079" w14:paraId="73455A6E" w14:textId="77777777">
            <w:pPr>
              <w:jc w:val="center"/>
              <w:rPr>
                <w:b/>
              </w:rPr>
            </w:pPr>
            <w:r w:rsidRPr="00063E51">
              <w:rPr>
                <w:b/>
              </w:rPr>
              <w:t>Burden</w:t>
            </w:r>
          </w:p>
          <w:p w:rsidRPr="00063E51" w:rsidR="00012079" w:rsidP="00F05C84" w:rsidRDefault="00012079" w14:paraId="46AB28C5" w14:textId="77777777">
            <w:pPr>
              <w:jc w:val="center"/>
              <w:rPr>
                <w:b/>
              </w:rPr>
            </w:pPr>
            <w:r w:rsidRPr="00063E51">
              <w:rPr>
                <w:b/>
              </w:rPr>
              <w:t>(hours)</w:t>
            </w:r>
          </w:p>
        </w:tc>
      </w:tr>
      <w:tr w:rsidRPr="00063E51" w:rsidR="00012079" w:rsidTr="00341B7D" w14:paraId="34B82BE5" w14:textId="77777777">
        <w:trPr>
          <w:trHeight w:val="274"/>
          <w:jc w:val="center"/>
        </w:trPr>
        <w:tc>
          <w:tcPr>
            <w:tcW w:w="2785" w:type="dxa"/>
            <w:vAlign w:val="center"/>
          </w:tcPr>
          <w:p w:rsidRPr="00063E51" w:rsidR="00012079" w:rsidP="00341B7D" w:rsidRDefault="00012079" w14:paraId="72DBE597" w14:textId="77777777">
            <w:r w:rsidRPr="00063E51">
              <w:t>Screener</w:t>
            </w:r>
          </w:p>
        </w:tc>
        <w:tc>
          <w:tcPr>
            <w:tcW w:w="2211" w:type="dxa"/>
            <w:vAlign w:val="center"/>
          </w:tcPr>
          <w:p w:rsidRPr="00063E51" w:rsidR="00012079" w:rsidP="00F05C84" w:rsidRDefault="00012079" w14:paraId="7903CDB5" w14:textId="77777777">
            <w:pPr>
              <w:jc w:val="center"/>
            </w:pPr>
            <w:r>
              <w:t>360</w:t>
            </w:r>
          </w:p>
        </w:tc>
        <w:tc>
          <w:tcPr>
            <w:tcW w:w="1619" w:type="dxa"/>
            <w:vAlign w:val="center"/>
          </w:tcPr>
          <w:p w:rsidRPr="00063E51" w:rsidR="00012079" w:rsidP="00F05C84" w:rsidRDefault="00012079" w14:paraId="21F7A2B3" w14:textId="77777777">
            <w:pPr>
              <w:jc w:val="center"/>
            </w:pPr>
            <w:r w:rsidRPr="00063E51">
              <w:t>5</w:t>
            </w:r>
          </w:p>
        </w:tc>
        <w:tc>
          <w:tcPr>
            <w:tcW w:w="1877" w:type="dxa"/>
            <w:vAlign w:val="center"/>
          </w:tcPr>
          <w:p w:rsidRPr="00063E51" w:rsidR="00012079" w:rsidP="00F05C84" w:rsidRDefault="00012079" w14:paraId="34296FF0" w14:textId="77777777">
            <w:pPr>
              <w:jc w:val="center"/>
            </w:pPr>
            <w:r>
              <w:t>30</w:t>
            </w:r>
          </w:p>
        </w:tc>
      </w:tr>
      <w:tr w:rsidRPr="00063E51" w:rsidR="00012079" w:rsidTr="00341B7D" w14:paraId="5C00C488" w14:textId="77777777">
        <w:trPr>
          <w:trHeight w:val="274"/>
          <w:jc w:val="center"/>
        </w:trPr>
        <w:tc>
          <w:tcPr>
            <w:tcW w:w="2785" w:type="dxa"/>
            <w:vAlign w:val="center"/>
          </w:tcPr>
          <w:p w:rsidRPr="00063E51" w:rsidR="00012079" w:rsidP="00341B7D" w:rsidRDefault="00341B7D" w14:paraId="1878C4A3" w14:textId="233B69F8">
            <w:r>
              <w:t>Segment 1 – 5 groups of up to 6 participants</w:t>
            </w:r>
          </w:p>
        </w:tc>
        <w:tc>
          <w:tcPr>
            <w:tcW w:w="2211" w:type="dxa"/>
            <w:vAlign w:val="center"/>
          </w:tcPr>
          <w:p w:rsidRPr="00063E51" w:rsidR="00012079" w:rsidP="00F05C84" w:rsidRDefault="00012079" w14:paraId="6C1C6FE3" w14:textId="77777777">
            <w:pPr>
              <w:jc w:val="center"/>
            </w:pPr>
            <w:r>
              <w:t>30</w:t>
            </w:r>
          </w:p>
        </w:tc>
        <w:tc>
          <w:tcPr>
            <w:tcW w:w="1619" w:type="dxa"/>
            <w:vAlign w:val="center"/>
          </w:tcPr>
          <w:p w:rsidRPr="00063E51" w:rsidR="00012079" w:rsidP="00F05C84" w:rsidRDefault="00012079" w14:paraId="19FD4D08" w14:textId="77777777">
            <w:pPr>
              <w:jc w:val="center"/>
            </w:pPr>
            <w:r>
              <w:t>75</w:t>
            </w:r>
          </w:p>
        </w:tc>
        <w:tc>
          <w:tcPr>
            <w:tcW w:w="1877" w:type="dxa"/>
            <w:vAlign w:val="center"/>
          </w:tcPr>
          <w:p w:rsidRPr="00063E51" w:rsidR="00012079" w:rsidP="00F05C84" w:rsidRDefault="00012079" w14:paraId="2580DF3C" w14:textId="77777777">
            <w:pPr>
              <w:jc w:val="center"/>
            </w:pPr>
            <w:r>
              <w:t>37.5</w:t>
            </w:r>
          </w:p>
        </w:tc>
      </w:tr>
      <w:tr w:rsidRPr="00063E51" w:rsidR="00012079" w:rsidTr="00341B7D" w14:paraId="3AABD861" w14:textId="77777777">
        <w:trPr>
          <w:trHeight w:val="274"/>
          <w:jc w:val="center"/>
        </w:trPr>
        <w:tc>
          <w:tcPr>
            <w:tcW w:w="2785" w:type="dxa"/>
            <w:vAlign w:val="center"/>
          </w:tcPr>
          <w:p w:rsidRPr="00063E51" w:rsidR="00012079" w:rsidP="00341B7D" w:rsidRDefault="00341B7D" w14:paraId="2480770A" w14:textId="22E4F5BC">
            <w:r>
              <w:t>Segment 2 -  5 groups of up to 6 participants</w:t>
            </w:r>
          </w:p>
        </w:tc>
        <w:tc>
          <w:tcPr>
            <w:tcW w:w="2211" w:type="dxa"/>
            <w:vAlign w:val="center"/>
          </w:tcPr>
          <w:p w:rsidRPr="00063E51" w:rsidR="00012079" w:rsidP="00F05C84" w:rsidRDefault="00012079" w14:paraId="6F63881B" w14:textId="77777777">
            <w:pPr>
              <w:jc w:val="center"/>
            </w:pPr>
            <w:r>
              <w:t>30</w:t>
            </w:r>
          </w:p>
        </w:tc>
        <w:tc>
          <w:tcPr>
            <w:tcW w:w="1619" w:type="dxa"/>
            <w:vAlign w:val="center"/>
          </w:tcPr>
          <w:p w:rsidRPr="00063E51" w:rsidR="00012079" w:rsidP="00F05C84" w:rsidRDefault="00012079" w14:paraId="58696CF7" w14:textId="77777777">
            <w:pPr>
              <w:jc w:val="center"/>
            </w:pPr>
            <w:r>
              <w:t>75</w:t>
            </w:r>
          </w:p>
        </w:tc>
        <w:tc>
          <w:tcPr>
            <w:tcW w:w="1877" w:type="dxa"/>
            <w:vAlign w:val="center"/>
          </w:tcPr>
          <w:p w:rsidRPr="00063E51" w:rsidR="00012079" w:rsidP="00F05C84" w:rsidRDefault="00012079" w14:paraId="5F8634FE" w14:textId="77777777">
            <w:pPr>
              <w:jc w:val="center"/>
            </w:pPr>
            <w:r>
              <w:t>37.5</w:t>
            </w:r>
          </w:p>
        </w:tc>
      </w:tr>
      <w:tr w:rsidRPr="00063E51" w:rsidR="00012079" w:rsidTr="00341B7D" w14:paraId="69C3B3D0" w14:textId="77777777">
        <w:trPr>
          <w:trHeight w:val="274"/>
          <w:jc w:val="center"/>
        </w:trPr>
        <w:tc>
          <w:tcPr>
            <w:tcW w:w="2785" w:type="dxa"/>
            <w:vAlign w:val="center"/>
          </w:tcPr>
          <w:p w:rsidRPr="00063E51" w:rsidR="00012079" w:rsidP="00341B7D" w:rsidRDefault="00012079" w14:paraId="6D98CE7D" w14:textId="699C67AD">
            <w:r>
              <w:t xml:space="preserve">Segment 3 -  </w:t>
            </w:r>
            <w:r w:rsidR="00341B7D">
              <w:t>5 groups of up to 6 participants</w:t>
            </w:r>
          </w:p>
        </w:tc>
        <w:tc>
          <w:tcPr>
            <w:tcW w:w="2211" w:type="dxa"/>
            <w:vAlign w:val="center"/>
          </w:tcPr>
          <w:p w:rsidRPr="00063E51" w:rsidR="00012079" w:rsidP="00F05C84" w:rsidRDefault="00012079" w14:paraId="1A3675AB" w14:textId="77777777">
            <w:pPr>
              <w:jc w:val="center"/>
            </w:pPr>
            <w:r>
              <w:t>30</w:t>
            </w:r>
          </w:p>
        </w:tc>
        <w:tc>
          <w:tcPr>
            <w:tcW w:w="1619" w:type="dxa"/>
            <w:vAlign w:val="center"/>
          </w:tcPr>
          <w:p w:rsidRPr="00063E51" w:rsidR="00012079" w:rsidP="00F05C84" w:rsidRDefault="00012079" w14:paraId="364CD619" w14:textId="77777777">
            <w:pPr>
              <w:jc w:val="center"/>
            </w:pPr>
            <w:r>
              <w:t>75</w:t>
            </w:r>
          </w:p>
        </w:tc>
        <w:tc>
          <w:tcPr>
            <w:tcW w:w="1877" w:type="dxa"/>
            <w:vAlign w:val="center"/>
          </w:tcPr>
          <w:p w:rsidRPr="00063E51" w:rsidR="00012079" w:rsidP="00F05C84" w:rsidRDefault="00012079" w14:paraId="3CBE40AB" w14:textId="77777777">
            <w:pPr>
              <w:jc w:val="center"/>
            </w:pPr>
            <w:r>
              <w:t>37.5</w:t>
            </w:r>
          </w:p>
        </w:tc>
      </w:tr>
      <w:tr w:rsidR="00012079" w:rsidTr="00341B7D" w14:paraId="7A57CC42" w14:textId="77777777">
        <w:trPr>
          <w:trHeight w:val="274"/>
          <w:jc w:val="center"/>
        </w:trPr>
        <w:tc>
          <w:tcPr>
            <w:tcW w:w="6615" w:type="dxa"/>
            <w:gridSpan w:val="3"/>
            <w:vAlign w:val="bottom"/>
          </w:tcPr>
          <w:p w:rsidRPr="00063E51" w:rsidR="00012079" w:rsidP="00341B7D" w:rsidRDefault="00012079" w14:paraId="260609E4" w14:textId="77777777">
            <w:r w:rsidRPr="00063E51">
              <w:t>Total</w:t>
            </w:r>
          </w:p>
        </w:tc>
        <w:tc>
          <w:tcPr>
            <w:tcW w:w="1877" w:type="dxa"/>
            <w:vAlign w:val="center"/>
          </w:tcPr>
          <w:p w:rsidRPr="00063E51" w:rsidR="00012079" w:rsidP="00F05C84" w:rsidRDefault="00012079" w14:paraId="50B63D3A" w14:textId="77777777">
            <w:pPr>
              <w:jc w:val="center"/>
            </w:pPr>
            <w:r>
              <w:t>142.5</w:t>
            </w:r>
          </w:p>
        </w:tc>
      </w:tr>
    </w:tbl>
    <w:p w:rsidR="003F1C7A" w:rsidRDefault="003F1C7A" w14:paraId="72CECD68" w14:textId="77777777"/>
    <w:p w:rsidR="003F1C7A" w:rsidRDefault="003F1C7A" w14:paraId="02AAF164" w14:textId="752B42A9">
      <w:pPr>
        <w:rPr>
          <w:b/>
        </w:rPr>
      </w:pPr>
      <w:r>
        <w:rPr>
          <w:b/>
        </w:rPr>
        <w:t xml:space="preserve">REQUESTED APPROVAL DATE:  </w:t>
      </w:r>
      <w:r w:rsidR="000D19CE">
        <w:t>May 1</w:t>
      </w:r>
      <w:r w:rsidR="00894FF0">
        <w:t>, 2020</w:t>
      </w:r>
    </w:p>
    <w:p w:rsidR="008B1BC6" w:rsidP="00140A0D" w:rsidRDefault="008B1BC6" w14:paraId="72FB3E4D" w14:textId="77777777">
      <w:pPr>
        <w:tabs>
          <w:tab w:val="left" w:pos="5670"/>
        </w:tabs>
        <w:suppressAutoHyphens/>
        <w:rPr>
          <w:b/>
        </w:rPr>
      </w:pPr>
    </w:p>
    <w:p w:rsidR="003F074B" w:rsidP="003F074B" w:rsidRDefault="003F074B" w14:paraId="55DC7E45" w14:textId="55AC0018">
      <w:pPr>
        <w:ind w:right="-20"/>
        <w:rPr>
          <w:rFonts w:eastAsia="Candara"/>
          <w:spacing w:val="1"/>
        </w:rPr>
      </w:pPr>
      <w:r>
        <w:rPr>
          <w:bCs/>
        </w:rPr>
        <w:t xml:space="preserve">Tamara Johnson, </w:t>
      </w:r>
      <w:r w:rsidRPr="00855D5F">
        <w:rPr>
          <w:rFonts w:eastAsia="Candara"/>
          <w:spacing w:val="1"/>
        </w:rPr>
        <w:t>MD, MS</w:t>
      </w:r>
    </w:p>
    <w:p w:rsidR="003F074B" w:rsidP="003F074B" w:rsidRDefault="00555005" w14:paraId="6B0EF79E" w14:textId="4C28C6A4">
      <w:pPr>
        <w:ind w:right="-20"/>
        <w:rPr>
          <w:rFonts w:eastAsia="Candara"/>
          <w:spacing w:val="1"/>
        </w:rPr>
      </w:pPr>
      <w:r>
        <w:rPr>
          <w:rFonts w:eastAsia="Candara"/>
          <w:spacing w:val="1"/>
        </w:rPr>
        <w:t>FDA Project Lead</w:t>
      </w:r>
    </w:p>
    <w:p w:rsidR="003F074B" w:rsidP="003F074B" w:rsidRDefault="003F074B" w14:paraId="7261D64F" w14:textId="77777777">
      <w:pPr>
        <w:ind w:right="-20"/>
        <w:rPr>
          <w:rFonts w:eastAsia="Candara"/>
          <w:spacing w:val="1"/>
        </w:rPr>
      </w:pPr>
      <w:r w:rsidRPr="00855D5F">
        <w:rPr>
          <w:rFonts w:eastAsia="Candara"/>
        </w:rPr>
        <w:t xml:space="preserve">Center for Drug </w:t>
      </w:r>
      <w:r>
        <w:rPr>
          <w:rFonts w:eastAsia="Candara"/>
        </w:rPr>
        <w:t xml:space="preserve">Evaluation </w:t>
      </w:r>
      <w:r w:rsidRPr="00855D5F">
        <w:rPr>
          <w:rFonts w:eastAsia="Candara"/>
        </w:rPr>
        <w:t>and Research</w:t>
      </w:r>
      <w:r w:rsidRPr="00855D5F">
        <w:rPr>
          <w:rFonts w:eastAsia="Candara"/>
          <w:spacing w:val="1"/>
        </w:rPr>
        <w:t xml:space="preserve"> </w:t>
      </w:r>
      <w:r>
        <w:rPr>
          <w:rFonts w:eastAsia="Candara"/>
          <w:spacing w:val="1"/>
        </w:rPr>
        <w:t>(</w:t>
      </w:r>
      <w:r w:rsidRPr="00855D5F">
        <w:rPr>
          <w:rFonts w:eastAsia="Candara"/>
          <w:spacing w:val="1"/>
        </w:rPr>
        <w:t>CDER</w:t>
      </w:r>
      <w:r>
        <w:rPr>
          <w:rFonts w:eastAsia="Candara"/>
          <w:spacing w:val="1"/>
        </w:rPr>
        <w:t>)</w:t>
      </w:r>
      <w:r w:rsidRPr="00855D5F">
        <w:rPr>
          <w:rFonts w:eastAsia="Candara"/>
          <w:spacing w:val="1"/>
        </w:rPr>
        <w:t xml:space="preserve"> </w:t>
      </w:r>
    </w:p>
    <w:p w:rsidRPr="00855D5F" w:rsidR="003F074B" w:rsidP="003F074B" w:rsidRDefault="003F074B" w14:paraId="77FE509F" w14:textId="490F7E01">
      <w:pPr>
        <w:ind w:right="-20"/>
        <w:rPr>
          <w:rFonts w:eastAsia="Candara"/>
          <w:b/>
          <w:spacing w:val="1"/>
        </w:rPr>
      </w:pPr>
      <w:r w:rsidRPr="00855D5F">
        <w:rPr>
          <w:rFonts w:eastAsia="Candara"/>
        </w:rPr>
        <w:t xml:space="preserve">Division of Pediatric and Maternal Health </w:t>
      </w:r>
      <w:r>
        <w:rPr>
          <w:rFonts w:eastAsia="Candara"/>
        </w:rPr>
        <w:t>(</w:t>
      </w:r>
      <w:r w:rsidRPr="00855D5F">
        <w:rPr>
          <w:rFonts w:eastAsia="Candara"/>
          <w:spacing w:val="1"/>
        </w:rPr>
        <w:t>DPMH</w:t>
      </w:r>
      <w:r>
        <w:rPr>
          <w:rFonts w:eastAsia="Candara"/>
          <w:spacing w:val="1"/>
        </w:rPr>
        <w:t>)</w:t>
      </w:r>
    </w:p>
    <w:p w:rsidR="003F074B" w:rsidP="008B1BC6" w:rsidRDefault="00796DCB" w14:paraId="28B60264" w14:textId="3BAB7F95">
      <w:pPr>
        <w:rPr>
          <w:bCs/>
        </w:rPr>
      </w:pPr>
      <w:hyperlink w:history="1" r:id="rId12">
        <w:r w:rsidRPr="007961BE" w:rsidR="003F074B">
          <w:rPr>
            <w:rStyle w:val="Hyperlink"/>
            <w:bCs/>
          </w:rPr>
          <w:t>Tamara.Johnson@fda.hhs.gov</w:t>
        </w:r>
      </w:hyperlink>
    </w:p>
    <w:p w:rsidR="0014334C" w:rsidP="008B1BC6" w:rsidRDefault="003F074B" w14:paraId="1C574273" w14:textId="16886EE0">
      <w:pPr>
        <w:rPr>
          <w:bCs/>
        </w:rPr>
      </w:pPr>
      <w:r>
        <w:rPr>
          <w:bCs/>
        </w:rPr>
        <w:t>301-796-1522</w:t>
      </w:r>
    </w:p>
    <w:p w:rsidR="000802BD" w:rsidP="008B1BC6" w:rsidRDefault="000802BD" w14:paraId="0B124C03" w14:textId="1A5CF031">
      <w:pPr>
        <w:rPr>
          <w:bCs/>
        </w:rPr>
      </w:pPr>
    </w:p>
    <w:p w:rsidR="00CA2628" w:rsidP="008B1BC6" w:rsidRDefault="00CA2628" w14:paraId="7A7740E5" w14:textId="4C017AC4">
      <w:pPr>
        <w:rPr>
          <w:bCs/>
        </w:rPr>
      </w:pPr>
    </w:p>
    <w:p w:rsidR="00CA2628" w:rsidP="008B1BC6" w:rsidRDefault="00CA2628" w14:paraId="6FCF887E" w14:textId="07B43B12">
      <w:pPr>
        <w:rPr>
          <w:bCs/>
        </w:rPr>
      </w:pPr>
    </w:p>
    <w:p w:rsidR="00CA2628" w:rsidP="008B1BC6" w:rsidRDefault="00CA2628" w14:paraId="284AC73B" w14:textId="57C9E3EB">
      <w:pPr>
        <w:rPr>
          <w:bCs/>
        </w:rPr>
      </w:pPr>
    </w:p>
    <w:p w:rsidRPr="00D00880" w:rsidR="00CA2628" w:rsidP="008B1BC6" w:rsidRDefault="00CA2628" w14:paraId="7739A521" w14:textId="77777777">
      <w:pPr>
        <w:rPr>
          <w:bCs/>
        </w:rPr>
      </w:pPr>
    </w:p>
    <w:p w:rsidR="00081F6D" w:rsidP="008B1BC6" w:rsidRDefault="00081F6D" w14:paraId="0BAB2AC6" w14:textId="624A02FF">
      <w:pPr>
        <w:tabs>
          <w:tab w:val="left" w:pos="5670"/>
        </w:tabs>
        <w:suppressAutoHyphens/>
        <w:rPr>
          <w:bCs/>
        </w:rPr>
      </w:pPr>
      <w:r>
        <w:rPr>
          <w:bCs/>
        </w:rPr>
        <w:t xml:space="preserve">Ila </w:t>
      </w:r>
      <w:r w:rsidR="00CA2628">
        <w:rPr>
          <w:bCs/>
        </w:rPr>
        <w:t xml:space="preserve">S. </w:t>
      </w:r>
      <w:r>
        <w:rPr>
          <w:bCs/>
        </w:rPr>
        <w:t>Mizrachi</w:t>
      </w:r>
    </w:p>
    <w:p w:rsidRPr="00081F6D" w:rsidR="00081F6D" w:rsidP="00081F6D" w:rsidRDefault="00081F6D" w14:paraId="5130382E" w14:textId="555A8CC6">
      <w:pPr>
        <w:tabs>
          <w:tab w:val="left" w:pos="5670"/>
        </w:tabs>
        <w:suppressAutoHyphens/>
        <w:rPr>
          <w:bCs/>
        </w:rPr>
      </w:pPr>
      <w:r w:rsidRPr="00081F6D">
        <w:rPr>
          <w:bCs/>
        </w:rPr>
        <w:t>P</w:t>
      </w:r>
      <w:r>
        <w:rPr>
          <w:bCs/>
        </w:rPr>
        <w:t xml:space="preserve">aperwork </w:t>
      </w:r>
      <w:r w:rsidRPr="00081F6D">
        <w:rPr>
          <w:bCs/>
        </w:rPr>
        <w:t>R</w:t>
      </w:r>
      <w:r>
        <w:rPr>
          <w:bCs/>
        </w:rPr>
        <w:t xml:space="preserve">eduction </w:t>
      </w:r>
      <w:r w:rsidRPr="00081F6D">
        <w:rPr>
          <w:bCs/>
        </w:rPr>
        <w:t>A</w:t>
      </w:r>
      <w:r>
        <w:rPr>
          <w:bCs/>
        </w:rPr>
        <w:t>ct (PRA)</w:t>
      </w:r>
      <w:r w:rsidRPr="00081F6D">
        <w:rPr>
          <w:bCs/>
        </w:rPr>
        <w:t xml:space="preserve"> Desk Officer  </w:t>
      </w:r>
    </w:p>
    <w:p w:rsidRPr="00081F6D" w:rsidR="00081F6D" w:rsidP="00081F6D" w:rsidRDefault="00081F6D" w14:paraId="0281B0B2" w14:textId="0D30B0B3">
      <w:pPr>
        <w:tabs>
          <w:tab w:val="left" w:pos="5670"/>
        </w:tabs>
        <w:suppressAutoHyphens/>
        <w:rPr>
          <w:bCs/>
        </w:rPr>
      </w:pPr>
      <w:r w:rsidRPr="00081F6D">
        <w:rPr>
          <w:bCs/>
        </w:rPr>
        <w:t>P</w:t>
      </w:r>
      <w:r>
        <w:rPr>
          <w:bCs/>
        </w:rPr>
        <w:t>RA</w:t>
      </w:r>
      <w:r w:rsidRPr="00081F6D">
        <w:rPr>
          <w:bCs/>
        </w:rPr>
        <w:t xml:space="preserve"> Staff</w:t>
      </w:r>
    </w:p>
    <w:p w:rsidRPr="00081F6D" w:rsidR="00081F6D" w:rsidP="00081F6D" w:rsidRDefault="00081F6D" w14:paraId="4464595B" w14:textId="77777777">
      <w:pPr>
        <w:tabs>
          <w:tab w:val="left" w:pos="5670"/>
        </w:tabs>
        <w:suppressAutoHyphens/>
        <w:rPr>
          <w:bCs/>
        </w:rPr>
      </w:pPr>
      <w:r w:rsidRPr="00081F6D">
        <w:rPr>
          <w:bCs/>
        </w:rPr>
        <w:t>Division of Information Governance</w:t>
      </w:r>
    </w:p>
    <w:p w:rsidR="00081F6D" w:rsidP="008B1BC6" w:rsidRDefault="00081F6D" w14:paraId="716D9F19" w14:textId="77777777">
      <w:pPr>
        <w:tabs>
          <w:tab w:val="left" w:pos="5670"/>
        </w:tabs>
        <w:suppressAutoHyphens/>
        <w:rPr>
          <w:bCs/>
        </w:rPr>
      </w:pPr>
      <w:r w:rsidRPr="00081F6D">
        <w:rPr>
          <w:bCs/>
        </w:rPr>
        <w:t>Office of Enterprise Management Service</w:t>
      </w:r>
    </w:p>
    <w:p w:rsidR="004833BF" w:rsidP="008B1BC6" w:rsidRDefault="00796DCB" w14:paraId="0A9F57B6" w14:textId="3189ABDE">
      <w:pPr>
        <w:tabs>
          <w:tab w:val="left" w:pos="5670"/>
        </w:tabs>
        <w:suppressAutoHyphens/>
        <w:rPr>
          <w:bCs/>
        </w:rPr>
      </w:pPr>
      <w:hyperlink w:history="1" r:id="rId13">
        <w:r w:rsidRPr="004833BF" w:rsidR="004833BF">
          <w:rPr>
            <w:rStyle w:val="Hyperlink"/>
            <w:bCs/>
          </w:rPr>
          <w:t>Ila.Mizrachi@fda.hhs.gov</w:t>
        </w:r>
      </w:hyperlink>
    </w:p>
    <w:p w:rsidR="00894FF0" w:rsidP="008B1BC6" w:rsidRDefault="00081F6D" w14:paraId="474B7174" w14:textId="500D691D">
      <w:pPr>
        <w:tabs>
          <w:tab w:val="left" w:pos="5670"/>
        </w:tabs>
        <w:suppressAutoHyphens/>
        <w:rPr>
          <w:bCs/>
        </w:rPr>
      </w:pPr>
      <w:r>
        <w:rPr>
          <w:bCs/>
        </w:rPr>
        <w:t>301-796-7726</w:t>
      </w:r>
    </w:p>
    <w:p w:rsidR="008B1BC6" w:rsidP="008B1BC6" w:rsidRDefault="008B1BC6" w14:paraId="4B30F582" w14:textId="77777777">
      <w:pPr>
        <w:tabs>
          <w:tab w:val="left" w:pos="5670"/>
        </w:tabs>
        <w:suppressAutoHyphens/>
        <w:rPr>
          <w:b/>
        </w:rPr>
      </w:pPr>
    </w:p>
    <w:p w:rsidR="008B1BC6" w:rsidP="00D650D8" w:rsidRDefault="008B1BC6" w14:paraId="30475B16" w14:textId="131E9A57">
      <w:pPr>
        <w:tabs>
          <w:tab w:val="left" w:pos="5670"/>
        </w:tabs>
        <w:suppressAutoHyphens/>
        <w:rPr>
          <w:b/>
        </w:rPr>
      </w:pPr>
      <w:r w:rsidRPr="008B1BC6">
        <w:rPr>
          <w:b/>
        </w:rPr>
        <w:t>FDA CENTER:  C</w:t>
      </w:r>
      <w:r w:rsidR="00293FBF">
        <w:rPr>
          <w:b/>
        </w:rPr>
        <w:t xml:space="preserve">enter for </w:t>
      </w:r>
      <w:r w:rsidR="003B1A91">
        <w:rPr>
          <w:b/>
        </w:rPr>
        <w:t>Drug Evaluation and Research</w:t>
      </w:r>
    </w:p>
    <w:p w:rsidR="003B1A91" w:rsidP="00D650D8" w:rsidRDefault="003B1A91" w14:paraId="1813A80A" w14:textId="15AFB802">
      <w:pPr>
        <w:tabs>
          <w:tab w:val="left" w:pos="5670"/>
        </w:tabs>
        <w:suppressAutoHyphens/>
        <w:rPr>
          <w:b/>
        </w:rPr>
      </w:pPr>
      <w:r>
        <w:rPr>
          <w:b/>
        </w:rPr>
        <w:t xml:space="preserve">                             Center for Biologics Evaluation and Research</w:t>
      </w:r>
    </w:p>
    <w:p w:rsidR="003E4CB8" w:rsidP="00D650D8" w:rsidRDefault="003E4CB8" w14:paraId="3C7E332F" w14:textId="77777777">
      <w:pPr>
        <w:tabs>
          <w:tab w:val="left" w:pos="5670"/>
        </w:tabs>
        <w:suppressAutoHyphens/>
        <w:rPr>
          <w:b/>
        </w:rPr>
      </w:pPr>
    </w:p>
    <w:p w:rsidR="003E4CB8" w:rsidP="00D650D8" w:rsidRDefault="003E4CB8" w14:paraId="507E63E5" w14:textId="77777777">
      <w:pPr>
        <w:tabs>
          <w:tab w:val="left" w:pos="5670"/>
        </w:tabs>
        <w:suppressAutoHyphens/>
      </w:pPr>
      <w:r>
        <w:t>Attachments:</w:t>
      </w:r>
    </w:p>
    <w:p w:rsidR="003E4CB8" w:rsidP="00D650D8" w:rsidRDefault="003E4CB8" w14:paraId="1BCB2F85" w14:textId="77777777">
      <w:pPr>
        <w:tabs>
          <w:tab w:val="left" w:pos="5670"/>
        </w:tabs>
        <w:suppressAutoHyphens/>
      </w:pPr>
    </w:p>
    <w:p w:rsidR="003E4CB8" w:rsidP="00D650D8" w:rsidRDefault="003E4CB8" w14:paraId="5CEAC74C" w14:textId="2E84370B">
      <w:pPr>
        <w:tabs>
          <w:tab w:val="left" w:pos="5670"/>
        </w:tabs>
        <w:suppressAutoHyphens/>
      </w:pPr>
      <w:r>
        <w:t>Appendix I – Participant Screener</w:t>
      </w:r>
      <w:r w:rsidR="00894FF0">
        <w:t>s</w:t>
      </w:r>
    </w:p>
    <w:p w:rsidR="003E4CB8" w:rsidP="00D650D8" w:rsidRDefault="003E4CB8" w14:paraId="35ECA17A" w14:textId="341AB867">
      <w:pPr>
        <w:tabs>
          <w:tab w:val="left" w:pos="5670"/>
        </w:tabs>
        <w:suppressAutoHyphens/>
      </w:pPr>
      <w:r>
        <w:t xml:space="preserve">Appendix II – </w:t>
      </w:r>
      <w:r w:rsidR="007C0F20">
        <w:t>Recruitment</w:t>
      </w:r>
      <w:r>
        <w:t xml:space="preserve"> </w:t>
      </w:r>
      <w:r w:rsidR="006C371A">
        <w:t>Email</w:t>
      </w:r>
    </w:p>
    <w:p w:rsidR="003E4CB8" w:rsidP="00D650D8" w:rsidRDefault="003E4CB8" w14:paraId="51FB8A41" w14:textId="3BD3534A">
      <w:pPr>
        <w:tabs>
          <w:tab w:val="left" w:pos="5670"/>
        </w:tabs>
        <w:suppressAutoHyphens/>
      </w:pPr>
      <w:r w:rsidRPr="00063E51">
        <w:t>Appendix III – Informed Consent</w:t>
      </w:r>
    </w:p>
    <w:p w:rsidR="003E4CB8" w:rsidP="00D650D8" w:rsidRDefault="003E4CB8" w14:paraId="39F3BDA6" w14:textId="56922745">
      <w:pPr>
        <w:tabs>
          <w:tab w:val="left" w:pos="5670"/>
        </w:tabs>
        <w:suppressAutoHyphens/>
      </w:pPr>
      <w:r>
        <w:t>Appendix IV – Moderator’s Guide</w:t>
      </w:r>
    </w:p>
    <w:p w:rsidRPr="003E4CB8" w:rsidR="002E6199" w:rsidP="00D650D8" w:rsidRDefault="002E6199" w14:paraId="2910E665" w14:textId="69680CF3">
      <w:pPr>
        <w:tabs>
          <w:tab w:val="left" w:pos="5670"/>
        </w:tabs>
        <w:suppressAutoHyphens/>
      </w:pPr>
      <w:r>
        <w:t xml:space="preserve">Appendix V – </w:t>
      </w:r>
      <w:r w:rsidR="008C6CB2">
        <w:t xml:space="preserve">Labeling Examples </w:t>
      </w:r>
      <w:r w:rsidR="003F31C2">
        <w:t>with</w:t>
      </w:r>
      <w:r w:rsidR="008C6CB2">
        <w:t xml:space="preserve"> Infographic M</w:t>
      </w:r>
      <w:r w:rsidR="00894FF0">
        <w:t xml:space="preserve">ockup </w:t>
      </w:r>
    </w:p>
    <w:sectPr w:rsidRPr="003E4CB8" w:rsidR="002E6199" w:rsidSect="00BC1C35">
      <w:footerReference w:type="defaul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DBA2" w14:textId="77777777" w:rsidR="00132A05" w:rsidRDefault="00132A05">
      <w:r>
        <w:separator/>
      </w:r>
    </w:p>
  </w:endnote>
  <w:endnote w:type="continuationSeparator" w:id="0">
    <w:p w14:paraId="563C3AA3" w14:textId="77777777" w:rsidR="00132A05" w:rsidRDefault="00132A05">
      <w:r>
        <w:continuationSeparator/>
      </w:r>
    </w:p>
  </w:endnote>
  <w:endnote w:type="continuationNotice" w:id="1">
    <w:p w14:paraId="7330B4E4" w14:textId="77777777" w:rsidR="00132A05" w:rsidRDefault="0013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C240" w14:textId="41D617C2" w:rsidR="00F05C84" w:rsidRDefault="00F05C84">
    <w:pPr>
      <w:pStyle w:val="Footer"/>
      <w:jc w:val="center"/>
    </w:pPr>
    <w:r>
      <w:fldChar w:fldCharType="begin"/>
    </w:r>
    <w:r>
      <w:instrText xml:space="preserve"> PAGE   \* MERGEFORMAT </w:instrText>
    </w:r>
    <w:r>
      <w:fldChar w:fldCharType="separate"/>
    </w:r>
    <w:r w:rsidR="00CC4148">
      <w:rPr>
        <w:noProof/>
      </w:rPr>
      <w:t>1</w:t>
    </w:r>
    <w:r>
      <w:rPr>
        <w:noProof/>
      </w:rPr>
      <w:fldChar w:fldCharType="end"/>
    </w:r>
  </w:p>
  <w:p w14:paraId="35ACC09B" w14:textId="77777777" w:rsidR="00F05C84" w:rsidRDefault="00F05C8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6EA33" w14:textId="77777777" w:rsidR="00132A05" w:rsidRDefault="00132A05">
      <w:r>
        <w:separator/>
      </w:r>
    </w:p>
  </w:footnote>
  <w:footnote w:type="continuationSeparator" w:id="0">
    <w:p w14:paraId="55B94DE6" w14:textId="77777777" w:rsidR="00132A05" w:rsidRDefault="00132A05">
      <w:r>
        <w:continuationSeparator/>
      </w:r>
    </w:p>
  </w:footnote>
  <w:footnote w:type="continuationNotice" w:id="1">
    <w:p w14:paraId="10E253C8" w14:textId="77777777" w:rsidR="00132A05" w:rsidRDefault="00132A05"/>
  </w:footnote>
  <w:footnote w:id="2">
    <w:p w14:paraId="378D5E4B" w14:textId="44CB707D" w:rsidR="00F05C84" w:rsidRDefault="00F05C84">
      <w:pPr>
        <w:pStyle w:val="FootnoteText"/>
      </w:pPr>
      <w:r>
        <w:rPr>
          <w:rStyle w:val="FootnoteReference"/>
        </w:rPr>
        <w:footnoteRef/>
      </w:r>
      <w:r>
        <w:t xml:space="preserve"> Namazy, J. 2018. Physician’s Perspective of the New PLLR: Survey Results. </w:t>
      </w:r>
      <w:r w:rsidRPr="00383D2F">
        <w:t>https://www.fda.gov/media/111610/download</w:t>
      </w:r>
    </w:p>
  </w:footnote>
  <w:footnote w:id="3">
    <w:p w14:paraId="09262F9D" w14:textId="634D7A2C" w:rsidR="00F05C84" w:rsidRPr="00B16E3E" w:rsidRDefault="00F05C84">
      <w:pPr>
        <w:pStyle w:val="FootnoteText"/>
      </w:pPr>
      <w:r>
        <w:rPr>
          <w:rStyle w:val="FootnoteReference"/>
        </w:rPr>
        <w:footnoteRef/>
      </w:r>
      <w:r w:rsidRPr="00B16E3E">
        <w:t xml:space="preserve"> Manca, T., Graham, J., Dube, E., Kervin, M., Castillo, E., Crowcroft, N., F</w:t>
      </w:r>
      <w:r>
        <w:t>ell, D., Hadskis, M., Mannerfeldt, J., Greyson, D., MacDonald, N, Top, K. (2019.) Developing product label information to support evidence-informed use of vaccines in pregnancy. Vaccine, 37: 7138-7146.</w:t>
      </w:r>
    </w:p>
  </w:footnote>
  <w:footnote w:id="4">
    <w:p w14:paraId="0AABC1D1" w14:textId="74B0A491" w:rsidR="00F05C84" w:rsidRDefault="00F05C84">
      <w:pPr>
        <w:pStyle w:val="FootnoteText"/>
      </w:pPr>
      <w:r>
        <w:rPr>
          <w:rStyle w:val="FootnoteReference"/>
        </w:rPr>
        <w:footnoteRef/>
      </w:r>
      <w:r>
        <w:t xml:space="preserve"> </w:t>
      </w:r>
      <w:r w:rsidRPr="004429B6">
        <w:t>Asch, S., Connor, S.E., Hamilton, E.G., and Fox, S.A. (2000). Problems in recruiting community-based physicians for health services research. Journal of General Internal Medicine, 15(8), 591-599.</w:t>
      </w:r>
    </w:p>
  </w:footnote>
  <w:footnote w:id="5">
    <w:p w14:paraId="5ABB4F24" w14:textId="57B309D7" w:rsidR="00F05C84" w:rsidRPr="00341B7D" w:rsidRDefault="00F05C84" w:rsidP="001915BB">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Klabunde, C. N., Willis, G. B., McLeod, C. C., Dillman, D. A., Johnson, T. P., Greene, S. M., &amp; Brown, M. L. (2012). Improving the quality of surveys of physicians and medical groups: A research agenda. </w:t>
      </w:r>
      <w:r w:rsidRPr="002356CF">
        <w:rPr>
          <w:rFonts w:ascii="Garamond" w:hAnsi="Garamond"/>
          <w:i/>
          <w:iCs/>
          <w:sz w:val="20"/>
          <w:szCs w:val="20"/>
          <w:lang w:val="en"/>
        </w:rPr>
        <w:t>Evaluation and the Health Professions</w:t>
      </w:r>
      <w:r w:rsidRPr="002356CF">
        <w:rPr>
          <w:rFonts w:ascii="Garamond" w:hAnsi="Garamond"/>
          <w:i/>
          <w:sz w:val="20"/>
          <w:szCs w:val="20"/>
          <w:lang w:val="en"/>
        </w:rPr>
        <w:t xml:space="preserve">, </w:t>
      </w:r>
      <w:r w:rsidRPr="002356CF">
        <w:rPr>
          <w:rFonts w:ascii="Garamond" w:hAnsi="Garamond"/>
          <w:i/>
          <w:iCs/>
          <w:sz w:val="20"/>
          <w:szCs w:val="20"/>
          <w:lang w:val="en"/>
        </w:rPr>
        <w:t>35</w:t>
      </w:r>
      <w:r w:rsidRPr="002356CF">
        <w:rPr>
          <w:rFonts w:ascii="Garamond" w:hAnsi="Garamond"/>
          <w:sz w:val="20"/>
          <w:szCs w:val="20"/>
          <w:lang w:val="en"/>
        </w:rPr>
        <w:t>(4), 477</w:t>
      </w:r>
      <w:r w:rsidRPr="002356CF">
        <w:rPr>
          <w:rFonts w:ascii="Garamond" w:hAnsi="Garamond"/>
          <w:sz w:val="20"/>
          <w:szCs w:val="20"/>
        </w:rPr>
        <w:t>–</w:t>
      </w:r>
      <w:r w:rsidRPr="002356CF">
        <w:rPr>
          <w:rFonts w:ascii="Garamond" w:hAnsi="Garamond"/>
          <w:sz w:val="20"/>
          <w:szCs w:val="20"/>
          <w:lang w:val="en"/>
        </w:rPr>
        <w:t>506.</w:t>
      </w:r>
      <w:r w:rsidRPr="002356CF">
        <w:rPr>
          <w:rFonts w:ascii="Garamond" w:hAnsi="Garamond"/>
          <w:sz w:val="20"/>
          <w:szCs w:val="20"/>
        </w:rPr>
        <w:t xml:space="preserve"> </w:t>
      </w:r>
    </w:p>
  </w:footnote>
  <w:footnote w:id="6">
    <w:p w14:paraId="5ED7FD28"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Abreu, D. A., &amp; Winters, F. (1999). Using monetary incentives to reduce attrition in the survey of income and program participation. </w:t>
      </w:r>
      <w:r w:rsidRPr="002356CF">
        <w:rPr>
          <w:rFonts w:ascii="Garamond" w:hAnsi="Garamond"/>
          <w:i/>
          <w:sz w:val="20"/>
          <w:szCs w:val="20"/>
        </w:rPr>
        <w:t>Proceedings of the Survey Research Methods Section of the American Statistical Association</w:t>
      </w:r>
      <w:r w:rsidRPr="002356CF">
        <w:rPr>
          <w:rFonts w:ascii="Garamond" w:hAnsi="Garamond"/>
          <w:sz w:val="20"/>
          <w:szCs w:val="20"/>
        </w:rPr>
        <w:t>. 533-538.</w:t>
      </w:r>
    </w:p>
  </w:footnote>
  <w:footnote w:id="7">
    <w:p w14:paraId="1F17C2A5" w14:textId="77777777" w:rsidR="00F05C84" w:rsidRPr="002356CF" w:rsidRDefault="00F05C84" w:rsidP="00341B7D">
      <w:pPr>
        <w:rPr>
          <w:rFonts w:ascii="Garamond" w:hAnsi="Garamond"/>
          <w:sz w:val="20"/>
          <w:szCs w:val="20"/>
          <w:lang w:val="en"/>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Aikin, K., Betts, K., Boudewyns, V., Stine, A., &amp; Southwell, B. G. (2016). Physician responsiveness to survey incentives and sponsorship in prescription drug advertising research. </w:t>
      </w:r>
      <w:r w:rsidRPr="002356CF">
        <w:rPr>
          <w:rFonts w:ascii="Garamond" w:hAnsi="Garamond"/>
          <w:i/>
          <w:sz w:val="20"/>
          <w:szCs w:val="20"/>
        </w:rPr>
        <w:t>Annals of Behavioral Medicine</w:t>
      </w:r>
      <w:r w:rsidRPr="002356CF">
        <w:rPr>
          <w:rFonts w:ascii="Garamond" w:hAnsi="Garamond"/>
          <w:i/>
          <w:sz w:val="20"/>
          <w:szCs w:val="20"/>
          <w:lang w:val="en"/>
        </w:rPr>
        <w:t>, 50</w:t>
      </w:r>
      <w:r w:rsidRPr="002356CF">
        <w:rPr>
          <w:rFonts w:ascii="Garamond" w:hAnsi="Garamond"/>
          <w:sz w:val="20"/>
          <w:szCs w:val="20"/>
          <w:lang w:val="en"/>
        </w:rPr>
        <w:t>(Suppl.), s251.</w:t>
      </w:r>
    </w:p>
  </w:footnote>
  <w:footnote w:id="8">
    <w:p w14:paraId="6D9308FC"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Dykema, J., Stevenson, J., Day, B., Sellers, S., &amp; Bonham, V. (2011). Effects of incentives and prenotification on response rates and costs in a national web survey of physicians. </w:t>
      </w:r>
      <w:r w:rsidRPr="002356CF">
        <w:rPr>
          <w:rFonts w:ascii="Garamond" w:hAnsi="Garamond"/>
          <w:i/>
          <w:sz w:val="20"/>
          <w:szCs w:val="20"/>
        </w:rPr>
        <w:t>Evaluation and the Health Professions, 34</w:t>
      </w:r>
      <w:r w:rsidRPr="002356CF">
        <w:rPr>
          <w:rFonts w:ascii="Garamond" w:hAnsi="Garamond"/>
          <w:sz w:val="20"/>
          <w:szCs w:val="20"/>
        </w:rPr>
        <w:t>(4): 434–447.</w:t>
      </w:r>
    </w:p>
  </w:footnote>
  <w:footnote w:id="9">
    <w:p w14:paraId="3CCC8B9B"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Greenbaum, T. L. (2000). </w:t>
      </w:r>
      <w:r w:rsidRPr="002356CF">
        <w:rPr>
          <w:rFonts w:ascii="Garamond" w:hAnsi="Garamond"/>
          <w:i/>
          <w:sz w:val="20"/>
          <w:szCs w:val="20"/>
        </w:rPr>
        <w:t>Moderating focus groups: A practical guide for group facilitation</w:t>
      </w:r>
      <w:r w:rsidRPr="002356CF">
        <w:rPr>
          <w:rFonts w:ascii="Garamond" w:hAnsi="Garamond"/>
          <w:sz w:val="20"/>
          <w:szCs w:val="20"/>
        </w:rPr>
        <w:t>. Thousand Oaks, CA: Sage Publications, Inc.</w:t>
      </w:r>
    </w:p>
  </w:footnote>
  <w:footnote w:id="10">
    <w:p w14:paraId="0E148E0E"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Martins, Y., Lederman, R.I., Lowenstein, C.L., Joffe, S., Neville, A., Hastings, B.T., &amp; Abel, G.A. (2012). Increasing response rates from physicians in oncology research: a structured literature review and data from a recent physician survey. </w:t>
      </w:r>
      <w:r w:rsidRPr="002356CF">
        <w:rPr>
          <w:rFonts w:ascii="Garamond" w:hAnsi="Garamond"/>
          <w:i/>
          <w:sz w:val="20"/>
          <w:szCs w:val="20"/>
        </w:rPr>
        <w:t>British Journal of Cancer, 106</w:t>
      </w:r>
      <w:r w:rsidRPr="002356CF">
        <w:rPr>
          <w:rFonts w:ascii="Garamond" w:hAnsi="Garamond"/>
          <w:sz w:val="20"/>
          <w:szCs w:val="20"/>
        </w:rPr>
        <w:t>(6), 1021-1026.</w:t>
      </w:r>
    </w:p>
  </w:footnote>
  <w:footnote w:id="11">
    <w:p w14:paraId="459A7345"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Medway, R. L., &amp; Tourangeau, R. (2015). Response quality in telephone surveys: Do prepaid cash incentives make a difference?  </w:t>
      </w:r>
      <w:r w:rsidRPr="002356CF">
        <w:rPr>
          <w:rFonts w:ascii="Garamond" w:hAnsi="Garamond"/>
          <w:i/>
          <w:iCs/>
          <w:sz w:val="20"/>
          <w:szCs w:val="20"/>
        </w:rPr>
        <w:t>Public Opinion Quarterly</w:t>
      </w:r>
      <w:r w:rsidRPr="002356CF">
        <w:rPr>
          <w:rFonts w:ascii="Garamond" w:hAnsi="Garamond"/>
          <w:i/>
          <w:sz w:val="20"/>
          <w:szCs w:val="20"/>
        </w:rPr>
        <w:t xml:space="preserve">, </w:t>
      </w:r>
      <w:r w:rsidRPr="002356CF">
        <w:rPr>
          <w:rFonts w:ascii="Garamond" w:hAnsi="Garamond"/>
          <w:i/>
          <w:iCs/>
          <w:sz w:val="20"/>
          <w:szCs w:val="20"/>
        </w:rPr>
        <w:t>79</w:t>
      </w:r>
      <w:r w:rsidRPr="002356CF">
        <w:rPr>
          <w:rFonts w:ascii="Garamond" w:hAnsi="Garamond"/>
          <w:iCs/>
          <w:sz w:val="20"/>
          <w:szCs w:val="20"/>
        </w:rPr>
        <w:t>(2)</w:t>
      </w:r>
      <w:r w:rsidRPr="002356CF">
        <w:rPr>
          <w:rFonts w:ascii="Garamond" w:hAnsi="Garamond"/>
          <w:sz w:val="20"/>
          <w:szCs w:val="20"/>
        </w:rPr>
        <w:t>, 524-543.</w:t>
      </w:r>
    </w:p>
  </w:footnote>
  <w:footnote w:id="12">
    <w:p w14:paraId="51450325"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Mercer, A., Caporaso, A., Cantor, D., &amp; Townsend, R. (2015). How much gets you how much? Monetary incentives and response rates in household surveys.  </w:t>
      </w:r>
      <w:r w:rsidRPr="002356CF">
        <w:rPr>
          <w:rFonts w:ascii="Garamond" w:hAnsi="Garamond"/>
          <w:i/>
          <w:iCs/>
          <w:sz w:val="20"/>
          <w:szCs w:val="20"/>
        </w:rPr>
        <w:t>Public Opinion Quarterly</w:t>
      </w:r>
      <w:r w:rsidRPr="002356CF">
        <w:rPr>
          <w:rFonts w:ascii="Garamond" w:hAnsi="Garamond"/>
          <w:i/>
          <w:sz w:val="20"/>
          <w:szCs w:val="20"/>
        </w:rPr>
        <w:t xml:space="preserve">, </w:t>
      </w:r>
      <w:r w:rsidRPr="002356CF">
        <w:rPr>
          <w:rFonts w:ascii="Garamond" w:hAnsi="Garamond"/>
          <w:i/>
          <w:iCs/>
          <w:sz w:val="20"/>
          <w:szCs w:val="20"/>
        </w:rPr>
        <w:t>79</w:t>
      </w:r>
      <w:r w:rsidRPr="002356CF">
        <w:rPr>
          <w:rFonts w:ascii="Garamond" w:hAnsi="Garamond"/>
          <w:iCs/>
          <w:sz w:val="20"/>
          <w:szCs w:val="20"/>
        </w:rPr>
        <w:t>(1)</w:t>
      </w:r>
      <w:r w:rsidRPr="002356CF">
        <w:rPr>
          <w:rFonts w:ascii="Garamond" w:hAnsi="Garamond"/>
          <w:sz w:val="20"/>
          <w:szCs w:val="20"/>
        </w:rPr>
        <w:t>, 105-129.</w:t>
      </w:r>
    </w:p>
  </w:footnote>
  <w:footnote w:id="13">
    <w:p w14:paraId="5F967D8D"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Shettle, C., &amp; Mooney, G. (1999). Monetary incentives in U.S. government surveys. </w:t>
      </w:r>
      <w:r w:rsidRPr="002356CF">
        <w:rPr>
          <w:rFonts w:ascii="Garamond" w:hAnsi="Garamond"/>
          <w:i/>
          <w:sz w:val="20"/>
          <w:szCs w:val="20"/>
        </w:rPr>
        <w:t>Journal of Official Statistics, 15</w:t>
      </w:r>
      <w:r w:rsidRPr="002356CF">
        <w:rPr>
          <w:rFonts w:ascii="Garamond" w:hAnsi="Garamond"/>
          <w:sz w:val="20"/>
          <w:szCs w:val="20"/>
        </w:rPr>
        <w:t xml:space="preserve">(2), 231–250. </w:t>
      </w:r>
    </w:p>
  </w:footnote>
  <w:footnote w:id="14">
    <w:p w14:paraId="2B5B85A2" w14:textId="243779DF"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Thorpe, C., Ryan, B., McLean, S.L., Burt, A., Stewart, M., Brown, J.B. (2009). How to obtain excellent response rates when surveying physicians. </w:t>
      </w:r>
      <w:r w:rsidRPr="002356CF">
        <w:rPr>
          <w:rFonts w:ascii="Garamond" w:hAnsi="Garamond"/>
          <w:i/>
          <w:sz w:val="20"/>
          <w:szCs w:val="20"/>
        </w:rPr>
        <w:t>Family Practice, 26</w:t>
      </w:r>
      <w:r w:rsidRPr="002356CF">
        <w:rPr>
          <w:rFonts w:ascii="Garamond" w:hAnsi="Garamond"/>
          <w:sz w:val="20"/>
          <w:szCs w:val="20"/>
        </w:rPr>
        <w:t>(1), 65-68.</w:t>
      </w:r>
    </w:p>
  </w:footnote>
  <w:footnote w:id="15">
    <w:p w14:paraId="7122518B"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VanGeest, J. B., Johnson, T. P., &amp; Welch, V. L. (2007). Methodologies for improving response rates in surveys of physicians: A systematic review. </w:t>
      </w:r>
      <w:r w:rsidRPr="002356CF">
        <w:rPr>
          <w:rFonts w:ascii="Garamond" w:hAnsi="Garamond"/>
          <w:i/>
          <w:iCs/>
          <w:sz w:val="20"/>
          <w:szCs w:val="20"/>
        </w:rPr>
        <w:t xml:space="preserve">Evaluation of Health Professionals, </w:t>
      </w:r>
      <w:r w:rsidRPr="002356CF">
        <w:rPr>
          <w:rFonts w:ascii="Garamond" w:hAnsi="Garamond"/>
          <w:i/>
          <w:sz w:val="20"/>
          <w:szCs w:val="20"/>
        </w:rPr>
        <w:t>30</w:t>
      </w:r>
      <w:r w:rsidRPr="002356CF">
        <w:rPr>
          <w:rFonts w:ascii="Garamond" w:hAnsi="Garamond"/>
          <w:sz w:val="20"/>
          <w:szCs w:val="20"/>
        </w:rPr>
        <w:t>(4), 303</w:t>
      </w:r>
      <w:r w:rsidRPr="002356CF">
        <w:rPr>
          <w:rFonts w:ascii="Garamond" w:hAnsi="Garamond"/>
          <w:bCs/>
          <w:sz w:val="20"/>
          <w:szCs w:val="20"/>
        </w:rPr>
        <w:t>–</w:t>
      </w:r>
      <w:r w:rsidRPr="002356CF">
        <w:rPr>
          <w:rFonts w:ascii="Garamond" w:hAnsi="Garamond"/>
          <w:sz w:val="20"/>
          <w:szCs w:val="20"/>
        </w:rPr>
        <w:t>321.</w:t>
      </w:r>
    </w:p>
  </w:footnote>
  <w:footnote w:id="16">
    <w:p w14:paraId="4C9F3C74" w14:textId="77777777" w:rsidR="00F05C84" w:rsidRPr="002356CF" w:rsidRDefault="00F05C84" w:rsidP="00341B7D">
      <w:pPr>
        <w:rPr>
          <w:rFonts w:ascii="Garamond" w:hAnsi="Garamond"/>
          <w:sz w:val="20"/>
          <w:szCs w:val="20"/>
          <w:lang w:val="en"/>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Asch S., Connor S.E., Hamilton E.G., &amp; Fox S.A. (2000). Problems in recruiting community-based physicians for health services research. </w:t>
      </w:r>
      <w:r w:rsidRPr="002356CF">
        <w:rPr>
          <w:rFonts w:ascii="Garamond" w:hAnsi="Garamond"/>
          <w:i/>
          <w:sz w:val="20"/>
          <w:szCs w:val="20"/>
          <w:lang w:val="en"/>
        </w:rPr>
        <w:t>Journal of General Internal Medicine,</w:t>
      </w:r>
      <w:r w:rsidRPr="002356CF">
        <w:rPr>
          <w:rFonts w:ascii="Garamond" w:hAnsi="Garamond"/>
          <w:sz w:val="20"/>
          <w:szCs w:val="20"/>
          <w:lang w:val="en"/>
        </w:rPr>
        <w:t xml:space="preserve"> </w:t>
      </w:r>
      <w:r w:rsidRPr="002356CF">
        <w:rPr>
          <w:rFonts w:ascii="Garamond" w:hAnsi="Garamond"/>
          <w:i/>
          <w:sz w:val="20"/>
          <w:szCs w:val="20"/>
          <w:lang w:val="en"/>
        </w:rPr>
        <w:t>15</w:t>
      </w:r>
      <w:r w:rsidRPr="002356CF">
        <w:rPr>
          <w:rFonts w:ascii="Garamond" w:hAnsi="Garamond"/>
          <w:sz w:val="20"/>
          <w:szCs w:val="20"/>
          <w:lang w:val="en"/>
        </w:rPr>
        <w:t>(8):591-599.</w:t>
      </w:r>
    </w:p>
  </w:footnote>
  <w:footnote w:id="17">
    <w:p w14:paraId="13DF0AD4"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Cummings, S.M., Savitz, L.A., &amp; Konrad, T.R. (2001). Reported response rates to mailed physician questionnaires. </w:t>
      </w:r>
      <w:r w:rsidRPr="002356CF">
        <w:rPr>
          <w:rFonts w:ascii="Garamond" w:hAnsi="Garamond"/>
          <w:i/>
          <w:sz w:val="20"/>
          <w:szCs w:val="20"/>
          <w:lang w:val="en"/>
        </w:rPr>
        <w:t>Health Services Research, 35</w:t>
      </w:r>
      <w:r w:rsidRPr="002356CF">
        <w:rPr>
          <w:rFonts w:ascii="Garamond" w:hAnsi="Garamond"/>
          <w:sz w:val="20"/>
          <w:szCs w:val="20"/>
          <w:lang w:val="en"/>
        </w:rPr>
        <w:t>(6), 1347-1355.</w:t>
      </w:r>
    </w:p>
  </w:footnote>
  <w:footnote w:id="18">
    <w:p w14:paraId="6EAF34F0"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Asch S., Connor S.E., Hamilton E.G., &amp; Fox S.A. (2000). Problems in recruiting community-based physicians for health services research. </w:t>
      </w:r>
      <w:r w:rsidRPr="002356CF">
        <w:rPr>
          <w:rFonts w:ascii="Garamond" w:hAnsi="Garamond"/>
          <w:i/>
          <w:sz w:val="20"/>
          <w:szCs w:val="20"/>
          <w:lang w:val="en"/>
        </w:rPr>
        <w:t>Journal of General Internal Medicine,</w:t>
      </w:r>
      <w:r w:rsidRPr="002356CF">
        <w:rPr>
          <w:rFonts w:ascii="Garamond" w:hAnsi="Garamond"/>
          <w:sz w:val="20"/>
          <w:szCs w:val="20"/>
          <w:lang w:val="en"/>
        </w:rPr>
        <w:t xml:space="preserve"> </w:t>
      </w:r>
      <w:r w:rsidRPr="002356CF">
        <w:rPr>
          <w:rFonts w:ascii="Garamond" w:hAnsi="Garamond"/>
          <w:i/>
          <w:sz w:val="20"/>
          <w:szCs w:val="20"/>
          <w:lang w:val="en"/>
        </w:rPr>
        <w:t>15</w:t>
      </w:r>
      <w:r w:rsidRPr="002356CF">
        <w:rPr>
          <w:rFonts w:ascii="Garamond" w:hAnsi="Garamond"/>
          <w:sz w:val="20"/>
          <w:szCs w:val="20"/>
          <w:lang w:val="en"/>
        </w:rPr>
        <w:t>(8):591-599.</w:t>
      </w:r>
    </w:p>
  </w:footnote>
  <w:footnote w:id="19">
    <w:p w14:paraId="528ED7CB"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Bakken S, Lantigua RA, Busacca LV, &amp; Bigger JT. (2019). Barriers, enablers, and incentives for research participation: a report from the Ambulatory Care Research Network (ACRN). J </w:t>
      </w:r>
      <w:r w:rsidRPr="002356CF">
        <w:rPr>
          <w:rFonts w:ascii="Garamond" w:hAnsi="Garamond"/>
          <w:i/>
          <w:sz w:val="20"/>
          <w:szCs w:val="20"/>
          <w:lang w:val="en"/>
        </w:rPr>
        <w:t>Journal of the American Board of Family Medicine, 22</w:t>
      </w:r>
      <w:r w:rsidRPr="002356CF">
        <w:rPr>
          <w:rFonts w:ascii="Garamond" w:hAnsi="Garamond"/>
          <w:sz w:val="20"/>
          <w:szCs w:val="20"/>
          <w:lang w:val="en"/>
        </w:rPr>
        <w:t>(4):436–45.</w:t>
      </w:r>
    </w:p>
  </w:footnote>
  <w:footnote w:id="20">
    <w:p w14:paraId="4CF96348"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Capko, J. </w:t>
      </w:r>
      <w:r w:rsidRPr="002356CF">
        <w:rPr>
          <w:rFonts w:ascii="Garamond" w:hAnsi="Garamond"/>
          <w:i/>
          <w:sz w:val="20"/>
          <w:szCs w:val="20"/>
          <w:lang w:val="en"/>
        </w:rPr>
        <w:t>To improve practice work flow, tackle patient scheduling</w:t>
      </w:r>
      <w:r w:rsidRPr="002356CF">
        <w:rPr>
          <w:rFonts w:ascii="Garamond" w:hAnsi="Garamond"/>
          <w:sz w:val="20"/>
          <w:szCs w:val="20"/>
          <w:lang w:val="en"/>
        </w:rPr>
        <w:t xml:space="preserve">. Retrieved from </w:t>
      </w:r>
      <w:hyperlink r:id="rId1" w:history="1">
        <w:r w:rsidRPr="002356CF">
          <w:rPr>
            <w:rStyle w:val="Hyperlink"/>
            <w:rFonts w:ascii="Garamond" w:hAnsi="Garamond"/>
            <w:sz w:val="20"/>
            <w:szCs w:val="20"/>
            <w:lang w:val="en"/>
          </w:rPr>
          <w:t>http://www.physicianspractice.com/scheduling/improve-practice-work-flow-tackle-patient-scheduling</w:t>
        </w:r>
      </w:hyperlink>
      <w:r w:rsidRPr="002356CF">
        <w:rPr>
          <w:rFonts w:ascii="Garamond" w:hAnsi="Garamond"/>
          <w:sz w:val="20"/>
          <w:szCs w:val="20"/>
          <w:lang w:val="en"/>
        </w:rPr>
        <w:t>. Accessed January 17, 2019.</w:t>
      </w:r>
    </w:p>
  </w:footnote>
  <w:footnote w:id="21">
    <w:p w14:paraId="1662A783" w14:textId="20FCF0F2" w:rsidR="00F05C84" w:rsidRPr="002356CF" w:rsidRDefault="00F05C84" w:rsidP="00341B7D">
      <w:pPr>
        <w:rPr>
          <w:rFonts w:ascii="Garamond" w:hAnsi="Garamond"/>
          <w:sz w:val="20"/>
          <w:szCs w:val="20"/>
          <w:lang w:val="en"/>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Cunningham, C.T., Quan, H., Hemmelgarn, B., Noseworthy, T., Beck, C.A., Dixon, E.</w:t>
      </w:r>
      <w:r w:rsidR="001915BB">
        <w:rPr>
          <w:rFonts w:ascii="Garamond" w:hAnsi="Garamond"/>
          <w:sz w:val="20"/>
          <w:szCs w:val="20"/>
          <w:lang w:val="en"/>
        </w:rPr>
        <w:t xml:space="preserve"> </w:t>
      </w:r>
      <w:r w:rsidRPr="002356CF">
        <w:rPr>
          <w:rFonts w:ascii="Garamond" w:hAnsi="Garamond"/>
          <w:sz w:val="20"/>
          <w:szCs w:val="20"/>
          <w:lang w:val="en"/>
        </w:rPr>
        <w:t xml:space="preserve">(2015). Exploring physician specialist response rates to web-based surveys. </w:t>
      </w:r>
      <w:r w:rsidRPr="002356CF">
        <w:rPr>
          <w:rFonts w:ascii="Garamond" w:hAnsi="Garamond"/>
          <w:i/>
          <w:sz w:val="20"/>
          <w:szCs w:val="20"/>
          <w:lang w:val="en"/>
        </w:rPr>
        <w:t>BMC Medical Research Methodology, 15</w:t>
      </w:r>
      <w:r w:rsidRPr="002356CF">
        <w:rPr>
          <w:rFonts w:ascii="Garamond" w:hAnsi="Garamond"/>
          <w:sz w:val="20"/>
          <w:szCs w:val="20"/>
          <w:lang w:val="en"/>
        </w:rPr>
        <w:t>(32).</w:t>
      </w:r>
      <w:r w:rsidRPr="002356CF">
        <w:rPr>
          <w:rFonts w:ascii="Garamond" w:hAnsi="Garamond"/>
          <w:sz w:val="20"/>
          <w:szCs w:val="20"/>
        </w:rPr>
        <w:t xml:space="preserve"> </w:t>
      </w:r>
      <w:r w:rsidRPr="002356CF">
        <w:rPr>
          <w:rFonts w:ascii="Garamond" w:hAnsi="Garamond"/>
          <w:sz w:val="20"/>
          <w:szCs w:val="20"/>
          <w:lang w:val="en"/>
        </w:rPr>
        <w:t xml:space="preserve">doi: 10.1186/s13104-014-0969-8. </w:t>
      </w:r>
    </w:p>
  </w:footnote>
  <w:footnote w:id="22">
    <w:p w14:paraId="61C104B6" w14:textId="77777777" w:rsidR="00F05C84" w:rsidRDefault="00F05C84" w:rsidP="00341B7D">
      <w:pPr>
        <w:pStyle w:val="FootnoteText"/>
      </w:pPr>
      <w:r>
        <w:rPr>
          <w:rStyle w:val="FootnoteReference"/>
        </w:rPr>
        <w:footnoteRef/>
      </w:r>
      <w:r>
        <w:t xml:space="preserve"> Physcian’s Foundation. (2018). America’s Physicians: Overworked and Burning Out. </w:t>
      </w:r>
      <w:r w:rsidRPr="001C7FB0">
        <w:t>https://thehospitalleader.org/americas-physicians-overworked-and-burning-out/</w:t>
      </w:r>
      <w:r>
        <w:t xml:space="preserve">Accessed March 24, 2020. </w:t>
      </w:r>
    </w:p>
  </w:footnote>
  <w:footnote w:id="23">
    <w:p w14:paraId="44DE95D4" w14:textId="373522C7" w:rsidR="00F05C84" w:rsidRPr="002356CF" w:rsidRDefault="00F05C84" w:rsidP="00341B7D">
      <w:pPr>
        <w:pStyle w:val="FootnoteText"/>
      </w:pPr>
      <w:r w:rsidRPr="002356CF">
        <w:rPr>
          <w:rStyle w:val="FootnoteReference"/>
        </w:rPr>
        <w:footnoteRef/>
      </w:r>
      <w:r w:rsidRPr="002356CF">
        <w:t xml:space="preserve"> </w:t>
      </w:r>
      <w:r w:rsidRPr="002356CF">
        <w:rPr>
          <w:lang w:val="en"/>
        </w:rPr>
        <w:t>Cunningham, C.T., Quan, H., Hemmelgarn, B., Noseworthy, T., Beck, C.A., Dixon, E.</w:t>
      </w:r>
      <w:r w:rsidR="001915BB">
        <w:rPr>
          <w:lang w:val="en"/>
        </w:rPr>
        <w:t xml:space="preserve"> </w:t>
      </w:r>
      <w:r w:rsidRPr="002356CF">
        <w:rPr>
          <w:lang w:val="en"/>
        </w:rPr>
        <w:t xml:space="preserve">(2015). Exploring physician specialist response rates to web-based surveys. </w:t>
      </w:r>
      <w:r w:rsidRPr="002356CF">
        <w:rPr>
          <w:i/>
          <w:lang w:val="en"/>
        </w:rPr>
        <w:t>BMC Medical Research Methodology, 15</w:t>
      </w:r>
      <w:r w:rsidRPr="002356CF">
        <w:rPr>
          <w:lang w:val="en"/>
        </w:rPr>
        <w:t>(32).</w:t>
      </w:r>
      <w:r w:rsidRPr="002356CF">
        <w:t xml:space="preserve"> </w:t>
      </w:r>
      <w:r w:rsidRPr="002356CF">
        <w:rPr>
          <w:lang w:val="en"/>
        </w:rPr>
        <w:t>doi: 10.1186/s13104-014-0969-8.</w:t>
      </w:r>
    </w:p>
  </w:footnote>
  <w:footnote w:id="24">
    <w:p w14:paraId="2A26CC72"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Juster, F. T. &amp; Suzman, R. (1995). An overview of the health and retirement study. </w:t>
      </w:r>
      <w:r w:rsidRPr="002356CF">
        <w:rPr>
          <w:rFonts w:ascii="Garamond" w:hAnsi="Garamond"/>
          <w:i/>
          <w:sz w:val="20"/>
          <w:szCs w:val="20"/>
          <w:lang w:val="en"/>
        </w:rPr>
        <w:t>Journal of Human Resources, 30</w:t>
      </w:r>
      <w:r w:rsidRPr="002356CF">
        <w:rPr>
          <w:rFonts w:ascii="Garamond" w:hAnsi="Garamond"/>
          <w:sz w:val="20"/>
          <w:szCs w:val="20"/>
          <w:lang w:val="en"/>
        </w:rPr>
        <w:t>, S7-S56.</w:t>
      </w:r>
    </w:p>
  </w:footnote>
  <w:footnote w:id="25">
    <w:p w14:paraId="2D7DF081"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iCs/>
          <w:sz w:val="20"/>
          <w:szCs w:val="20"/>
        </w:rPr>
        <w:t>A</w:t>
      </w:r>
      <w:r w:rsidRPr="002356CF">
        <w:rPr>
          <w:rFonts w:ascii="Garamond" w:hAnsi="Garamond"/>
          <w:sz w:val="20"/>
          <w:szCs w:val="20"/>
        </w:rPr>
        <w:t>sch, D.A., Christakis, N.A., &amp; Ubel, P.A. (1998). Conducting physician mail surveys on a limited budget: a randomized trial comparing bill versus $5 bill incentives. </w:t>
      </w:r>
      <w:r w:rsidRPr="002356CF">
        <w:rPr>
          <w:rFonts w:ascii="Garamond" w:hAnsi="Garamond"/>
          <w:i/>
          <w:sz w:val="20"/>
          <w:szCs w:val="20"/>
        </w:rPr>
        <w:t>Medical Care</w:t>
      </w:r>
      <w:r w:rsidRPr="002356CF">
        <w:rPr>
          <w:rFonts w:ascii="Garamond" w:hAnsi="Garamond"/>
          <w:sz w:val="20"/>
          <w:szCs w:val="20"/>
        </w:rPr>
        <w:t xml:space="preserve">, </w:t>
      </w:r>
      <w:r w:rsidRPr="002356CF">
        <w:rPr>
          <w:rFonts w:ascii="Garamond" w:hAnsi="Garamond"/>
          <w:i/>
          <w:sz w:val="20"/>
          <w:szCs w:val="20"/>
        </w:rPr>
        <w:t>36</w:t>
      </w:r>
      <w:r w:rsidRPr="002356CF">
        <w:rPr>
          <w:rFonts w:ascii="Garamond" w:hAnsi="Garamond"/>
          <w:sz w:val="20"/>
          <w:szCs w:val="20"/>
        </w:rPr>
        <w:t xml:space="preserve">(1):95–99. </w:t>
      </w:r>
    </w:p>
  </w:footnote>
  <w:footnote w:id="26">
    <w:p w14:paraId="53805C74"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Deehan, A., Templeton, L., Taylor, C., Drummond, C., &amp; Strang, J. (1997). The effect of cash and other financial inducements on the response rate of general practitioners in a national postal study. </w:t>
      </w:r>
      <w:r w:rsidRPr="002356CF">
        <w:rPr>
          <w:rFonts w:ascii="Garamond" w:hAnsi="Garamond"/>
          <w:i/>
          <w:sz w:val="20"/>
          <w:szCs w:val="20"/>
        </w:rPr>
        <w:t>British Journal of General Practice,</w:t>
      </w:r>
      <w:r w:rsidRPr="002356CF">
        <w:rPr>
          <w:rFonts w:ascii="Garamond" w:hAnsi="Garamond"/>
          <w:sz w:val="20"/>
          <w:szCs w:val="20"/>
        </w:rPr>
        <w:t xml:space="preserve"> </w:t>
      </w:r>
      <w:r w:rsidRPr="002356CF">
        <w:rPr>
          <w:rFonts w:ascii="Garamond" w:hAnsi="Garamond"/>
          <w:i/>
          <w:sz w:val="20"/>
          <w:szCs w:val="20"/>
        </w:rPr>
        <w:t>47</w:t>
      </w:r>
      <w:r w:rsidRPr="002356CF">
        <w:rPr>
          <w:rFonts w:ascii="Garamond" w:hAnsi="Garamond"/>
          <w:sz w:val="20"/>
          <w:szCs w:val="20"/>
        </w:rPr>
        <w:t>(415):87–90. </w:t>
      </w:r>
    </w:p>
  </w:footnote>
  <w:footnote w:id="27">
    <w:p w14:paraId="7E67B4F0"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Pit, S.W., Vo, T., &amp; Pyakurel, S. (2014). The effectiveness of recruitment strategies on general practitioner's survey response rates - a systematic review. </w:t>
      </w:r>
      <w:r w:rsidRPr="002356CF">
        <w:rPr>
          <w:rFonts w:ascii="Garamond" w:hAnsi="Garamond"/>
          <w:i/>
          <w:sz w:val="20"/>
          <w:szCs w:val="20"/>
        </w:rPr>
        <w:t>BMC Medical Research Methodology, 6</w:t>
      </w:r>
      <w:r w:rsidRPr="002356CF">
        <w:rPr>
          <w:rFonts w:ascii="Garamond" w:hAnsi="Garamond"/>
          <w:sz w:val="20"/>
          <w:szCs w:val="20"/>
        </w:rPr>
        <w:t>(14). doi: 10.1186/1471-2288-14-76.</w:t>
      </w:r>
    </w:p>
  </w:footnote>
  <w:footnote w:id="28">
    <w:p w14:paraId="6B95637B"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Thomson, C.E., Paterson-Brown, S., Russell, D., McCaldin, D., &amp; Russell, I.T. (2004). Short report: encouraging GPs to complete postal questionnaires - one big prize or many small prizes? A randomized controlled trial. </w:t>
      </w:r>
      <w:r w:rsidRPr="002356CF">
        <w:rPr>
          <w:rFonts w:ascii="Garamond" w:hAnsi="Garamond"/>
          <w:i/>
          <w:sz w:val="20"/>
          <w:szCs w:val="20"/>
        </w:rPr>
        <w:t>Family Practice, 21</w:t>
      </w:r>
      <w:r w:rsidRPr="002356CF">
        <w:rPr>
          <w:rFonts w:ascii="Garamond" w:hAnsi="Garamond"/>
          <w:sz w:val="20"/>
          <w:szCs w:val="20"/>
        </w:rPr>
        <w:t>(6):697–698.</w:t>
      </w:r>
    </w:p>
  </w:footnote>
  <w:footnote w:id="29">
    <w:p w14:paraId="5D164F1B"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Young, R.A., Fulda, K.G., Suzuki, S., Hahn, K.A., Espinoza, A.M., Marshall, J.D.</w:t>
      </w:r>
      <w:r>
        <w:rPr>
          <w:rFonts w:ascii="Garamond" w:hAnsi="Garamond"/>
          <w:sz w:val="20"/>
          <w:szCs w:val="20"/>
        </w:rPr>
        <w:t>.</w:t>
      </w:r>
      <w:r w:rsidRPr="002356CF">
        <w:rPr>
          <w:rFonts w:ascii="Garamond" w:hAnsi="Garamond"/>
          <w:sz w:val="20"/>
          <w:szCs w:val="20"/>
        </w:rPr>
        <w:t xml:space="preserve"> (2011). The influence of research compensation options on Practice-based Research Network (PBRN) physician participation: A North Texas (NorTex) PBRN study. </w:t>
      </w:r>
      <w:r w:rsidRPr="002356CF">
        <w:rPr>
          <w:rFonts w:ascii="Garamond" w:hAnsi="Garamond"/>
          <w:i/>
          <w:sz w:val="20"/>
          <w:szCs w:val="20"/>
        </w:rPr>
        <w:t>Journal of the American Board of Family Medicine, 24</w:t>
      </w:r>
      <w:r w:rsidRPr="002356CF">
        <w:rPr>
          <w:rFonts w:ascii="Garamond" w:hAnsi="Garamond"/>
          <w:sz w:val="20"/>
          <w:szCs w:val="20"/>
        </w:rPr>
        <w:t>(5), 562-568.</w:t>
      </w:r>
    </w:p>
  </w:footnote>
  <w:footnote w:id="30">
    <w:p w14:paraId="3BE5AE87"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Krueger, R.A., &amp; Casey, M.A. (2015). </w:t>
      </w:r>
      <w:r w:rsidRPr="002356CF">
        <w:rPr>
          <w:rFonts w:ascii="Garamond" w:hAnsi="Garamond"/>
          <w:i/>
          <w:sz w:val="20"/>
          <w:szCs w:val="20"/>
        </w:rPr>
        <w:t>Focus Groups: A practical guide for applied research</w:t>
      </w:r>
      <w:r w:rsidRPr="002356CF">
        <w:rPr>
          <w:rFonts w:ascii="Garamond" w:hAnsi="Garamond"/>
          <w:sz w:val="20"/>
          <w:szCs w:val="20"/>
        </w:rPr>
        <w:t>. Thousand Oaks, CA: Sage Publications, Inc.</w:t>
      </w:r>
    </w:p>
    <w:p w14:paraId="75654436" w14:textId="77777777" w:rsidR="00F05C84" w:rsidRDefault="00F05C84" w:rsidP="00341B7D">
      <w:pPr>
        <w:pStyle w:val="FootnoteText"/>
      </w:pPr>
    </w:p>
  </w:footnote>
  <w:footnote w:id="31">
    <w:p w14:paraId="48F6BD48" w14:textId="77777777" w:rsidR="00F05C84" w:rsidRPr="002356CF" w:rsidRDefault="00F05C84" w:rsidP="00341B7D">
      <w:pPr>
        <w:rPr>
          <w:rFonts w:ascii="Garamond" w:hAnsi="Garamond"/>
          <w:sz w:val="20"/>
          <w:szCs w:val="20"/>
          <w:lang w:val="en"/>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Griffin, J., Simon, A. B., Hulbert, E., Stevenson, J., Grill, J., Noorbaloochi, S., &amp; Partin, M. (2011). A comparison of small monetary incentives to convert survey non-respondents: a randomized control trial. </w:t>
      </w:r>
      <w:r w:rsidRPr="002356CF">
        <w:rPr>
          <w:rFonts w:ascii="Garamond" w:hAnsi="Garamond"/>
          <w:i/>
          <w:sz w:val="20"/>
          <w:szCs w:val="20"/>
          <w:lang w:val="en"/>
        </w:rPr>
        <w:t>BMC Medical Research Methodology, 11(</w:t>
      </w:r>
      <w:r w:rsidRPr="002356CF">
        <w:rPr>
          <w:rFonts w:ascii="Garamond" w:hAnsi="Garamond"/>
          <w:sz w:val="20"/>
          <w:szCs w:val="20"/>
          <w:lang w:val="en"/>
        </w:rPr>
        <w:t>81).</w:t>
      </w:r>
      <w:r w:rsidRPr="002356CF">
        <w:rPr>
          <w:rFonts w:ascii="Garamond" w:hAnsi="Garamond"/>
          <w:sz w:val="20"/>
          <w:szCs w:val="20"/>
        </w:rPr>
        <w:t xml:space="preserve"> </w:t>
      </w:r>
      <w:r w:rsidRPr="002356CF">
        <w:rPr>
          <w:rFonts w:ascii="Garamond" w:hAnsi="Garamond"/>
          <w:sz w:val="20"/>
          <w:szCs w:val="20"/>
          <w:lang w:val="en"/>
        </w:rPr>
        <w:t>doi: 10.1186/1471-2288-11-81.</w:t>
      </w:r>
    </w:p>
  </w:footnote>
  <w:footnote w:id="32">
    <w:p w14:paraId="3CC86220"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bookmarkStart w:id="12" w:name="_Hlk536163091"/>
      <w:r w:rsidRPr="002356CF">
        <w:rPr>
          <w:rFonts w:ascii="Garamond" w:hAnsi="Garamond"/>
          <w:sz w:val="20"/>
          <w:szCs w:val="20"/>
        </w:rPr>
        <w:t xml:space="preserve">Lesser, V.M., Dillman, D.A., Carlson, J., Lorenz, F., Mason, R., &amp; Willits, F. (2001) </w:t>
      </w:r>
      <w:r w:rsidRPr="002356CF">
        <w:rPr>
          <w:rFonts w:ascii="Garamond" w:hAnsi="Garamond"/>
          <w:i/>
          <w:sz w:val="20"/>
          <w:szCs w:val="20"/>
        </w:rPr>
        <w:t>Quantifying the Influence of Incentives on Mail Survey Response Rates and Nonresponse Bias</w:t>
      </w:r>
      <w:r w:rsidRPr="002356CF">
        <w:rPr>
          <w:rFonts w:ascii="Garamond" w:hAnsi="Garamond"/>
          <w:sz w:val="20"/>
          <w:szCs w:val="20"/>
        </w:rPr>
        <w:t>. Paper presented at the annual meeting of the American Statistical Association, Atlanta, GA.</w:t>
      </w:r>
      <w:bookmarkEnd w:id="12"/>
    </w:p>
  </w:footnote>
  <w:footnote w:id="33">
    <w:p w14:paraId="56C2E941" w14:textId="1A3624D2" w:rsidR="00F05C84" w:rsidRPr="00341B7D" w:rsidRDefault="00F05C84" w:rsidP="001915BB">
      <w:r w:rsidRPr="002356CF">
        <w:rPr>
          <w:rStyle w:val="FootnoteReference"/>
          <w:rFonts w:ascii="Garamond" w:hAnsi="Garamond"/>
          <w:sz w:val="20"/>
          <w:szCs w:val="20"/>
        </w:rPr>
        <w:footnoteRef/>
      </w:r>
      <w:r w:rsidRPr="002356CF">
        <w:rPr>
          <w:rFonts w:ascii="Garamond" w:hAnsi="Garamond"/>
          <w:sz w:val="20"/>
          <w:szCs w:val="20"/>
        </w:rPr>
        <w:t xml:space="preserve"> </w:t>
      </w:r>
      <w:bookmarkStart w:id="13" w:name="_Hlk536163153"/>
      <w:r w:rsidRPr="002356CF">
        <w:rPr>
          <w:rFonts w:ascii="Garamond" w:hAnsi="Garamond"/>
          <w:sz w:val="20"/>
          <w:szCs w:val="20"/>
        </w:rPr>
        <w:t xml:space="preserve">Singer, E. &amp; Kulka, R. A. (2002). Paying Respondents for Survey Participation. In M. Ver Ploeg, R. A. Moffitt, &amp; C. F. Citro (Eds.), </w:t>
      </w:r>
      <w:r w:rsidRPr="002356CF">
        <w:rPr>
          <w:rFonts w:ascii="Garamond" w:hAnsi="Garamond"/>
          <w:i/>
          <w:sz w:val="20"/>
          <w:szCs w:val="20"/>
        </w:rPr>
        <w:t>Studies of Welfare Populations: Data Collection and Research Issues</w:t>
      </w:r>
      <w:r w:rsidRPr="002356CF">
        <w:rPr>
          <w:rFonts w:ascii="Garamond" w:hAnsi="Garamond"/>
          <w:sz w:val="20"/>
          <w:szCs w:val="20"/>
        </w:rPr>
        <w:t>, Washington, D.C.: National Academy Press.</w:t>
      </w:r>
      <w:bookmarkEnd w:id="13"/>
    </w:p>
  </w:footnote>
  <w:footnote w:id="34">
    <w:p w14:paraId="0E7B4DD7" w14:textId="77777777" w:rsidR="00F05C84" w:rsidRPr="002356CF" w:rsidRDefault="00F05C84" w:rsidP="00341B7D">
      <w:pPr>
        <w:rPr>
          <w:rFonts w:ascii="Garamond" w:hAnsi="Garamond"/>
          <w:sz w:val="20"/>
          <w:szCs w:val="20"/>
          <w:lang w:val="en"/>
        </w:rPr>
      </w:pPr>
      <w:r>
        <w:rPr>
          <w:rStyle w:val="FootnoteReference"/>
        </w:rPr>
        <w:footnoteRef/>
      </w:r>
      <w:r>
        <w:t xml:space="preserve"> </w:t>
      </w:r>
      <w:r w:rsidRPr="002356CF">
        <w:rPr>
          <w:rFonts w:ascii="Garamond" w:hAnsi="Garamond"/>
          <w:sz w:val="20"/>
          <w:szCs w:val="20"/>
          <w:lang w:val="en"/>
        </w:rPr>
        <w:t xml:space="preserve">Kaiser Family Foundation. (2018a). </w:t>
      </w:r>
      <w:r w:rsidRPr="002356CF">
        <w:rPr>
          <w:rFonts w:ascii="Garamond" w:hAnsi="Garamond"/>
          <w:i/>
          <w:sz w:val="20"/>
          <w:szCs w:val="20"/>
          <w:lang w:val="en"/>
        </w:rPr>
        <w:t>Professionally Active Specialist Physicians by Field.</w:t>
      </w:r>
      <w:r w:rsidRPr="002356CF">
        <w:rPr>
          <w:rFonts w:ascii="Garamond" w:hAnsi="Garamond"/>
          <w:sz w:val="20"/>
          <w:szCs w:val="20"/>
          <w:lang w:val="en"/>
        </w:rPr>
        <w:t xml:space="preserve"> Retrieved from </w:t>
      </w:r>
      <w:hyperlink r:id="rId2" w:history="1">
        <w:r w:rsidRPr="002356CF">
          <w:rPr>
            <w:rStyle w:val="Hyperlink"/>
            <w:rFonts w:ascii="Garamond" w:hAnsi="Garamond"/>
            <w:sz w:val="20"/>
            <w:szCs w:val="20"/>
            <w:lang w:val="en"/>
          </w:rPr>
          <w:t>https://www.kff.org/other/state-indicator/physicians-by-specialty-area/?dataView=1&amp;currentTimeframe=0&amp;selectedRows=%7B%22wrapups%22:%7B%22united-states%22:%7B%7D%7D%7D&amp;sortModel=%7B%22colId%22:%22All%20Other%20Specialties%22,%22sort%22:%22asc%22%7D</w:t>
        </w:r>
      </w:hyperlink>
      <w:r w:rsidRPr="002356CF">
        <w:rPr>
          <w:rFonts w:ascii="Garamond" w:hAnsi="Garamond"/>
          <w:sz w:val="20"/>
          <w:szCs w:val="20"/>
          <w:lang w:val="en"/>
        </w:rPr>
        <w:t xml:space="preserve"> </w:t>
      </w:r>
    </w:p>
  </w:footnote>
  <w:footnote w:id="35">
    <w:p w14:paraId="2B65E1CF" w14:textId="77777777" w:rsidR="00F05C84" w:rsidRPr="002356CF" w:rsidRDefault="00F05C84" w:rsidP="00341B7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Sullivan, M. (2016). ACR 2015 Workforce Study: Fewer Rheumatologists, More Patients, and the Struggle to Bridge the Gap. </w:t>
      </w:r>
      <w:r w:rsidRPr="002356CF">
        <w:rPr>
          <w:rFonts w:ascii="Garamond" w:hAnsi="Garamond"/>
          <w:i/>
          <w:sz w:val="20"/>
          <w:szCs w:val="20"/>
        </w:rPr>
        <w:t xml:space="preserve">Rheumatology News. </w:t>
      </w:r>
      <w:hyperlink r:id="rId3" w:history="1">
        <w:r w:rsidRPr="002356CF">
          <w:rPr>
            <w:rStyle w:val="Hyperlink"/>
            <w:rFonts w:ascii="Garamond" w:hAnsi="Garamond"/>
            <w:sz w:val="20"/>
            <w:szCs w:val="20"/>
          </w:rPr>
          <w:t>https://www.mdedge.com/rheumatology/article/118407/practice-management/acr-2015-workforce-study-fewer-rheumatologists-more</w:t>
        </w:r>
      </w:hyperlink>
      <w:r w:rsidRPr="002356CF">
        <w:rPr>
          <w:rFonts w:ascii="Garamond" w:hAnsi="Garamond"/>
          <w:sz w:val="20"/>
          <w:szCs w:val="20"/>
        </w:rPr>
        <w:t>. Accessed March 24, 2020.</w:t>
      </w:r>
    </w:p>
    <w:p w14:paraId="7E949E95" w14:textId="77777777" w:rsidR="00F05C84" w:rsidRDefault="00F05C84" w:rsidP="00341B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504"/>
        </w:tabs>
        <w:ind w:left="504"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64624E"/>
    <w:multiLevelType w:val="hybridMultilevel"/>
    <w:tmpl w:val="D4E26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6C444D"/>
    <w:multiLevelType w:val="hybridMultilevel"/>
    <w:tmpl w:val="FBCE9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62534FE"/>
    <w:multiLevelType w:val="hybridMultilevel"/>
    <w:tmpl w:val="EAC67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205A69"/>
    <w:multiLevelType w:val="hybridMultilevel"/>
    <w:tmpl w:val="5B7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FC848D6"/>
    <w:multiLevelType w:val="hybridMultilevel"/>
    <w:tmpl w:val="F3F49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895325A"/>
    <w:multiLevelType w:val="hybridMultilevel"/>
    <w:tmpl w:val="F9409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2"/>
  </w:num>
  <w:num w:numId="4">
    <w:abstractNumId w:val="25"/>
  </w:num>
  <w:num w:numId="5">
    <w:abstractNumId w:val="4"/>
  </w:num>
  <w:num w:numId="6">
    <w:abstractNumId w:val="2"/>
  </w:num>
  <w:num w:numId="7">
    <w:abstractNumId w:val="12"/>
  </w:num>
  <w:num w:numId="8">
    <w:abstractNumId w:val="20"/>
  </w:num>
  <w:num w:numId="9">
    <w:abstractNumId w:val="13"/>
  </w:num>
  <w:num w:numId="10">
    <w:abstractNumId w:val="3"/>
  </w:num>
  <w:num w:numId="11">
    <w:abstractNumId w:val="5"/>
  </w:num>
  <w:num w:numId="12">
    <w:abstractNumId w:val="7"/>
  </w:num>
  <w:num w:numId="13">
    <w:abstractNumId w:val="1"/>
  </w:num>
  <w:num w:numId="14">
    <w:abstractNumId w:val="11"/>
  </w:num>
  <w:num w:numId="15">
    <w:abstractNumId w:val="21"/>
  </w:num>
  <w:num w:numId="16">
    <w:abstractNumId w:val="18"/>
  </w:num>
  <w:num w:numId="17">
    <w:abstractNumId w:val="0"/>
  </w:num>
  <w:num w:numId="18">
    <w:abstractNumId w:val="10"/>
  </w:num>
  <w:num w:numId="19">
    <w:abstractNumId w:val="6"/>
  </w:num>
  <w:num w:numId="20">
    <w:abstractNumId w:val="8"/>
  </w:num>
  <w:num w:numId="21">
    <w:abstractNumId w:val="15"/>
  </w:num>
  <w:num w:numId="22">
    <w:abstractNumId w:val="17"/>
  </w:num>
  <w:num w:numId="23">
    <w:abstractNumId w:val="23"/>
  </w:num>
  <w:num w:numId="24">
    <w:abstractNumId w:val="16"/>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E8A"/>
    <w:rsid w:val="00004D6F"/>
    <w:rsid w:val="00005D48"/>
    <w:rsid w:val="000078CB"/>
    <w:rsid w:val="0001187B"/>
    <w:rsid w:val="00012079"/>
    <w:rsid w:val="00013E73"/>
    <w:rsid w:val="000301C5"/>
    <w:rsid w:val="00032508"/>
    <w:rsid w:val="000330C2"/>
    <w:rsid w:val="0003464D"/>
    <w:rsid w:val="000357AC"/>
    <w:rsid w:val="00035B5C"/>
    <w:rsid w:val="00043795"/>
    <w:rsid w:val="00051BF5"/>
    <w:rsid w:val="00053539"/>
    <w:rsid w:val="00056613"/>
    <w:rsid w:val="000620F6"/>
    <w:rsid w:val="00063E51"/>
    <w:rsid w:val="00070FC3"/>
    <w:rsid w:val="00080096"/>
    <w:rsid w:val="000802BD"/>
    <w:rsid w:val="00080B75"/>
    <w:rsid w:val="00081F6D"/>
    <w:rsid w:val="00087545"/>
    <w:rsid w:val="000972E9"/>
    <w:rsid w:val="000A23D7"/>
    <w:rsid w:val="000A3821"/>
    <w:rsid w:val="000A525C"/>
    <w:rsid w:val="000A6375"/>
    <w:rsid w:val="000A7336"/>
    <w:rsid w:val="000B39A3"/>
    <w:rsid w:val="000C29BA"/>
    <w:rsid w:val="000C386B"/>
    <w:rsid w:val="000C57C2"/>
    <w:rsid w:val="000C67E4"/>
    <w:rsid w:val="000D16F9"/>
    <w:rsid w:val="000D19CE"/>
    <w:rsid w:val="000E09EF"/>
    <w:rsid w:val="000E0CDB"/>
    <w:rsid w:val="000E4F37"/>
    <w:rsid w:val="000E547B"/>
    <w:rsid w:val="000E6C8F"/>
    <w:rsid w:val="000F1CDA"/>
    <w:rsid w:val="000F2F28"/>
    <w:rsid w:val="001001B8"/>
    <w:rsid w:val="001006AA"/>
    <w:rsid w:val="001035C7"/>
    <w:rsid w:val="00110ABB"/>
    <w:rsid w:val="00121F34"/>
    <w:rsid w:val="00122860"/>
    <w:rsid w:val="00123F4E"/>
    <w:rsid w:val="00126D06"/>
    <w:rsid w:val="0013026B"/>
    <w:rsid w:val="00132A05"/>
    <w:rsid w:val="00132EF8"/>
    <w:rsid w:val="00134531"/>
    <w:rsid w:val="00140343"/>
    <w:rsid w:val="00140A0D"/>
    <w:rsid w:val="00140A71"/>
    <w:rsid w:val="00140C36"/>
    <w:rsid w:val="0014334C"/>
    <w:rsid w:val="00144FC7"/>
    <w:rsid w:val="001459DD"/>
    <w:rsid w:val="00146D0A"/>
    <w:rsid w:val="001512A3"/>
    <w:rsid w:val="00154D22"/>
    <w:rsid w:val="00160326"/>
    <w:rsid w:val="0016155F"/>
    <w:rsid w:val="00166FF8"/>
    <w:rsid w:val="00167ABD"/>
    <w:rsid w:val="001704F1"/>
    <w:rsid w:val="00172A6E"/>
    <w:rsid w:val="00182DEB"/>
    <w:rsid w:val="0018646A"/>
    <w:rsid w:val="00190AA2"/>
    <w:rsid w:val="001915BB"/>
    <w:rsid w:val="0019577F"/>
    <w:rsid w:val="001A21C8"/>
    <w:rsid w:val="001A335B"/>
    <w:rsid w:val="001A68F4"/>
    <w:rsid w:val="001B2439"/>
    <w:rsid w:val="001C0117"/>
    <w:rsid w:val="001C172B"/>
    <w:rsid w:val="001C6DBB"/>
    <w:rsid w:val="001D19B4"/>
    <w:rsid w:val="001D6A94"/>
    <w:rsid w:val="001E1D01"/>
    <w:rsid w:val="001F09C0"/>
    <w:rsid w:val="001F4032"/>
    <w:rsid w:val="001F52CB"/>
    <w:rsid w:val="001F5C80"/>
    <w:rsid w:val="00202E56"/>
    <w:rsid w:val="00206D1F"/>
    <w:rsid w:val="00220F7F"/>
    <w:rsid w:val="00243BAE"/>
    <w:rsid w:val="00244861"/>
    <w:rsid w:val="0024742B"/>
    <w:rsid w:val="00253F8E"/>
    <w:rsid w:val="00255438"/>
    <w:rsid w:val="00255B16"/>
    <w:rsid w:val="00256059"/>
    <w:rsid w:val="002566C9"/>
    <w:rsid w:val="002618CB"/>
    <w:rsid w:val="00263F8F"/>
    <w:rsid w:val="00280057"/>
    <w:rsid w:val="002838DF"/>
    <w:rsid w:val="002869AD"/>
    <w:rsid w:val="00286E44"/>
    <w:rsid w:val="002909BB"/>
    <w:rsid w:val="00291A75"/>
    <w:rsid w:val="00293FBF"/>
    <w:rsid w:val="0029609C"/>
    <w:rsid w:val="002A3E07"/>
    <w:rsid w:val="002A733D"/>
    <w:rsid w:val="002B0394"/>
    <w:rsid w:val="002B6C77"/>
    <w:rsid w:val="002C64AB"/>
    <w:rsid w:val="002D273E"/>
    <w:rsid w:val="002D2EA9"/>
    <w:rsid w:val="002E6199"/>
    <w:rsid w:val="00304E0B"/>
    <w:rsid w:val="0030690D"/>
    <w:rsid w:val="003140F3"/>
    <w:rsid w:val="003211CB"/>
    <w:rsid w:val="00327F00"/>
    <w:rsid w:val="003305D0"/>
    <w:rsid w:val="003415A3"/>
    <w:rsid w:val="00341B7D"/>
    <w:rsid w:val="00341F7E"/>
    <w:rsid w:val="00350C25"/>
    <w:rsid w:val="00355168"/>
    <w:rsid w:val="00357967"/>
    <w:rsid w:val="00364051"/>
    <w:rsid w:val="003644F9"/>
    <w:rsid w:val="00365B86"/>
    <w:rsid w:val="00383D2F"/>
    <w:rsid w:val="003B1A91"/>
    <w:rsid w:val="003B1F21"/>
    <w:rsid w:val="003B34D4"/>
    <w:rsid w:val="003B4B79"/>
    <w:rsid w:val="003B7962"/>
    <w:rsid w:val="003C0558"/>
    <w:rsid w:val="003C1F0B"/>
    <w:rsid w:val="003C6C82"/>
    <w:rsid w:val="003D3FD2"/>
    <w:rsid w:val="003D562E"/>
    <w:rsid w:val="003E4CB8"/>
    <w:rsid w:val="003E5B36"/>
    <w:rsid w:val="003E7265"/>
    <w:rsid w:val="003F074B"/>
    <w:rsid w:val="003F1C7A"/>
    <w:rsid w:val="003F31C2"/>
    <w:rsid w:val="003F3D36"/>
    <w:rsid w:val="0040014F"/>
    <w:rsid w:val="00401EA5"/>
    <w:rsid w:val="00404629"/>
    <w:rsid w:val="004063F4"/>
    <w:rsid w:val="0040798D"/>
    <w:rsid w:val="00411149"/>
    <w:rsid w:val="0041550C"/>
    <w:rsid w:val="004177F8"/>
    <w:rsid w:val="004246E3"/>
    <w:rsid w:val="00424945"/>
    <w:rsid w:val="00433A0A"/>
    <w:rsid w:val="00440AE9"/>
    <w:rsid w:val="00442F40"/>
    <w:rsid w:val="00452BA7"/>
    <w:rsid w:val="0045675C"/>
    <w:rsid w:val="00461345"/>
    <w:rsid w:val="00463B4D"/>
    <w:rsid w:val="004641F4"/>
    <w:rsid w:val="0046630C"/>
    <w:rsid w:val="00467E0A"/>
    <w:rsid w:val="00470AF7"/>
    <w:rsid w:val="004833BF"/>
    <w:rsid w:val="0048747F"/>
    <w:rsid w:val="00490134"/>
    <w:rsid w:val="0049419A"/>
    <w:rsid w:val="004A5C25"/>
    <w:rsid w:val="004B0CBA"/>
    <w:rsid w:val="004B694D"/>
    <w:rsid w:val="004B6A45"/>
    <w:rsid w:val="004B7BB2"/>
    <w:rsid w:val="004D431E"/>
    <w:rsid w:val="004D736A"/>
    <w:rsid w:val="004E06B2"/>
    <w:rsid w:val="004E6163"/>
    <w:rsid w:val="004F7CFE"/>
    <w:rsid w:val="00500266"/>
    <w:rsid w:val="0050092F"/>
    <w:rsid w:val="00520F5F"/>
    <w:rsid w:val="00531E6B"/>
    <w:rsid w:val="005409C4"/>
    <w:rsid w:val="00542C4C"/>
    <w:rsid w:val="005434B3"/>
    <w:rsid w:val="005444B9"/>
    <w:rsid w:val="005477F2"/>
    <w:rsid w:val="00551FF8"/>
    <w:rsid w:val="00554A36"/>
    <w:rsid w:val="00555005"/>
    <w:rsid w:val="00562F24"/>
    <w:rsid w:val="005766E1"/>
    <w:rsid w:val="00581A6C"/>
    <w:rsid w:val="00587D2D"/>
    <w:rsid w:val="00593512"/>
    <w:rsid w:val="005A18A4"/>
    <w:rsid w:val="005A7661"/>
    <w:rsid w:val="005C06EE"/>
    <w:rsid w:val="005C1C63"/>
    <w:rsid w:val="005C2E3E"/>
    <w:rsid w:val="005C6900"/>
    <w:rsid w:val="005C7C17"/>
    <w:rsid w:val="005D7162"/>
    <w:rsid w:val="005E0D3A"/>
    <w:rsid w:val="005E23BA"/>
    <w:rsid w:val="005E4981"/>
    <w:rsid w:val="00602583"/>
    <w:rsid w:val="006072E6"/>
    <w:rsid w:val="006074F7"/>
    <w:rsid w:val="00607A20"/>
    <w:rsid w:val="00613B5E"/>
    <w:rsid w:val="00620EB2"/>
    <w:rsid w:val="00621017"/>
    <w:rsid w:val="00621384"/>
    <w:rsid w:val="006300A3"/>
    <w:rsid w:val="00636B29"/>
    <w:rsid w:val="0064052C"/>
    <w:rsid w:val="00642270"/>
    <w:rsid w:val="00655F99"/>
    <w:rsid w:val="00666966"/>
    <w:rsid w:val="0067211E"/>
    <w:rsid w:val="00672ADD"/>
    <w:rsid w:val="00673137"/>
    <w:rsid w:val="00677EB4"/>
    <w:rsid w:val="00686512"/>
    <w:rsid w:val="00696B03"/>
    <w:rsid w:val="006970B6"/>
    <w:rsid w:val="006A1785"/>
    <w:rsid w:val="006A64E2"/>
    <w:rsid w:val="006B5693"/>
    <w:rsid w:val="006C2876"/>
    <w:rsid w:val="006C371A"/>
    <w:rsid w:val="006C7264"/>
    <w:rsid w:val="006D3B31"/>
    <w:rsid w:val="006D3DB8"/>
    <w:rsid w:val="006D415C"/>
    <w:rsid w:val="006D5B0F"/>
    <w:rsid w:val="006E152F"/>
    <w:rsid w:val="006E5888"/>
    <w:rsid w:val="006E6950"/>
    <w:rsid w:val="007002F0"/>
    <w:rsid w:val="00702E74"/>
    <w:rsid w:val="00702F7C"/>
    <w:rsid w:val="007042A9"/>
    <w:rsid w:val="00711099"/>
    <w:rsid w:val="00722DAA"/>
    <w:rsid w:val="00724D70"/>
    <w:rsid w:val="007263FF"/>
    <w:rsid w:val="00734ECE"/>
    <w:rsid w:val="00736C68"/>
    <w:rsid w:val="007425FE"/>
    <w:rsid w:val="00744323"/>
    <w:rsid w:val="0074463A"/>
    <w:rsid w:val="00744785"/>
    <w:rsid w:val="00744F5B"/>
    <w:rsid w:val="007527FD"/>
    <w:rsid w:val="0076303E"/>
    <w:rsid w:val="00766011"/>
    <w:rsid w:val="0077196F"/>
    <w:rsid w:val="00784A1F"/>
    <w:rsid w:val="007923B4"/>
    <w:rsid w:val="007936F2"/>
    <w:rsid w:val="00795932"/>
    <w:rsid w:val="00796DCB"/>
    <w:rsid w:val="007A007D"/>
    <w:rsid w:val="007A4331"/>
    <w:rsid w:val="007B045B"/>
    <w:rsid w:val="007B1AD3"/>
    <w:rsid w:val="007C0F20"/>
    <w:rsid w:val="007C4F02"/>
    <w:rsid w:val="007D6740"/>
    <w:rsid w:val="007E26EE"/>
    <w:rsid w:val="007F51A5"/>
    <w:rsid w:val="008007DA"/>
    <w:rsid w:val="00807ABD"/>
    <w:rsid w:val="00807C34"/>
    <w:rsid w:val="00811360"/>
    <w:rsid w:val="008148A8"/>
    <w:rsid w:val="00834F94"/>
    <w:rsid w:val="00835BB6"/>
    <w:rsid w:val="00843019"/>
    <w:rsid w:val="00846E2C"/>
    <w:rsid w:val="00850661"/>
    <w:rsid w:val="008545C9"/>
    <w:rsid w:val="00855235"/>
    <w:rsid w:val="00860C79"/>
    <w:rsid w:val="00862EEA"/>
    <w:rsid w:val="00863395"/>
    <w:rsid w:val="00865D86"/>
    <w:rsid w:val="0087208E"/>
    <w:rsid w:val="0087246C"/>
    <w:rsid w:val="00872E7A"/>
    <w:rsid w:val="00882AE4"/>
    <w:rsid w:val="008863D0"/>
    <w:rsid w:val="008929D7"/>
    <w:rsid w:val="00893D75"/>
    <w:rsid w:val="00894F96"/>
    <w:rsid w:val="00894FF0"/>
    <w:rsid w:val="008A0B1B"/>
    <w:rsid w:val="008A4CED"/>
    <w:rsid w:val="008A65E2"/>
    <w:rsid w:val="008B19E0"/>
    <w:rsid w:val="008B1BC6"/>
    <w:rsid w:val="008C0176"/>
    <w:rsid w:val="008C108B"/>
    <w:rsid w:val="008C6CB2"/>
    <w:rsid w:val="008D2670"/>
    <w:rsid w:val="008D2DA3"/>
    <w:rsid w:val="008D6825"/>
    <w:rsid w:val="008D6C1D"/>
    <w:rsid w:val="008E6145"/>
    <w:rsid w:val="008E7410"/>
    <w:rsid w:val="008F0681"/>
    <w:rsid w:val="008F2981"/>
    <w:rsid w:val="008F6E91"/>
    <w:rsid w:val="008F7C99"/>
    <w:rsid w:val="00900925"/>
    <w:rsid w:val="00901CBF"/>
    <w:rsid w:val="009045DC"/>
    <w:rsid w:val="009055D0"/>
    <w:rsid w:val="009123B2"/>
    <w:rsid w:val="009135F5"/>
    <w:rsid w:val="00922575"/>
    <w:rsid w:val="0092677B"/>
    <w:rsid w:val="00934C24"/>
    <w:rsid w:val="009404FA"/>
    <w:rsid w:val="009417E1"/>
    <w:rsid w:val="009426F8"/>
    <w:rsid w:val="00945BBA"/>
    <w:rsid w:val="00950C6C"/>
    <w:rsid w:val="0095740F"/>
    <w:rsid w:val="00957A89"/>
    <w:rsid w:val="0096702F"/>
    <w:rsid w:val="0097005F"/>
    <w:rsid w:val="0099381D"/>
    <w:rsid w:val="009A3D9E"/>
    <w:rsid w:val="009A5ED2"/>
    <w:rsid w:val="009B0017"/>
    <w:rsid w:val="009C4A88"/>
    <w:rsid w:val="009D0D89"/>
    <w:rsid w:val="009D466B"/>
    <w:rsid w:val="009E0BBB"/>
    <w:rsid w:val="009E32EE"/>
    <w:rsid w:val="009F7F3F"/>
    <w:rsid w:val="00A037AF"/>
    <w:rsid w:val="00A10EA5"/>
    <w:rsid w:val="00A12F89"/>
    <w:rsid w:val="00A146C5"/>
    <w:rsid w:val="00A22B2A"/>
    <w:rsid w:val="00A23469"/>
    <w:rsid w:val="00A235B8"/>
    <w:rsid w:val="00A26BA5"/>
    <w:rsid w:val="00A436BF"/>
    <w:rsid w:val="00A43E66"/>
    <w:rsid w:val="00A449EF"/>
    <w:rsid w:val="00A44BF9"/>
    <w:rsid w:val="00A45711"/>
    <w:rsid w:val="00A4610D"/>
    <w:rsid w:val="00A52B75"/>
    <w:rsid w:val="00A56130"/>
    <w:rsid w:val="00A60989"/>
    <w:rsid w:val="00A66395"/>
    <w:rsid w:val="00A75E9E"/>
    <w:rsid w:val="00A817A8"/>
    <w:rsid w:val="00A82DCC"/>
    <w:rsid w:val="00A843A4"/>
    <w:rsid w:val="00A90160"/>
    <w:rsid w:val="00A9060C"/>
    <w:rsid w:val="00A91D09"/>
    <w:rsid w:val="00A9350E"/>
    <w:rsid w:val="00A97438"/>
    <w:rsid w:val="00AA0BF6"/>
    <w:rsid w:val="00AB3A90"/>
    <w:rsid w:val="00AB3C68"/>
    <w:rsid w:val="00AB445F"/>
    <w:rsid w:val="00AB4EAE"/>
    <w:rsid w:val="00AC1F4B"/>
    <w:rsid w:val="00AC355E"/>
    <w:rsid w:val="00AC4D8D"/>
    <w:rsid w:val="00AC5761"/>
    <w:rsid w:val="00AE1CEA"/>
    <w:rsid w:val="00AE3BC5"/>
    <w:rsid w:val="00AE5D5F"/>
    <w:rsid w:val="00B1198E"/>
    <w:rsid w:val="00B13EB9"/>
    <w:rsid w:val="00B16E3E"/>
    <w:rsid w:val="00B1702D"/>
    <w:rsid w:val="00B2472C"/>
    <w:rsid w:val="00B318A9"/>
    <w:rsid w:val="00B32FB2"/>
    <w:rsid w:val="00B46E5B"/>
    <w:rsid w:val="00B4723E"/>
    <w:rsid w:val="00B53098"/>
    <w:rsid w:val="00B53747"/>
    <w:rsid w:val="00B53E71"/>
    <w:rsid w:val="00B80CFC"/>
    <w:rsid w:val="00B82761"/>
    <w:rsid w:val="00B83ED5"/>
    <w:rsid w:val="00B8479A"/>
    <w:rsid w:val="00B859B1"/>
    <w:rsid w:val="00B87084"/>
    <w:rsid w:val="00B93A08"/>
    <w:rsid w:val="00BA0ABE"/>
    <w:rsid w:val="00BB687E"/>
    <w:rsid w:val="00BC1C35"/>
    <w:rsid w:val="00BD7C0A"/>
    <w:rsid w:val="00BE49F8"/>
    <w:rsid w:val="00BF52FF"/>
    <w:rsid w:val="00C02AC4"/>
    <w:rsid w:val="00C17A11"/>
    <w:rsid w:val="00C215CC"/>
    <w:rsid w:val="00C4607D"/>
    <w:rsid w:val="00C50074"/>
    <w:rsid w:val="00C51A02"/>
    <w:rsid w:val="00C53035"/>
    <w:rsid w:val="00C55A5F"/>
    <w:rsid w:val="00C63031"/>
    <w:rsid w:val="00C6490C"/>
    <w:rsid w:val="00C655BE"/>
    <w:rsid w:val="00C72CAA"/>
    <w:rsid w:val="00C76A2F"/>
    <w:rsid w:val="00C87797"/>
    <w:rsid w:val="00C952A0"/>
    <w:rsid w:val="00C95E88"/>
    <w:rsid w:val="00CA2628"/>
    <w:rsid w:val="00CB26F7"/>
    <w:rsid w:val="00CC094E"/>
    <w:rsid w:val="00CC1DED"/>
    <w:rsid w:val="00CC2179"/>
    <w:rsid w:val="00CC4148"/>
    <w:rsid w:val="00CC4F06"/>
    <w:rsid w:val="00CD2B3B"/>
    <w:rsid w:val="00CE57C2"/>
    <w:rsid w:val="00CE5DCC"/>
    <w:rsid w:val="00CE62F7"/>
    <w:rsid w:val="00CF0774"/>
    <w:rsid w:val="00CF10F4"/>
    <w:rsid w:val="00CF54D9"/>
    <w:rsid w:val="00D02022"/>
    <w:rsid w:val="00D222FF"/>
    <w:rsid w:val="00D2719A"/>
    <w:rsid w:val="00D314ED"/>
    <w:rsid w:val="00D340AB"/>
    <w:rsid w:val="00D478CD"/>
    <w:rsid w:val="00D542D4"/>
    <w:rsid w:val="00D55A6C"/>
    <w:rsid w:val="00D576A2"/>
    <w:rsid w:val="00D61F49"/>
    <w:rsid w:val="00D650D8"/>
    <w:rsid w:val="00D77A2A"/>
    <w:rsid w:val="00D80BB7"/>
    <w:rsid w:val="00D85DEE"/>
    <w:rsid w:val="00D8625B"/>
    <w:rsid w:val="00D8660D"/>
    <w:rsid w:val="00D921D6"/>
    <w:rsid w:val="00D93C61"/>
    <w:rsid w:val="00D9463C"/>
    <w:rsid w:val="00DA509D"/>
    <w:rsid w:val="00DA7D3C"/>
    <w:rsid w:val="00DB7D99"/>
    <w:rsid w:val="00DC66C2"/>
    <w:rsid w:val="00DC76EE"/>
    <w:rsid w:val="00DD22D3"/>
    <w:rsid w:val="00DD2449"/>
    <w:rsid w:val="00DD5CD4"/>
    <w:rsid w:val="00DD6106"/>
    <w:rsid w:val="00DE6000"/>
    <w:rsid w:val="00DF681A"/>
    <w:rsid w:val="00E018D6"/>
    <w:rsid w:val="00E03FFF"/>
    <w:rsid w:val="00E07DAB"/>
    <w:rsid w:val="00E10D6B"/>
    <w:rsid w:val="00E11D01"/>
    <w:rsid w:val="00E14D77"/>
    <w:rsid w:val="00E156FF"/>
    <w:rsid w:val="00E215FA"/>
    <w:rsid w:val="00E26798"/>
    <w:rsid w:val="00E43DB3"/>
    <w:rsid w:val="00E44398"/>
    <w:rsid w:val="00E45BA0"/>
    <w:rsid w:val="00E46E7F"/>
    <w:rsid w:val="00E543E3"/>
    <w:rsid w:val="00E55796"/>
    <w:rsid w:val="00E60AD4"/>
    <w:rsid w:val="00E629FF"/>
    <w:rsid w:val="00E74A54"/>
    <w:rsid w:val="00E76709"/>
    <w:rsid w:val="00E77913"/>
    <w:rsid w:val="00E8427E"/>
    <w:rsid w:val="00E85DD4"/>
    <w:rsid w:val="00E86A2F"/>
    <w:rsid w:val="00E92F08"/>
    <w:rsid w:val="00E96EF0"/>
    <w:rsid w:val="00E971FC"/>
    <w:rsid w:val="00EA0586"/>
    <w:rsid w:val="00EA5637"/>
    <w:rsid w:val="00EB3041"/>
    <w:rsid w:val="00ED4432"/>
    <w:rsid w:val="00EE1457"/>
    <w:rsid w:val="00EE3E71"/>
    <w:rsid w:val="00EE7334"/>
    <w:rsid w:val="00EF4D43"/>
    <w:rsid w:val="00EF694E"/>
    <w:rsid w:val="00F05C84"/>
    <w:rsid w:val="00F12AEE"/>
    <w:rsid w:val="00F145B0"/>
    <w:rsid w:val="00F2531F"/>
    <w:rsid w:val="00F34CB2"/>
    <w:rsid w:val="00F356CE"/>
    <w:rsid w:val="00F3704A"/>
    <w:rsid w:val="00F41120"/>
    <w:rsid w:val="00F4169F"/>
    <w:rsid w:val="00F70D0D"/>
    <w:rsid w:val="00F74947"/>
    <w:rsid w:val="00F75BE7"/>
    <w:rsid w:val="00F772B0"/>
    <w:rsid w:val="00F81783"/>
    <w:rsid w:val="00F82142"/>
    <w:rsid w:val="00F85C65"/>
    <w:rsid w:val="00F93001"/>
    <w:rsid w:val="00F93412"/>
    <w:rsid w:val="00FA3676"/>
    <w:rsid w:val="00FA4409"/>
    <w:rsid w:val="00FB2D56"/>
    <w:rsid w:val="00FC510C"/>
    <w:rsid w:val="00FD0EDC"/>
    <w:rsid w:val="00FD6FA3"/>
    <w:rsid w:val="00FE155E"/>
    <w:rsid w:val="00FE322F"/>
    <w:rsid w:val="00FF1920"/>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aliases w:val="F1"/>
    <w:basedOn w:val="Normal"/>
    <w:link w:val="FootnoteTextChar"/>
    <w:unhideWhenUsed/>
    <w:rsid w:val="00A23469"/>
    <w:rPr>
      <w:rFonts w:ascii="Garamond" w:hAnsi="Garamond"/>
      <w:sz w:val="20"/>
      <w:szCs w:val="20"/>
    </w:rPr>
  </w:style>
  <w:style w:type="character" w:customStyle="1" w:styleId="FootnoteTextChar">
    <w:name w:val="Footnote Text Char"/>
    <w:aliases w:val="F1 Char"/>
    <w:link w:val="FootnoteText"/>
    <w:rsid w:val="00A23469"/>
    <w:rPr>
      <w:rFonts w:ascii="Garamond" w:hAnsi="Garamond"/>
    </w:rPr>
  </w:style>
  <w:style w:type="character" w:styleId="FootnoteReference">
    <w:name w:val="footnote reference"/>
    <w:uiPriority w:val="99"/>
    <w:semiHidden/>
    <w:unhideWhenUsed/>
    <w:rsid w:val="00A23469"/>
    <w:rPr>
      <w:vertAlign w:val="superscript"/>
    </w:rPr>
  </w:style>
  <w:style w:type="character" w:customStyle="1" w:styleId="FooterChar">
    <w:name w:val="Footer Char"/>
    <w:link w:val="Footer"/>
    <w:uiPriority w:val="99"/>
    <w:rsid w:val="00CE62F7"/>
    <w:rPr>
      <w:sz w:val="24"/>
      <w:szCs w:val="24"/>
    </w:rPr>
  </w:style>
  <w:style w:type="paragraph" w:customStyle="1" w:styleId="TH-TableHeading">
    <w:name w:val="TH-Table Heading"/>
    <w:basedOn w:val="Normal"/>
    <w:rsid w:val="000078CB"/>
    <w:pPr>
      <w:keepNext/>
      <w:keepLines/>
      <w:jc w:val="center"/>
    </w:pPr>
    <w:rPr>
      <w:b/>
      <w:szCs w:val="20"/>
    </w:rPr>
  </w:style>
  <w:style w:type="paragraph" w:customStyle="1" w:styleId="TX-TableText">
    <w:name w:val="TX-Table Text"/>
    <w:basedOn w:val="Normal"/>
    <w:rsid w:val="000078CB"/>
    <w:rPr>
      <w:szCs w:val="20"/>
    </w:rPr>
  </w:style>
  <w:style w:type="table" w:customStyle="1" w:styleId="TableWestatStandardFormat">
    <w:name w:val="Table Westat Standard Format"/>
    <w:basedOn w:val="TableNormal"/>
    <w:rsid w:val="00CF54D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UnresolvedMention1">
    <w:name w:val="Unresolved Mention1"/>
    <w:basedOn w:val="DefaultParagraphFont"/>
    <w:uiPriority w:val="99"/>
    <w:semiHidden/>
    <w:unhideWhenUsed/>
    <w:rsid w:val="003F074B"/>
    <w:rPr>
      <w:color w:val="605E5C"/>
      <w:shd w:val="clear" w:color="auto" w:fill="E1DFDD"/>
    </w:rPr>
  </w:style>
  <w:style w:type="table" w:styleId="TableGrid">
    <w:name w:val="Table Grid"/>
    <w:basedOn w:val="TableNormal"/>
    <w:uiPriority w:val="39"/>
    <w:rsid w:val="007002F0"/>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1B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73435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la.Mizrachi@fda.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mara.Johnson@fda.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dedge.com/rheumatology/article/118407/practice-management/acr-2015-workforce-study-fewer-rheumatologists-more" TargetMode="External"/><Relationship Id="rId2" Type="http://schemas.openxmlformats.org/officeDocument/2006/relationships/hyperlink" Target="https://www.kff.org/other/state-indicator/physicians-by-specialty-area/?dataView=1&amp;currentTimeframe=0&amp;selectedRows=%7B%22wrapups%22:%7B%22united-states%22:%7B%7D%7D%7D&amp;sortModel=%7B%22colId%22:%22All%20Other%20Specialties%22,%22sort%22:%22asc%22%7D" TargetMode="External"/><Relationship Id="rId1" Type="http://schemas.openxmlformats.org/officeDocument/2006/relationships/hyperlink" Target="http://www.physicianspractice.com/scheduling/improve-practice-work-flow-tackle-patient-schedu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5B6B407709ACB43827ED10AB1099EF4" ma:contentTypeVersion="0" ma:contentTypeDescription="Create a new document." ma:contentTypeScope="" ma:versionID="f324d96a2325b9664f82858eddeb4f77">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F7PUNQWEMNRS-261294672-324</_dlc_DocId>
    <_dlc_DocIdUrl xmlns="c593544c-8bc9-488a-9957-4d59a7b3d015">
      <Url>http://sharepoint.fda.gov/orgs/CDER-ODEIV/DPMH/_layouts/DocIdRedir.aspx?ID=F7PUNQWEMNRS-261294672-324</Url>
      <Description>F7PUNQWEMNRS-261294672-324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EFBBD-B93D-4F76-849F-101A9DA52E5A}">
  <ds:schemaRefs>
    <ds:schemaRef ds:uri="http://schemas.microsoft.com/sharepoint/v3/contenttype/forms"/>
  </ds:schemaRefs>
</ds:datastoreItem>
</file>

<file path=customXml/itemProps2.xml><?xml version="1.0" encoding="utf-8"?>
<ds:datastoreItem xmlns:ds="http://schemas.openxmlformats.org/officeDocument/2006/customXml" ds:itemID="{ED8AA4A9-FCD6-4AE2-A687-FF51FCAADEFF}">
  <ds:schemaRefs>
    <ds:schemaRef ds:uri="http://schemas.microsoft.com/sharepoint/events"/>
  </ds:schemaRefs>
</ds:datastoreItem>
</file>

<file path=customXml/itemProps3.xml><?xml version="1.0" encoding="utf-8"?>
<ds:datastoreItem xmlns:ds="http://schemas.openxmlformats.org/officeDocument/2006/customXml" ds:itemID="{4CBD6416-CC8A-4121-86F7-BCE308D58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05828-A7FA-4645-9719-95CF58D93A2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c593544c-8bc9-488a-9957-4d59a7b3d01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AF1282F-C18F-4C3C-A911-B10963B0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3525</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23552</CharactersWithSpaces>
  <SharedDoc>false</SharedDoc>
  <HLinks>
    <vt:vector size="18" baseType="variant">
      <vt:variant>
        <vt:i4>852017</vt:i4>
      </vt:variant>
      <vt:variant>
        <vt:i4>3</vt:i4>
      </vt:variant>
      <vt:variant>
        <vt:i4>0</vt:i4>
      </vt:variant>
      <vt:variant>
        <vt:i4>5</vt:i4>
      </vt:variant>
      <vt:variant>
        <vt:lpwstr>mailto:Linda.Verrill@fda.hhs.gov</vt:lpwstr>
      </vt:variant>
      <vt:variant>
        <vt:lpwstr/>
      </vt:variant>
      <vt:variant>
        <vt:i4>5701730</vt:i4>
      </vt:variant>
      <vt:variant>
        <vt:i4>0</vt:i4>
      </vt:variant>
      <vt:variant>
        <vt:i4>0</vt:i4>
      </vt:variant>
      <vt:variant>
        <vt:i4>5</vt:i4>
      </vt:variant>
      <vt:variant>
        <vt:lpwstr>mailto:Ila.Mizrachi@fda.hhs.gov</vt:lpwstr>
      </vt:variant>
      <vt:variant>
        <vt:lpwstr/>
      </vt:variant>
      <vt:variant>
        <vt:i4>5046343</vt:i4>
      </vt:variant>
      <vt:variant>
        <vt:i4>0</vt:i4>
      </vt:variant>
      <vt:variant>
        <vt:i4>0</vt:i4>
      </vt:variant>
      <vt:variant>
        <vt:i4>5</vt:i4>
      </vt:variant>
      <vt:variant>
        <vt:lpwstr>https://www.census.gov/hhes/commuting/files/JSM_Proceedings_paper.pdf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2020-04-07T22:19:00Z</dcterms:created>
  <dcterms:modified xsi:type="dcterms:W3CDTF">2020-04-07T22:19:00Z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0x010100C5B6B407709ACB43827ED10AB1099EF4</vt:lpwstr>
  </property>
  <property fmtid="{D5CDD505-2E9C-101B-9397-08002B2CF9AE}" pid="3" name="_dlc_DocIdItemGuid">
    <vt:lpwstr>6da9fa80-3f41-4dce-94c1-c1b10ae4b8e4</vt:lpwstr>
  </property>
</Properties>
</file>