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FE9DF" w14:textId="3C819E84" w:rsidR="003F1C7A" w:rsidRPr="00C30A9C" w:rsidRDefault="00364051" w:rsidP="00243BAE">
      <w:pPr>
        <w:pStyle w:val="Heading2"/>
        <w:tabs>
          <w:tab w:val="left" w:pos="900"/>
        </w:tabs>
        <w:ind w:right="-180"/>
        <w:rPr>
          <w:sz w:val="28"/>
        </w:rPr>
      </w:pPr>
      <w:bookmarkStart w:id="0" w:name="_GoBack"/>
      <w:bookmarkEnd w:id="0"/>
      <w:r w:rsidRPr="00C30A9C">
        <w:rPr>
          <w:sz w:val="28"/>
        </w:rPr>
        <w:t>FDA</w:t>
      </w:r>
      <w:r w:rsidR="00243BAE" w:rsidRPr="00C30A9C">
        <w:rPr>
          <w:sz w:val="28"/>
        </w:rPr>
        <w:t xml:space="preserve"> </w:t>
      </w:r>
      <w:r w:rsidR="003F1C7A" w:rsidRPr="00C30A9C">
        <w:rPr>
          <w:sz w:val="28"/>
        </w:rPr>
        <w:t>DOCUMENTATION FOR THE GENERIC CLEARANCE</w:t>
      </w:r>
    </w:p>
    <w:p w14:paraId="01DBED14" w14:textId="77777777" w:rsidR="003F1C7A" w:rsidRPr="00C30A9C" w:rsidRDefault="003F1C7A">
      <w:pPr>
        <w:jc w:val="center"/>
      </w:pPr>
      <w:r w:rsidRPr="00C30A9C">
        <w:rPr>
          <w:b/>
          <w:sz w:val="28"/>
        </w:rPr>
        <w:t xml:space="preserve">OF </w:t>
      </w:r>
      <w:r w:rsidR="00F12AEE" w:rsidRPr="00C30A9C">
        <w:rPr>
          <w:b/>
          <w:sz w:val="28"/>
        </w:rPr>
        <w:t>FOCUS GROUPS</w:t>
      </w:r>
      <w:r w:rsidR="000F2F28" w:rsidRPr="00C30A9C">
        <w:rPr>
          <w:b/>
          <w:sz w:val="28"/>
        </w:rPr>
        <w:t xml:space="preserve"> (0910-0497)</w:t>
      </w:r>
    </w:p>
    <w:p w14:paraId="6D22BC4E" w14:textId="77777777" w:rsidR="003F1C7A" w:rsidRPr="00C30A9C" w:rsidRDefault="004910F4">
      <w:r w:rsidRPr="00C30A9C">
        <w:rPr>
          <w:noProof/>
          <w:sz w:val="18"/>
          <w:szCs w:val="18"/>
        </w:rPr>
        <mc:AlternateContent>
          <mc:Choice Requires="wps">
            <w:drawing>
              <wp:anchor distT="0" distB="0" distL="114300" distR="114300" simplePos="0" relativeHeight="251658240" behindDoc="0" locked="0" layoutInCell="1" allowOverlap="1" wp14:anchorId="26841BDC" wp14:editId="352D7FDE">
                <wp:simplePos x="0" y="0"/>
                <wp:positionH relativeFrom="column">
                  <wp:posOffset>-114300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F9D8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8pt" to="459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" strokeweight="1.5pt"/>
            </w:pict>
          </mc:Fallback>
        </mc:AlternateContent>
      </w:r>
    </w:p>
    <w:p w14:paraId="689EE456" w14:textId="305FF116" w:rsidR="003F1C7A" w:rsidRPr="00C30A9C" w:rsidRDefault="009404FA">
      <w:pPr>
        <w:rPr>
          <w:sz w:val="20"/>
          <w:szCs w:val="20"/>
        </w:rPr>
      </w:pPr>
      <w:r w:rsidRPr="00C30A9C">
        <w:rPr>
          <w:sz w:val="20"/>
          <w:szCs w:val="20"/>
        </w:rPr>
        <w:t xml:space="preserve">Focus groups do not yield quantitative findings.  They can provide public input, but they do not yield data about public opinion that can be </w:t>
      </w:r>
      <w:r w:rsidR="00F40866" w:rsidRPr="00C30A9C">
        <w:rPr>
          <w:sz w:val="20"/>
          <w:szCs w:val="20"/>
        </w:rPr>
        <w:t xml:space="preserve">statistically </w:t>
      </w:r>
      <w:r w:rsidRPr="00C30A9C">
        <w:rPr>
          <w:sz w:val="20"/>
          <w:szCs w:val="20"/>
        </w:rPr>
        <w:t xml:space="preserve">generalized.  As such, they cannot be used to drive the development of policies, programs, and services.  Policy makers and educators can use focus groups findings to test and refine their </w:t>
      </w:r>
      <w:r w:rsidR="00282871" w:rsidRPr="00C30A9C">
        <w:rPr>
          <w:sz w:val="20"/>
          <w:szCs w:val="20"/>
        </w:rPr>
        <w:t>ideas but</w:t>
      </w:r>
      <w:r w:rsidRPr="00C30A9C">
        <w:rPr>
          <w:sz w:val="20"/>
          <w:szCs w:val="20"/>
        </w:rPr>
        <w:t xml:space="preserve"> should then conduct further research before making important decisions such as adopting new policies and allocating or redirecting significant resources to support these policies.</w:t>
      </w:r>
    </w:p>
    <w:p w14:paraId="32AAACA8" w14:textId="06F52F42" w:rsidR="003F1C7A" w:rsidRPr="00C30A9C" w:rsidRDefault="003F1C7A" w:rsidP="005E23BA">
      <w:pPr>
        <w:spacing w:before="120"/>
      </w:pPr>
      <w:r w:rsidRPr="00C30A9C">
        <w:rPr>
          <w:b/>
        </w:rPr>
        <w:t>TITLE OF INFORMATION COLLECTION:</w:t>
      </w:r>
      <w:r w:rsidRPr="00C30A9C">
        <w:t xml:space="preserve">  </w:t>
      </w:r>
      <w:r w:rsidR="00E62E33" w:rsidRPr="00C30A9C">
        <w:t xml:space="preserve">Healthy </w:t>
      </w:r>
      <w:r w:rsidR="005C13BE" w:rsidRPr="00C30A9C">
        <w:t>Icon (Symbol)</w:t>
      </w:r>
      <w:r w:rsidR="00E62E33" w:rsidRPr="00C30A9C">
        <w:t xml:space="preserve"> Focus Groups</w:t>
      </w:r>
      <w:r w:rsidR="004A1115" w:rsidRPr="00C30A9C">
        <w:t xml:space="preserve"> – Phase </w:t>
      </w:r>
      <w:r w:rsidR="00F10195">
        <w:t xml:space="preserve"> </w:t>
      </w:r>
      <w:r w:rsidR="004A1115" w:rsidRPr="00C30A9C">
        <w:t>I</w:t>
      </w:r>
      <w:r w:rsidR="00B956CF" w:rsidRPr="00C30A9C">
        <w:t>I</w:t>
      </w:r>
      <w:r w:rsidR="00A7415A" w:rsidRPr="00C30A9C">
        <w:t>I</w:t>
      </w:r>
      <w:r w:rsidR="00F10195">
        <w:t xml:space="preserve">           </w:t>
      </w:r>
    </w:p>
    <w:p w14:paraId="3FDF10F9" w14:textId="3BDC0BCE" w:rsidR="00290BA3" w:rsidRPr="00C30A9C" w:rsidRDefault="00290BA3" w:rsidP="00B956CF"/>
    <w:p w14:paraId="37C02F21" w14:textId="77777777" w:rsidR="003F1C7A" w:rsidRPr="00C30A9C" w:rsidRDefault="003F1C7A">
      <w:pPr>
        <w:spacing w:after="120"/>
      </w:pPr>
      <w:r w:rsidRPr="00C30A9C">
        <w:rPr>
          <w:b/>
        </w:rPr>
        <w:t>DESCRIPTION OF THIS SPECIFIC COLLECTION</w:t>
      </w:r>
      <w:r w:rsidRPr="00C30A9C">
        <w:t xml:space="preserve"> </w:t>
      </w:r>
    </w:p>
    <w:p w14:paraId="62DCC3A0" w14:textId="77777777" w:rsidR="003F1C7A" w:rsidRPr="00C30A9C" w:rsidRDefault="0049419A" w:rsidP="00F12AEE">
      <w:pPr>
        <w:numPr>
          <w:ilvl w:val="0"/>
          <w:numId w:val="15"/>
        </w:numPr>
        <w:tabs>
          <w:tab w:val="clear" w:pos="1296"/>
          <w:tab w:val="num" w:pos="720"/>
        </w:tabs>
        <w:ind w:left="360" w:firstLine="0"/>
      </w:pPr>
      <w:r w:rsidRPr="1A5B9B38">
        <w:rPr>
          <w:b/>
          <w:bCs/>
        </w:rPr>
        <w:t>Statement of n</w:t>
      </w:r>
      <w:r w:rsidR="00F12AEE" w:rsidRPr="1A5B9B38">
        <w:rPr>
          <w:b/>
          <w:bCs/>
        </w:rPr>
        <w:t>eed</w:t>
      </w:r>
      <w:r w:rsidR="003F1C7A" w:rsidRPr="1A5B9B38">
        <w:rPr>
          <w:b/>
          <w:bCs/>
        </w:rPr>
        <w:t>:</w:t>
      </w:r>
      <w:r w:rsidR="003F1C7A">
        <w:t xml:space="preserve">  </w:t>
      </w:r>
    </w:p>
    <w:p w14:paraId="1DA66EB8" w14:textId="77777777" w:rsidR="004122E8" w:rsidRPr="00C30A9C" w:rsidRDefault="004122E8" w:rsidP="001F4357">
      <w:pPr>
        <w:ind w:left="720"/>
      </w:pPr>
    </w:p>
    <w:p w14:paraId="7A22FC97" w14:textId="0DD384D4" w:rsidR="001F4357" w:rsidRPr="00C30A9C" w:rsidRDefault="00787E77" w:rsidP="001F4357">
      <w:pPr>
        <w:ind w:left="720"/>
      </w:pPr>
      <w:r w:rsidRPr="00C30A9C">
        <w:t>The Food and Drug Administration (FDA), Center for Food Safety and Applied Nutrition (CFSAN), Office of Analytics and Outreach is seeking OMB approval under the generic clearance 0910-0497 for the focus group project, “</w:t>
      </w:r>
      <w:r w:rsidR="00E62E33" w:rsidRPr="00C30A9C">
        <w:t xml:space="preserve">Healthy Icon </w:t>
      </w:r>
      <w:r w:rsidR="005C13BE" w:rsidRPr="00C30A9C">
        <w:t xml:space="preserve">(Symbol) </w:t>
      </w:r>
      <w:r w:rsidR="00E62E33" w:rsidRPr="00C30A9C">
        <w:t>Focus Groups</w:t>
      </w:r>
      <w:r w:rsidR="004A1115" w:rsidRPr="00C30A9C">
        <w:t xml:space="preserve"> - Phase </w:t>
      </w:r>
      <w:r w:rsidR="005B75C9" w:rsidRPr="00C30A9C">
        <w:t>II</w:t>
      </w:r>
      <w:r w:rsidR="00A7415A" w:rsidRPr="00C30A9C">
        <w:t>I</w:t>
      </w:r>
      <w:r w:rsidR="00E62E33" w:rsidRPr="00C30A9C">
        <w:t>.</w:t>
      </w:r>
      <w:r w:rsidRPr="00C30A9C">
        <w:t xml:space="preserve">” </w:t>
      </w:r>
    </w:p>
    <w:p w14:paraId="7CC3F435" w14:textId="77777777" w:rsidR="001F4357" w:rsidRPr="00C30A9C" w:rsidRDefault="001F4357" w:rsidP="001F4357">
      <w:pPr>
        <w:ind w:left="720"/>
      </w:pPr>
    </w:p>
    <w:p w14:paraId="5D82737A" w14:textId="006B64F2" w:rsidR="001F4357" w:rsidRPr="00C30A9C" w:rsidRDefault="008C1492" w:rsidP="00040ADC">
      <w:pPr>
        <w:ind w:left="720"/>
      </w:pPr>
      <w:r w:rsidRPr="00C30A9C">
        <w:t xml:space="preserve">On </w:t>
      </w:r>
      <w:r w:rsidR="001F4357" w:rsidRPr="00C30A9C">
        <w:t>January</w:t>
      </w:r>
      <w:r w:rsidR="004122E8" w:rsidRPr="00C30A9C">
        <w:t xml:space="preserve"> 11,</w:t>
      </w:r>
      <w:r w:rsidR="001F4357" w:rsidRPr="00C30A9C">
        <w:t xml:space="preserve"> 2018, the FDA issued a Strategic Policy Roadmap</w:t>
      </w:r>
      <w:r w:rsidR="00361F80" w:rsidRPr="00C30A9C">
        <w:rPr>
          <w:rStyle w:val="FootnoteReference"/>
        </w:rPr>
        <w:footnoteReference w:id="2"/>
      </w:r>
      <w:r w:rsidR="001F4357" w:rsidRPr="00C30A9C">
        <w:t xml:space="preserve"> outlining key priorities the agency intended to pursue to advance its public health mission. </w:t>
      </w:r>
      <w:r w:rsidR="000F6D02" w:rsidRPr="00C30A9C">
        <w:t xml:space="preserve"> </w:t>
      </w:r>
      <w:r w:rsidR="001F4357" w:rsidRPr="00C30A9C">
        <w:t>As part of the Roadmap, the FDA outlined a Nutrition Action Plan aimed at reducing preventable death and disease caused by poor nutrition by ensuring that consumers have access to accurate, useful information to make healthy food choices.</w:t>
      </w:r>
      <w:r w:rsidR="000F6D02" w:rsidRPr="00C30A9C">
        <w:t xml:space="preserve"> </w:t>
      </w:r>
      <w:r w:rsidR="001F4357" w:rsidRPr="00C30A9C">
        <w:t xml:space="preserve"> One of the steps under this Action Plan involves leveraging dietary information to reduce the burden of disease through nutrition and encouraging the development of more healthful food options. </w:t>
      </w:r>
      <w:r w:rsidR="00040ADC" w:rsidRPr="00C30A9C">
        <w:t xml:space="preserve"> As one of the methods for achieving this step of the </w:t>
      </w:r>
      <w:r w:rsidR="001F4357" w:rsidRPr="00C30A9C">
        <w:t xml:space="preserve">Action Plan, the FDA is </w:t>
      </w:r>
      <w:r w:rsidR="00E24D4D" w:rsidRPr="00C30A9C">
        <w:t xml:space="preserve">exploring the </w:t>
      </w:r>
      <w:r w:rsidR="001F4357" w:rsidRPr="00C30A9C">
        <w:t>develop</w:t>
      </w:r>
      <w:r w:rsidR="00E24D4D" w:rsidRPr="00C30A9C">
        <w:t>ment of</w:t>
      </w:r>
      <w:r w:rsidR="001F4357" w:rsidRPr="00C30A9C">
        <w:t xml:space="preserve"> a graphic symbol to help consumers identify packaged food products that would meet an FDA definition for “healthy.” </w:t>
      </w:r>
      <w:r w:rsidR="000F6D02" w:rsidRPr="00C30A9C">
        <w:t xml:space="preserve"> </w:t>
      </w:r>
      <w:r w:rsidR="001F4357" w:rsidRPr="00C30A9C">
        <w:t xml:space="preserve">The symbol would be voluntary, allowing packaged food companies to place it on their products if the products meet the FDA definition of “healthy.” </w:t>
      </w:r>
    </w:p>
    <w:p w14:paraId="1F64F1AB" w14:textId="27E80E05" w:rsidR="001F4357" w:rsidRPr="00C30A9C" w:rsidRDefault="001F4357" w:rsidP="001F4357">
      <w:pPr>
        <w:ind w:left="720"/>
      </w:pPr>
    </w:p>
    <w:p w14:paraId="04BD3732" w14:textId="33EAE024" w:rsidR="005B75C9" w:rsidRPr="00C30A9C" w:rsidRDefault="005B75C9" w:rsidP="001F4357">
      <w:pPr>
        <w:ind w:left="720"/>
      </w:pPr>
      <w:r w:rsidRPr="00C30A9C">
        <w:t xml:space="preserve">On April 4, 2019, OMB approved without change, Phase I of this focus group project (ICR Reference Number 201707-0910-018). In the Phase I request, FDA described the extant literature on front-of-pack </w:t>
      </w:r>
      <w:r w:rsidR="004122E8" w:rsidRPr="00C30A9C">
        <w:t>(F</w:t>
      </w:r>
      <w:r w:rsidR="000600F4" w:rsidRPr="00C30A9C">
        <w:t>O</w:t>
      </w:r>
      <w:r w:rsidR="004122E8" w:rsidRPr="00C30A9C">
        <w:t xml:space="preserve">P) </w:t>
      </w:r>
      <w:r w:rsidRPr="00C30A9C">
        <w:t>icons</w:t>
      </w:r>
      <w:r w:rsidR="005C13BE" w:rsidRPr="00C30A9C">
        <w:t xml:space="preserve"> (hereafter called symbols)</w:t>
      </w:r>
      <w:r w:rsidRPr="00C30A9C">
        <w:t xml:space="preserve"> and its own systematic literature review, from which the Phase I focus groups were developed. </w:t>
      </w:r>
    </w:p>
    <w:p w14:paraId="629650A3" w14:textId="5294BBE8" w:rsidR="005B75C9" w:rsidRPr="00C30A9C" w:rsidRDefault="005B75C9" w:rsidP="00066485"/>
    <w:p w14:paraId="208F0E1A" w14:textId="2D84931E" w:rsidR="005B75C9" w:rsidRPr="00C30A9C" w:rsidRDefault="005B75C9" w:rsidP="005B75C9">
      <w:pPr>
        <w:ind w:firstLine="720"/>
      </w:pPr>
      <w:r w:rsidRPr="00C30A9C">
        <w:t>The global</w:t>
      </w:r>
      <w:r w:rsidR="00245748" w:rsidRPr="00C30A9C">
        <w:t xml:space="preserve"> literature</w:t>
      </w:r>
      <w:r w:rsidRPr="00C30A9C">
        <w:t xml:space="preserve"> take-aways</w:t>
      </w:r>
      <w:r w:rsidR="00245748" w:rsidRPr="00C30A9C">
        <w:t xml:space="preserve"> are</w:t>
      </w:r>
      <w:r w:rsidRPr="00C30A9C">
        <w:t>:</w:t>
      </w:r>
    </w:p>
    <w:p w14:paraId="520CA42A" w14:textId="77777777" w:rsidR="00EB3878" w:rsidRPr="00C30A9C" w:rsidRDefault="00EB3878" w:rsidP="005B75C9">
      <w:pPr>
        <w:ind w:firstLine="720"/>
      </w:pPr>
    </w:p>
    <w:p w14:paraId="2B1CC0AE" w14:textId="5DD3BB02" w:rsidR="005B75C9" w:rsidRPr="00C30A9C" w:rsidRDefault="005B75C9" w:rsidP="005B75C9">
      <w:pPr>
        <w:pStyle w:val="CommentText"/>
        <w:numPr>
          <w:ilvl w:val="0"/>
          <w:numId w:val="22"/>
        </w:numPr>
        <w:spacing w:after="0" w:line="240" w:lineRule="auto"/>
        <w:ind w:left="1440"/>
        <w:rPr>
          <w:rFonts w:ascii="Times New Roman" w:hAnsi="Times New Roman"/>
          <w:sz w:val="24"/>
          <w:szCs w:val="24"/>
        </w:rPr>
      </w:pPr>
      <w:r w:rsidRPr="59C4E069">
        <w:rPr>
          <w:rFonts w:ascii="Times New Roman" w:hAnsi="Times New Roman"/>
          <w:sz w:val="24"/>
          <w:szCs w:val="24"/>
        </w:rPr>
        <w:t>A</w:t>
      </w:r>
      <w:r w:rsidR="4F07B297" w:rsidRPr="59C4E069">
        <w:rPr>
          <w:rFonts w:ascii="Times New Roman" w:hAnsi="Times New Roman"/>
          <w:sz w:val="24"/>
          <w:szCs w:val="24"/>
        </w:rPr>
        <w:t>n</w:t>
      </w:r>
      <w:r w:rsidRPr="59C4E069">
        <w:rPr>
          <w:rFonts w:ascii="Times New Roman" w:hAnsi="Times New Roman"/>
          <w:sz w:val="24"/>
          <w:szCs w:val="24"/>
        </w:rPr>
        <w:t xml:space="preserve"> FOP rating system or symbol can help consumers identify and select healthy foods;</w:t>
      </w:r>
    </w:p>
    <w:p w14:paraId="0918A6C2" w14:textId="77777777" w:rsidR="005B75C9" w:rsidRPr="00C30A9C" w:rsidRDefault="005B75C9" w:rsidP="005B75C9">
      <w:pPr>
        <w:pStyle w:val="CommentText"/>
        <w:numPr>
          <w:ilvl w:val="0"/>
          <w:numId w:val="22"/>
        </w:numPr>
        <w:spacing w:after="0" w:line="240" w:lineRule="auto"/>
        <w:ind w:left="1440"/>
        <w:rPr>
          <w:rFonts w:ascii="Times New Roman" w:hAnsi="Times New Roman"/>
          <w:sz w:val="24"/>
          <w:szCs w:val="24"/>
        </w:rPr>
      </w:pPr>
      <w:r w:rsidRPr="00C30A9C">
        <w:rPr>
          <w:rFonts w:ascii="Times New Roman" w:hAnsi="Times New Roman"/>
          <w:bCs/>
          <w:sz w:val="24"/>
          <w:szCs w:val="24"/>
        </w:rPr>
        <w:t>Consumers generally prefer simple labels (such as the ones using a summary system);</w:t>
      </w:r>
    </w:p>
    <w:p w14:paraId="11C22843" w14:textId="5695E746" w:rsidR="005B75C9" w:rsidRPr="00C30A9C" w:rsidRDefault="005B75C9" w:rsidP="005B75C9">
      <w:pPr>
        <w:pStyle w:val="CommentText"/>
        <w:numPr>
          <w:ilvl w:val="0"/>
          <w:numId w:val="22"/>
        </w:numPr>
        <w:spacing w:after="0" w:line="240" w:lineRule="auto"/>
        <w:ind w:left="1440"/>
        <w:rPr>
          <w:rFonts w:ascii="Times New Roman" w:hAnsi="Times New Roman"/>
          <w:sz w:val="24"/>
          <w:szCs w:val="24"/>
        </w:rPr>
      </w:pPr>
      <w:r w:rsidRPr="00C30A9C">
        <w:rPr>
          <w:rFonts w:ascii="Times New Roman" w:hAnsi="Times New Roman"/>
          <w:bCs/>
          <w:sz w:val="24"/>
          <w:szCs w:val="24"/>
        </w:rPr>
        <w:lastRenderedPageBreak/>
        <w:t>There is limited research on</w:t>
      </w:r>
      <w:r w:rsidR="004122E8" w:rsidRPr="00C30A9C">
        <w:rPr>
          <w:rFonts w:ascii="Times New Roman" w:hAnsi="Times New Roman"/>
          <w:bCs/>
          <w:sz w:val="24"/>
          <w:szCs w:val="24"/>
        </w:rPr>
        <w:t>:</w:t>
      </w:r>
      <w:r w:rsidRPr="00C30A9C">
        <w:rPr>
          <w:rFonts w:ascii="Times New Roman" w:hAnsi="Times New Roman"/>
          <w:bCs/>
          <w:sz w:val="24"/>
          <w:szCs w:val="24"/>
        </w:rPr>
        <w:t xml:space="preserve"> </w:t>
      </w:r>
      <w:r w:rsidR="004122E8" w:rsidRPr="00C30A9C">
        <w:rPr>
          <w:rFonts w:ascii="Times New Roman" w:hAnsi="Times New Roman"/>
          <w:bCs/>
          <w:sz w:val="24"/>
          <w:szCs w:val="24"/>
        </w:rPr>
        <w:t>(</w:t>
      </w:r>
      <w:r w:rsidRPr="00C30A9C">
        <w:rPr>
          <w:rFonts w:ascii="Times New Roman" w:hAnsi="Times New Roman"/>
          <w:bCs/>
          <w:sz w:val="24"/>
          <w:szCs w:val="24"/>
        </w:rPr>
        <w:t>1) which type of summary system works best and</w:t>
      </w:r>
      <w:r w:rsidR="004122E8" w:rsidRPr="00C30A9C">
        <w:rPr>
          <w:rFonts w:ascii="Times New Roman" w:hAnsi="Times New Roman"/>
          <w:bCs/>
          <w:sz w:val="24"/>
          <w:szCs w:val="24"/>
        </w:rPr>
        <w:t>;</w:t>
      </w:r>
      <w:r w:rsidRPr="00C30A9C">
        <w:rPr>
          <w:rFonts w:ascii="Times New Roman" w:hAnsi="Times New Roman"/>
          <w:bCs/>
          <w:sz w:val="24"/>
          <w:szCs w:val="24"/>
        </w:rPr>
        <w:t xml:space="preserve"> </w:t>
      </w:r>
      <w:r w:rsidR="004122E8" w:rsidRPr="00C30A9C">
        <w:rPr>
          <w:rFonts w:ascii="Times New Roman" w:hAnsi="Times New Roman"/>
          <w:bCs/>
          <w:sz w:val="24"/>
          <w:szCs w:val="24"/>
        </w:rPr>
        <w:t>(</w:t>
      </w:r>
      <w:r w:rsidRPr="00C30A9C">
        <w:rPr>
          <w:rFonts w:ascii="Times New Roman" w:hAnsi="Times New Roman"/>
          <w:bCs/>
          <w:sz w:val="24"/>
          <w:szCs w:val="24"/>
        </w:rPr>
        <w:t>2) whether consumers’ use of summary systems result in healthier diets</w:t>
      </w:r>
      <w:r w:rsidR="004122E8" w:rsidRPr="00C30A9C">
        <w:rPr>
          <w:rFonts w:ascii="Times New Roman" w:hAnsi="Times New Roman"/>
          <w:bCs/>
          <w:sz w:val="24"/>
          <w:szCs w:val="24"/>
        </w:rPr>
        <w:t>;</w:t>
      </w:r>
    </w:p>
    <w:p w14:paraId="608F4643" w14:textId="67F6BA76" w:rsidR="005B75C9" w:rsidRPr="00C30A9C" w:rsidRDefault="005B75C9" w:rsidP="005B75C9">
      <w:pPr>
        <w:pStyle w:val="CommentText"/>
        <w:numPr>
          <w:ilvl w:val="0"/>
          <w:numId w:val="22"/>
        </w:numPr>
        <w:spacing w:after="0" w:line="240" w:lineRule="auto"/>
        <w:ind w:left="1440"/>
        <w:rPr>
          <w:rFonts w:ascii="Times New Roman" w:hAnsi="Times New Roman"/>
          <w:sz w:val="24"/>
          <w:szCs w:val="24"/>
        </w:rPr>
      </w:pPr>
      <w:r w:rsidRPr="59C4E069">
        <w:rPr>
          <w:rFonts w:ascii="Times New Roman" w:hAnsi="Times New Roman"/>
          <w:sz w:val="24"/>
          <w:szCs w:val="24"/>
        </w:rPr>
        <w:t xml:space="preserve">Some manufacturers have reformulated products following the implementation of FOP nutrition symbols; there is some evidence of increased sales of products bearing </w:t>
      </w:r>
      <w:r w:rsidR="001D1A91" w:rsidRPr="59C4E069">
        <w:rPr>
          <w:rFonts w:ascii="Times New Roman" w:hAnsi="Times New Roman"/>
          <w:sz w:val="24"/>
          <w:szCs w:val="24"/>
        </w:rPr>
        <w:t>a</w:t>
      </w:r>
      <w:r w:rsidR="001D1A91">
        <w:rPr>
          <w:rFonts w:ascii="Times New Roman" w:hAnsi="Times New Roman"/>
          <w:sz w:val="24"/>
          <w:szCs w:val="24"/>
        </w:rPr>
        <w:t>n</w:t>
      </w:r>
      <w:r w:rsidR="6BC033B8" w:rsidRPr="59C4E069">
        <w:rPr>
          <w:rFonts w:ascii="Times New Roman" w:hAnsi="Times New Roman"/>
          <w:sz w:val="24"/>
          <w:szCs w:val="24"/>
        </w:rPr>
        <w:t xml:space="preserve"> </w:t>
      </w:r>
      <w:r w:rsidRPr="59C4E069">
        <w:rPr>
          <w:rFonts w:ascii="Times New Roman" w:hAnsi="Times New Roman"/>
          <w:sz w:val="24"/>
          <w:szCs w:val="24"/>
        </w:rPr>
        <w:t>FOP symbol</w:t>
      </w:r>
      <w:r w:rsidR="004122E8" w:rsidRPr="59C4E069">
        <w:rPr>
          <w:rFonts w:ascii="Times New Roman" w:hAnsi="Times New Roman"/>
          <w:sz w:val="24"/>
          <w:szCs w:val="24"/>
        </w:rPr>
        <w:t>; and</w:t>
      </w:r>
    </w:p>
    <w:p w14:paraId="738773D2" w14:textId="77777777" w:rsidR="005B75C9" w:rsidRPr="00C30A9C" w:rsidRDefault="005B75C9" w:rsidP="005B75C9">
      <w:pPr>
        <w:pStyle w:val="CommentText"/>
        <w:numPr>
          <w:ilvl w:val="0"/>
          <w:numId w:val="22"/>
        </w:numPr>
        <w:spacing w:after="0" w:line="240" w:lineRule="auto"/>
        <w:ind w:left="1440"/>
        <w:rPr>
          <w:rFonts w:ascii="Times New Roman" w:hAnsi="Times New Roman"/>
          <w:sz w:val="24"/>
          <w:szCs w:val="24"/>
        </w:rPr>
      </w:pPr>
      <w:r w:rsidRPr="00C30A9C">
        <w:rPr>
          <w:rFonts w:ascii="Times New Roman" w:hAnsi="Times New Roman"/>
          <w:bCs/>
          <w:sz w:val="24"/>
          <w:szCs w:val="24"/>
        </w:rPr>
        <w:t>Institutional endorsement of logos may be related to greater confidence in the label.</w:t>
      </w:r>
    </w:p>
    <w:p w14:paraId="40081103" w14:textId="4553EE34" w:rsidR="005B75C9" w:rsidRPr="00C30A9C" w:rsidRDefault="005B75C9" w:rsidP="00481C9B"/>
    <w:p w14:paraId="3FE62751" w14:textId="41010394" w:rsidR="009267A7" w:rsidRPr="00C30A9C" w:rsidRDefault="009267A7" w:rsidP="009267A7">
      <w:pPr>
        <w:ind w:left="720"/>
        <w:rPr>
          <w:u w:val="single"/>
        </w:rPr>
      </w:pPr>
      <w:r w:rsidRPr="00C30A9C">
        <w:rPr>
          <w:u w:val="single"/>
        </w:rPr>
        <w:t>Phase I Focus Group</w:t>
      </w:r>
      <w:r w:rsidR="00E143B2" w:rsidRPr="00C30A9C">
        <w:rPr>
          <w:u w:val="single"/>
        </w:rPr>
        <w:t xml:space="preserve"> </w:t>
      </w:r>
      <w:r w:rsidRPr="00C30A9C">
        <w:rPr>
          <w:u w:val="single"/>
        </w:rPr>
        <w:t>Results</w:t>
      </w:r>
    </w:p>
    <w:p w14:paraId="59F61654" w14:textId="50C37B64" w:rsidR="009267A7" w:rsidRPr="00C30A9C" w:rsidRDefault="009267A7" w:rsidP="00481C9B"/>
    <w:p w14:paraId="19A30AA3" w14:textId="256F9644" w:rsidR="00E143B2" w:rsidRPr="00C30A9C" w:rsidRDefault="00E143B2" w:rsidP="00E143B2">
      <w:pPr>
        <w:pStyle w:val="ListParagraph"/>
      </w:pPr>
      <w:r w:rsidRPr="00C30A9C">
        <w:t xml:space="preserve">The FDA/CFSAN Graphics Department had developed some “healthy” symbols for testing in the Phase I focus groups. The intention was to get participant feedback on thematic and stylistic differences. Themes included testing a graphic inspired by the Nutrition Facts Label, graphics that were circular and square, one inspired by the UDSA organic </w:t>
      </w:r>
      <w:r w:rsidR="005C13BE" w:rsidRPr="00C30A9C">
        <w:t>seal</w:t>
      </w:r>
      <w:r w:rsidRPr="00C30A9C">
        <w:t>, and others inspired by the MyPlate symbol. Each of these themes had four styles: “</w:t>
      </w:r>
      <w:r w:rsidR="009A5DA0" w:rsidRPr="00C30A9C">
        <w:t>Healthy</w:t>
      </w:r>
      <w:r w:rsidRPr="00C30A9C">
        <w:t xml:space="preserve">” alone on the </w:t>
      </w:r>
      <w:r w:rsidR="00C64F6E" w:rsidRPr="00C30A9C">
        <w:t>symbol</w:t>
      </w:r>
      <w:r w:rsidRPr="00C30A9C">
        <w:t>, including “FDA</w:t>
      </w:r>
      <w:r w:rsidR="006D0ADD">
        <w:t>;</w:t>
      </w:r>
      <w:r w:rsidRPr="00C30A9C">
        <w:t>” an explanation for why the product is deemed healthy</w:t>
      </w:r>
      <w:r w:rsidR="006D0ADD">
        <w:t>;</w:t>
      </w:r>
      <w:r w:rsidRPr="00C30A9C">
        <w:t xml:space="preserve"> and a version showing the food groups that might render the product “healthy</w:t>
      </w:r>
      <w:r w:rsidR="006D0ADD">
        <w:t>”</w:t>
      </w:r>
      <w:r w:rsidRPr="00C30A9C">
        <w:t xml:space="preserve"> by FDA standards.</w:t>
      </w:r>
    </w:p>
    <w:p w14:paraId="528C1790" w14:textId="77777777" w:rsidR="00E143B2" w:rsidRPr="00C30A9C" w:rsidRDefault="00E143B2" w:rsidP="00E143B2">
      <w:pPr>
        <w:pStyle w:val="ListParagraph"/>
      </w:pPr>
    </w:p>
    <w:p w14:paraId="7661943A" w14:textId="3DC6AAC3" w:rsidR="009267A7" w:rsidRPr="00C30A9C" w:rsidRDefault="006D0ADD" w:rsidP="009267A7">
      <w:pPr>
        <w:ind w:left="720"/>
      </w:pPr>
      <w:r>
        <w:t>T</w:t>
      </w:r>
      <w:r w:rsidR="009267A7" w:rsidRPr="00C30A9C">
        <w:t>he Phase I focus groups were analyzed using the t</w:t>
      </w:r>
      <w:r>
        <w:t xml:space="preserve">ranscripts </w:t>
      </w:r>
      <w:r w:rsidR="009267A7" w:rsidRPr="00C30A9C">
        <w:t>from each group and noting general responses to each of the early prototype themes and styles.</w:t>
      </w:r>
      <w:r w:rsidR="004531CD" w:rsidRPr="00C30A9C">
        <w:t xml:space="preserve"> The major top-line findings are:</w:t>
      </w:r>
    </w:p>
    <w:p w14:paraId="6EB8DC78" w14:textId="44EEE207" w:rsidR="009267A7" w:rsidRPr="00C30A9C" w:rsidRDefault="009267A7" w:rsidP="00481C9B"/>
    <w:p w14:paraId="39FF953F" w14:textId="525BB944" w:rsidR="009267A7" w:rsidRPr="00C30A9C" w:rsidRDefault="009267A7" w:rsidP="003310AC">
      <w:pPr>
        <w:pStyle w:val="ListParagraph"/>
        <w:widowControl w:val="0"/>
        <w:numPr>
          <w:ilvl w:val="0"/>
          <w:numId w:val="23"/>
        </w:numPr>
      </w:pPr>
      <w:r w:rsidRPr="00C30A9C">
        <w:t xml:space="preserve">Many </w:t>
      </w:r>
      <w:r w:rsidR="004531CD" w:rsidRPr="00C30A9C">
        <w:t xml:space="preserve">participants </w:t>
      </w:r>
      <w:r w:rsidRPr="00C30A9C">
        <w:t xml:space="preserve">did not automatically recognize the NFL-inspired </w:t>
      </w:r>
      <w:r w:rsidR="005C13BE" w:rsidRPr="00C30A9C">
        <w:t>symbol</w:t>
      </w:r>
      <w:r w:rsidRPr="00C30A9C">
        <w:t xml:space="preserve"> but could easily see it when prompted</w:t>
      </w:r>
      <w:r w:rsidR="004531CD" w:rsidRPr="00C30A9C">
        <w:t>;</w:t>
      </w:r>
    </w:p>
    <w:p w14:paraId="1D0D73E5" w14:textId="0BE5029C" w:rsidR="009267A7" w:rsidRPr="00C30A9C" w:rsidRDefault="004531CD" w:rsidP="003310AC">
      <w:pPr>
        <w:pStyle w:val="ListParagraph"/>
        <w:widowControl w:val="0"/>
        <w:numPr>
          <w:ilvl w:val="0"/>
          <w:numId w:val="23"/>
        </w:numPr>
      </w:pPr>
      <w:r w:rsidRPr="00C30A9C">
        <w:t>Participants expressed s</w:t>
      </w:r>
      <w:r w:rsidR="009267A7" w:rsidRPr="00C30A9C">
        <w:t xml:space="preserve">trong preference for circles or soft </w:t>
      </w:r>
      <w:r w:rsidR="006D0ADD">
        <w:t>angles</w:t>
      </w:r>
      <w:r w:rsidR="009267A7" w:rsidRPr="00C30A9C">
        <w:t xml:space="preserve"> versus squares</w:t>
      </w:r>
      <w:r w:rsidRPr="00C30A9C">
        <w:t>;</w:t>
      </w:r>
    </w:p>
    <w:p w14:paraId="2823E226" w14:textId="2411FD79" w:rsidR="009267A7" w:rsidRPr="00C30A9C" w:rsidRDefault="009267A7" w:rsidP="003310AC">
      <w:pPr>
        <w:pStyle w:val="ListParagraph"/>
        <w:widowControl w:val="0"/>
        <w:numPr>
          <w:ilvl w:val="0"/>
          <w:numId w:val="23"/>
        </w:numPr>
      </w:pPr>
      <w:r w:rsidRPr="00C30A9C">
        <w:t>Many suggested using the color green as symbolic of healthy</w:t>
      </w:r>
      <w:r w:rsidR="004531CD" w:rsidRPr="00C30A9C">
        <w:t>;</w:t>
      </w:r>
    </w:p>
    <w:p w14:paraId="03A78A00" w14:textId="68473DEE" w:rsidR="009267A7" w:rsidRPr="00C30A9C" w:rsidRDefault="009267A7" w:rsidP="003310AC">
      <w:pPr>
        <w:pStyle w:val="ListParagraph"/>
        <w:widowControl w:val="0"/>
        <w:numPr>
          <w:ilvl w:val="0"/>
          <w:numId w:val="23"/>
        </w:numPr>
      </w:pPr>
      <w:r w:rsidRPr="00C30A9C">
        <w:t>Most did not like vertical lettering</w:t>
      </w:r>
      <w:r w:rsidR="004531CD" w:rsidRPr="00C30A9C">
        <w:t>;</w:t>
      </w:r>
    </w:p>
    <w:p w14:paraId="4D65CC56" w14:textId="48D99925" w:rsidR="009267A7" w:rsidRPr="00C30A9C" w:rsidRDefault="009267A7" w:rsidP="004531CD">
      <w:pPr>
        <w:pStyle w:val="ListParagraph"/>
        <w:widowControl w:val="0"/>
        <w:numPr>
          <w:ilvl w:val="0"/>
          <w:numId w:val="23"/>
        </w:numPr>
      </w:pPr>
      <w:r w:rsidRPr="00C30A9C">
        <w:t>Many did not like redundancy</w:t>
      </w:r>
      <w:r w:rsidR="006D0ADD">
        <w:t>, e.g.,</w:t>
      </w:r>
      <w:r w:rsidRPr="00C30A9C">
        <w:t xml:space="preserve"> when “healthy” appeared twice</w:t>
      </w:r>
      <w:r w:rsidR="004531CD" w:rsidRPr="00C30A9C">
        <w:t>;</w:t>
      </w:r>
    </w:p>
    <w:p w14:paraId="5380FB85" w14:textId="6C3437A3" w:rsidR="004531CD" w:rsidRPr="00C30A9C" w:rsidRDefault="004531CD" w:rsidP="003310AC">
      <w:pPr>
        <w:pStyle w:val="ListParagraph"/>
        <w:widowControl w:val="0"/>
        <w:numPr>
          <w:ilvl w:val="0"/>
          <w:numId w:val="23"/>
        </w:numPr>
      </w:pPr>
      <w:r w:rsidRPr="00C30A9C">
        <w:t xml:space="preserve">Participants preferred </w:t>
      </w:r>
      <w:r w:rsidR="005C13BE" w:rsidRPr="00C30A9C">
        <w:t>symbols</w:t>
      </w:r>
      <w:r w:rsidRPr="00C30A9C">
        <w:t xml:space="preserve"> identifying the sponsor.</w:t>
      </w:r>
    </w:p>
    <w:p w14:paraId="7041353C" w14:textId="77777777" w:rsidR="00B71F03" w:rsidRPr="00C30A9C" w:rsidRDefault="00B71F03" w:rsidP="00E143B2">
      <w:pPr>
        <w:widowControl w:val="0"/>
        <w:ind w:left="720"/>
      </w:pPr>
    </w:p>
    <w:p w14:paraId="2F48F939" w14:textId="7F4C72F0" w:rsidR="00E143B2" w:rsidRPr="00C30A9C" w:rsidRDefault="00E143B2" w:rsidP="00E143B2">
      <w:pPr>
        <w:widowControl w:val="0"/>
        <w:ind w:left="720"/>
      </w:pPr>
      <w:r w:rsidRPr="00C30A9C">
        <w:t xml:space="preserve">Results from the Phase I focus group testing of early </w:t>
      </w:r>
      <w:r w:rsidR="005C13BE" w:rsidRPr="00C30A9C">
        <w:t>symbol</w:t>
      </w:r>
      <w:r w:rsidRPr="00C30A9C">
        <w:t xml:space="preserve"> prototypes —wherein FDA explored </w:t>
      </w:r>
      <w:r w:rsidR="005C13BE" w:rsidRPr="00C30A9C">
        <w:t>symbol</w:t>
      </w:r>
      <w:r w:rsidRPr="00C30A9C">
        <w:t xml:space="preserve"> themes and styles using a wide variety of in-house developed </w:t>
      </w:r>
      <w:r w:rsidR="005C13BE" w:rsidRPr="00C30A9C">
        <w:t>symbols</w:t>
      </w:r>
      <w:r w:rsidRPr="00C30A9C">
        <w:t xml:space="preserve">— </w:t>
      </w:r>
      <w:r w:rsidR="00F10E8E" w:rsidRPr="00C30A9C">
        <w:t xml:space="preserve">were used to </w:t>
      </w:r>
      <w:r w:rsidRPr="00C30A9C">
        <w:t xml:space="preserve">guide (but not limit) the development of more </w:t>
      </w:r>
      <w:r w:rsidR="005C13BE" w:rsidRPr="00C30A9C">
        <w:t>symbols</w:t>
      </w:r>
      <w:r w:rsidRPr="00C30A9C">
        <w:t xml:space="preserve"> prototypes for further testing. </w:t>
      </w:r>
    </w:p>
    <w:p w14:paraId="0F14FEBD" w14:textId="77777777" w:rsidR="009267A7" w:rsidRPr="00C30A9C" w:rsidRDefault="009267A7" w:rsidP="00481C9B"/>
    <w:p w14:paraId="42BD1361" w14:textId="4B6811E1" w:rsidR="00710967" w:rsidRPr="00C30A9C" w:rsidRDefault="00710967" w:rsidP="00710967">
      <w:pPr>
        <w:ind w:left="720"/>
        <w:jc w:val="both"/>
        <w:rPr>
          <w:u w:val="single"/>
        </w:rPr>
      </w:pPr>
      <w:r w:rsidRPr="00C30A9C">
        <w:rPr>
          <w:u w:val="single"/>
        </w:rPr>
        <w:t xml:space="preserve">Phase II </w:t>
      </w:r>
      <w:r w:rsidR="00A00710" w:rsidRPr="00C30A9C">
        <w:rPr>
          <w:u w:val="single"/>
        </w:rPr>
        <w:t xml:space="preserve">“Healthy” </w:t>
      </w:r>
      <w:r w:rsidR="005C13BE" w:rsidRPr="00C30A9C">
        <w:rPr>
          <w:u w:val="single"/>
        </w:rPr>
        <w:t>Symbol</w:t>
      </w:r>
      <w:r w:rsidR="00E143B2" w:rsidRPr="00C30A9C">
        <w:rPr>
          <w:u w:val="single"/>
        </w:rPr>
        <w:t xml:space="preserve"> Focus Group</w:t>
      </w:r>
      <w:r w:rsidR="00A7415A" w:rsidRPr="00C30A9C">
        <w:rPr>
          <w:u w:val="single"/>
        </w:rPr>
        <w:t xml:space="preserve"> Results</w:t>
      </w:r>
    </w:p>
    <w:p w14:paraId="6447CAB1" w14:textId="77777777" w:rsidR="005B75C9" w:rsidRPr="00C30A9C" w:rsidRDefault="005B75C9" w:rsidP="00481C9B"/>
    <w:p w14:paraId="78382E67" w14:textId="1E972869" w:rsidR="00A7415A" w:rsidRPr="00C30A9C" w:rsidRDefault="00A7415A" w:rsidP="001F4357">
      <w:pPr>
        <w:ind w:left="720"/>
      </w:pPr>
      <w:r w:rsidRPr="00C30A9C">
        <w:t xml:space="preserve">OMB approved the Phase II Healthy </w:t>
      </w:r>
      <w:r w:rsidR="005C13BE" w:rsidRPr="00C30A9C">
        <w:t>Symbol</w:t>
      </w:r>
      <w:r w:rsidRPr="00C30A9C">
        <w:t xml:space="preserve"> Focus Groups on 9-10-19 (ICR Reference Number 201707-0910-018) and approved an additional </w:t>
      </w:r>
      <w:r w:rsidR="005C13BE" w:rsidRPr="00C30A9C">
        <w:t>symbol</w:t>
      </w:r>
      <w:r w:rsidRPr="00C30A9C">
        <w:t xml:space="preserve"> for testing in the Phase II groups on 10-22-19 (Same reference number)</w:t>
      </w:r>
      <w:r w:rsidR="00E24D4D" w:rsidRPr="00C30A9C">
        <w:t>.</w:t>
      </w:r>
    </w:p>
    <w:p w14:paraId="59BC4C5F" w14:textId="77777777" w:rsidR="00A7415A" w:rsidRPr="00C30A9C" w:rsidRDefault="00A7415A" w:rsidP="001F4357">
      <w:pPr>
        <w:ind w:left="720"/>
      </w:pPr>
    </w:p>
    <w:p w14:paraId="328E5C48" w14:textId="464FDF0B" w:rsidR="00E62E33" w:rsidRPr="00C30A9C" w:rsidRDefault="00245748" w:rsidP="00A7415A">
      <w:pPr>
        <w:ind w:left="720"/>
      </w:pPr>
      <w:r w:rsidRPr="00C30A9C">
        <w:t xml:space="preserve">The </w:t>
      </w:r>
      <w:r w:rsidR="005B75C9" w:rsidRPr="00C30A9C">
        <w:t xml:space="preserve">Phase II focus groups </w:t>
      </w:r>
      <w:r w:rsidR="00A7415A" w:rsidRPr="00C30A9C">
        <w:t>tested</w:t>
      </w:r>
      <w:r w:rsidR="005B75C9" w:rsidRPr="00C30A9C">
        <w:t xml:space="preserve"> a set of professionally produced </w:t>
      </w:r>
      <w:r w:rsidR="005C13BE" w:rsidRPr="00C30A9C">
        <w:t>symbols</w:t>
      </w:r>
      <w:r w:rsidR="00A7415A" w:rsidRPr="00C30A9C">
        <w:t xml:space="preserve"> </w:t>
      </w:r>
      <w:r w:rsidR="00E24D4D" w:rsidRPr="00C30A9C">
        <w:t>that</w:t>
      </w:r>
      <w:r w:rsidR="00A7415A" w:rsidRPr="00C30A9C">
        <w:t xml:space="preserve"> fell </w:t>
      </w:r>
      <w:r w:rsidR="00FC1562" w:rsidRPr="00C30A9C">
        <w:t xml:space="preserve">into </w:t>
      </w:r>
      <w:r w:rsidR="006D0ADD">
        <w:t xml:space="preserve">8 </w:t>
      </w:r>
      <w:r w:rsidR="00FC1562" w:rsidRPr="00C30A9C">
        <w:t>themes. Each theme ha</w:t>
      </w:r>
      <w:r w:rsidR="00E24D4D" w:rsidRPr="00C30A9C">
        <w:t>d</w:t>
      </w:r>
      <w:r w:rsidR="00FC1562" w:rsidRPr="00C30A9C">
        <w:t xml:space="preserve"> 3 or 4 </w:t>
      </w:r>
      <w:r w:rsidR="00AB0296" w:rsidRPr="00C30A9C">
        <w:t xml:space="preserve">stylistic </w:t>
      </w:r>
      <w:r w:rsidR="00376752" w:rsidRPr="00C30A9C">
        <w:t>variations</w:t>
      </w:r>
      <w:r w:rsidR="00AB0296" w:rsidRPr="00C30A9C">
        <w:t xml:space="preserve"> (e.g., different colors, borders or no borders, placement of “FDA”)</w:t>
      </w:r>
      <w:r w:rsidR="00FC1562" w:rsidRPr="00C30A9C">
        <w:t xml:space="preserve">. </w:t>
      </w:r>
      <w:r w:rsidR="00AB0296" w:rsidRPr="00C30A9C">
        <w:t xml:space="preserve">Phase II </w:t>
      </w:r>
      <w:r w:rsidR="005C13BE" w:rsidRPr="00C30A9C">
        <w:t>symbol</w:t>
      </w:r>
      <w:r w:rsidR="00AB0296" w:rsidRPr="00C30A9C">
        <w:t xml:space="preserve"> t</w:t>
      </w:r>
      <w:r w:rsidR="00FC1562" w:rsidRPr="00C30A9C">
        <w:t xml:space="preserve">hemes </w:t>
      </w:r>
      <w:r w:rsidR="00AB0296" w:rsidRPr="00C30A9C">
        <w:t>a</w:t>
      </w:r>
      <w:r w:rsidR="00FC1562" w:rsidRPr="00C30A9C">
        <w:t xml:space="preserve">re </w:t>
      </w:r>
      <w:r w:rsidR="00FE1098" w:rsidRPr="00C30A9C">
        <w:t>listed</w:t>
      </w:r>
      <w:r w:rsidR="00FC1562" w:rsidRPr="00C30A9C">
        <w:t xml:space="preserve"> below</w:t>
      </w:r>
      <w:r w:rsidR="00FE1098" w:rsidRPr="00C30A9C">
        <w:t>:</w:t>
      </w:r>
      <w:r w:rsidR="00FC1562" w:rsidRPr="00C30A9C">
        <w:t xml:space="preserve"> </w:t>
      </w:r>
    </w:p>
    <w:p w14:paraId="1E85F390" w14:textId="4A02B6EC" w:rsidR="002C4C50" w:rsidRPr="00C30A9C" w:rsidRDefault="002C4C50" w:rsidP="00710967">
      <w:pPr>
        <w:ind w:left="720"/>
      </w:pPr>
    </w:p>
    <w:p w14:paraId="65306981" w14:textId="0D4C57AD" w:rsidR="00EB3878" w:rsidRPr="00C30A9C" w:rsidRDefault="00EB3878" w:rsidP="00710967">
      <w:pPr>
        <w:ind w:left="720"/>
      </w:pPr>
    </w:p>
    <w:p w14:paraId="44CC4B35" w14:textId="6C6E1568" w:rsidR="00EB3878" w:rsidRPr="00C30A9C" w:rsidRDefault="00EB3878" w:rsidP="00710967">
      <w:pPr>
        <w:ind w:left="720"/>
      </w:pPr>
    </w:p>
    <w:p w14:paraId="563818DD" w14:textId="411EA748" w:rsidR="00EB3878" w:rsidRPr="00C30A9C" w:rsidRDefault="00EB3878" w:rsidP="00710967">
      <w:pPr>
        <w:ind w:left="720"/>
      </w:pPr>
    </w:p>
    <w:p w14:paraId="50045C8E" w14:textId="525FA6E6" w:rsidR="00EB3878" w:rsidRPr="00C30A9C" w:rsidRDefault="00EB3878" w:rsidP="00710967">
      <w:pPr>
        <w:ind w:left="720"/>
      </w:pPr>
    </w:p>
    <w:p w14:paraId="3A92B44D" w14:textId="77777777" w:rsidR="00EB3878" w:rsidRPr="00C30A9C" w:rsidRDefault="00EB3878" w:rsidP="00710967">
      <w:pPr>
        <w:ind w:left="720"/>
      </w:pPr>
    </w:p>
    <w:p w14:paraId="10DD5D67" w14:textId="52B2B613" w:rsidR="00B27552" w:rsidRPr="00C30A9C" w:rsidRDefault="00B27552" w:rsidP="00710967">
      <w:pPr>
        <w:tabs>
          <w:tab w:val="left" w:pos="-1440"/>
        </w:tabs>
        <w:ind w:left="720"/>
      </w:pPr>
      <w:r w:rsidRPr="00C30A9C">
        <w:t xml:space="preserve">1. </w:t>
      </w:r>
      <w:r w:rsidR="0066622D" w:rsidRPr="00C30A9C">
        <w:t>Sunrise</w:t>
      </w:r>
    </w:p>
    <w:p w14:paraId="5B974F82" w14:textId="12436A61" w:rsidR="00B27552" w:rsidRPr="00C30A9C" w:rsidRDefault="00B27552" w:rsidP="00710967">
      <w:pPr>
        <w:tabs>
          <w:tab w:val="left" w:pos="-1440"/>
        </w:tabs>
        <w:ind w:left="720"/>
      </w:pPr>
      <w:r w:rsidRPr="00C30A9C">
        <w:t xml:space="preserve">2. </w:t>
      </w:r>
      <w:r w:rsidR="0066622D" w:rsidRPr="00C30A9C">
        <w:t>Checkmark</w:t>
      </w:r>
    </w:p>
    <w:p w14:paraId="523BC978" w14:textId="074E41E2" w:rsidR="00B27552" w:rsidRPr="00C30A9C" w:rsidRDefault="00B27552" w:rsidP="00710967">
      <w:pPr>
        <w:tabs>
          <w:tab w:val="left" w:pos="-1440"/>
        </w:tabs>
        <w:ind w:left="720"/>
      </w:pPr>
      <w:r w:rsidRPr="00C30A9C">
        <w:t xml:space="preserve">3. </w:t>
      </w:r>
      <w:r w:rsidR="0066622D" w:rsidRPr="00C30A9C">
        <w:t>Fresh</w:t>
      </w:r>
    </w:p>
    <w:p w14:paraId="3689F608" w14:textId="77777777" w:rsidR="0066622D" w:rsidRPr="00C30A9C" w:rsidRDefault="00B27552" w:rsidP="00710967">
      <w:pPr>
        <w:tabs>
          <w:tab w:val="left" w:pos="-1440"/>
        </w:tabs>
        <w:ind w:left="720"/>
      </w:pPr>
      <w:r w:rsidRPr="00C30A9C">
        <w:t xml:space="preserve">4. </w:t>
      </w:r>
      <w:r w:rsidR="0066622D" w:rsidRPr="00C30A9C">
        <w:t>Checkmark/Fresh</w:t>
      </w:r>
    </w:p>
    <w:p w14:paraId="6D63799E" w14:textId="1DC03892" w:rsidR="00DD0744" w:rsidRPr="00C30A9C" w:rsidRDefault="0066622D" w:rsidP="00710967">
      <w:pPr>
        <w:tabs>
          <w:tab w:val="left" w:pos="-1440"/>
        </w:tabs>
        <w:ind w:left="720"/>
      </w:pPr>
      <w:r w:rsidRPr="00C30A9C">
        <w:t>5. Leaf</w:t>
      </w:r>
      <w:r w:rsidR="00DD0744" w:rsidRPr="00C30A9C">
        <w:tab/>
      </w:r>
      <w:r w:rsidR="00685782" w:rsidRPr="00C30A9C">
        <w:t xml:space="preserve"> </w:t>
      </w:r>
    </w:p>
    <w:p w14:paraId="5D18975C" w14:textId="29562E50" w:rsidR="00B27552" w:rsidRPr="00C30A9C" w:rsidRDefault="0066622D" w:rsidP="00710967">
      <w:pPr>
        <w:tabs>
          <w:tab w:val="left" w:pos="-1440"/>
        </w:tabs>
        <w:ind w:left="720"/>
      </w:pPr>
      <w:r w:rsidRPr="00C30A9C">
        <w:t>6</w:t>
      </w:r>
      <w:r w:rsidR="00B27552" w:rsidRPr="00C30A9C">
        <w:t xml:space="preserve">. </w:t>
      </w:r>
      <w:r w:rsidR="00376752" w:rsidRPr="00C30A9C">
        <w:t>Food Groups</w:t>
      </w:r>
    </w:p>
    <w:p w14:paraId="293C64E6" w14:textId="51D14837" w:rsidR="00E143B2" w:rsidRPr="00C30A9C" w:rsidRDefault="0066622D" w:rsidP="00E143B2">
      <w:pPr>
        <w:tabs>
          <w:tab w:val="left" w:pos="-1440"/>
        </w:tabs>
        <w:ind w:left="720"/>
      </w:pPr>
      <w:r w:rsidRPr="00C30A9C">
        <w:t>7</w:t>
      </w:r>
      <w:r w:rsidR="00E143B2" w:rsidRPr="00C30A9C">
        <w:t xml:space="preserve">. FDA </w:t>
      </w:r>
      <w:r w:rsidR="006A4DB6" w:rsidRPr="00C30A9C">
        <w:t>Banner</w:t>
      </w:r>
    </w:p>
    <w:p w14:paraId="64CC4EE1" w14:textId="427E25B3" w:rsidR="005A4F49" w:rsidRPr="00C30A9C" w:rsidRDefault="005A4F49" w:rsidP="00E143B2">
      <w:pPr>
        <w:tabs>
          <w:tab w:val="left" w:pos="-1440"/>
        </w:tabs>
        <w:ind w:left="720"/>
      </w:pPr>
      <w:r w:rsidRPr="00C30A9C">
        <w:t>8. USDA “My Wins”-inspired (added to the final two groups)</w:t>
      </w:r>
    </w:p>
    <w:p w14:paraId="66A02871" w14:textId="77777777" w:rsidR="00E143B2" w:rsidRPr="00C30A9C" w:rsidRDefault="00E143B2" w:rsidP="00710967">
      <w:pPr>
        <w:tabs>
          <w:tab w:val="left" w:pos="-1440"/>
        </w:tabs>
        <w:ind w:left="720"/>
      </w:pPr>
    </w:p>
    <w:p w14:paraId="7DC9A992" w14:textId="012C87C9" w:rsidR="00E143B2" w:rsidRPr="00C30A9C" w:rsidRDefault="00E143B2" w:rsidP="006C02F9">
      <w:pPr>
        <w:ind w:left="720"/>
      </w:pPr>
      <w:r w:rsidRPr="00C30A9C">
        <w:t xml:space="preserve">The </w:t>
      </w:r>
      <w:r w:rsidR="00A7415A" w:rsidRPr="00C30A9C">
        <w:t xml:space="preserve">goal of the </w:t>
      </w:r>
      <w:r w:rsidRPr="00C30A9C">
        <w:t xml:space="preserve">Phase II focus group </w:t>
      </w:r>
      <w:r w:rsidR="00A7415A" w:rsidRPr="00C30A9C">
        <w:t>was to n</w:t>
      </w:r>
      <w:r w:rsidR="0074228F" w:rsidRPr="00C30A9C">
        <w:t xml:space="preserve">arrow down the </w:t>
      </w:r>
      <w:r w:rsidR="00E24D4D" w:rsidRPr="00C30A9C">
        <w:t xml:space="preserve">professionally-produced </w:t>
      </w:r>
      <w:r w:rsidR="0074228F" w:rsidRPr="00C30A9C">
        <w:t>designs from among those tested</w:t>
      </w:r>
      <w:r w:rsidR="00A7415A" w:rsidRPr="00C30A9C">
        <w:t xml:space="preserve"> </w:t>
      </w:r>
      <w:r w:rsidR="006C02F9" w:rsidRPr="00C30A9C">
        <w:t xml:space="preserve">and </w:t>
      </w:r>
      <w:r w:rsidRPr="00C30A9C">
        <w:t xml:space="preserve">help FDA gain a better understanding of how consumers might use </w:t>
      </w:r>
      <w:r w:rsidR="00E24D4D" w:rsidRPr="00C30A9C">
        <w:t xml:space="preserve">a “healthy” </w:t>
      </w:r>
      <w:r w:rsidR="005C13BE" w:rsidRPr="00C30A9C">
        <w:t>FOP symbol</w:t>
      </w:r>
      <w:r w:rsidRPr="00C30A9C">
        <w:t xml:space="preserve"> in making healthier food choices</w:t>
      </w:r>
      <w:r w:rsidR="006C02F9" w:rsidRPr="00C30A9C">
        <w:t xml:space="preserve">. </w:t>
      </w:r>
    </w:p>
    <w:p w14:paraId="781D3329" w14:textId="134091A6" w:rsidR="000073D2" w:rsidRPr="00C30A9C" w:rsidRDefault="000073D2" w:rsidP="006C02F9">
      <w:pPr>
        <w:ind w:left="720"/>
      </w:pPr>
    </w:p>
    <w:p w14:paraId="2F205A8F" w14:textId="6F724287" w:rsidR="000073D2" w:rsidRPr="00C30A9C" w:rsidRDefault="000073D2" w:rsidP="006C02F9">
      <w:pPr>
        <w:ind w:left="720"/>
      </w:pPr>
      <w:r>
        <w:t xml:space="preserve">Takeaways from the Phase II focus groups are that </w:t>
      </w:r>
      <w:r w:rsidR="005C13BE">
        <w:t>symbols</w:t>
      </w:r>
      <w:r>
        <w:t xml:space="preserve"> without organizational attribution</w:t>
      </w:r>
      <w:r w:rsidR="00E24D4D">
        <w:t xml:space="preserve"> </w:t>
      </w:r>
      <w:r>
        <w:t xml:space="preserve">are largely ignored or seen as manufacturer marketing devices. </w:t>
      </w:r>
      <w:r w:rsidR="2D7FE004">
        <w:t>T</w:t>
      </w:r>
      <w:r>
        <w:t>he focus group</w:t>
      </w:r>
      <w:r w:rsidR="005C13BE">
        <w:t>s</w:t>
      </w:r>
      <w:r>
        <w:t xml:space="preserve"> </w:t>
      </w:r>
      <w:r w:rsidR="26D58E72">
        <w:t xml:space="preserve">also </w:t>
      </w:r>
      <w:r>
        <w:t xml:space="preserve">revealed that it is difficult to invoke </w:t>
      </w:r>
      <w:r w:rsidR="00E24D4D">
        <w:t>“</w:t>
      </w:r>
      <w:r>
        <w:t>nutritional health</w:t>
      </w:r>
      <w:r w:rsidR="00E24D4D">
        <w:t>”</w:t>
      </w:r>
      <w:r>
        <w:t xml:space="preserve"> with a symbol</w:t>
      </w:r>
      <w:r w:rsidR="00E24D4D">
        <w:t xml:space="preserve"> because: </w:t>
      </w:r>
      <w:r w:rsidR="00673DD7">
        <w:t>(</w:t>
      </w:r>
      <w:r w:rsidR="00E24D4D">
        <w:t xml:space="preserve">1) </w:t>
      </w:r>
      <w:r>
        <w:t xml:space="preserve">recognizable imagery carries halos (e.g., a sunrise symbolizes morning, a leaf symbolizes </w:t>
      </w:r>
      <w:r w:rsidR="00C351BC">
        <w:t>“plant-based”)</w:t>
      </w:r>
      <w:r w:rsidR="00955637">
        <w:t>;</w:t>
      </w:r>
      <w:r w:rsidR="00C351BC">
        <w:t xml:space="preserve"> </w:t>
      </w:r>
      <w:r w:rsidR="00955637">
        <w:t xml:space="preserve"> and (</w:t>
      </w:r>
      <w:r w:rsidR="00E24D4D">
        <w:t xml:space="preserve">2) </w:t>
      </w:r>
      <w:r w:rsidR="00C351BC">
        <w:t xml:space="preserve">colors communicate beyond a </w:t>
      </w:r>
      <w:r w:rsidR="005C13BE">
        <w:t>symbol</w:t>
      </w:r>
      <w:r w:rsidR="00C351BC">
        <w:t>’s intention (e.g.,  green symbolizes the environment</w:t>
      </w:r>
      <w:r w:rsidR="00E24D4D">
        <w:t>; red symbolizes “stop”)</w:t>
      </w:r>
      <w:r w:rsidR="00C351BC">
        <w:t xml:space="preserve">. </w:t>
      </w:r>
      <w:r w:rsidR="00E24D4D">
        <w:t>Researchers concluded from</w:t>
      </w:r>
      <w:r w:rsidR="00C351BC">
        <w:t xml:space="preserve"> the Phase II focus groups that </w:t>
      </w:r>
      <w:r w:rsidR="00767A40">
        <w:t xml:space="preserve">an </w:t>
      </w:r>
      <w:r w:rsidR="00C351BC">
        <w:t xml:space="preserve">eye-catching, high-contrast </w:t>
      </w:r>
      <w:r w:rsidR="00C64F6E">
        <w:t>symbol</w:t>
      </w:r>
      <w:r w:rsidR="00C351BC">
        <w:t xml:space="preserve"> – with organizational attribution –</w:t>
      </w:r>
      <w:r w:rsidR="5CBCF072">
        <w:t xml:space="preserve"> </w:t>
      </w:r>
      <w:r w:rsidR="00C351BC">
        <w:t xml:space="preserve">could work as a front-of-pack </w:t>
      </w:r>
      <w:r w:rsidR="00E24D4D">
        <w:t>“Healthy”</w:t>
      </w:r>
      <w:r w:rsidR="00C351BC">
        <w:t xml:space="preserve"> </w:t>
      </w:r>
      <w:r w:rsidR="00C64F6E">
        <w:t>symbol</w:t>
      </w:r>
      <w:r w:rsidR="00C351BC">
        <w:t>.</w:t>
      </w:r>
      <w:r>
        <w:t xml:space="preserve"> </w:t>
      </w:r>
    </w:p>
    <w:p w14:paraId="3C7B5261" w14:textId="0356DF70" w:rsidR="00E143B2" w:rsidRPr="00767A40" w:rsidRDefault="00E143B2" w:rsidP="00E143B2">
      <w:pPr>
        <w:ind w:left="720"/>
      </w:pPr>
    </w:p>
    <w:p w14:paraId="36C681A3" w14:textId="0F908BD9" w:rsidR="00C351BC" w:rsidRPr="00C30A9C" w:rsidRDefault="00C351BC" w:rsidP="00E143B2">
      <w:pPr>
        <w:ind w:left="720"/>
      </w:pPr>
      <w:r w:rsidRPr="00C30A9C">
        <w:t xml:space="preserve">In addition to helping to narrow down the group of potential </w:t>
      </w:r>
      <w:r w:rsidR="00E24D4D" w:rsidRPr="00C30A9C">
        <w:t xml:space="preserve">FDA “Healthy” </w:t>
      </w:r>
      <w:r w:rsidR="00C64F6E" w:rsidRPr="00C30A9C">
        <w:t>symbols</w:t>
      </w:r>
      <w:r w:rsidRPr="00C30A9C">
        <w:t>, the Phase II focus group discussions raised further research questions</w:t>
      </w:r>
      <w:r w:rsidR="00CC4459" w:rsidRPr="00C30A9C">
        <w:t xml:space="preserve"> – described in the next section</w:t>
      </w:r>
      <w:r w:rsidRPr="00C30A9C">
        <w:t xml:space="preserve">. </w:t>
      </w:r>
    </w:p>
    <w:p w14:paraId="4CFA0D3E" w14:textId="1B84CC12" w:rsidR="00C351BC" w:rsidRPr="00C30A9C" w:rsidRDefault="00C351BC" w:rsidP="00260687"/>
    <w:p w14:paraId="5095987E" w14:textId="75F38868" w:rsidR="00785FE2" w:rsidRPr="00C30A9C" w:rsidRDefault="000776D3" w:rsidP="00E143B2">
      <w:pPr>
        <w:ind w:left="720"/>
        <w:rPr>
          <w:u w:val="single"/>
        </w:rPr>
      </w:pPr>
      <w:r w:rsidRPr="00C30A9C">
        <w:rPr>
          <w:u w:val="single"/>
        </w:rPr>
        <w:t xml:space="preserve">Request for </w:t>
      </w:r>
      <w:r w:rsidR="00785FE2" w:rsidRPr="00C30A9C">
        <w:rPr>
          <w:u w:val="single"/>
        </w:rPr>
        <w:t xml:space="preserve">Phase III </w:t>
      </w:r>
      <w:r w:rsidR="005A4F49" w:rsidRPr="00C30A9C">
        <w:rPr>
          <w:u w:val="single"/>
        </w:rPr>
        <w:t>“</w:t>
      </w:r>
      <w:r w:rsidR="00785FE2" w:rsidRPr="00C30A9C">
        <w:rPr>
          <w:u w:val="single"/>
        </w:rPr>
        <w:t>Healthy</w:t>
      </w:r>
      <w:r w:rsidR="005A4F49" w:rsidRPr="00C30A9C">
        <w:rPr>
          <w:u w:val="single"/>
        </w:rPr>
        <w:t>”</w:t>
      </w:r>
      <w:r w:rsidR="00785FE2" w:rsidRPr="00C30A9C">
        <w:rPr>
          <w:u w:val="single"/>
        </w:rPr>
        <w:t xml:space="preserve"> </w:t>
      </w:r>
      <w:r w:rsidR="00C64F6E" w:rsidRPr="00C30A9C">
        <w:rPr>
          <w:u w:val="single"/>
        </w:rPr>
        <w:t>Symbol</w:t>
      </w:r>
      <w:r w:rsidR="00785FE2" w:rsidRPr="00C30A9C">
        <w:rPr>
          <w:u w:val="single"/>
        </w:rPr>
        <w:t xml:space="preserve"> </w:t>
      </w:r>
      <w:r w:rsidR="005A4F49" w:rsidRPr="00C30A9C">
        <w:rPr>
          <w:u w:val="single"/>
        </w:rPr>
        <w:t>F</w:t>
      </w:r>
      <w:r w:rsidR="00785FE2" w:rsidRPr="00C30A9C">
        <w:rPr>
          <w:u w:val="single"/>
        </w:rPr>
        <w:t xml:space="preserve">ocus </w:t>
      </w:r>
      <w:r w:rsidR="005A4F49" w:rsidRPr="00C30A9C">
        <w:rPr>
          <w:u w:val="single"/>
        </w:rPr>
        <w:t>G</w:t>
      </w:r>
      <w:r w:rsidR="00785FE2" w:rsidRPr="00C30A9C">
        <w:rPr>
          <w:u w:val="single"/>
        </w:rPr>
        <w:t>roups</w:t>
      </w:r>
    </w:p>
    <w:p w14:paraId="4BB4AD37" w14:textId="78DD4924" w:rsidR="00785FE2" w:rsidRPr="00767A40" w:rsidRDefault="00785FE2" w:rsidP="00E143B2">
      <w:pPr>
        <w:ind w:left="720"/>
      </w:pPr>
    </w:p>
    <w:p w14:paraId="2432232C" w14:textId="1E8ECEF4" w:rsidR="00260687" w:rsidRPr="00C30A9C" w:rsidRDefault="00260687" w:rsidP="00260687">
      <w:pPr>
        <w:ind w:left="720"/>
      </w:pPr>
      <w:r w:rsidRPr="00C30A9C">
        <w:t xml:space="preserve">It was clear following the Phase II focus groups that further qualitative research was necessary for testing </w:t>
      </w:r>
      <w:r w:rsidR="00C64F6E" w:rsidRPr="00C30A9C">
        <w:t>symbol</w:t>
      </w:r>
      <w:r w:rsidRPr="00C30A9C">
        <w:t xml:space="preserve"> design modifications resulting from the Phase II groups and to explore new research questions before any quantitative study of “healthy” </w:t>
      </w:r>
      <w:r w:rsidR="001E5BA7" w:rsidRPr="00C30A9C">
        <w:t>symbols</w:t>
      </w:r>
      <w:r w:rsidRPr="00C30A9C">
        <w:t xml:space="preserve"> is pursued. </w:t>
      </w:r>
    </w:p>
    <w:p w14:paraId="0CA3A391" w14:textId="7CC6ADB1" w:rsidR="00CC4459" w:rsidRPr="00C30A9C" w:rsidRDefault="00CC4459" w:rsidP="00260687">
      <w:pPr>
        <w:ind w:left="720"/>
      </w:pPr>
    </w:p>
    <w:p w14:paraId="0C2E2B09" w14:textId="057BCDD1" w:rsidR="00CC4459" w:rsidRPr="00C30A9C" w:rsidRDefault="00CC4459" w:rsidP="00CC4459">
      <w:pPr>
        <w:ind w:left="720"/>
      </w:pPr>
      <w:r w:rsidRPr="00C30A9C">
        <w:t xml:space="preserve">For example, will a more complex or interesting font - versus a simple font - improve </w:t>
      </w:r>
      <w:r w:rsidR="00F429AE" w:rsidRPr="00C30A9C">
        <w:t xml:space="preserve">interest and </w:t>
      </w:r>
      <w:r w:rsidRPr="00C30A9C">
        <w:t xml:space="preserve">contrast; does including a URL in the </w:t>
      </w:r>
      <w:r w:rsidR="001E5BA7" w:rsidRPr="00C30A9C">
        <w:t>symbol</w:t>
      </w:r>
      <w:r w:rsidRPr="00C30A9C">
        <w:t xml:space="preserve"> help participants understand that there is a place (website) they can go to for information</w:t>
      </w:r>
      <w:r w:rsidR="00915208" w:rsidRPr="00C30A9C">
        <w:t>; do modifications away from using the color green and obvious leaves reduce references to “environmental health” and “plant-based”?</w:t>
      </w:r>
    </w:p>
    <w:p w14:paraId="6D024C18" w14:textId="77777777" w:rsidR="00CC4459" w:rsidRPr="00C30A9C" w:rsidRDefault="00CC4459" w:rsidP="00260687">
      <w:pPr>
        <w:ind w:left="720"/>
      </w:pPr>
    </w:p>
    <w:p w14:paraId="0CFF4A91" w14:textId="53D7FD61" w:rsidR="00BB4281" w:rsidRPr="00767A40" w:rsidRDefault="004F70CE" w:rsidP="00E143B2">
      <w:pPr>
        <w:ind w:left="720"/>
      </w:pPr>
      <w:r w:rsidRPr="00767A40">
        <w:t xml:space="preserve">The set of 9 symbols to be tested in the Phase III focus groups (Appendix I) incorporate the information gained from the two previous sets of focus groups. </w:t>
      </w:r>
      <w:r w:rsidR="00BB4281" w:rsidRPr="00767A40">
        <w:t>This current set can be summarized according to the following themes:</w:t>
      </w:r>
    </w:p>
    <w:p w14:paraId="76BC7CAF" w14:textId="77777777" w:rsidR="00BB4281" w:rsidRPr="00767A40" w:rsidRDefault="00BB4281" w:rsidP="00E143B2">
      <w:pPr>
        <w:ind w:left="720"/>
      </w:pPr>
    </w:p>
    <w:tbl>
      <w:tblPr>
        <w:tblStyle w:val="TableGrid"/>
        <w:tblW w:w="0" w:type="auto"/>
        <w:tblInd w:w="795" w:type="dxa"/>
        <w:tblLook w:val="04A0" w:firstRow="1" w:lastRow="0" w:firstColumn="1" w:lastColumn="0" w:noHBand="0" w:noVBand="1"/>
      </w:tblPr>
      <w:tblGrid>
        <w:gridCol w:w="1450"/>
        <w:gridCol w:w="3690"/>
      </w:tblGrid>
      <w:tr w:rsidR="00BB4281" w:rsidRPr="00C30A9C" w14:paraId="5F01CD4A" w14:textId="77777777" w:rsidTr="00767A40">
        <w:tc>
          <w:tcPr>
            <w:tcW w:w="1450" w:type="dxa"/>
          </w:tcPr>
          <w:p w14:paraId="38082CE7" w14:textId="6547DD28" w:rsidR="00BB4281" w:rsidRPr="00767A40" w:rsidRDefault="00BB4281" w:rsidP="00D221FB">
            <w:pPr>
              <w:jc w:val="center"/>
              <w:rPr>
                <w:rFonts w:ascii="Times New Roman" w:hAnsi="Times New Roman" w:cs="Times New Roman"/>
                <w:b/>
              </w:rPr>
            </w:pPr>
            <w:r w:rsidRPr="00767A40">
              <w:rPr>
                <w:b/>
              </w:rPr>
              <w:lastRenderedPageBreak/>
              <w:t>Symbol #</w:t>
            </w:r>
          </w:p>
        </w:tc>
        <w:tc>
          <w:tcPr>
            <w:tcW w:w="3690" w:type="dxa"/>
          </w:tcPr>
          <w:p w14:paraId="2CAF5FFA" w14:textId="77777777" w:rsidR="00BB4281" w:rsidRPr="00767A40" w:rsidRDefault="00BB4281" w:rsidP="00D221FB">
            <w:pPr>
              <w:jc w:val="center"/>
              <w:rPr>
                <w:rFonts w:ascii="Times New Roman" w:hAnsi="Times New Roman" w:cs="Times New Roman"/>
                <w:b/>
              </w:rPr>
            </w:pPr>
            <w:r w:rsidRPr="00767A40">
              <w:rPr>
                <w:b/>
              </w:rPr>
              <w:t>Theme</w:t>
            </w:r>
          </w:p>
        </w:tc>
      </w:tr>
      <w:tr w:rsidR="00BB4281" w:rsidRPr="00C30A9C" w14:paraId="6686C4AA" w14:textId="77777777" w:rsidTr="00767A40">
        <w:tc>
          <w:tcPr>
            <w:tcW w:w="1450" w:type="dxa"/>
          </w:tcPr>
          <w:p w14:paraId="632D770F" w14:textId="77777777" w:rsidR="00BB4281" w:rsidRPr="00767A40" w:rsidRDefault="00BB4281" w:rsidP="00D221FB">
            <w:pPr>
              <w:rPr>
                <w:rFonts w:ascii="Times New Roman" w:hAnsi="Times New Roman" w:cs="Times New Roman"/>
              </w:rPr>
            </w:pPr>
            <w:r w:rsidRPr="00C30A9C">
              <w:t>1</w:t>
            </w:r>
          </w:p>
        </w:tc>
        <w:tc>
          <w:tcPr>
            <w:tcW w:w="3690" w:type="dxa"/>
          </w:tcPr>
          <w:p w14:paraId="623D58DB" w14:textId="77777777" w:rsidR="00BB4281" w:rsidRPr="00767A40" w:rsidRDefault="00BB4281" w:rsidP="00D221FB">
            <w:pPr>
              <w:rPr>
                <w:rFonts w:ascii="Times New Roman" w:hAnsi="Times New Roman" w:cs="Times New Roman"/>
              </w:rPr>
            </w:pPr>
            <w:r w:rsidRPr="00C30A9C">
              <w:t>USDA Organic-like</w:t>
            </w:r>
          </w:p>
        </w:tc>
      </w:tr>
      <w:tr w:rsidR="00BB4281" w:rsidRPr="00C30A9C" w14:paraId="33E3369F" w14:textId="77777777" w:rsidTr="00767A40">
        <w:tc>
          <w:tcPr>
            <w:tcW w:w="1450" w:type="dxa"/>
          </w:tcPr>
          <w:p w14:paraId="5B33984E" w14:textId="77777777" w:rsidR="00BB4281" w:rsidRPr="00767A40" w:rsidRDefault="00BB4281" w:rsidP="00D221FB">
            <w:pPr>
              <w:rPr>
                <w:rFonts w:ascii="Times New Roman" w:hAnsi="Times New Roman" w:cs="Times New Roman"/>
              </w:rPr>
            </w:pPr>
            <w:r w:rsidRPr="00C30A9C">
              <w:t>2,3</w:t>
            </w:r>
          </w:p>
        </w:tc>
        <w:tc>
          <w:tcPr>
            <w:tcW w:w="3690" w:type="dxa"/>
          </w:tcPr>
          <w:p w14:paraId="6566CD6A" w14:textId="77777777" w:rsidR="00BB4281" w:rsidRPr="00767A40" w:rsidRDefault="00BB4281" w:rsidP="00D221FB">
            <w:pPr>
              <w:rPr>
                <w:rFonts w:ascii="Times New Roman" w:hAnsi="Times New Roman" w:cs="Times New Roman"/>
              </w:rPr>
            </w:pPr>
            <w:r w:rsidRPr="00C30A9C">
              <w:t>Leaf shape</w:t>
            </w:r>
          </w:p>
        </w:tc>
      </w:tr>
      <w:tr w:rsidR="00BB4281" w:rsidRPr="00C30A9C" w14:paraId="37B721C9" w14:textId="77777777" w:rsidTr="00767A40">
        <w:tc>
          <w:tcPr>
            <w:tcW w:w="1450" w:type="dxa"/>
          </w:tcPr>
          <w:p w14:paraId="2EB346CF" w14:textId="77777777" w:rsidR="00BB4281" w:rsidRPr="00767A40" w:rsidRDefault="00BB4281" w:rsidP="00D221FB">
            <w:pPr>
              <w:rPr>
                <w:rFonts w:ascii="Times New Roman" w:hAnsi="Times New Roman" w:cs="Times New Roman"/>
              </w:rPr>
            </w:pPr>
            <w:r w:rsidRPr="00C30A9C">
              <w:t>4,7</w:t>
            </w:r>
          </w:p>
        </w:tc>
        <w:tc>
          <w:tcPr>
            <w:tcW w:w="3690" w:type="dxa"/>
          </w:tcPr>
          <w:p w14:paraId="2EB02CE5" w14:textId="77777777" w:rsidR="00BB4281" w:rsidRPr="00767A40" w:rsidRDefault="00BB4281" w:rsidP="00D221FB">
            <w:pPr>
              <w:rPr>
                <w:rFonts w:ascii="Times New Roman" w:hAnsi="Times New Roman" w:cs="Times New Roman"/>
              </w:rPr>
            </w:pPr>
            <w:r w:rsidRPr="00C30A9C">
              <w:t>Leaves inside</w:t>
            </w:r>
          </w:p>
        </w:tc>
      </w:tr>
      <w:tr w:rsidR="00BB4281" w:rsidRPr="00C30A9C" w14:paraId="27F95091" w14:textId="77777777" w:rsidTr="00767A40">
        <w:tc>
          <w:tcPr>
            <w:tcW w:w="1450" w:type="dxa"/>
          </w:tcPr>
          <w:p w14:paraId="0797F8A2" w14:textId="77777777" w:rsidR="00BB4281" w:rsidRPr="00767A40" w:rsidRDefault="00BB4281" w:rsidP="00D221FB">
            <w:pPr>
              <w:rPr>
                <w:rFonts w:ascii="Times New Roman" w:hAnsi="Times New Roman" w:cs="Times New Roman"/>
              </w:rPr>
            </w:pPr>
            <w:r w:rsidRPr="00C30A9C">
              <w:t>5,6</w:t>
            </w:r>
          </w:p>
        </w:tc>
        <w:tc>
          <w:tcPr>
            <w:tcW w:w="3690" w:type="dxa"/>
          </w:tcPr>
          <w:p w14:paraId="6C2A25CE" w14:textId="77777777" w:rsidR="00BB4281" w:rsidRPr="00767A40" w:rsidRDefault="00BB4281" w:rsidP="00D221FB">
            <w:pPr>
              <w:rPr>
                <w:rFonts w:ascii="Times New Roman" w:hAnsi="Times New Roman" w:cs="Times New Roman"/>
              </w:rPr>
            </w:pPr>
            <w:r w:rsidRPr="00C30A9C">
              <w:t>Waterdrop with wavy “Healthy”</w:t>
            </w:r>
          </w:p>
        </w:tc>
      </w:tr>
      <w:tr w:rsidR="00BB4281" w:rsidRPr="00C30A9C" w14:paraId="4874A0FF" w14:textId="77777777" w:rsidTr="00767A40">
        <w:tc>
          <w:tcPr>
            <w:tcW w:w="1450" w:type="dxa"/>
          </w:tcPr>
          <w:p w14:paraId="2294808D" w14:textId="77777777" w:rsidR="00BB4281" w:rsidRPr="00767A40" w:rsidRDefault="00BB4281" w:rsidP="00D221FB">
            <w:pPr>
              <w:rPr>
                <w:rFonts w:ascii="Times New Roman" w:hAnsi="Times New Roman" w:cs="Times New Roman"/>
              </w:rPr>
            </w:pPr>
            <w:r w:rsidRPr="00C30A9C">
              <w:t>8,9</w:t>
            </w:r>
          </w:p>
        </w:tc>
        <w:tc>
          <w:tcPr>
            <w:tcW w:w="3690" w:type="dxa"/>
          </w:tcPr>
          <w:p w14:paraId="36146BB4" w14:textId="77777777" w:rsidR="00BB4281" w:rsidRPr="00767A40" w:rsidRDefault="00BB4281" w:rsidP="00D221FB">
            <w:pPr>
              <w:rPr>
                <w:rFonts w:ascii="Times New Roman" w:hAnsi="Times New Roman" w:cs="Times New Roman"/>
              </w:rPr>
            </w:pPr>
            <w:r w:rsidRPr="00C30A9C">
              <w:t>Rounded square with check</w:t>
            </w:r>
          </w:p>
        </w:tc>
      </w:tr>
    </w:tbl>
    <w:p w14:paraId="5ACA7BA4" w14:textId="77777777" w:rsidR="00BB4281" w:rsidRPr="00767A40" w:rsidRDefault="00BB4281" w:rsidP="00E143B2">
      <w:pPr>
        <w:ind w:left="720"/>
      </w:pPr>
    </w:p>
    <w:p w14:paraId="5C4BD6F3" w14:textId="10FC7F5C" w:rsidR="00260687" w:rsidRPr="00767A40" w:rsidRDefault="00BB4281" w:rsidP="00E143B2">
      <w:pPr>
        <w:ind w:left="720"/>
      </w:pPr>
      <w:r w:rsidRPr="00767A40">
        <w:t xml:space="preserve">In addition to the themes, the </w:t>
      </w:r>
      <w:r w:rsidR="004F70CE" w:rsidRPr="00767A40">
        <w:t xml:space="preserve">symbols </w:t>
      </w:r>
      <w:r w:rsidRPr="00767A40">
        <w:t xml:space="preserve">also </w:t>
      </w:r>
      <w:r w:rsidR="004F70CE" w:rsidRPr="00767A40">
        <w:t>vary by the following characteristics:  contrast, font (official FDA</w:t>
      </w:r>
      <w:r w:rsidRPr="00767A40">
        <w:t xml:space="preserve"> font</w:t>
      </w:r>
      <w:r w:rsidR="004F70CE" w:rsidRPr="00767A40">
        <w:t>; wavy</w:t>
      </w:r>
      <w:r w:rsidRPr="00767A40">
        <w:t>, use of caps),</w:t>
      </w:r>
      <w:r w:rsidR="004F70CE" w:rsidRPr="00767A40">
        <w:t xml:space="preserve"> </w:t>
      </w:r>
      <w:r w:rsidRPr="00767A40">
        <w:t xml:space="preserve">and </w:t>
      </w:r>
      <w:r w:rsidR="004F70CE" w:rsidRPr="00767A40">
        <w:t>URL</w:t>
      </w:r>
      <w:r w:rsidRPr="00767A40">
        <w:t xml:space="preserve"> and participants will be asked to compare symbols based on these.</w:t>
      </w:r>
    </w:p>
    <w:p w14:paraId="6A2ACF7B" w14:textId="77777777" w:rsidR="00260687" w:rsidRPr="00767A40" w:rsidRDefault="00260687" w:rsidP="00E143B2">
      <w:pPr>
        <w:ind w:left="720"/>
      </w:pPr>
    </w:p>
    <w:p w14:paraId="0D9A8D96" w14:textId="18F7B55C" w:rsidR="003F1C7A" w:rsidRPr="00C30A9C" w:rsidRDefault="0049419A" w:rsidP="00F63D73">
      <w:pPr>
        <w:pStyle w:val="ListParagraph"/>
        <w:numPr>
          <w:ilvl w:val="0"/>
          <w:numId w:val="15"/>
        </w:numPr>
        <w:tabs>
          <w:tab w:val="clear" w:pos="1296"/>
        </w:tabs>
        <w:ind w:left="720"/>
      </w:pPr>
      <w:r w:rsidRPr="00C30A9C">
        <w:rPr>
          <w:b/>
        </w:rPr>
        <w:t>Intended u</w:t>
      </w:r>
      <w:r w:rsidR="00F12AEE" w:rsidRPr="00C30A9C">
        <w:rPr>
          <w:b/>
        </w:rPr>
        <w:t>se</w:t>
      </w:r>
      <w:r w:rsidRPr="00C30A9C">
        <w:rPr>
          <w:b/>
        </w:rPr>
        <w:t xml:space="preserve"> of information</w:t>
      </w:r>
      <w:r w:rsidR="003F1C7A" w:rsidRPr="00C30A9C">
        <w:rPr>
          <w:b/>
        </w:rPr>
        <w:t>:</w:t>
      </w:r>
      <w:r w:rsidR="003F1C7A" w:rsidRPr="00C30A9C">
        <w:t xml:space="preserve">  </w:t>
      </w:r>
    </w:p>
    <w:p w14:paraId="0B67946B" w14:textId="77777777" w:rsidR="004122E8" w:rsidRPr="00C30A9C" w:rsidRDefault="004122E8" w:rsidP="006C02F9">
      <w:pPr>
        <w:widowControl w:val="0"/>
        <w:ind w:left="720"/>
      </w:pPr>
    </w:p>
    <w:p w14:paraId="32A7E905" w14:textId="7810753A" w:rsidR="006C02F9" w:rsidRPr="00C30A9C" w:rsidRDefault="000776D3" w:rsidP="006C02F9">
      <w:pPr>
        <w:widowControl w:val="0"/>
        <w:ind w:left="720"/>
      </w:pPr>
      <w:r w:rsidRPr="00C30A9C">
        <w:t xml:space="preserve">This package is requesting approval of </w:t>
      </w:r>
      <w:r w:rsidR="0041569E" w:rsidRPr="00C30A9C">
        <w:t>eight</w:t>
      </w:r>
      <w:r w:rsidR="00945015" w:rsidRPr="00C30A9C">
        <w:t xml:space="preserve"> (</w:t>
      </w:r>
      <w:r w:rsidR="0041569E" w:rsidRPr="00C30A9C">
        <w:t>8</w:t>
      </w:r>
      <w:r w:rsidR="00945015" w:rsidRPr="00C30A9C">
        <w:t xml:space="preserve">) </w:t>
      </w:r>
      <w:r w:rsidR="003A266D" w:rsidRPr="00C30A9C">
        <w:t xml:space="preserve">online </w:t>
      </w:r>
      <w:r w:rsidR="005120FE" w:rsidRPr="00C30A9C">
        <w:t xml:space="preserve">focus groups </w:t>
      </w:r>
      <w:r w:rsidR="005A4F49" w:rsidRPr="00C30A9C">
        <w:t xml:space="preserve">for a third phase of </w:t>
      </w:r>
      <w:r w:rsidR="003A266D" w:rsidRPr="00C30A9C">
        <w:t xml:space="preserve">“Healthy Symbol” </w:t>
      </w:r>
      <w:r w:rsidR="005A4F49" w:rsidRPr="00C30A9C">
        <w:t>focus groups</w:t>
      </w:r>
      <w:r w:rsidR="003A266D" w:rsidRPr="00C30A9C">
        <w:t>.</w:t>
      </w:r>
      <w:r w:rsidR="005A4F49" w:rsidRPr="00C30A9C">
        <w:t xml:space="preserve"> </w:t>
      </w:r>
      <w:r w:rsidR="003A266D" w:rsidRPr="00C30A9C">
        <w:t xml:space="preserve">As in Phases I and II, Phase III focus groups will be used to </w:t>
      </w:r>
      <w:r w:rsidR="005A4F49" w:rsidRPr="00C30A9C">
        <w:t>explor</w:t>
      </w:r>
      <w:r w:rsidR="003A266D" w:rsidRPr="00C30A9C">
        <w:t>e</w:t>
      </w:r>
      <w:r w:rsidR="005A4F49" w:rsidRPr="00C30A9C">
        <w:t xml:space="preserve"> and test draft </w:t>
      </w:r>
      <w:r w:rsidR="003A266D" w:rsidRPr="00C30A9C">
        <w:t>“healthy” symbols</w:t>
      </w:r>
      <w:r w:rsidR="005A4F49" w:rsidRPr="00C30A9C">
        <w:t xml:space="preserve"> that would graphically indicate the nutrient content claim “Healthy” and will be available to manufacturers for voluntary usage on the label</w:t>
      </w:r>
      <w:r w:rsidR="003A266D" w:rsidRPr="00C30A9C">
        <w:t>.</w:t>
      </w:r>
      <w:r w:rsidR="005A4F49" w:rsidRPr="00C30A9C">
        <w:t xml:space="preserve">  </w:t>
      </w:r>
      <w:r w:rsidRPr="00C30A9C">
        <w:t xml:space="preserve">FDA continues to work with </w:t>
      </w:r>
      <w:r w:rsidR="00500B3F">
        <w:t>the</w:t>
      </w:r>
      <w:r w:rsidR="003A6102" w:rsidRPr="00C30A9C">
        <w:t xml:space="preserve"> </w:t>
      </w:r>
      <w:r w:rsidR="00DD0744" w:rsidRPr="00C30A9C">
        <w:t>professional communication</w:t>
      </w:r>
      <w:r w:rsidR="00A83968" w:rsidRPr="00C30A9C">
        <w:t>s</w:t>
      </w:r>
      <w:r w:rsidR="00DD0744" w:rsidRPr="00C30A9C">
        <w:t xml:space="preserve"> firm </w:t>
      </w:r>
      <w:r w:rsidR="00500B3F">
        <w:t>that</w:t>
      </w:r>
      <w:r w:rsidR="003A6102" w:rsidRPr="00C30A9C">
        <w:t xml:space="preserve"> use</w:t>
      </w:r>
      <w:r w:rsidR="00B8351B" w:rsidRPr="00C30A9C">
        <w:t>d</w:t>
      </w:r>
      <w:r w:rsidR="003A6102" w:rsidRPr="00C30A9C">
        <w:t xml:space="preserve"> the findings</w:t>
      </w:r>
      <w:r w:rsidR="00B8351B" w:rsidRPr="00C30A9C">
        <w:t xml:space="preserve"> from Phase I</w:t>
      </w:r>
      <w:r w:rsidR="003310AC" w:rsidRPr="00C30A9C">
        <w:t xml:space="preserve"> to produce </w:t>
      </w:r>
      <w:r w:rsidR="005D0366" w:rsidRPr="00C30A9C">
        <w:t xml:space="preserve">the </w:t>
      </w:r>
      <w:r w:rsidR="003310AC" w:rsidRPr="00C30A9C">
        <w:t xml:space="preserve">set of </w:t>
      </w:r>
      <w:r w:rsidR="00C64F6E" w:rsidRPr="00C30A9C">
        <w:t>symbols</w:t>
      </w:r>
      <w:r w:rsidR="003310AC" w:rsidRPr="00C30A9C">
        <w:t xml:space="preserve"> test</w:t>
      </w:r>
      <w:r w:rsidR="005D0366" w:rsidRPr="00C30A9C">
        <w:t>ed in the Phase II groups</w:t>
      </w:r>
      <w:r w:rsidR="003310AC" w:rsidRPr="00C30A9C">
        <w:t>.</w:t>
      </w:r>
      <w:r w:rsidR="003A6102" w:rsidRPr="00C30A9C">
        <w:t xml:space="preserve"> </w:t>
      </w:r>
    </w:p>
    <w:p w14:paraId="05126274" w14:textId="77777777" w:rsidR="006C02F9" w:rsidRPr="00C30A9C" w:rsidRDefault="006C02F9" w:rsidP="005D0366">
      <w:pPr>
        <w:widowControl w:val="0"/>
      </w:pPr>
    </w:p>
    <w:p w14:paraId="100D428B" w14:textId="6E13CDF3" w:rsidR="00FB79C4" w:rsidRPr="00C30A9C" w:rsidRDefault="00832151" w:rsidP="006C02F9">
      <w:pPr>
        <w:widowControl w:val="0"/>
        <w:ind w:left="720"/>
      </w:pPr>
      <w:r>
        <w:t>As identified above, the Phase III focus groups will be used to test</w:t>
      </w:r>
      <w:r w:rsidR="009F6A0A">
        <w:t xml:space="preserve"> symbol</w:t>
      </w:r>
      <w:r>
        <w:t xml:space="preserve"> design modifications resulting from the Phase II groups and explore new research questions arising from the Phase II groups. The intention is that the results </w:t>
      </w:r>
      <w:r w:rsidR="00B8351B">
        <w:t>of the Phase II</w:t>
      </w:r>
      <w:r>
        <w:t>I</w:t>
      </w:r>
      <w:r w:rsidR="00B8351B">
        <w:t xml:space="preserve"> </w:t>
      </w:r>
      <w:r w:rsidR="00945015">
        <w:t>f</w:t>
      </w:r>
      <w:r w:rsidR="007C69C6">
        <w:t xml:space="preserve">ocus group </w:t>
      </w:r>
      <w:r w:rsidR="00A802BA">
        <w:t>will inform</w:t>
      </w:r>
      <w:r w:rsidR="00FD1B31">
        <w:t xml:space="preserve"> </w:t>
      </w:r>
      <w:r w:rsidR="00A802BA">
        <w:t>quantitative studies</w:t>
      </w:r>
      <w:r w:rsidR="005556BA">
        <w:t xml:space="preserve"> </w:t>
      </w:r>
      <w:r w:rsidR="00AD0BB4">
        <w:t xml:space="preserve">to </w:t>
      </w:r>
      <w:r w:rsidR="007C69C6">
        <w:t xml:space="preserve">more </w:t>
      </w:r>
      <w:r w:rsidR="00AD0BB4">
        <w:t>systematically</w:t>
      </w:r>
      <w:r w:rsidR="007C69C6">
        <w:t xml:space="preserve"> </w:t>
      </w:r>
      <w:r w:rsidR="00AD0BB4">
        <w:t xml:space="preserve">test </w:t>
      </w:r>
      <w:r w:rsidR="005C13BE">
        <w:t>symbol</w:t>
      </w:r>
      <w:r w:rsidR="007C69C6">
        <w:t xml:space="preserve"> effects.</w:t>
      </w:r>
      <w:r w:rsidR="00A802BA">
        <w:t xml:space="preserve"> </w:t>
      </w:r>
      <w:r>
        <w:t>Following the Phase III focus groups, a</w:t>
      </w:r>
      <w:r w:rsidR="006C02F9">
        <w:t xml:space="preserve"> reduced number of </w:t>
      </w:r>
      <w:r w:rsidR="005C13BE">
        <w:t>symbols</w:t>
      </w:r>
      <w:r w:rsidR="006C02F9">
        <w:t xml:space="preserve"> will be subject to two sets of online market research surveys and an online experiment</w:t>
      </w:r>
      <w:r w:rsidR="004F1994">
        <w:t xml:space="preserve">. </w:t>
      </w:r>
      <w:r w:rsidR="007C69C6">
        <w:t xml:space="preserve">The </w:t>
      </w:r>
      <w:r>
        <w:t xml:space="preserve">body of research involved in the exploration of a “healthy” </w:t>
      </w:r>
      <w:r w:rsidR="005C13BE">
        <w:t>symbol</w:t>
      </w:r>
      <w:r>
        <w:t xml:space="preserve"> </w:t>
      </w:r>
      <w:r w:rsidR="007C69C6">
        <w:t xml:space="preserve">will help FDA </w:t>
      </w:r>
      <w:r w:rsidR="00A802BA">
        <w:t xml:space="preserve">assess the potential for a “healthy” </w:t>
      </w:r>
      <w:r w:rsidR="005C13BE">
        <w:t>symbol</w:t>
      </w:r>
      <w:r w:rsidR="00A802BA">
        <w:t xml:space="preserve"> to help consumers make food choices.</w:t>
      </w:r>
      <w:r w:rsidR="000F6D02">
        <w:t xml:space="preserve"> </w:t>
      </w:r>
      <w:r w:rsidR="00A802BA">
        <w:t xml:space="preserve"> </w:t>
      </w:r>
      <w:r w:rsidR="00B8351B">
        <w:t>A s</w:t>
      </w:r>
      <w:r w:rsidR="005556BA">
        <w:t xml:space="preserve">eparate information collection request </w:t>
      </w:r>
      <w:r w:rsidR="00AD0BB4">
        <w:t xml:space="preserve">will be submitted for </w:t>
      </w:r>
      <w:r w:rsidR="00B8351B">
        <w:t>the quantitative</w:t>
      </w:r>
      <w:r w:rsidR="00AD0BB4">
        <w:t xml:space="preserve"> research</w:t>
      </w:r>
      <w:r w:rsidR="005556BA">
        <w:t>.</w:t>
      </w:r>
    </w:p>
    <w:p w14:paraId="29082190" w14:textId="77777777" w:rsidR="003F1C7A" w:rsidRPr="00C30A9C" w:rsidRDefault="003F1C7A" w:rsidP="001B392C">
      <w:pPr>
        <w:ind w:left="360"/>
      </w:pPr>
    </w:p>
    <w:p w14:paraId="37FC61DC" w14:textId="77777777" w:rsidR="003F1C7A" w:rsidRPr="00C30A9C" w:rsidRDefault="0049419A" w:rsidP="001B392C">
      <w:pPr>
        <w:keepNext/>
        <w:numPr>
          <w:ilvl w:val="0"/>
          <w:numId w:val="15"/>
        </w:numPr>
        <w:tabs>
          <w:tab w:val="clear" w:pos="1296"/>
          <w:tab w:val="num" w:pos="720"/>
        </w:tabs>
        <w:ind w:left="720"/>
      </w:pPr>
      <w:r w:rsidRPr="00C30A9C">
        <w:rPr>
          <w:b/>
        </w:rPr>
        <w:t>Description of r</w:t>
      </w:r>
      <w:r w:rsidR="00F12AEE" w:rsidRPr="00C30A9C">
        <w:rPr>
          <w:b/>
        </w:rPr>
        <w:t>espondents</w:t>
      </w:r>
      <w:r w:rsidR="003F1C7A" w:rsidRPr="00C30A9C">
        <w:rPr>
          <w:b/>
        </w:rPr>
        <w:t>:</w:t>
      </w:r>
      <w:r w:rsidR="003F1C7A" w:rsidRPr="00C30A9C">
        <w:t xml:space="preserve">  </w:t>
      </w:r>
    </w:p>
    <w:p w14:paraId="123D3A2B" w14:textId="77777777" w:rsidR="004122E8" w:rsidRPr="00C30A9C" w:rsidRDefault="004122E8" w:rsidP="001B392C">
      <w:pPr>
        <w:ind w:left="720"/>
      </w:pPr>
    </w:p>
    <w:p w14:paraId="72316B37" w14:textId="264311E9" w:rsidR="00B26010" w:rsidRPr="00C30A9C" w:rsidRDefault="00C52DAD" w:rsidP="001B392C">
      <w:pPr>
        <w:ind w:left="720"/>
      </w:pPr>
      <w:r>
        <w:t>Groups will include only adults (18+)</w:t>
      </w:r>
      <w:r w:rsidR="00ED7C61">
        <w:t xml:space="preserve"> and</w:t>
      </w:r>
      <w:r w:rsidR="0093362F">
        <w:t xml:space="preserve"> will be segmented by level of nutrition motivation</w:t>
      </w:r>
      <w:r w:rsidR="007239ED">
        <w:t xml:space="preserve"> (high and low nutrition motivation)</w:t>
      </w:r>
      <w:r w:rsidR="0093362F">
        <w:t xml:space="preserve">, assessed using two questions that will gauge participants </w:t>
      </w:r>
      <w:r w:rsidR="003310AC">
        <w:t xml:space="preserve">use of the Nutrition Facts </w:t>
      </w:r>
      <w:r w:rsidR="789EB618">
        <w:t>l</w:t>
      </w:r>
      <w:r w:rsidR="003310AC">
        <w:t>abel</w:t>
      </w:r>
      <w:r w:rsidR="0093362F">
        <w:t>.</w:t>
      </w:r>
      <w:r w:rsidR="000F6D02">
        <w:t xml:space="preserve"> </w:t>
      </w:r>
      <w:r w:rsidR="0093362F">
        <w:t xml:space="preserve"> </w:t>
      </w:r>
      <w:r w:rsidR="00B26010">
        <w:t>Segmenting by nutrition motivation will help FDA clarify di</w:t>
      </w:r>
      <w:r w:rsidR="001B392C">
        <w:t xml:space="preserve">fferences between </w:t>
      </w:r>
      <w:r w:rsidR="00B26010">
        <w:t>levels of motivation and learn how best to convey “healthy” in a way that appeals to individuals not already motivated to mak</w:t>
      </w:r>
      <w:r w:rsidR="008B199F">
        <w:t>ing</w:t>
      </w:r>
      <w:r w:rsidR="00B26010">
        <w:t xml:space="preserve"> healthy food choices. </w:t>
      </w:r>
    </w:p>
    <w:p w14:paraId="103083D4" w14:textId="77777777" w:rsidR="00B26010" w:rsidRPr="00C30A9C" w:rsidRDefault="00B26010" w:rsidP="001B392C">
      <w:pPr>
        <w:ind w:left="720"/>
      </w:pPr>
    </w:p>
    <w:p w14:paraId="684318E0" w14:textId="3B0920E5" w:rsidR="00576639" w:rsidRPr="00C30A9C" w:rsidRDefault="00E62E33" w:rsidP="001B392C">
      <w:pPr>
        <w:ind w:left="720"/>
      </w:pPr>
      <w:r w:rsidRPr="00C30A9C">
        <w:t xml:space="preserve">Groups will </w:t>
      </w:r>
      <w:r w:rsidR="0093362F" w:rsidRPr="00C30A9C">
        <w:t xml:space="preserve">also </w:t>
      </w:r>
      <w:r w:rsidRPr="00C30A9C">
        <w:t xml:space="preserve">be segmented by education level with half the groups </w:t>
      </w:r>
      <w:r w:rsidR="002E5CC6" w:rsidRPr="00C30A9C">
        <w:t xml:space="preserve">being comprised of individuals with some university level courses and higher and </w:t>
      </w:r>
      <w:r w:rsidR="00B00D27" w:rsidRPr="00C30A9C">
        <w:t xml:space="preserve">half with a </w:t>
      </w:r>
      <w:r w:rsidR="002E5CC6" w:rsidRPr="00C30A9C">
        <w:t xml:space="preserve">community college degree and lower. </w:t>
      </w:r>
      <w:r w:rsidR="000F6D02" w:rsidRPr="00C30A9C">
        <w:t xml:space="preserve"> </w:t>
      </w:r>
      <w:r w:rsidR="002E5CC6" w:rsidRPr="00C30A9C">
        <w:t xml:space="preserve">The groups will have a mix of ages, race/ethnicities, and genders. </w:t>
      </w:r>
      <w:r w:rsidR="000F6D02" w:rsidRPr="00C30A9C">
        <w:t xml:space="preserve"> </w:t>
      </w:r>
      <w:r w:rsidR="00576639" w:rsidRPr="00C30A9C">
        <w:t xml:space="preserve">No more than </w:t>
      </w:r>
      <w:r w:rsidR="003A266D" w:rsidRPr="00C30A9C">
        <w:t>6</w:t>
      </w:r>
      <w:r w:rsidR="00576639" w:rsidRPr="00C30A9C">
        <w:t xml:space="preserve"> participants will participate in a group (see Appendix I</w:t>
      </w:r>
      <w:r w:rsidR="00760CBA" w:rsidRPr="00C30A9C">
        <w:t>I</w:t>
      </w:r>
      <w:r w:rsidR="006A2D27" w:rsidRPr="00C30A9C">
        <w:t>, Participant Screener</w:t>
      </w:r>
      <w:r w:rsidR="00576639" w:rsidRPr="00C30A9C">
        <w:t xml:space="preserve">). </w:t>
      </w:r>
    </w:p>
    <w:p w14:paraId="4094CB1B" w14:textId="27409C68" w:rsidR="00EB3878" w:rsidRPr="00C30A9C" w:rsidRDefault="00EB3878" w:rsidP="00F47DE6"/>
    <w:p w14:paraId="74BD1433" w14:textId="77777777" w:rsidR="00EB3878" w:rsidRPr="00C30A9C" w:rsidRDefault="00EB3878" w:rsidP="001B392C">
      <w:pPr>
        <w:ind w:left="720"/>
      </w:pPr>
    </w:p>
    <w:p w14:paraId="2DFFF238" w14:textId="77777777" w:rsidR="003F1C7A" w:rsidRPr="00C30A9C" w:rsidRDefault="003F1C7A" w:rsidP="001B392C">
      <w:pPr>
        <w:numPr>
          <w:ilvl w:val="0"/>
          <w:numId w:val="15"/>
        </w:numPr>
        <w:tabs>
          <w:tab w:val="clear" w:pos="1296"/>
          <w:tab w:val="num" w:pos="720"/>
        </w:tabs>
        <w:ind w:left="720"/>
      </w:pPr>
      <w:r w:rsidRPr="00C30A9C">
        <w:rPr>
          <w:b/>
        </w:rPr>
        <w:t xml:space="preserve">Date(s) </w:t>
      </w:r>
      <w:r w:rsidR="009404FA" w:rsidRPr="00C30A9C">
        <w:rPr>
          <w:b/>
        </w:rPr>
        <w:t xml:space="preserve">to be conducted </w:t>
      </w:r>
      <w:r w:rsidRPr="00C30A9C">
        <w:rPr>
          <w:b/>
        </w:rPr>
        <w:t>and location(s)</w:t>
      </w:r>
      <w:r w:rsidR="0049419A" w:rsidRPr="00C30A9C">
        <w:rPr>
          <w:b/>
        </w:rPr>
        <w:t>:</w:t>
      </w:r>
      <w:r w:rsidRPr="00C30A9C">
        <w:rPr>
          <w:b/>
        </w:rPr>
        <w:t xml:space="preserve">  </w:t>
      </w:r>
    </w:p>
    <w:p w14:paraId="173ECB0A" w14:textId="77777777" w:rsidR="004122E8" w:rsidRPr="00C30A9C" w:rsidRDefault="004122E8" w:rsidP="001B392C">
      <w:pPr>
        <w:ind w:left="720"/>
      </w:pPr>
    </w:p>
    <w:p w14:paraId="4EFC28C8" w14:textId="201DF397" w:rsidR="00D14201" w:rsidRPr="00C30A9C" w:rsidRDefault="00D14201" w:rsidP="001B392C">
      <w:pPr>
        <w:ind w:left="720"/>
      </w:pPr>
      <w:r w:rsidRPr="00C30A9C">
        <w:t xml:space="preserve">Focus groups will be conducted approximately one month from the date of OMB approval. </w:t>
      </w:r>
      <w:r w:rsidR="000F6D02" w:rsidRPr="00C30A9C">
        <w:t xml:space="preserve"> </w:t>
      </w:r>
      <w:r w:rsidR="00500B3F">
        <w:t xml:space="preserve">By holding the focus groups online, the </w:t>
      </w:r>
      <w:r w:rsidR="001470C1" w:rsidRPr="00C30A9C">
        <w:t xml:space="preserve">study will enroll participants </w:t>
      </w:r>
      <w:r w:rsidR="00D8523E" w:rsidRPr="00C30A9C">
        <w:t>from locales across the United States</w:t>
      </w:r>
      <w:r w:rsidR="00500B3F">
        <w:t xml:space="preserve">. </w:t>
      </w:r>
    </w:p>
    <w:p w14:paraId="4D9E3E24" w14:textId="77777777" w:rsidR="00190AA2" w:rsidRPr="00C30A9C" w:rsidRDefault="00190AA2" w:rsidP="001B392C">
      <w:pPr>
        <w:ind w:left="360"/>
      </w:pPr>
    </w:p>
    <w:p w14:paraId="4AC2C105" w14:textId="1436A295" w:rsidR="00E26798" w:rsidRPr="00C30A9C" w:rsidRDefault="00140A0D" w:rsidP="001B392C">
      <w:pPr>
        <w:numPr>
          <w:ilvl w:val="0"/>
          <w:numId w:val="15"/>
        </w:numPr>
        <w:tabs>
          <w:tab w:val="clear" w:pos="1296"/>
          <w:tab w:val="num" w:pos="720"/>
        </w:tabs>
        <w:ind w:left="720"/>
      </w:pPr>
      <w:r w:rsidRPr="488EE300">
        <w:rPr>
          <w:b/>
          <w:bCs/>
        </w:rPr>
        <w:t xml:space="preserve">How the </w:t>
      </w:r>
      <w:r w:rsidR="11DB12B5" w:rsidRPr="488EE300">
        <w:rPr>
          <w:b/>
          <w:bCs/>
        </w:rPr>
        <w:t>i</w:t>
      </w:r>
      <w:r w:rsidRPr="488EE300">
        <w:rPr>
          <w:b/>
          <w:bCs/>
        </w:rPr>
        <w:t>nformation is being collected</w:t>
      </w:r>
      <w:r w:rsidR="0049419A" w:rsidRPr="488EE300">
        <w:rPr>
          <w:b/>
          <w:bCs/>
        </w:rPr>
        <w:t>:</w:t>
      </w:r>
    </w:p>
    <w:p w14:paraId="1AE11A64" w14:textId="77777777" w:rsidR="004122E8" w:rsidRPr="00C30A9C" w:rsidRDefault="004122E8" w:rsidP="001B392C">
      <w:pPr>
        <w:ind w:left="720"/>
        <w:rPr>
          <w:u w:val="single"/>
        </w:rPr>
      </w:pPr>
    </w:p>
    <w:p w14:paraId="2C73C3C5" w14:textId="5EFFEAD7" w:rsidR="00EE231A" w:rsidRPr="00C30A9C" w:rsidRDefault="00EE231A" w:rsidP="001B392C">
      <w:pPr>
        <w:ind w:left="720"/>
        <w:rPr>
          <w:u w:val="single"/>
        </w:rPr>
      </w:pPr>
      <w:r w:rsidRPr="00C30A9C">
        <w:rPr>
          <w:u w:val="single"/>
        </w:rPr>
        <w:t>Recruitment Information</w:t>
      </w:r>
    </w:p>
    <w:p w14:paraId="02644F01" w14:textId="77777777" w:rsidR="004122E8" w:rsidRPr="00C30A9C" w:rsidRDefault="004122E8" w:rsidP="001B392C">
      <w:pPr>
        <w:ind w:left="720"/>
      </w:pPr>
    </w:p>
    <w:p w14:paraId="702A2612" w14:textId="08006F99" w:rsidR="00EE231A" w:rsidRPr="00C30A9C" w:rsidRDefault="00EE231A" w:rsidP="001B392C">
      <w:pPr>
        <w:ind w:left="720"/>
      </w:pPr>
      <w:r w:rsidRPr="00C30A9C">
        <w:t>Staff from the focus group facilities will use their in-house databases to recruit participants via telephone using the participant screener (Appendix I</w:t>
      </w:r>
      <w:r w:rsidR="00760CBA" w:rsidRPr="00C30A9C">
        <w:t>I</w:t>
      </w:r>
      <w:r w:rsidRPr="00C30A9C">
        <w:t xml:space="preserve">). </w:t>
      </w:r>
      <w:r w:rsidR="000F6D02" w:rsidRPr="00C30A9C">
        <w:t xml:space="preserve"> </w:t>
      </w:r>
      <w:r w:rsidRPr="00C30A9C">
        <w:t xml:space="preserve">The facilities’ staff will provide all necessary information and instructions to ensure participants </w:t>
      </w:r>
      <w:r w:rsidR="00B65FD4" w:rsidRPr="00C30A9C">
        <w:t xml:space="preserve">receive the web-link to participate in the groups from their preferred locations. </w:t>
      </w:r>
      <w:r w:rsidRPr="00C30A9C">
        <w:t xml:space="preserve">Facilities will conduct recruitment and ensure that the needed number of participants </w:t>
      </w:r>
      <w:r w:rsidR="00B65FD4" w:rsidRPr="00C30A9C">
        <w:t>appear</w:t>
      </w:r>
      <w:r w:rsidRPr="00C30A9C">
        <w:t xml:space="preserve"> for their scheduled time slot. </w:t>
      </w:r>
      <w:r w:rsidR="000F6D02" w:rsidRPr="00C30A9C">
        <w:t xml:space="preserve"> </w:t>
      </w:r>
      <w:r w:rsidRPr="00C30A9C">
        <w:t>The facilities will send confirmation and reminder correspondences to</w:t>
      </w:r>
      <w:r w:rsidR="008B199F">
        <w:t xml:space="preserve"> the</w:t>
      </w:r>
      <w:r w:rsidRPr="00C30A9C">
        <w:t xml:space="preserve"> recruited participants to help ensure </w:t>
      </w:r>
      <w:r w:rsidR="00B65FD4" w:rsidRPr="00C30A9C">
        <w:t>participation</w:t>
      </w:r>
      <w:r w:rsidRPr="00C30A9C">
        <w:t>.</w:t>
      </w:r>
    </w:p>
    <w:p w14:paraId="1031ACA0" w14:textId="77777777" w:rsidR="00B65FD4" w:rsidRPr="00B60313" w:rsidRDefault="00B65FD4" w:rsidP="00B60313">
      <w:pPr>
        <w:rPr>
          <w:u w:val="single"/>
        </w:rPr>
      </w:pPr>
    </w:p>
    <w:p w14:paraId="48C5E05E" w14:textId="287AF5BA" w:rsidR="00EE231A" w:rsidRPr="00B60313" w:rsidRDefault="00EE231A" w:rsidP="001B392C">
      <w:pPr>
        <w:ind w:left="720"/>
        <w:rPr>
          <w:u w:val="single"/>
        </w:rPr>
      </w:pPr>
      <w:r w:rsidRPr="00B60313">
        <w:rPr>
          <w:u w:val="single"/>
        </w:rPr>
        <w:t>Focus Group Discussions</w:t>
      </w:r>
    </w:p>
    <w:p w14:paraId="437C727B" w14:textId="77777777" w:rsidR="004122E8" w:rsidRPr="00C30A9C" w:rsidRDefault="004122E8" w:rsidP="001B392C">
      <w:pPr>
        <w:ind w:left="720"/>
      </w:pPr>
    </w:p>
    <w:p w14:paraId="6FFFB9AE" w14:textId="48BE3177" w:rsidR="00EE231A" w:rsidRPr="00C30A9C" w:rsidRDefault="00EE231A" w:rsidP="001B392C">
      <w:pPr>
        <w:ind w:left="720"/>
      </w:pPr>
      <w:r w:rsidRPr="00C30A9C">
        <w:t>The moderator will use the attached moderator guide</w:t>
      </w:r>
      <w:r w:rsidR="00102CB9" w:rsidRPr="00C30A9C">
        <w:t xml:space="preserve"> </w:t>
      </w:r>
      <w:r w:rsidRPr="00C30A9C">
        <w:t>(</w:t>
      </w:r>
      <w:r w:rsidR="00102CB9" w:rsidRPr="00C30A9C">
        <w:t>Appendi</w:t>
      </w:r>
      <w:r w:rsidR="00F2502B" w:rsidRPr="00C30A9C">
        <w:t>x II</w:t>
      </w:r>
      <w:r w:rsidR="00760CBA" w:rsidRPr="00C30A9C">
        <w:t>I</w:t>
      </w:r>
      <w:r w:rsidRPr="00C30A9C">
        <w:t>) to ensure that all relevant topic areas</w:t>
      </w:r>
      <w:r w:rsidR="00F2502B" w:rsidRPr="00C30A9C">
        <w:t xml:space="preserve"> </w:t>
      </w:r>
      <w:r w:rsidRPr="00C30A9C">
        <w:t>are addressed.  The focus group facilities will make audio and video recordings to ensure a verbatim record of the proceedings is captured.</w:t>
      </w:r>
    </w:p>
    <w:p w14:paraId="408336BB" w14:textId="77777777" w:rsidR="00EE231A" w:rsidRPr="00C30A9C" w:rsidRDefault="00EE231A" w:rsidP="001B392C">
      <w:pPr>
        <w:ind w:left="720"/>
      </w:pPr>
    </w:p>
    <w:p w14:paraId="04D77AC8" w14:textId="23A797A9" w:rsidR="00EE231A" w:rsidRPr="00C30A9C" w:rsidRDefault="00EE231A" w:rsidP="001B392C">
      <w:pPr>
        <w:ind w:left="720"/>
      </w:pPr>
      <w:r w:rsidRPr="00C30A9C">
        <w:t xml:space="preserve">The Contractor will comply with safeguards for ensuring participant information is kept </w:t>
      </w:r>
      <w:r w:rsidR="00C96629" w:rsidRPr="00C30A9C">
        <w:t xml:space="preserve">secure </w:t>
      </w:r>
      <w:r w:rsidRPr="00C30A9C">
        <w:t xml:space="preserve">to the extent permitted by law. </w:t>
      </w:r>
      <w:r w:rsidR="000F6D02" w:rsidRPr="00C30A9C">
        <w:t xml:space="preserve"> </w:t>
      </w:r>
      <w:r w:rsidRPr="00C30A9C">
        <w:t>The last names of the participants will not appear on any focus group materials. Verbatim quotes included in the final report will not be attributed to any individual.</w:t>
      </w:r>
    </w:p>
    <w:p w14:paraId="598DEBC6" w14:textId="77777777" w:rsidR="00F12AEE" w:rsidRPr="00C30A9C" w:rsidRDefault="00F12AEE" w:rsidP="001B392C">
      <w:pPr>
        <w:ind w:left="720"/>
      </w:pPr>
    </w:p>
    <w:p w14:paraId="349AEFB6" w14:textId="77777777" w:rsidR="003F1C7A" w:rsidRPr="00C30A9C" w:rsidRDefault="003F1C7A" w:rsidP="001B392C">
      <w:pPr>
        <w:keepNext/>
        <w:numPr>
          <w:ilvl w:val="0"/>
          <w:numId w:val="15"/>
        </w:numPr>
        <w:tabs>
          <w:tab w:val="clear" w:pos="1296"/>
          <w:tab w:val="num" w:pos="720"/>
        </w:tabs>
        <w:ind w:left="720"/>
      </w:pPr>
      <w:r w:rsidRPr="00C30A9C">
        <w:rPr>
          <w:b/>
        </w:rPr>
        <w:t>Number of focus groups</w:t>
      </w:r>
      <w:r w:rsidR="0049419A" w:rsidRPr="00C30A9C">
        <w:rPr>
          <w:b/>
        </w:rPr>
        <w:t>:</w:t>
      </w:r>
    </w:p>
    <w:p w14:paraId="68559BEB" w14:textId="77777777" w:rsidR="00B415A5" w:rsidRPr="00C30A9C" w:rsidRDefault="00B415A5" w:rsidP="001B392C">
      <w:pPr>
        <w:ind w:left="720"/>
      </w:pPr>
    </w:p>
    <w:p w14:paraId="36EAD85C" w14:textId="23041BC5" w:rsidR="00205677" w:rsidRPr="00C30A9C" w:rsidRDefault="00205677" w:rsidP="001B392C">
      <w:pPr>
        <w:ind w:left="720"/>
      </w:pPr>
      <w:r w:rsidRPr="00C30A9C">
        <w:t xml:space="preserve">A total of </w:t>
      </w:r>
      <w:r w:rsidR="00B65FD4" w:rsidRPr="00C30A9C">
        <w:t>8</w:t>
      </w:r>
      <w:r w:rsidRPr="00C30A9C">
        <w:t xml:space="preserve"> focus groups </w:t>
      </w:r>
      <w:r w:rsidR="00500B3F">
        <w:t>with</w:t>
      </w:r>
      <w:r w:rsidR="00C52DAD" w:rsidRPr="00C30A9C">
        <w:t xml:space="preserve"> </w:t>
      </w:r>
      <w:r w:rsidR="00B65FD4" w:rsidRPr="00C30A9C">
        <w:t>6</w:t>
      </w:r>
      <w:r w:rsidR="00C52DAD" w:rsidRPr="00C30A9C">
        <w:t xml:space="preserve"> participants </w:t>
      </w:r>
      <w:r w:rsidR="00500B3F">
        <w:t xml:space="preserve">each </w:t>
      </w:r>
      <w:r w:rsidR="00C52DAD" w:rsidRPr="00C30A9C">
        <w:t>will be conducted</w:t>
      </w:r>
      <w:r w:rsidRPr="00C30A9C">
        <w:t xml:space="preserve">. </w:t>
      </w:r>
    </w:p>
    <w:p w14:paraId="6A7B0096" w14:textId="77777777" w:rsidR="0049419A" w:rsidRPr="00C30A9C" w:rsidRDefault="0049419A" w:rsidP="001B392C">
      <w:pPr>
        <w:ind w:left="720"/>
      </w:pPr>
    </w:p>
    <w:p w14:paraId="0BD2590E" w14:textId="77777777" w:rsidR="00E26798" w:rsidRPr="00C30A9C" w:rsidRDefault="0049419A" w:rsidP="001B392C">
      <w:pPr>
        <w:numPr>
          <w:ilvl w:val="0"/>
          <w:numId w:val="15"/>
        </w:numPr>
        <w:tabs>
          <w:tab w:val="clear" w:pos="1296"/>
          <w:tab w:val="num" w:pos="720"/>
        </w:tabs>
        <w:ind w:left="720"/>
      </w:pPr>
      <w:r w:rsidRPr="00C30A9C">
        <w:rPr>
          <w:b/>
        </w:rPr>
        <w:t>Amount and justification for any proposed incentive:</w:t>
      </w:r>
      <w:r w:rsidR="003F1C7A" w:rsidRPr="00C30A9C">
        <w:t xml:space="preserve"> </w:t>
      </w:r>
    </w:p>
    <w:p w14:paraId="6F967F52" w14:textId="77777777" w:rsidR="008B199F" w:rsidRDefault="008B199F" w:rsidP="008B199F"/>
    <w:p w14:paraId="021B33C3" w14:textId="1BC07A88" w:rsidR="008B199F" w:rsidRPr="008B199F" w:rsidRDefault="008B199F" w:rsidP="008B199F">
      <w:pPr>
        <w:ind w:left="720"/>
        <w:rPr>
          <w:color w:val="201F1E"/>
        </w:rPr>
      </w:pPr>
      <w:r w:rsidRPr="008B199F">
        <w:t>To prepare for these focus groups, we consulted with facilities and recruitment vendors that host and recruit online focus groups to determine incentive rates.  Based on these consultations, we propose an incentive amount of $75 as a token of appreciation</w:t>
      </w:r>
      <w:r w:rsidR="000D7A12">
        <w:t>, to be dispersed after the discussion has ended</w:t>
      </w:r>
      <w:r w:rsidRPr="008B199F">
        <w:t xml:space="preserve">. </w:t>
      </w:r>
      <w:r w:rsidRPr="008B199F">
        <w:rPr>
          <w:color w:val="201F1E"/>
        </w:rPr>
        <w:t>The incentives will ensure that we are able to attract participants who meet our screening requirements to participate in the online focus groups and improve the likelihood that they will show for the discussion.</w:t>
      </w:r>
    </w:p>
    <w:p w14:paraId="689D6FDE" w14:textId="77777777" w:rsidR="008B199F" w:rsidRPr="008B199F" w:rsidRDefault="008B199F" w:rsidP="008B199F">
      <w:pPr>
        <w:rPr>
          <w:color w:val="201F1E"/>
        </w:rPr>
      </w:pPr>
    </w:p>
    <w:p w14:paraId="1C7A934A" w14:textId="77777777" w:rsidR="000D7A12" w:rsidRDefault="008B199F" w:rsidP="000D7A12">
      <w:pPr>
        <w:ind w:left="720"/>
        <w:rPr>
          <w:color w:val="201F1E"/>
        </w:rPr>
      </w:pPr>
      <w:r w:rsidRPr="008B199F">
        <w:rPr>
          <w:color w:val="201F1E"/>
        </w:rPr>
        <w:t xml:space="preserve">The proposed incentive amount is below market rate for focus groups, whether online or in-person.  Recruiting firms and researchers determine market rates for research participation based on what other comparable studies in the field are offering and what rate will incentivize the required population to participate in the research. Vendors </w:t>
      </w:r>
      <w:r w:rsidRPr="008B199F">
        <w:rPr>
          <w:color w:val="201F1E"/>
        </w:rPr>
        <w:lastRenderedPageBreak/>
        <w:t>estimate that studies conducted with similar populations and levels of effort in this market at this time pay incentives of $100-$150.  Our proposed incentive is based on participants spending approximately two hours of their time on this effort, which includes time spent for online and phone screening (5 minutes), time for testing the platform (10 minutes), time to participate in the focus group (90 minutes), and the request to log in 15 minutes early to confirm technical operation.  The Bureau of Labor Statistics (BLS) calculated that the average hourly wage of employees on private nonfarm payrolls in June 2020 is $29.37 (Bureau of Labor Statistics, 2020)</w:t>
      </w:r>
      <w:r w:rsidRPr="008B199F">
        <w:rPr>
          <w:rStyle w:val="FootnoteReference"/>
          <w:color w:val="201F1E"/>
        </w:rPr>
        <w:footnoteReference w:id="3"/>
      </w:r>
      <w:r w:rsidRPr="008B199F">
        <w:rPr>
          <w:color w:val="201F1E"/>
        </w:rPr>
        <w:t>. At that hourly rate, compensation for two hours is approximately $60. Additional factors contributing to the cost of our proposed incentive include:</w:t>
      </w:r>
    </w:p>
    <w:p w14:paraId="04231537" w14:textId="77777777" w:rsidR="000D7A12" w:rsidRDefault="000D7A12" w:rsidP="000D7A12">
      <w:pPr>
        <w:ind w:left="720"/>
        <w:rPr>
          <w:color w:val="201F1E"/>
        </w:rPr>
      </w:pPr>
    </w:p>
    <w:p w14:paraId="0D86A268" w14:textId="011133BF" w:rsidR="000D7A12" w:rsidRDefault="008B199F" w:rsidP="000D7A12">
      <w:pPr>
        <w:pStyle w:val="ListParagraph"/>
        <w:numPr>
          <w:ilvl w:val="0"/>
          <w:numId w:val="25"/>
        </w:numPr>
        <w:rPr>
          <w:color w:val="201F1E"/>
        </w:rPr>
      </w:pPr>
      <w:r w:rsidRPr="000D7A12">
        <w:rPr>
          <w:color w:val="201F1E"/>
        </w:rPr>
        <w:t>Participants are required to join the group from a quiet location where there are no distractions, which may require childcare or special accommodations during that time. BLS calculated in May 2018 that the average hourly wage of childcare workers is $11.83, making the average cost of two hours of childcare $24 (Bureau of Labor Statistics, 2018)</w:t>
      </w:r>
      <w:r w:rsidRPr="008B199F">
        <w:rPr>
          <w:rStyle w:val="FootnoteReference"/>
          <w:color w:val="201F1E"/>
        </w:rPr>
        <w:footnoteReference w:id="4"/>
      </w:r>
    </w:p>
    <w:p w14:paraId="0BFAD033" w14:textId="77777777" w:rsidR="000D7A12" w:rsidRDefault="000D7A12" w:rsidP="000D7A12">
      <w:pPr>
        <w:pStyle w:val="ListParagraph"/>
        <w:ind w:left="1440"/>
        <w:rPr>
          <w:color w:val="201F1E"/>
        </w:rPr>
      </w:pPr>
    </w:p>
    <w:p w14:paraId="1A751408" w14:textId="5827E4F0" w:rsidR="008B199F" w:rsidRPr="000D7A12" w:rsidRDefault="008B199F" w:rsidP="000D7A12">
      <w:pPr>
        <w:pStyle w:val="ListParagraph"/>
        <w:numPr>
          <w:ilvl w:val="0"/>
          <w:numId w:val="25"/>
        </w:numPr>
        <w:rPr>
          <w:color w:val="201F1E"/>
        </w:rPr>
      </w:pPr>
      <w:r w:rsidRPr="000D7A12">
        <w:rPr>
          <w:color w:val="201F1E"/>
        </w:rPr>
        <w:t>The focus groups will be conducted online, and participants must have a computer and broadband Internet to participate in the groups; participating will use approximately two hours of data on their Internet plans.</w:t>
      </w:r>
    </w:p>
    <w:p w14:paraId="2290B199" w14:textId="77777777" w:rsidR="008B199F" w:rsidRDefault="008B199F" w:rsidP="001B392C">
      <w:pPr>
        <w:ind w:left="720"/>
      </w:pPr>
    </w:p>
    <w:p w14:paraId="640E7959" w14:textId="4479FA85" w:rsidR="007853F0" w:rsidRPr="008B199F" w:rsidRDefault="00B46254" w:rsidP="001B392C">
      <w:pPr>
        <w:pStyle w:val="ListParagraph"/>
      </w:pPr>
      <w:r w:rsidRPr="008B199F">
        <w:t>T</w:t>
      </w:r>
      <w:r w:rsidR="007853F0" w:rsidRPr="008B199F">
        <w:t>he importance of monetary compensation for focus group participation</w:t>
      </w:r>
      <w:r w:rsidRPr="008B199F">
        <w:t xml:space="preserve"> has been discussed by</w:t>
      </w:r>
      <w:r w:rsidR="007853F0" w:rsidRPr="008B199F">
        <w:t xml:space="preserve"> </w:t>
      </w:r>
      <w:r w:rsidR="002A0451" w:rsidRPr="008B199F">
        <w:t>Krueger and Casey (2014)</w:t>
      </w:r>
      <w:r w:rsidRPr="008B199F">
        <w:t>, who</w:t>
      </w:r>
      <w:r w:rsidR="007853F0" w:rsidRPr="008B199F">
        <w:t xml:space="preserve"> indicate that offering minimal levels of monetary compensation can help ensure that sufficient numbers of participants will attend</w:t>
      </w:r>
      <w:r w:rsidR="0017544C" w:rsidRPr="008B199F">
        <w:t>,</w:t>
      </w:r>
      <w:r w:rsidR="007853F0" w:rsidRPr="008B199F">
        <w:t xml:space="preserve"> thereby yielding </w:t>
      </w:r>
      <w:r w:rsidR="0017544C" w:rsidRPr="008B199F">
        <w:t xml:space="preserve">more </w:t>
      </w:r>
      <w:r w:rsidR="007853F0" w:rsidRPr="008B199F">
        <w:t xml:space="preserve">useful </w:t>
      </w:r>
      <w:r w:rsidR="0017544C" w:rsidRPr="008B199F">
        <w:t xml:space="preserve">research </w:t>
      </w:r>
      <w:r w:rsidR="007853F0" w:rsidRPr="008B199F">
        <w:t>results.</w:t>
      </w:r>
      <w:r w:rsidR="002A0451" w:rsidRPr="008B199F">
        <w:rPr>
          <w:rStyle w:val="FootnoteReference"/>
        </w:rPr>
        <w:footnoteReference w:id="5"/>
      </w:r>
      <w:r w:rsidR="007853F0" w:rsidRPr="008B199F">
        <w:t xml:space="preserve">  Further, in a meta-analysis of 38 experiments and quasi-experiments, Church (1993) found that providing cash incentives for participation was far more effective than nonmonetary gifts in generating survey response, and prepaid monetary incentives yielded an average increase of 19.1 percentage</w:t>
      </w:r>
      <w:r w:rsidR="00071751" w:rsidRPr="008B199F">
        <w:t xml:space="preserve"> points over comparison groups.</w:t>
      </w:r>
      <w:r w:rsidR="00071751" w:rsidRPr="008B199F">
        <w:rPr>
          <w:rStyle w:val="FootnoteReference"/>
        </w:rPr>
        <w:footnoteReference w:id="6"/>
      </w:r>
      <w:r w:rsidR="00071751" w:rsidRPr="008B199F">
        <w:t xml:space="preserve"> </w:t>
      </w:r>
      <w:r w:rsidR="000F6D02" w:rsidRPr="008B199F">
        <w:t xml:space="preserve"> </w:t>
      </w:r>
      <w:r w:rsidR="00071751" w:rsidRPr="008B199F">
        <w:t>When applied in a reasonable manner, incentives are not an unjust inducement and are an approach that acknowledges respondents for their participation</w:t>
      </w:r>
      <w:r w:rsidR="00DD24A2" w:rsidRPr="008B199F">
        <w:t xml:space="preserve"> and treats them justly and with respect by recognizing and acknowledging the effort they expend to participate</w:t>
      </w:r>
      <w:r w:rsidR="00071751" w:rsidRPr="008B199F">
        <w:t>.</w:t>
      </w:r>
      <w:r w:rsidR="00071751" w:rsidRPr="008B199F">
        <w:rPr>
          <w:rStyle w:val="FootnoteReference"/>
        </w:rPr>
        <w:footnoteReference w:id="7"/>
      </w:r>
      <w:r w:rsidR="00DD24A2" w:rsidRPr="008B199F">
        <w:t xml:space="preserve"> </w:t>
      </w:r>
      <w:r w:rsidR="000F6D02" w:rsidRPr="008B199F">
        <w:t xml:space="preserve"> </w:t>
      </w:r>
      <w:r w:rsidR="007853F0" w:rsidRPr="008B199F">
        <w:t xml:space="preserve">Finally, the importance of monetary incentives </w:t>
      </w:r>
      <w:r w:rsidRPr="008B199F">
        <w:t>has</w:t>
      </w:r>
      <w:r w:rsidR="007853F0" w:rsidRPr="008B199F">
        <w:t xml:space="preserve"> been corroborated in experiences related to the National Adult Literacy Survey by Berlin </w:t>
      </w:r>
      <w:r w:rsidR="005C1579" w:rsidRPr="008B199F">
        <w:t xml:space="preserve">and colleagues </w:t>
      </w:r>
      <w:r w:rsidR="007853F0" w:rsidRPr="008B199F">
        <w:t>(1992)</w:t>
      </w:r>
      <w:r w:rsidR="007F5F99" w:rsidRPr="008B199F">
        <w:rPr>
          <w:rStyle w:val="FootnoteReference"/>
        </w:rPr>
        <w:footnoteReference w:id="8"/>
      </w:r>
      <w:r w:rsidR="007853F0" w:rsidRPr="008B199F">
        <w:t xml:space="preserve"> and </w:t>
      </w:r>
      <w:r w:rsidR="007C2C46" w:rsidRPr="008B199F">
        <w:t>internal</w:t>
      </w:r>
      <w:r w:rsidR="00AF5DE2" w:rsidRPr="008B199F">
        <w:t xml:space="preserve"> </w:t>
      </w:r>
      <w:r w:rsidR="00906986" w:rsidRPr="008B199F">
        <w:t xml:space="preserve">proprietary </w:t>
      </w:r>
      <w:r w:rsidR="00AF5DE2" w:rsidRPr="008B199F">
        <w:t xml:space="preserve">research </w:t>
      </w:r>
      <w:r w:rsidR="007C2C46" w:rsidRPr="008B199F">
        <w:t>conducted by our contractor</w:t>
      </w:r>
      <w:r w:rsidRPr="008B199F">
        <w:t xml:space="preserve">, </w:t>
      </w:r>
      <w:r w:rsidR="00275ACB" w:rsidRPr="008B199F">
        <w:t>FMG</w:t>
      </w:r>
      <w:r w:rsidR="007853F0" w:rsidRPr="008B199F">
        <w:t>.</w:t>
      </w:r>
    </w:p>
    <w:p w14:paraId="1A5242C5" w14:textId="77777777" w:rsidR="008E5BE4" w:rsidRPr="008B199F" w:rsidRDefault="008E5BE4" w:rsidP="001B392C">
      <w:pPr>
        <w:pStyle w:val="ListParagraph"/>
      </w:pPr>
    </w:p>
    <w:p w14:paraId="60D84792" w14:textId="77777777" w:rsidR="00140A0D" w:rsidRPr="00C30A9C" w:rsidRDefault="00140A0D" w:rsidP="001B392C">
      <w:pPr>
        <w:numPr>
          <w:ilvl w:val="0"/>
          <w:numId w:val="15"/>
        </w:numPr>
        <w:tabs>
          <w:tab w:val="clear" w:pos="1296"/>
          <w:tab w:val="num" w:pos="720"/>
          <w:tab w:val="num" w:pos="900"/>
        </w:tabs>
        <w:ind w:left="720"/>
      </w:pPr>
      <w:r w:rsidRPr="00C30A9C">
        <w:rPr>
          <w:b/>
        </w:rPr>
        <w:t>Questions of a Sensitive Nature:</w:t>
      </w:r>
    </w:p>
    <w:p w14:paraId="5F460462" w14:textId="77777777" w:rsidR="00B415A5" w:rsidRPr="00C30A9C" w:rsidRDefault="00B415A5" w:rsidP="001B392C">
      <w:pPr>
        <w:pStyle w:val="ListParagraph"/>
      </w:pPr>
    </w:p>
    <w:p w14:paraId="643E9B3B" w14:textId="562BC6C7" w:rsidR="00140A0D" w:rsidRPr="00C30A9C" w:rsidRDefault="00B415A5" w:rsidP="001B392C">
      <w:pPr>
        <w:pStyle w:val="ListParagraph"/>
      </w:pPr>
      <w:r w:rsidRPr="00C30A9C">
        <w:t>There will be no questions of a sensitive nature asked of participants.</w:t>
      </w:r>
    </w:p>
    <w:p w14:paraId="50D6158D" w14:textId="77777777" w:rsidR="00140A0D" w:rsidRPr="00C30A9C" w:rsidRDefault="00140A0D" w:rsidP="001B392C">
      <w:pPr>
        <w:pStyle w:val="ListParagraph"/>
      </w:pPr>
    </w:p>
    <w:p w14:paraId="4005AA60" w14:textId="77777777" w:rsidR="00140A0D" w:rsidRPr="00C30A9C" w:rsidRDefault="00140A0D" w:rsidP="001B392C">
      <w:pPr>
        <w:numPr>
          <w:ilvl w:val="0"/>
          <w:numId w:val="15"/>
        </w:numPr>
        <w:tabs>
          <w:tab w:val="clear" w:pos="1296"/>
          <w:tab w:val="num" w:pos="720"/>
          <w:tab w:val="num" w:pos="900"/>
        </w:tabs>
        <w:ind w:left="720"/>
      </w:pPr>
      <w:r w:rsidRPr="00C30A9C">
        <w:rPr>
          <w:b/>
        </w:rPr>
        <w:t xml:space="preserve">Description of </w:t>
      </w:r>
      <w:r w:rsidR="00163E86" w:rsidRPr="00C30A9C">
        <w:rPr>
          <w:b/>
        </w:rPr>
        <w:t>s</w:t>
      </w:r>
      <w:r w:rsidRPr="00C30A9C">
        <w:rPr>
          <w:b/>
        </w:rPr>
        <w:t xml:space="preserve">tatistical </w:t>
      </w:r>
      <w:r w:rsidR="00163E86" w:rsidRPr="00C30A9C">
        <w:rPr>
          <w:b/>
        </w:rPr>
        <w:t>m</w:t>
      </w:r>
      <w:r w:rsidRPr="00C30A9C">
        <w:rPr>
          <w:b/>
        </w:rPr>
        <w:t>ethods (</w:t>
      </w:r>
      <w:r w:rsidR="00163E86" w:rsidRPr="00C30A9C">
        <w:rPr>
          <w:b/>
        </w:rPr>
        <w:t>i.e</w:t>
      </w:r>
      <w:r w:rsidR="00B31D14" w:rsidRPr="00C30A9C">
        <w:rPr>
          <w:b/>
        </w:rPr>
        <w:t>.,</w:t>
      </w:r>
      <w:r w:rsidR="00E971FC" w:rsidRPr="00C30A9C">
        <w:rPr>
          <w:b/>
        </w:rPr>
        <w:t xml:space="preserve"> </w:t>
      </w:r>
      <w:r w:rsidR="00163E86" w:rsidRPr="00C30A9C">
        <w:rPr>
          <w:b/>
        </w:rPr>
        <w:t>s</w:t>
      </w:r>
      <w:r w:rsidRPr="00C30A9C">
        <w:rPr>
          <w:b/>
        </w:rPr>
        <w:t xml:space="preserve">ample </w:t>
      </w:r>
      <w:r w:rsidR="00163E86" w:rsidRPr="00C30A9C">
        <w:rPr>
          <w:b/>
        </w:rPr>
        <w:t>s</w:t>
      </w:r>
      <w:r w:rsidRPr="00C30A9C">
        <w:rPr>
          <w:b/>
        </w:rPr>
        <w:t xml:space="preserve">ize &amp; </w:t>
      </w:r>
      <w:r w:rsidR="00163E86" w:rsidRPr="00C30A9C">
        <w:rPr>
          <w:b/>
        </w:rPr>
        <w:t>m</w:t>
      </w:r>
      <w:r w:rsidRPr="00C30A9C">
        <w:rPr>
          <w:b/>
        </w:rPr>
        <w:t xml:space="preserve">ethod of </w:t>
      </w:r>
      <w:r w:rsidR="00163E86" w:rsidRPr="00C30A9C">
        <w:rPr>
          <w:b/>
        </w:rPr>
        <w:t>s</w:t>
      </w:r>
      <w:r w:rsidRPr="00C30A9C">
        <w:rPr>
          <w:b/>
        </w:rPr>
        <w:t>election):</w:t>
      </w:r>
    </w:p>
    <w:p w14:paraId="75092FEB" w14:textId="77777777" w:rsidR="00DB2CCE" w:rsidRPr="00C30A9C" w:rsidRDefault="00DB2CCE" w:rsidP="001B392C">
      <w:pPr>
        <w:ind w:left="720"/>
      </w:pPr>
    </w:p>
    <w:p w14:paraId="3465EAC9" w14:textId="700F7108" w:rsidR="00473C32" w:rsidRPr="00C30A9C" w:rsidRDefault="00473C32" w:rsidP="001B392C">
      <w:pPr>
        <w:ind w:left="720"/>
      </w:pPr>
      <w:r w:rsidRPr="00C30A9C">
        <w:t>The Contractor will contact prospective participants by telephone and screen them for eligibility to participate (Appendix I</w:t>
      </w:r>
      <w:r w:rsidR="00760CBA" w:rsidRPr="00C30A9C">
        <w:t>I</w:t>
      </w:r>
      <w:r w:rsidRPr="00C30A9C">
        <w:t xml:space="preserve">). </w:t>
      </w:r>
      <w:r w:rsidR="000F6D02" w:rsidRPr="00C30A9C">
        <w:t xml:space="preserve"> </w:t>
      </w:r>
      <w:r w:rsidRPr="00C30A9C">
        <w:t xml:space="preserve">The facilities’ staff will provide all necessary information and instructions to ensure participants </w:t>
      </w:r>
      <w:r w:rsidR="003868B1" w:rsidRPr="00C30A9C">
        <w:t>access the web portal where the groups will take place</w:t>
      </w:r>
      <w:r w:rsidRPr="00C30A9C">
        <w:t xml:space="preserve"> on the agreed upon date and time.</w:t>
      </w:r>
      <w:r w:rsidR="000F6D02" w:rsidRPr="00C30A9C">
        <w:t xml:space="preserve"> </w:t>
      </w:r>
      <w:r w:rsidRPr="00C30A9C">
        <w:t xml:space="preserve"> Facilities will conduct recruitment and ensure that the needed number of participants </w:t>
      </w:r>
      <w:r w:rsidR="003868B1" w:rsidRPr="00C30A9C">
        <w:t xml:space="preserve">participate during </w:t>
      </w:r>
      <w:r w:rsidRPr="00C30A9C">
        <w:t xml:space="preserve">their scheduled time slot. </w:t>
      </w:r>
      <w:r w:rsidR="000F6D02" w:rsidRPr="00C30A9C">
        <w:t xml:space="preserve"> </w:t>
      </w:r>
      <w:r w:rsidRPr="00C30A9C">
        <w:t>This study employs qualitative methods and does not entail the use of any statistical methods.</w:t>
      </w:r>
    </w:p>
    <w:p w14:paraId="44ECE68E" w14:textId="77777777" w:rsidR="00473C32" w:rsidRPr="00C30A9C" w:rsidRDefault="00473C32" w:rsidP="001B392C">
      <w:pPr>
        <w:ind w:left="720"/>
      </w:pPr>
    </w:p>
    <w:p w14:paraId="22B3D73E" w14:textId="7D9E5924" w:rsidR="00140A0D" w:rsidRPr="00C30A9C" w:rsidRDefault="00473C32" w:rsidP="00EB3878">
      <w:pPr>
        <w:ind w:left="720"/>
      </w:pPr>
      <w:r w:rsidRPr="00C30A9C">
        <w:t xml:space="preserve">Table 1 shows the estimated annual reporting burden for the groups, assuming </w:t>
      </w:r>
      <w:r w:rsidR="00C30A9C">
        <w:t>6</w:t>
      </w:r>
      <w:r w:rsidRPr="00C30A9C">
        <w:t xml:space="preserve"> participants per group.</w:t>
      </w:r>
    </w:p>
    <w:p w14:paraId="68551AF2" w14:textId="77777777" w:rsidR="00190AA2" w:rsidRPr="00C30A9C" w:rsidRDefault="00190AA2" w:rsidP="001B392C">
      <w:pPr>
        <w:pStyle w:val="ListParagraph"/>
      </w:pPr>
    </w:p>
    <w:p w14:paraId="23F7A350" w14:textId="77777777" w:rsidR="003F1C7A" w:rsidRPr="00C30A9C" w:rsidRDefault="003F1C7A" w:rsidP="001B392C">
      <w:pPr>
        <w:rPr>
          <w:i/>
        </w:rPr>
      </w:pPr>
      <w:r w:rsidRPr="00C30A9C">
        <w:rPr>
          <w:b/>
        </w:rPr>
        <w:t>BURDEN HOUR COMPUTATION</w:t>
      </w:r>
      <w:r w:rsidRPr="00C30A9C">
        <w:t xml:space="preserve"> </w:t>
      </w:r>
      <w:r w:rsidRPr="00C30A9C">
        <w:rPr>
          <w:i/>
        </w:rPr>
        <w:t>(Number of responses</w:t>
      </w:r>
      <w:r w:rsidR="0049419A" w:rsidRPr="00C30A9C">
        <w:rPr>
          <w:i/>
        </w:rPr>
        <w:t xml:space="preserve"> </w:t>
      </w:r>
      <w:r w:rsidRPr="00C30A9C">
        <w:rPr>
          <w:i/>
        </w:rPr>
        <w:t>(X) estimated response or participation time in minutes (/60) = annual burden hours):</w:t>
      </w:r>
    </w:p>
    <w:p w14:paraId="6E40EF07" w14:textId="77777777" w:rsidR="005C6A7F" w:rsidRPr="00C30A9C" w:rsidRDefault="005C6A7F" w:rsidP="001B392C">
      <w:pPr>
        <w:rPr>
          <w:i/>
        </w:rPr>
      </w:pPr>
    </w:p>
    <w:p w14:paraId="4C1EDDDF" w14:textId="77777777" w:rsidR="003F1C7A" w:rsidRPr="00C30A9C" w:rsidRDefault="00F62F0B" w:rsidP="001B392C">
      <w:pPr>
        <w:keepNext/>
        <w:keepLines/>
        <w:rPr>
          <w:b/>
        </w:rPr>
      </w:pPr>
      <w:r w:rsidRPr="00C30A9C">
        <w:rPr>
          <w:b/>
        </w:rPr>
        <w:t>Table 1.</w:t>
      </w:r>
    </w:p>
    <w:p w14:paraId="57329771" w14:textId="77777777" w:rsidR="00F62F0B" w:rsidRPr="00C30A9C" w:rsidRDefault="00F62F0B" w:rsidP="001B392C">
      <w:pPr>
        <w:keepNext/>
        <w:keepLines/>
        <w:rPr>
          <w:b/>
        </w:rPr>
      </w:pP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1985"/>
        <w:gridCol w:w="1985"/>
        <w:gridCol w:w="1986"/>
      </w:tblGrid>
      <w:tr w:rsidR="003F1C7A" w:rsidRPr="00C30A9C" w14:paraId="37A6164E" w14:textId="77777777" w:rsidTr="00862F2F">
        <w:trPr>
          <w:cantSplit/>
          <w:trHeight w:val="274"/>
          <w:jc w:val="center"/>
        </w:trPr>
        <w:tc>
          <w:tcPr>
            <w:tcW w:w="2536" w:type="dxa"/>
            <w:shd w:val="clear" w:color="auto" w:fill="E0E0E0"/>
          </w:tcPr>
          <w:p w14:paraId="4AE8A550" w14:textId="77777777" w:rsidR="003F1C7A" w:rsidRPr="00C30A9C" w:rsidRDefault="00696B03" w:rsidP="001B392C">
            <w:pPr>
              <w:rPr>
                <w:b/>
              </w:rPr>
            </w:pPr>
            <w:r w:rsidRPr="00C30A9C">
              <w:rPr>
                <w:b/>
              </w:rPr>
              <w:t>Type/</w:t>
            </w:r>
            <w:r w:rsidR="003F1C7A" w:rsidRPr="00C30A9C">
              <w:rPr>
                <w:b/>
              </w:rPr>
              <w:t>Category of Respondent</w:t>
            </w:r>
          </w:p>
        </w:tc>
        <w:tc>
          <w:tcPr>
            <w:tcW w:w="1985" w:type="dxa"/>
            <w:shd w:val="clear" w:color="auto" w:fill="E0E0E0"/>
          </w:tcPr>
          <w:p w14:paraId="5A1AD10B" w14:textId="77777777" w:rsidR="003F1C7A" w:rsidRPr="00C30A9C" w:rsidRDefault="003F1C7A" w:rsidP="001B392C">
            <w:pPr>
              <w:rPr>
                <w:b/>
              </w:rPr>
            </w:pPr>
            <w:r w:rsidRPr="00C30A9C">
              <w:rPr>
                <w:b/>
              </w:rPr>
              <w:t>No. of Respondent</w:t>
            </w:r>
            <w:r w:rsidR="00696B03" w:rsidRPr="00C30A9C">
              <w:rPr>
                <w:b/>
              </w:rPr>
              <w:t>s</w:t>
            </w:r>
          </w:p>
        </w:tc>
        <w:tc>
          <w:tcPr>
            <w:tcW w:w="1985" w:type="dxa"/>
            <w:shd w:val="clear" w:color="auto" w:fill="E0E0E0"/>
          </w:tcPr>
          <w:p w14:paraId="51D26AD0" w14:textId="77777777" w:rsidR="003F1C7A" w:rsidRPr="00C30A9C" w:rsidRDefault="003F1C7A" w:rsidP="001B392C">
            <w:pPr>
              <w:rPr>
                <w:b/>
              </w:rPr>
            </w:pPr>
            <w:r w:rsidRPr="00C30A9C">
              <w:rPr>
                <w:b/>
              </w:rPr>
              <w:t>Participation Time</w:t>
            </w:r>
            <w:r w:rsidR="00696B03" w:rsidRPr="00C30A9C">
              <w:rPr>
                <w:b/>
              </w:rPr>
              <w:t xml:space="preserve"> (minutes)</w:t>
            </w:r>
          </w:p>
        </w:tc>
        <w:tc>
          <w:tcPr>
            <w:tcW w:w="1986" w:type="dxa"/>
            <w:shd w:val="clear" w:color="auto" w:fill="E0E0E0"/>
          </w:tcPr>
          <w:p w14:paraId="105882E9" w14:textId="77777777" w:rsidR="003F1C7A" w:rsidRPr="00C30A9C" w:rsidRDefault="003F1C7A" w:rsidP="001B392C">
            <w:pPr>
              <w:rPr>
                <w:b/>
              </w:rPr>
            </w:pPr>
            <w:r w:rsidRPr="00C30A9C">
              <w:rPr>
                <w:b/>
              </w:rPr>
              <w:t>Burden</w:t>
            </w:r>
          </w:p>
          <w:p w14:paraId="2EA2D3DA" w14:textId="77777777" w:rsidR="00696B03" w:rsidRPr="00C30A9C" w:rsidRDefault="00696B03" w:rsidP="001B392C">
            <w:pPr>
              <w:rPr>
                <w:b/>
              </w:rPr>
            </w:pPr>
            <w:r w:rsidRPr="00C30A9C">
              <w:rPr>
                <w:b/>
              </w:rPr>
              <w:t>(hours)</w:t>
            </w:r>
          </w:p>
        </w:tc>
      </w:tr>
      <w:tr w:rsidR="00F62F0B" w:rsidRPr="00C30A9C" w14:paraId="0C15F45D" w14:textId="77777777" w:rsidTr="00862F2F">
        <w:trPr>
          <w:trHeight w:val="274"/>
          <w:jc w:val="center"/>
        </w:trPr>
        <w:tc>
          <w:tcPr>
            <w:tcW w:w="2536" w:type="dxa"/>
          </w:tcPr>
          <w:p w14:paraId="79B28C71" w14:textId="77777777" w:rsidR="00F62F0B" w:rsidRPr="00C30A9C" w:rsidRDefault="00F62F0B" w:rsidP="001B392C">
            <w:r w:rsidRPr="00C30A9C">
              <w:t>Screener</w:t>
            </w:r>
          </w:p>
        </w:tc>
        <w:tc>
          <w:tcPr>
            <w:tcW w:w="1985" w:type="dxa"/>
          </w:tcPr>
          <w:p w14:paraId="51C2D0A6" w14:textId="19DE6930" w:rsidR="00F62F0B" w:rsidRPr="00C30A9C" w:rsidRDefault="00500B3F" w:rsidP="00AC4E36">
            <w:pPr>
              <w:jc w:val="center"/>
            </w:pPr>
            <w:r>
              <w:t>72</w:t>
            </w:r>
          </w:p>
        </w:tc>
        <w:tc>
          <w:tcPr>
            <w:tcW w:w="1985" w:type="dxa"/>
          </w:tcPr>
          <w:p w14:paraId="39CB450D" w14:textId="77777777" w:rsidR="00F62F0B" w:rsidRPr="00C30A9C" w:rsidRDefault="00F62F0B" w:rsidP="00AC4E36">
            <w:pPr>
              <w:jc w:val="center"/>
            </w:pPr>
            <w:r w:rsidRPr="00C30A9C">
              <w:t>5</w:t>
            </w:r>
          </w:p>
        </w:tc>
        <w:tc>
          <w:tcPr>
            <w:tcW w:w="1986" w:type="dxa"/>
          </w:tcPr>
          <w:p w14:paraId="4624C7E8" w14:textId="047628CA" w:rsidR="00F62F0B" w:rsidRPr="00C30A9C" w:rsidRDefault="00720DAC" w:rsidP="00AC4E36">
            <w:pPr>
              <w:jc w:val="center"/>
            </w:pPr>
            <w:r w:rsidRPr="00C30A9C">
              <w:t>6</w:t>
            </w:r>
          </w:p>
        </w:tc>
      </w:tr>
      <w:tr w:rsidR="00AC4E36" w:rsidRPr="00C30A9C" w14:paraId="3C7AEFD5" w14:textId="77777777" w:rsidTr="00862F2F">
        <w:trPr>
          <w:trHeight w:val="274"/>
          <w:jc w:val="center"/>
        </w:trPr>
        <w:tc>
          <w:tcPr>
            <w:tcW w:w="2536" w:type="dxa"/>
          </w:tcPr>
          <w:p w14:paraId="3ABCD6AE" w14:textId="35CF8474" w:rsidR="00AC4E36" w:rsidRPr="00C30A9C" w:rsidRDefault="00AC4E36" w:rsidP="001B392C">
            <w:r>
              <w:t>Testing Platform</w:t>
            </w:r>
            <w:r w:rsidR="00772C42">
              <w:t xml:space="preserve"> and logging into system</w:t>
            </w:r>
          </w:p>
        </w:tc>
        <w:tc>
          <w:tcPr>
            <w:tcW w:w="1985" w:type="dxa"/>
          </w:tcPr>
          <w:p w14:paraId="7984A115" w14:textId="796B1419" w:rsidR="00AC4E36" w:rsidRPr="00C30A9C" w:rsidRDefault="00AC4E36" w:rsidP="00AC4E36">
            <w:pPr>
              <w:jc w:val="center"/>
            </w:pPr>
            <w:r>
              <w:t>48</w:t>
            </w:r>
          </w:p>
        </w:tc>
        <w:tc>
          <w:tcPr>
            <w:tcW w:w="1985" w:type="dxa"/>
          </w:tcPr>
          <w:p w14:paraId="70249498" w14:textId="02865A04" w:rsidR="00AC4E36" w:rsidRPr="00C30A9C" w:rsidRDefault="00194285" w:rsidP="00AC4E36">
            <w:pPr>
              <w:jc w:val="center"/>
            </w:pPr>
            <w:r>
              <w:t>25</w:t>
            </w:r>
          </w:p>
        </w:tc>
        <w:tc>
          <w:tcPr>
            <w:tcW w:w="1986" w:type="dxa"/>
          </w:tcPr>
          <w:p w14:paraId="46656FB3" w14:textId="56FE7F49" w:rsidR="00AC4E36" w:rsidRPr="00C30A9C" w:rsidRDefault="00772C42" w:rsidP="00AC4E36">
            <w:pPr>
              <w:jc w:val="center"/>
            </w:pPr>
            <w:r>
              <w:t>20</w:t>
            </w:r>
          </w:p>
        </w:tc>
      </w:tr>
      <w:tr w:rsidR="007E76D6" w:rsidRPr="00C30A9C" w14:paraId="62D4BEAB" w14:textId="77777777" w:rsidTr="00862F2F">
        <w:trPr>
          <w:trHeight w:val="274"/>
          <w:jc w:val="center"/>
        </w:trPr>
        <w:tc>
          <w:tcPr>
            <w:tcW w:w="2536" w:type="dxa"/>
          </w:tcPr>
          <w:p w14:paraId="414C4889" w14:textId="77777777" w:rsidR="007E76D6" w:rsidRPr="00C30A9C" w:rsidRDefault="007E76D6" w:rsidP="001B392C">
            <w:r w:rsidRPr="00C30A9C">
              <w:t>Focus group discussion</w:t>
            </w:r>
          </w:p>
        </w:tc>
        <w:tc>
          <w:tcPr>
            <w:tcW w:w="1985" w:type="dxa"/>
          </w:tcPr>
          <w:p w14:paraId="268784D1" w14:textId="1C7ED8B3" w:rsidR="007E76D6" w:rsidRPr="00C30A9C" w:rsidRDefault="00720DAC" w:rsidP="00AC4E36">
            <w:pPr>
              <w:jc w:val="center"/>
            </w:pPr>
            <w:r w:rsidRPr="00C30A9C">
              <w:t>48</w:t>
            </w:r>
          </w:p>
        </w:tc>
        <w:tc>
          <w:tcPr>
            <w:tcW w:w="1985" w:type="dxa"/>
          </w:tcPr>
          <w:p w14:paraId="37FEFF9F" w14:textId="32A9116D" w:rsidR="007E76D6" w:rsidRPr="00C30A9C" w:rsidDel="0016369C" w:rsidRDefault="00720DAC" w:rsidP="00AC4E36">
            <w:pPr>
              <w:jc w:val="center"/>
            </w:pPr>
            <w:r w:rsidRPr="00C30A9C">
              <w:t>90</w:t>
            </w:r>
          </w:p>
        </w:tc>
        <w:tc>
          <w:tcPr>
            <w:tcW w:w="1986" w:type="dxa"/>
          </w:tcPr>
          <w:p w14:paraId="4CA14B5B" w14:textId="68921EED" w:rsidR="007E76D6" w:rsidRPr="00C30A9C" w:rsidDel="0016369C" w:rsidRDefault="00720DAC" w:rsidP="00AC4E36">
            <w:pPr>
              <w:jc w:val="center"/>
            </w:pPr>
            <w:r w:rsidRPr="00C30A9C">
              <w:t>72</w:t>
            </w:r>
          </w:p>
        </w:tc>
      </w:tr>
      <w:tr w:rsidR="001C7B3E" w:rsidRPr="00C30A9C" w14:paraId="17BA2E99" w14:textId="77777777" w:rsidTr="00D221FB">
        <w:trPr>
          <w:trHeight w:val="274"/>
          <w:jc w:val="center"/>
        </w:trPr>
        <w:tc>
          <w:tcPr>
            <w:tcW w:w="6506" w:type="dxa"/>
            <w:gridSpan w:val="3"/>
          </w:tcPr>
          <w:p w14:paraId="16A39372" w14:textId="77777777" w:rsidR="001C7B3E" w:rsidRPr="00C30A9C" w:rsidRDefault="001C7B3E" w:rsidP="001B392C">
            <w:r w:rsidRPr="00C30A9C">
              <w:t>Total</w:t>
            </w:r>
          </w:p>
        </w:tc>
        <w:tc>
          <w:tcPr>
            <w:tcW w:w="1986" w:type="dxa"/>
          </w:tcPr>
          <w:p w14:paraId="1C5C306B" w14:textId="6DAB4442" w:rsidR="001C7B3E" w:rsidRPr="00C30A9C" w:rsidRDefault="00AC4E36" w:rsidP="00AC4E36">
            <w:pPr>
              <w:jc w:val="center"/>
            </w:pPr>
            <w:r>
              <w:t>9</w:t>
            </w:r>
            <w:r w:rsidR="00720DAC" w:rsidRPr="00C30A9C">
              <w:t>8</w:t>
            </w:r>
          </w:p>
        </w:tc>
      </w:tr>
    </w:tbl>
    <w:p w14:paraId="5C9A601F" w14:textId="77777777" w:rsidR="003F1C7A" w:rsidRPr="00C30A9C" w:rsidRDefault="003F1C7A" w:rsidP="001B392C"/>
    <w:p w14:paraId="7B1E937C" w14:textId="7717F81A" w:rsidR="002427E4" w:rsidRDefault="002427E4" w:rsidP="001B392C">
      <w:pPr>
        <w:rPr>
          <w:b/>
        </w:rPr>
      </w:pPr>
      <w:r>
        <w:rPr>
          <w:b/>
        </w:rPr>
        <w:t>List of all attachments:</w:t>
      </w:r>
    </w:p>
    <w:p w14:paraId="6D95EB83" w14:textId="77777777" w:rsidR="00E010BE" w:rsidRPr="002427E4" w:rsidRDefault="00E010BE" w:rsidP="001B392C">
      <w:pPr>
        <w:rPr>
          <w:b/>
        </w:rPr>
      </w:pPr>
    </w:p>
    <w:p w14:paraId="2ECD6C15" w14:textId="77777777" w:rsidR="002427E4" w:rsidRDefault="002427E4" w:rsidP="00E010BE">
      <w:pPr>
        <w:pStyle w:val="ListParagraph"/>
        <w:numPr>
          <w:ilvl w:val="1"/>
          <w:numId w:val="24"/>
        </w:numPr>
        <w:ind w:left="360"/>
        <w:rPr>
          <w:sz w:val="22"/>
          <w:szCs w:val="22"/>
        </w:rPr>
      </w:pPr>
      <w:r>
        <w:t>Appendix I: “Healthy” Symbols</w:t>
      </w:r>
    </w:p>
    <w:p w14:paraId="19B83062" w14:textId="77777777" w:rsidR="002427E4" w:rsidRDefault="002427E4" w:rsidP="00E010BE">
      <w:pPr>
        <w:pStyle w:val="ListParagraph"/>
        <w:numPr>
          <w:ilvl w:val="1"/>
          <w:numId w:val="24"/>
        </w:numPr>
        <w:ind w:left="360"/>
      </w:pPr>
      <w:r>
        <w:t>Appendix II: Participant Screener</w:t>
      </w:r>
    </w:p>
    <w:p w14:paraId="4A24CF68" w14:textId="77777777" w:rsidR="002427E4" w:rsidRDefault="002427E4" w:rsidP="00E010BE">
      <w:pPr>
        <w:pStyle w:val="ListParagraph"/>
        <w:numPr>
          <w:ilvl w:val="1"/>
          <w:numId w:val="24"/>
        </w:numPr>
        <w:ind w:left="360"/>
      </w:pPr>
      <w:r>
        <w:t>Appendix III: Moderators Guide</w:t>
      </w:r>
    </w:p>
    <w:p w14:paraId="01359E47" w14:textId="77777777" w:rsidR="002427E4" w:rsidRDefault="002427E4" w:rsidP="00E010BE">
      <w:pPr>
        <w:pStyle w:val="ListParagraph"/>
        <w:numPr>
          <w:ilvl w:val="1"/>
          <w:numId w:val="24"/>
        </w:numPr>
        <w:ind w:left="360"/>
      </w:pPr>
      <w:r>
        <w:t>Appendix IV: Phase III Healthy Symbols Information Piece</w:t>
      </w:r>
    </w:p>
    <w:p w14:paraId="0105C6F0" w14:textId="77777777" w:rsidR="002427E4" w:rsidRDefault="002427E4" w:rsidP="00E010BE">
      <w:pPr>
        <w:pStyle w:val="ListParagraph"/>
        <w:numPr>
          <w:ilvl w:val="1"/>
          <w:numId w:val="24"/>
        </w:numPr>
        <w:ind w:left="360"/>
      </w:pPr>
      <w:r>
        <w:t>Appendix V: Confirmation and Reminder Letters</w:t>
      </w:r>
    </w:p>
    <w:p w14:paraId="7DB7CE8D" w14:textId="77777777" w:rsidR="002427E4" w:rsidRDefault="002427E4" w:rsidP="00E010BE">
      <w:pPr>
        <w:rPr>
          <w:b/>
        </w:rPr>
      </w:pPr>
    </w:p>
    <w:p w14:paraId="23E96A3D" w14:textId="77777777" w:rsidR="002427E4" w:rsidRDefault="002427E4" w:rsidP="001B392C">
      <w:pPr>
        <w:rPr>
          <w:b/>
        </w:rPr>
      </w:pPr>
    </w:p>
    <w:p w14:paraId="5BC2076C" w14:textId="27E7A479" w:rsidR="00B71082" w:rsidRPr="00C30A9C" w:rsidRDefault="00DB7E1F" w:rsidP="001B392C">
      <w:r w:rsidRPr="00C30A9C">
        <w:rPr>
          <w:b/>
        </w:rPr>
        <w:t xml:space="preserve">REQUESTED APPROVAL DATE: </w:t>
      </w:r>
      <w:r w:rsidR="00E010BE" w:rsidRPr="00E010BE">
        <w:t>July, 2020</w:t>
      </w:r>
    </w:p>
    <w:p w14:paraId="3DA38F6E" w14:textId="7C9D751E" w:rsidR="003F1C7A" w:rsidRDefault="003F1C7A" w:rsidP="001B392C">
      <w:pPr>
        <w:rPr>
          <w:b/>
        </w:rPr>
      </w:pPr>
    </w:p>
    <w:p w14:paraId="3FA304D2" w14:textId="6BFCCF1E" w:rsidR="00E010BE" w:rsidRDefault="00E010BE" w:rsidP="001B392C">
      <w:pPr>
        <w:rPr>
          <w:b/>
        </w:rPr>
      </w:pPr>
    </w:p>
    <w:p w14:paraId="5CA2A224" w14:textId="66331CD0" w:rsidR="00E010BE" w:rsidRDefault="00E010BE" w:rsidP="001B392C">
      <w:pPr>
        <w:rPr>
          <w:b/>
        </w:rPr>
      </w:pPr>
    </w:p>
    <w:p w14:paraId="51E53A51" w14:textId="61FB1EB3" w:rsidR="00E010BE" w:rsidRDefault="00E010BE" w:rsidP="001B392C">
      <w:pPr>
        <w:rPr>
          <w:b/>
        </w:rPr>
      </w:pPr>
    </w:p>
    <w:p w14:paraId="79D59ABB" w14:textId="129DF2BF" w:rsidR="00E010BE" w:rsidRDefault="00E010BE" w:rsidP="001B392C">
      <w:pPr>
        <w:rPr>
          <w:b/>
        </w:rPr>
      </w:pPr>
    </w:p>
    <w:p w14:paraId="507631C6" w14:textId="77777777" w:rsidR="00E010BE" w:rsidRPr="00C30A9C" w:rsidRDefault="00E010BE" w:rsidP="001B392C">
      <w:pPr>
        <w:rPr>
          <w:b/>
        </w:rPr>
      </w:pPr>
    </w:p>
    <w:p w14:paraId="46C23698" w14:textId="77777777" w:rsidR="00D00880" w:rsidRPr="00C30A9C" w:rsidRDefault="00140A0D" w:rsidP="001B392C">
      <w:pPr>
        <w:rPr>
          <w:b/>
        </w:rPr>
      </w:pPr>
      <w:r w:rsidRPr="00C30A9C">
        <w:rPr>
          <w:b/>
        </w:rPr>
        <w:lastRenderedPageBreak/>
        <w:t xml:space="preserve">NAME OF PRA ANALYST &amp; PROGRAM CONTACT:  </w:t>
      </w:r>
    </w:p>
    <w:p w14:paraId="3DA4335B" w14:textId="77777777" w:rsidR="00B415A5" w:rsidRPr="00C30A9C" w:rsidRDefault="00B415A5" w:rsidP="001B392C">
      <w:pPr>
        <w:rPr>
          <w:bCs/>
        </w:rPr>
      </w:pPr>
    </w:p>
    <w:p w14:paraId="23B53193" w14:textId="7E09162A" w:rsidR="00D00880" w:rsidRPr="00C30A9C" w:rsidRDefault="002254D4" w:rsidP="001B392C">
      <w:pPr>
        <w:rPr>
          <w:bCs/>
        </w:rPr>
      </w:pPr>
      <w:r w:rsidRPr="00C30A9C">
        <w:rPr>
          <w:bCs/>
        </w:rPr>
        <w:t xml:space="preserve">Ila S. Mizrachi </w:t>
      </w:r>
      <w:r w:rsidR="00D00880" w:rsidRPr="00C30A9C">
        <w:rPr>
          <w:bCs/>
        </w:rPr>
        <w:t xml:space="preserve">(PRA Analyst) </w:t>
      </w:r>
    </w:p>
    <w:p w14:paraId="793B8B66" w14:textId="77777777" w:rsidR="002254D4" w:rsidRPr="00C30A9C" w:rsidRDefault="00A4650E" w:rsidP="001B392C">
      <w:hyperlink r:id="rId11" w:history="1">
        <w:r w:rsidR="002254D4" w:rsidRPr="00C30A9C">
          <w:rPr>
            <w:rStyle w:val="Hyperlink"/>
          </w:rPr>
          <w:t>Ila.Mizrachi@fda.hhs.gov</w:t>
        </w:r>
      </w:hyperlink>
    </w:p>
    <w:p w14:paraId="7DAFCA77" w14:textId="52B90D76" w:rsidR="00D00880" w:rsidRPr="00C30A9C" w:rsidRDefault="00D00880" w:rsidP="001B392C">
      <w:pPr>
        <w:rPr>
          <w:bCs/>
        </w:rPr>
      </w:pPr>
      <w:r w:rsidRPr="00C30A9C">
        <w:rPr>
          <w:bCs/>
        </w:rPr>
        <w:t>301-796-</w:t>
      </w:r>
      <w:r w:rsidR="002254D4" w:rsidRPr="00C30A9C">
        <w:rPr>
          <w:bCs/>
        </w:rPr>
        <w:t>7726</w:t>
      </w:r>
    </w:p>
    <w:p w14:paraId="41A15672" w14:textId="77777777" w:rsidR="00EB3878" w:rsidRPr="00C30A9C" w:rsidRDefault="00EB3878" w:rsidP="001B392C">
      <w:pPr>
        <w:rPr>
          <w:bCs/>
        </w:rPr>
      </w:pPr>
    </w:p>
    <w:p w14:paraId="5BF74478" w14:textId="20463D10" w:rsidR="00D00880" w:rsidRPr="00C30A9C" w:rsidRDefault="00E56658" w:rsidP="001B392C">
      <w:pPr>
        <w:rPr>
          <w:bCs/>
        </w:rPr>
      </w:pPr>
      <w:r w:rsidRPr="00C30A9C">
        <w:rPr>
          <w:bCs/>
        </w:rPr>
        <w:t>Linda Verrill, Ph.D.</w:t>
      </w:r>
      <w:r w:rsidR="00D00880" w:rsidRPr="00C30A9C">
        <w:rPr>
          <w:bCs/>
        </w:rPr>
        <w:t xml:space="preserve"> (Program Contact)</w:t>
      </w:r>
    </w:p>
    <w:p w14:paraId="380A9892" w14:textId="61BD8D62" w:rsidR="00D00880" w:rsidRPr="00767A40" w:rsidRDefault="00E56658" w:rsidP="001B392C">
      <w:pPr>
        <w:rPr>
          <w:rStyle w:val="Hyperlink"/>
        </w:rPr>
      </w:pPr>
      <w:r w:rsidRPr="00767A40">
        <w:rPr>
          <w:rStyle w:val="Hyperlink"/>
        </w:rPr>
        <w:t>Linda.Verrill</w:t>
      </w:r>
      <w:r w:rsidR="00D00880" w:rsidRPr="00767A40">
        <w:rPr>
          <w:rStyle w:val="Hyperlink"/>
        </w:rPr>
        <w:t>@fda.hhs.gov</w:t>
      </w:r>
    </w:p>
    <w:p w14:paraId="098BDEE0" w14:textId="1DF06451" w:rsidR="00140A0D" w:rsidRPr="00C30A9C" w:rsidRDefault="00D00880" w:rsidP="001B392C">
      <w:pPr>
        <w:tabs>
          <w:tab w:val="left" w:pos="5670"/>
        </w:tabs>
        <w:suppressAutoHyphens/>
        <w:rPr>
          <w:bCs/>
        </w:rPr>
      </w:pPr>
      <w:r w:rsidRPr="00C30A9C">
        <w:rPr>
          <w:bCs/>
        </w:rPr>
        <w:t>240-402-</w:t>
      </w:r>
      <w:r w:rsidR="00E56658" w:rsidRPr="00C30A9C">
        <w:rPr>
          <w:bCs/>
        </w:rPr>
        <w:t>1765</w:t>
      </w:r>
    </w:p>
    <w:p w14:paraId="50CFE60B" w14:textId="77777777" w:rsidR="00EB3878" w:rsidRPr="00C30A9C" w:rsidRDefault="00EB3878" w:rsidP="001B392C">
      <w:pPr>
        <w:tabs>
          <w:tab w:val="left" w:pos="5670"/>
        </w:tabs>
        <w:suppressAutoHyphens/>
        <w:rPr>
          <w:b/>
        </w:rPr>
      </w:pPr>
    </w:p>
    <w:p w14:paraId="3E74EBBA" w14:textId="33F172DA" w:rsidR="003F1C7A" w:rsidRPr="00C30A9C" w:rsidRDefault="00140A0D" w:rsidP="001B392C">
      <w:pPr>
        <w:tabs>
          <w:tab w:val="left" w:pos="5670"/>
        </w:tabs>
        <w:suppressAutoHyphens/>
      </w:pPr>
      <w:r w:rsidRPr="00C30A9C">
        <w:rPr>
          <w:b/>
        </w:rPr>
        <w:t xml:space="preserve">FDA CENTER:  </w:t>
      </w:r>
      <w:r w:rsidR="001973CE" w:rsidRPr="00C30A9C">
        <w:t>C</w:t>
      </w:r>
      <w:r w:rsidR="002254D4" w:rsidRPr="00C30A9C">
        <w:t>enter for Food Safety and Applied Nutrition</w:t>
      </w:r>
      <w:r w:rsidR="00265BFD" w:rsidRPr="00C30A9C">
        <w:t xml:space="preserve"> </w:t>
      </w:r>
    </w:p>
    <w:sectPr w:rsidR="003F1C7A" w:rsidRPr="00C30A9C" w:rsidSect="00E96045">
      <w:headerReference w:type="default" r:id="rId12"/>
      <w:footerReference w:type="default" r:id="rId13"/>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9A316" w14:textId="77777777" w:rsidR="00CF45E0" w:rsidRDefault="00CF45E0">
      <w:r>
        <w:separator/>
      </w:r>
    </w:p>
  </w:endnote>
  <w:endnote w:type="continuationSeparator" w:id="0">
    <w:p w14:paraId="4C92E1BD" w14:textId="77777777" w:rsidR="00CF45E0" w:rsidRDefault="00CF45E0">
      <w:r>
        <w:continuationSeparator/>
      </w:r>
    </w:p>
  </w:endnote>
  <w:endnote w:type="continuationNotice" w:id="1">
    <w:p w14:paraId="0351CD95" w14:textId="77777777" w:rsidR="00CF45E0" w:rsidRDefault="00CF45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2B640" w14:textId="0EB34BF9" w:rsidR="00F12AEE" w:rsidRDefault="00F12AE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96629">
      <w:rPr>
        <w:rStyle w:val="PageNumber"/>
        <w:noProof/>
        <w:sz w:val="20"/>
        <w:szCs w:val="20"/>
      </w:rPr>
      <w:t>5</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AB751" w14:textId="77777777" w:rsidR="00CF45E0" w:rsidRDefault="00CF45E0">
      <w:r>
        <w:separator/>
      </w:r>
    </w:p>
  </w:footnote>
  <w:footnote w:type="continuationSeparator" w:id="0">
    <w:p w14:paraId="1B9332DC" w14:textId="77777777" w:rsidR="00CF45E0" w:rsidRDefault="00CF45E0">
      <w:r>
        <w:continuationSeparator/>
      </w:r>
    </w:p>
  </w:footnote>
  <w:footnote w:type="continuationNotice" w:id="1">
    <w:p w14:paraId="65ECF50E" w14:textId="77777777" w:rsidR="00CF45E0" w:rsidRDefault="00CF45E0"/>
  </w:footnote>
  <w:footnote w:id="2">
    <w:p w14:paraId="61CE80C5" w14:textId="5EB8D011" w:rsidR="00361F80" w:rsidRDefault="00361F80">
      <w:pPr>
        <w:pStyle w:val="FootnoteText"/>
      </w:pPr>
      <w:r>
        <w:rPr>
          <w:rStyle w:val="FootnoteReference"/>
        </w:rPr>
        <w:footnoteRef/>
      </w:r>
      <w:r>
        <w:t xml:space="preserve"> Healthy Innovation, Safer Families: FDA’s 2018 Strategic Policy Roadmap.   </w:t>
      </w:r>
      <w:hyperlink r:id="rId1" w:history="1">
        <w:r w:rsidRPr="009A04EE">
          <w:rPr>
            <w:rStyle w:val="Hyperlink"/>
          </w:rPr>
          <w:t>https://www.fda.gov/AboutFDA/ReportsManualsForms/Reports/ucm591993.htm</w:t>
        </w:r>
      </w:hyperlink>
      <w:r>
        <w:t>. Accessed 11-27-18.</w:t>
      </w:r>
    </w:p>
  </w:footnote>
  <w:footnote w:id="3">
    <w:p w14:paraId="21BA7ABD" w14:textId="563B3A9A" w:rsidR="008B199F" w:rsidRPr="009128B2" w:rsidRDefault="008B199F" w:rsidP="008B199F">
      <w:pPr>
        <w:rPr>
          <w:rFonts w:ascii="Garamond" w:hAnsi="Garamond" w:cs="Arial"/>
          <w:sz w:val="20"/>
          <w:szCs w:val="20"/>
        </w:rPr>
      </w:pPr>
      <w:r w:rsidRPr="0085565C">
        <w:rPr>
          <w:rStyle w:val="FootnoteReference"/>
          <w:rFonts w:ascii="Arial" w:hAnsi="Arial" w:cs="Arial"/>
          <w:sz w:val="16"/>
          <w:szCs w:val="16"/>
        </w:rPr>
        <w:footnoteRef/>
      </w:r>
      <w:r w:rsidRPr="009128B2">
        <w:rPr>
          <w:rFonts w:ascii="Garamond" w:hAnsi="Garamond" w:cs="Arial"/>
          <w:sz w:val="20"/>
          <w:szCs w:val="20"/>
        </w:rPr>
        <w:t>Bureau of Labor Statistics, U.S. Department of Labor, Economic News Release, on the Internet at https://www.bls.gov/news.release/empsit.t19.htm (visited July 6, 2020).</w:t>
      </w:r>
    </w:p>
  </w:footnote>
  <w:footnote w:id="4">
    <w:p w14:paraId="0A037A9B" w14:textId="39441A76" w:rsidR="008B199F" w:rsidRPr="0085565C" w:rsidRDefault="008B199F" w:rsidP="008B199F">
      <w:pPr>
        <w:pStyle w:val="FootnoteText"/>
        <w:rPr>
          <w:rFonts w:ascii="Arial" w:hAnsi="Arial" w:cs="Arial"/>
          <w:sz w:val="16"/>
          <w:szCs w:val="16"/>
        </w:rPr>
      </w:pPr>
      <w:r w:rsidRPr="009128B2">
        <w:rPr>
          <w:rStyle w:val="FootnoteReference"/>
          <w:rFonts w:cs="Arial"/>
        </w:rPr>
        <w:footnoteRef/>
      </w:r>
      <w:r w:rsidRPr="009128B2">
        <w:rPr>
          <w:rFonts w:cs="Arial"/>
        </w:rPr>
        <w:t>Bureau of Labor Statistics, U.S. Department of Labor, Occupation Employment Statistics, on the Internet at https://www.bls.gov/oes/2018/may/oes399011.htm (visited July 6, 2020).</w:t>
      </w:r>
    </w:p>
  </w:footnote>
  <w:footnote w:id="5">
    <w:p w14:paraId="00E7F771" w14:textId="04B7E5A8" w:rsidR="002A0451" w:rsidRDefault="002A0451" w:rsidP="002A0451">
      <w:pPr>
        <w:pStyle w:val="FootnoteText"/>
      </w:pPr>
      <w:r>
        <w:rPr>
          <w:rStyle w:val="FootnoteReference"/>
        </w:rPr>
        <w:footnoteRef/>
      </w:r>
      <w:r>
        <w:t xml:space="preserve">Krueger, R.A. &amp; </w:t>
      </w:r>
      <w:r w:rsidR="00795B93">
        <w:t>M.A. Casey</w:t>
      </w:r>
      <w:r>
        <w:t>. (2014). Focus groups: A practical guide for applied research. (5th ed.). Thousand Oaks, CA: Sage Publications, Inc.</w:t>
      </w:r>
    </w:p>
  </w:footnote>
  <w:footnote w:id="6">
    <w:p w14:paraId="2E3524E2" w14:textId="1DF207C5" w:rsidR="00071751" w:rsidRDefault="00071751" w:rsidP="00071751">
      <w:pPr>
        <w:pStyle w:val="FootnoteText"/>
      </w:pPr>
      <w:r>
        <w:rPr>
          <w:rStyle w:val="FootnoteReference"/>
        </w:rPr>
        <w:footnoteRef/>
      </w:r>
      <w:r>
        <w:t xml:space="preserve">Church, A.H. (1993). Estimating the effect of incentives on mail survey response rates: A meta-analysis. </w:t>
      </w:r>
      <w:r>
        <w:rPr>
          <w:i/>
          <w:iCs/>
        </w:rPr>
        <w:t>Public Opinion Quarterly,</w:t>
      </w:r>
      <w:r>
        <w:t xml:space="preserve"> 57, 62-79.</w:t>
      </w:r>
    </w:p>
  </w:footnote>
  <w:footnote w:id="7">
    <w:p w14:paraId="5D2E7FD1" w14:textId="6920CAB5" w:rsidR="00071751" w:rsidRPr="00DD24A2" w:rsidRDefault="00071751">
      <w:pPr>
        <w:pStyle w:val="FootnoteText"/>
      </w:pPr>
      <w:r w:rsidRPr="00DD24A2">
        <w:rPr>
          <w:rStyle w:val="FootnoteReference"/>
        </w:rPr>
        <w:footnoteRef/>
      </w:r>
      <w:r w:rsidRPr="00B41C47">
        <w:t xml:space="preserve">Halpen, S.D., Karlawish, J.H., Casarett, D., Berlin, J.A., &amp; Asch, D.A. (2004). Empirical assessment of whether moderate payments are undue or unjust inducements for participation in clinical trials. </w:t>
      </w:r>
      <w:r w:rsidRPr="00B41C47">
        <w:rPr>
          <w:i/>
        </w:rPr>
        <w:t>Archives of Internal Medicine</w:t>
      </w:r>
      <w:r w:rsidRPr="00B41C47">
        <w:t xml:space="preserve">, </w:t>
      </w:r>
      <w:r w:rsidRPr="00B41C47">
        <w:rPr>
          <w:i/>
        </w:rPr>
        <w:t>164</w:t>
      </w:r>
      <w:r w:rsidRPr="00B41C47">
        <w:t>(</w:t>
      </w:r>
      <w:r w:rsidRPr="00B41C47">
        <w:rPr>
          <w:i/>
        </w:rPr>
        <w:t>7</w:t>
      </w:r>
      <w:r w:rsidRPr="00B41C47">
        <w:t>), 801-803.</w:t>
      </w:r>
    </w:p>
  </w:footnote>
  <w:footnote w:id="8">
    <w:p w14:paraId="1B58B6A0" w14:textId="2A0D8029" w:rsidR="007F5F99" w:rsidRDefault="007F5F99">
      <w:pPr>
        <w:pStyle w:val="FootnoteText"/>
      </w:pPr>
      <w:r>
        <w:rPr>
          <w:rStyle w:val="FootnoteReference"/>
        </w:rPr>
        <w:footnoteRef/>
      </w:r>
      <w:r w:rsidR="00795B93" w:rsidRPr="00795B93">
        <w:t>Berlin</w:t>
      </w:r>
      <w:r w:rsidR="00795B93">
        <w:t>,</w:t>
      </w:r>
      <w:r w:rsidR="00795B93" w:rsidRPr="00795B93">
        <w:t xml:space="preserve"> M</w:t>
      </w:r>
      <w:r w:rsidR="00795B93">
        <w:t>.</w:t>
      </w:r>
      <w:r w:rsidR="00795B93" w:rsidRPr="00795B93">
        <w:t xml:space="preserve">, </w:t>
      </w:r>
      <w:r w:rsidR="00795B93">
        <w:t xml:space="preserve">L. </w:t>
      </w:r>
      <w:r w:rsidR="00795B93" w:rsidRPr="00795B93">
        <w:t xml:space="preserve">Mohadjer, </w:t>
      </w:r>
      <w:r w:rsidR="00795B93">
        <w:t xml:space="preserve">J. </w:t>
      </w:r>
      <w:r w:rsidR="00795B93" w:rsidRPr="00795B93">
        <w:t xml:space="preserve">Waksberg, </w:t>
      </w:r>
      <w:r w:rsidR="00027D62">
        <w:t xml:space="preserve">A. </w:t>
      </w:r>
      <w:r w:rsidR="00795B93" w:rsidRPr="00795B93">
        <w:t xml:space="preserve">Kolstad, </w:t>
      </w:r>
      <w:r w:rsidR="00027D62">
        <w:t xml:space="preserve">I. </w:t>
      </w:r>
      <w:r w:rsidR="00795B93" w:rsidRPr="00795B93">
        <w:t xml:space="preserve">Kirsch, </w:t>
      </w:r>
      <w:r w:rsidR="00027D62">
        <w:t xml:space="preserve">D. </w:t>
      </w:r>
      <w:r w:rsidR="00795B93" w:rsidRPr="00795B93">
        <w:t>Rock,</w:t>
      </w:r>
      <w:r w:rsidR="00027D62">
        <w:t xml:space="preserve"> &amp; K.</w:t>
      </w:r>
      <w:r w:rsidR="00795B93" w:rsidRPr="00795B93">
        <w:t xml:space="preserve"> Yamamoto.</w:t>
      </w:r>
      <w:r w:rsidR="00027D62">
        <w:t xml:space="preserve"> </w:t>
      </w:r>
      <w:r w:rsidR="00795B93" w:rsidRPr="00795B93">
        <w:t>An experiment in monetary incentives. American Statistical Association, Proceedings of Survey Research Methods Section; Alexandria, VA: 1992. pp. 393–398.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9CA9A53" w14:paraId="63EC1468" w14:textId="77777777" w:rsidTr="001D1A91">
      <w:tc>
        <w:tcPr>
          <w:tcW w:w="3120" w:type="dxa"/>
        </w:tcPr>
        <w:p w14:paraId="1005E97C" w14:textId="2CF7C36A" w:rsidR="09CA9A53" w:rsidRDefault="09CA9A53" w:rsidP="001D1A91">
          <w:pPr>
            <w:pStyle w:val="Header"/>
            <w:ind w:left="-115"/>
          </w:pPr>
        </w:p>
      </w:tc>
      <w:tc>
        <w:tcPr>
          <w:tcW w:w="3120" w:type="dxa"/>
        </w:tcPr>
        <w:p w14:paraId="2BD7E20E" w14:textId="71EC569F" w:rsidR="09CA9A53" w:rsidRDefault="09CA9A53" w:rsidP="001D1A91">
          <w:pPr>
            <w:pStyle w:val="Header"/>
            <w:jc w:val="center"/>
          </w:pPr>
        </w:p>
      </w:tc>
      <w:tc>
        <w:tcPr>
          <w:tcW w:w="3120" w:type="dxa"/>
        </w:tcPr>
        <w:p w14:paraId="4C6F77A2" w14:textId="62F4469C" w:rsidR="09CA9A53" w:rsidRDefault="09CA9A53" w:rsidP="001D1A91">
          <w:pPr>
            <w:pStyle w:val="Header"/>
            <w:ind w:right="-115"/>
            <w:jc w:val="right"/>
          </w:pPr>
        </w:p>
      </w:tc>
    </w:tr>
  </w:tbl>
  <w:p w14:paraId="755E801D" w14:textId="0A59C2F0" w:rsidR="09CA9A53" w:rsidRDefault="09CA9A53" w:rsidP="001D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305DAB"/>
    <w:multiLevelType w:val="hybridMultilevel"/>
    <w:tmpl w:val="B7667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15BD37DB"/>
    <w:multiLevelType w:val="hybridMultilevel"/>
    <w:tmpl w:val="7D6E63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F5477D"/>
    <w:multiLevelType w:val="hybridMultilevel"/>
    <w:tmpl w:val="A8B824D2"/>
    <w:lvl w:ilvl="0" w:tplc="DC68185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4EE0306A"/>
    <w:multiLevelType w:val="hybridMultilevel"/>
    <w:tmpl w:val="3C8C38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F0604C"/>
    <w:multiLevelType w:val="hybridMultilevel"/>
    <w:tmpl w:val="FBA6B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0" w15:restartNumberingAfterBreak="0">
    <w:nsid w:val="6C0D07D9"/>
    <w:multiLevelType w:val="hybridMultilevel"/>
    <w:tmpl w:val="5C7699B8"/>
    <w:lvl w:ilvl="0" w:tplc="0409000F">
      <w:start w:val="1"/>
      <w:numFmt w:val="decimal"/>
      <w:lvlText w:val="%1."/>
      <w:lvlJc w:val="left"/>
      <w:pPr>
        <w:tabs>
          <w:tab w:val="num" w:pos="1296"/>
        </w:tabs>
        <w:ind w:left="1296" w:hanging="360"/>
      </w:p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1" w15:restartNumberingAfterBreak="0">
    <w:nsid w:val="75F21273"/>
    <w:multiLevelType w:val="hybridMultilevel"/>
    <w:tmpl w:val="22EA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22"/>
  </w:num>
  <w:num w:numId="4">
    <w:abstractNumId w:val="24"/>
  </w:num>
  <w:num w:numId="5">
    <w:abstractNumId w:val="5"/>
  </w:num>
  <w:num w:numId="6">
    <w:abstractNumId w:val="2"/>
  </w:num>
  <w:num w:numId="7">
    <w:abstractNumId w:val="12"/>
  </w:num>
  <w:num w:numId="8">
    <w:abstractNumId w:val="19"/>
  </w:num>
  <w:num w:numId="9">
    <w:abstractNumId w:val="13"/>
  </w:num>
  <w:num w:numId="10">
    <w:abstractNumId w:val="3"/>
  </w:num>
  <w:num w:numId="11">
    <w:abstractNumId w:val="7"/>
  </w:num>
  <w:num w:numId="12">
    <w:abstractNumId w:val="9"/>
  </w:num>
  <w:num w:numId="13">
    <w:abstractNumId w:val="1"/>
  </w:num>
  <w:num w:numId="14">
    <w:abstractNumId w:val="11"/>
  </w:num>
  <w:num w:numId="15">
    <w:abstractNumId w:val="20"/>
  </w:num>
  <w:num w:numId="16">
    <w:abstractNumId w:val="18"/>
  </w:num>
  <w:num w:numId="17">
    <w:abstractNumId w:val="0"/>
  </w:num>
  <w:num w:numId="18">
    <w:abstractNumId w:val="10"/>
  </w:num>
  <w:num w:numId="19">
    <w:abstractNumId w:val="8"/>
  </w:num>
  <w:num w:numId="20">
    <w:abstractNumId w:val="15"/>
  </w:num>
  <w:num w:numId="21">
    <w:abstractNumId w:val="16"/>
  </w:num>
  <w:num w:numId="22">
    <w:abstractNumId w:val="21"/>
  </w:num>
  <w:num w:numId="23">
    <w:abstractNumId w:val="4"/>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a3sDQ1MTcxsTQwNrdU0lEKTi0uzszPAykwrgUAjdVrwywAAAA="/>
  </w:docVars>
  <w:rsids>
    <w:rsidRoot w:val="00744F5B"/>
    <w:rsid w:val="000021AC"/>
    <w:rsid w:val="00005D48"/>
    <w:rsid w:val="000073D2"/>
    <w:rsid w:val="00021957"/>
    <w:rsid w:val="000229E4"/>
    <w:rsid w:val="00024852"/>
    <w:rsid w:val="000275F0"/>
    <w:rsid w:val="00027D62"/>
    <w:rsid w:val="00034D7F"/>
    <w:rsid w:val="00035B5C"/>
    <w:rsid w:val="00040ADC"/>
    <w:rsid w:val="000477CE"/>
    <w:rsid w:val="000600F4"/>
    <w:rsid w:val="00066485"/>
    <w:rsid w:val="00071751"/>
    <w:rsid w:val="000776D3"/>
    <w:rsid w:val="00081B37"/>
    <w:rsid w:val="00096B3F"/>
    <w:rsid w:val="000A525C"/>
    <w:rsid w:val="000A52C2"/>
    <w:rsid w:val="000C1DC4"/>
    <w:rsid w:val="000C386B"/>
    <w:rsid w:val="000D7A12"/>
    <w:rsid w:val="000E21F9"/>
    <w:rsid w:val="000F1CDA"/>
    <w:rsid w:val="000F2F28"/>
    <w:rsid w:val="000F6D02"/>
    <w:rsid w:val="00102CB9"/>
    <w:rsid w:val="00103A05"/>
    <w:rsid w:val="00113DB3"/>
    <w:rsid w:val="0012027A"/>
    <w:rsid w:val="0012150E"/>
    <w:rsid w:val="00121C06"/>
    <w:rsid w:val="001264F5"/>
    <w:rsid w:val="001268AD"/>
    <w:rsid w:val="00126D06"/>
    <w:rsid w:val="00132EF8"/>
    <w:rsid w:val="0013429B"/>
    <w:rsid w:val="00135607"/>
    <w:rsid w:val="00140343"/>
    <w:rsid w:val="00140A0D"/>
    <w:rsid w:val="00146896"/>
    <w:rsid w:val="001470C1"/>
    <w:rsid w:val="001534AD"/>
    <w:rsid w:val="00154467"/>
    <w:rsid w:val="00163E86"/>
    <w:rsid w:val="001673A9"/>
    <w:rsid w:val="00172A6E"/>
    <w:rsid w:val="00173ACB"/>
    <w:rsid w:val="0017544C"/>
    <w:rsid w:val="00177C6E"/>
    <w:rsid w:val="001835D3"/>
    <w:rsid w:val="001844DD"/>
    <w:rsid w:val="00190AA2"/>
    <w:rsid w:val="00194285"/>
    <w:rsid w:val="00195958"/>
    <w:rsid w:val="001973CE"/>
    <w:rsid w:val="001A072A"/>
    <w:rsid w:val="001A38D6"/>
    <w:rsid w:val="001A68F4"/>
    <w:rsid w:val="001B08AE"/>
    <w:rsid w:val="001B392C"/>
    <w:rsid w:val="001C0117"/>
    <w:rsid w:val="001C3D56"/>
    <w:rsid w:val="001C7B3E"/>
    <w:rsid w:val="001D19B4"/>
    <w:rsid w:val="001D1A91"/>
    <w:rsid w:val="001E15AA"/>
    <w:rsid w:val="001E5BA7"/>
    <w:rsid w:val="001F09C0"/>
    <w:rsid w:val="001F397E"/>
    <w:rsid w:val="001F4032"/>
    <w:rsid w:val="001F4357"/>
    <w:rsid w:val="00205677"/>
    <w:rsid w:val="0020693D"/>
    <w:rsid w:val="00216F24"/>
    <w:rsid w:val="002254D4"/>
    <w:rsid w:val="00230200"/>
    <w:rsid w:val="002427E4"/>
    <w:rsid w:val="00243BAE"/>
    <w:rsid w:val="00245748"/>
    <w:rsid w:val="00254EB8"/>
    <w:rsid w:val="00255B16"/>
    <w:rsid w:val="00260687"/>
    <w:rsid w:val="002615BF"/>
    <w:rsid w:val="00263DCB"/>
    <w:rsid w:val="00265358"/>
    <w:rsid w:val="00265BFD"/>
    <w:rsid w:val="00274A8E"/>
    <w:rsid w:val="00275ACB"/>
    <w:rsid w:val="00282871"/>
    <w:rsid w:val="00287B67"/>
    <w:rsid w:val="00290BA3"/>
    <w:rsid w:val="0029232B"/>
    <w:rsid w:val="002A0345"/>
    <w:rsid w:val="002A0451"/>
    <w:rsid w:val="002A0FC9"/>
    <w:rsid w:val="002B6279"/>
    <w:rsid w:val="002C4C50"/>
    <w:rsid w:val="002D61CC"/>
    <w:rsid w:val="002E5CC6"/>
    <w:rsid w:val="002F043F"/>
    <w:rsid w:val="002F5085"/>
    <w:rsid w:val="002F51BE"/>
    <w:rsid w:val="00306E47"/>
    <w:rsid w:val="00314CE8"/>
    <w:rsid w:val="00324DC3"/>
    <w:rsid w:val="003310AC"/>
    <w:rsid w:val="00350C25"/>
    <w:rsid w:val="00354FAE"/>
    <w:rsid w:val="00361F80"/>
    <w:rsid w:val="00362661"/>
    <w:rsid w:val="00364051"/>
    <w:rsid w:val="00376752"/>
    <w:rsid w:val="00377E79"/>
    <w:rsid w:val="003868B1"/>
    <w:rsid w:val="003A266D"/>
    <w:rsid w:val="003A6102"/>
    <w:rsid w:val="003B2DE7"/>
    <w:rsid w:val="003C1144"/>
    <w:rsid w:val="003C72C6"/>
    <w:rsid w:val="003C7EE8"/>
    <w:rsid w:val="003E4DF3"/>
    <w:rsid w:val="003F0F24"/>
    <w:rsid w:val="003F1C7A"/>
    <w:rsid w:val="003F2E8E"/>
    <w:rsid w:val="00411149"/>
    <w:rsid w:val="00412089"/>
    <w:rsid w:val="004122E8"/>
    <w:rsid w:val="0041569E"/>
    <w:rsid w:val="004312CC"/>
    <w:rsid w:val="0043221D"/>
    <w:rsid w:val="004531CD"/>
    <w:rsid w:val="0045615E"/>
    <w:rsid w:val="00463B4D"/>
    <w:rsid w:val="004722B4"/>
    <w:rsid w:val="00473C32"/>
    <w:rsid w:val="00477E1E"/>
    <w:rsid w:val="00481C9B"/>
    <w:rsid w:val="0048309C"/>
    <w:rsid w:val="004910F4"/>
    <w:rsid w:val="0049419A"/>
    <w:rsid w:val="004952A8"/>
    <w:rsid w:val="004A0140"/>
    <w:rsid w:val="004A1115"/>
    <w:rsid w:val="004B694D"/>
    <w:rsid w:val="004C0F1E"/>
    <w:rsid w:val="004C6ACD"/>
    <w:rsid w:val="004D0416"/>
    <w:rsid w:val="004E1EE9"/>
    <w:rsid w:val="004F1994"/>
    <w:rsid w:val="004F62DF"/>
    <w:rsid w:val="004F70CE"/>
    <w:rsid w:val="00500B3F"/>
    <w:rsid w:val="00506FE7"/>
    <w:rsid w:val="0050785E"/>
    <w:rsid w:val="005120FE"/>
    <w:rsid w:val="00512BD5"/>
    <w:rsid w:val="00513F6A"/>
    <w:rsid w:val="00517225"/>
    <w:rsid w:val="00540689"/>
    <w:rsid w:val="00540C6D"/>
    <w:rsid w:val="005556BA"/>
    <w:rsid w:val="00557070"/>
    <w:rsid w:val="0055741E"/>
    <w:rsid w:val="00575508"/>
    <w:rsid w:val="00576639"/>
    <w:rsid w:val="00582AEC"/>
    <w:rsid w:val="005A1029"/>
    <w:rsid w:val="005A18A4"/>
    <w:rsid w:val="005A4F49"/>
    <w:rsid w:val="005B0E78"/>
    <w:rsid w:val="005B3F8D"/>
    <w:rsid w:val="005B4CFB"/>
    <w:rsid w:val="005B75C9"/>
    <w:rsid w:val="005C13BE"/>
    <w:rsid w:val="005C1579"/>
    <w:rsid w:val="005C6A7F"/>
    <w:rsid w:val="005D0366"/>
    <w:rsid w:val="005D0D89"/>
    <w:rsid w:val="005D6364"/>
    <w:rsid w:val="005E23BA"/>
    <w:rsid w:val="005E4981"/>
    <w:rsid w:val="00605169"/>
    <w:rsid w:val="006237E4"/>
    <w:rsid w:val="006355C6"/>
    <w:rsid w:val="00636283"/>
    <w:rsid w:val="00641796"/>
    <w:rsid w:val="006470BB"/>
    <w:rsid w:val="0065144D"/>
    <w:rsid w:val="0066622D"/>
    <w:rsid w:val="00670BC7"/>
    <w:rsid w:val="00673DD7"/>
    <w:rsid w:val="00685782"/>
    <w:rsid w:val="00686B14"/>
    <w:rsid w:val="006939E3"/>
    <w:rsid w:val="00696B03"/>
    <w:rsid w:val="006970B6"/>
    <w:rsid w:val="006A2D27"/>
    <w:rsid w:val="006A305F"/>
    <w:rsid w:val="006A4DB6"/>
    <w:rsid w:val="006C02F9"/>
    <w:rsid w:val="006D0ADD"/>
    <w:rsid w:val="006D3B31"/>
    <w:rsid w:val="006F3095"/>
    <w:rsid w:val="00702527"/>
    <w:rsid w:val="00710967"/>
    <w:rsid w:val="00720DAC"/>
    <w:rsid w:val="007239ED"/>
    <w:rsid w:val="007375E7"/>
    <w:rsid w:val="0074228F"/>
    <w:rsid w:val="0074463A"/>
    <w:rsid w:val="00744F5B"/>
    <w:rsid w:val="00760CBA"/>
    <w:rsid w:val="00767A40"/>
    <w:rsid w:val="00772C42"/>
    <w:rsid w:val="00780A9A"/>
    <w:rsid w:val="0078172C"/>
    <w:rsid w:val="007828DD"/>
    <w:rsid w:val="007837CA"/>
    <w:rsid w:val="007853F0"/>
    <w:rsid w:val="00785FE2"/>
    <w:rsid w:val="00787E77"/>
    <w:rsid w:val="00793F1E"/>
    <w:rsid w:val="007944E7"/>
    <w:rsid w:val="00795B93"/>
    <w:rsid w:val="00795D9D"/>
    <w:rsid w:val="007A305E"/>
    <w:rsid w:val="007A4331"/>
    <w:rsid w:val="007A4CF6"/>
    <w:rsid w:val="007B045B"/>
    <w:rsid w:val="007B1836"/>
    <w:rsid w:val="007C2C46"/>
    <w:rsid w:val="007C2E9E"/>
    <w:rsid w:val="007C69C6"/>
    <w:rsid w:val="007C6E1E"/>
    <w:rsid w:val="007C76AB"/>
    <w:rsid w:val="007D0981"/>
    <w:rsid w:val="007D18B3"/>
    <w:rsid w:val="007D7B02"/>
    <w:rsid w:val="007D7BAA"/>
    <w:rsid w:val="007E25CE"/>
    <w:rsid w:val="007E69D7"/>
    <w:rsid w:val="007E7325"/>
    <w:rsid w:val="007E76D6"/>
    <w:rsid w:val="007F5F99"/>
    <w:rsid w:val="00802398"/>
    <w:rsid w:val="0081042C"/>
    <w:rsid w:val="00832151"/>
    <w:rsid w:val="008408E6"/>
    <w:rsid w:val="00846A5B"/>
    <w:rsid w:val="00854DC4"/>
    <w:rsid w:val="008577D6"/>
    <w:rsid w:val="00862F2F"/>
    <w:rsid w:val="00870E3C"/>
    <w:rsid w:val="00871FD9"/>
    <w:rsid w:val="00875770"/>
    <w:rsid w:val="00882AE4"/>
    <w:rsid w:val="008833EA"/>
    <w:rsid w:val="00883571"/>
    <w:rsid w:val="008863D0"/>
    <w:rsid w:val="008948B1"/>
    <w:rsid w:val="00894F96"/>
    <w:rsid w:val="00895FDC"/>
    <w:rsid w:val="008A0CCC"/>
    <w:rsid w:val="008A15B1"/>
    <w:rsid w:val="008A4D10"/>
    <w:rsid w:val="008B199F"/>
    <w:rsid w:val="008C1492"/>
    <w:rsid w:val="008D29D6"/>
    <w:rsid w:val="008E5BE4"/>
    <w:rsid w:val="008E6145"/>
    <w:rsid w:val="008E7B52"/>
    <w:rsid w:val="008F6E91"/>
    <w:rsid w:val="009065AB"/>
    <w:rsid w:val="00906986"/>
    <w:rsid w:val="00910694"/>
    <w:rsid w:val="009128B2"/>
    <w:rsid w:val="00915208"/>
    <w:rsid w:val="0092248E"/>
    <w:rsid w:val="009238D7"/>
    <w:rsid w:val="009267A7"/>
    <w:rsid w:val="0093362F"/>
    <w:rsid w:val="009404FA"/>
    <w:rsid w:val="00945015"/>
    <w:rsid w:val="00955637"/>
    <w:rsid w:val="0097718E"/>
    <w:rsid w:val="00980D33"/>
    <w:rsid w:val="0098121D"/>
    <w:rsid w:val="009845CD"/>
    <w:rsid w:val="009867AB"/>
    <w:rsid w:val="00987C72"/>
    <w:rsid w:val="00990424"/>
    <w:rsid w:val="0099242D"/>
    <w:rsid w:val="009940CE"/>
    <w:rsid w:val="009A5DA0"/>
    <w:rsid w:val="009C1BB6"/>
    <w:rsid w:val="009C3BA0"/>
    <w:rsid w:val="009E0F10"/>
    <w:rsid w:val="009E1E12"/>
    <w:rsid w:val="009E555A"/>
    <w:rsid w:val="009E7B22"/>
    <w:rsid w:val="009F6A0A"/>
    <w:rsid w:val="009F79DD"/>
    <w:rsid w:val="00A00710"/>
    <w:rsid w:val="00A037AF"/>
    <w:rsid w:val="00A10801"/>
    <w:rsid w:val="00A2089D"/>
    <w:rsid w:val="00A212B8"/>
    <w:rsid w:val="00A2659D"/>
    <w:rsid w:val="00A26BA5"/>
    <w:rsid w:val="00A44BF9"/>
    <w:rsid w:val="00A4650E"/>
    <w:rsid w:val="00A7415A"/>
    <w:rsid w:val="00A746A9"/>
    <w:rsid w:val="00A802BA"/>
    <w:rsid w:val="00A82DCC"/>
    <w:rsid w:val="00A83968"/>
    <w:rsid w:val="00A84CA0"/>
    <w:rsid w:val="00A85B35"/>
    <w:rsid w:val="00A91991"/>
    <w:rsid w:val="00A9245B"/>
    <w:rsid w:val="00A939C3"/>
    <w:rsid w:val="00AA3856"/>
    <w:rsid w:val="00AB0296"/>
    <w:rsid w:val="00AB2333"/>
    <w:rsid w:val="00AC2461"/>
    <w:rsid w:val="00AC4E36"/>
    <w:rsid w:val="00AC4E51"/>
    <w:rsid w:val="00AC63BA"/>
    <w:rsid w:val="00AD0BB4"/>
    <w:rsid w:val="00AD31D7"/>
    <w:rsid w:val="00AE34BB"/>
    <w:rsid w:val="00AF337C"/>
    <w:rsid w:val="00AF5DE2"/>
    <w:rsid w:val="00B00D27"/>
    <w:rsid w:val="00B021C5"/>
    <w:rsid w:val="00B112E9"/>
    <w:rsid w:val="00B14F69"/>
    <w:rsid w:val="00B171B5"/>
    <w:rsid w:val="00B23420"/>
    <w:rsid w:val="00B26010"/>
    <w:rsid w:val="00B27552"/>
    <w:rsid w:val="00B31D14"/>
    <w:rsid w:val="00B40D56"/>
    <w:rsid w:val="00B415A5"/>
    <w:rsid w:val="00B41C47"/>
    <w:rsid w:val="00B45740"/>
    <w:rsid w:val="00B46254"/>
    <w:rsid w:val="00B46E5B"/>
    <w:rsid w:val="00B51F98"/>
    <w:rsid w:val="00B57AFC"/>
    <w:rsid w:val="00B60313"/>
    <w:rsid w:val="00B65597"/>
    <w:rsid w:val="00B65FD4"/>
    <w:rsid w:val="00B71082"/>
    <w:rsid w:val="00B71F03"/>
    <w:rsid w:val="00B72DD6"/>
    <w:rsid w:val="00B8351B"/>
    <w:rsid w:val="00B859B1"/>
    <w:rsid w:val="00B87572"/>
    <w:rsid w:val="00B94044"/>
    <w:rsid w:val="00B956CF"/>
    <w:rsid w:val="00BB4281"/>
    <w:rsid w:val="00BC3B0E"/>
    <w:rsid w:val="00BC7613"/>
    <w:rsid w:val="00BD6B3E"/>
    <w:rsid w:val="00BF3A0E"/>
    <w:rsid w:val="00BF4E4F"/>
    <w:rsid w:val="00BF526E"/>
    <w:rsid w:val="00C042C8"/>
    <w:rsid w:val="00C168EA"/>
    <w:rsid w:val="00C30A9C"/>
    <w:rsid w:val="00C3243C"/>
    <w:rsid w:val="00C351BC"/>
    <w:rsid w:val="00C41CA0"/>
    <w:rsid w:val="00C42C31"/>
    <w:rsid w:val="00C52DAD"/>
    <w:rsid w:val="00C54AE4"/>
    <w:rsid w:val="00C64F6E"/>
    <w:rsid w:val="00C716BF"/>
    <w:rsid w:val="00C73D7F"/>
    <w:rsid w:val="00C808E7"/>
    <w:rsid w:val="00C96629"/>
    <w:rsid w:val="00C9699F"/>
    <w:rsid w:val="00CB6A35"/>
    <w:rsid w:val="00CC096B"/>
    <w:rsid w:val="00CC18C8"/>
    <w:rsid w:val="00CC4459"/>
    <w:rsid w:val="00CC7869"/>
    <w:rsid w:val="00CE0205"/>
    <w:rsid w:val="00CE3105"/>
    <w:rsid w:val="00CE4179"/>
    <w:rsid w:val="00CE54C9"/>
    <w:rsid w:val="00CE57C2"/>
    <w:rsid w:val="00CE660E"/>
    <w:rsid w:val="00CF0774"/>
    <w:rsid w:val="00CF10F4"/>
    <w:rsid w:val="00CF45E0"/>
    <w:rsid w:val="00D00880"/>
    <w:rsid w:val="00D05FCF"/>
    <w:rsid w:val="00D10399"/>
    <w:rsid w:val="00D14201"/>
    <w:rsid w:val="00D221FB"/>
    <w:rsid w:val="00D231ED"/>
    <w:rsid w:val="00D275BE"/>
    <w:rsid w:val="00D31111"/>
    <w:rsid w:val="00D340AB"/>
    <w:rsid w:val="00D3689E"/>
    <w:rsid w:val="00D43148"/>
    <w:rsid w:val="00D542D4"/>
    <w:rsid w:val="00D647BF"/>
    <w:rsid w:val="00D7047E"/>
    <w:rsid w:val="00D767C1"/>
    <w:rsid w:val="00D8523E"/>
    <w:rsid w:val="00DA4D60"/>
    <w:rsid w:val="00DB2CCE"/>
    <w:rsid w:val="00DB7E1F"/>
    <w:rsid w:val="00DC0678"/>
    <w:rsid w:val="00DC30B4"/>
    <w:rsid w:val="00DC76EE"/>
    <w:rsid w:val="00DD0744"/>
    <w:rsid w:val="00DD24A2"/>
    <w:rsid w:val="00DD3323"/>
    <w:rsid w:val="00DD6106"/>
    <w:rsid w:val="00DD7C40"/>
    <w:rsid w:val="00DE6944"/>
    <w:rsid w:val="00DF53C4"/>
    <w:rsid w:val="00E010BE"/>
    <w:rsid w:val="00E143B2"/>
    <w:rsid w:val="00E17CC8"/>
    <w:rsid w:val="00E215FA"/>
    <w:rsid w:val="00E24D4D"/>
    <w:rsid w:val="00E26798"/>
    <w:rsid w:val="00E36C1A"/>
    <w:rsid w:val="00E45491"/>
    <w:rsid w:val="00E45BA0"/>
    <w:rsid w:val="00E47890"/>
    <w:rsid w:val="00E56658"/>
    <w:rsid w:val="00E629FF"/>
    <w:rsid w:val="00E62E33"/>
    <w:rsid w:val="00E70641"/>
    <w:rsid w:val="00E749EB"/>
    <w:rsid w:val="00E96045"/>
    <w:rsid w:val="00E971FC"/>
    <w:rsid w:val="00EA0586"/>
    <w:rsid w:val="00EA2382"/>
    <w:rsid w:val="00EB0699"/>
    <w:rsid w:val="00EB3878"/>
    <w:rsid w:val="00EB5E20"/>
    <w:rsid w:val="00EC1E0E"/>
    <w:rsid w:val="00EC6B0A"/>
    <w:rsid w:val="00ED197E"/>
    <w:rsid w:val="00ED7C61"/>
    <w:rsid w:val="00EE231A"/>
    <w:rsid w:val="00EE2BDD"/>
    <w:rsid w:val="00EE5502"/>
    <w:rsid w:val="00EE7334"/>
    <w:rsid w:val="00F10195"/>
    <w:rsid w:val="00F10C0E"/>
    <w:rsid w:val="00F10E8E"/>
    <w:rsid w:val="00F1118C"/>
    <w:rsid w:val="00F12AEE"/>
    <w:rsid w:val="00F15DA1"/>
    <w:rsid w:val="00F2502B"/>
    <w:rsid w:val="00F26B2B"/>
    <w:rsid w:val="00F3704A"/>
    <w:rsid w:val="00F40866"/>
    <w:rsid w:val="00F429AE"/>
    <w:rsid w:val="00F47DE6"/>
    <w:rsid w:val="00F62F0B"/>
    <w:rsid w:val="00F63D73"/>
    <w:rsid w:val="00F9129B"/>
    <w:rsid w:val="00FB79C4"/>
    <w:rsid w:val="00FC1562"/>
    <w:rsid w:val="00FD1B31"/>
    <w:rsid w:val="00FD3E35"/>
    <w:rsid w:val="00FD449C"/>
    <w:rsid w:val="00FE1098"/>
    <w:rsid w:val="00FE13AD"/>
    <w:rsid w:val="00FE3BAE"/>
    <w:rsid w:val="00FF1570"/>
    <w:rsid w:val="00FF6AE5"/>
    <w:rsid w:val="01E47CBF"/>
    <w:rsid w:val="06BDF491"/>
    <w:rsid w:val="099F748F"/>
    <w:rsid w:val="09CA9A53"/>
    <w:rsid w:val="11DB12B5"/>
    <w:rsid w:val="1A5B9B38"/>
    <w:rsid w:val="1BBDDCAF"/>
    <w:rsid w:val="1FAC6508"/>
    <w:rsid w:val="26D58E72"/>
    <w:rsid w:val="2D7FE004"/>
    <w:rsid w:val="2E2D6664"/>
    <w:rsid w:val="37D4267C"/>
    <w:rsid w:val="3F2D0AAA"/>
    <w:rsid w:val="41AD0AA0"/>
    <w:rsid w:val="488EE300"/>
    <w:rsid w:val="4F07B297"/>
    <w:rsid w:val="534FC707"/>
    <w:rsid w:val="593AE780"/>
    <w:rsid w:val="59C4E069"/>
    <w:rsid w:val="5CBCF072"/>
    <w:rsid w:val="5DD935D3"/>
    <w:rsid w:val="6AB0986C"/>
    <w:rsid w:val="6BC033B8"/>
    <w:rsid w:val="789EB618"/>
    <w:rsid w:val="7EAE19D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460E0"/>
  <w15:docId w15:val="{3F7024D4-C4A9-4E48-AB08-87BE44A6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semiHidden/>
    <w:unhideWhenUsed/>
    <w:rsid w:val="00787E77"/>
    <w:rPr>
      <w:sz w:val="16"/>
      <w:szCs w:val="16"/>
    </w:rPr>
  </w:style>
  <w:style w:type="paragraph" w:styleId="CommentText">
    <w:name w:val="annotation text"/>
    <w:basedOn w:val="Normal"/>
    <w:link w:val="CommentTextChar"/>
    <w:uiPriority w:val="99"/>
    <w:unhideWhenUsed/>
    <w:rsid w:val="00787E77"/>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787E77"/>
    <w:rPr>
      <w:rFonts w:ascii="Calibri" w:eastAsia="Calibri" w:hAnsi="Calibri"/>
    </w:rPr>
  </w:style>
  <w:style w:type="paragraph" w:styleId="FootnoteText">
    <w:name w:val="footnote text"/>
    <w:basedOn w:val="Normal"/>
    <w:link w:val="FootnoteTextChar"/>
    <w:unhideWhenUsed/>
    <w:rsid w:val="00CC096B"/>
    <w:rPr>
      <w:rFonts w:ascii="Garamond" w:hAnsi="Garamond"/>
      <w:sz w:val="20"/>
      <w:szCs w:val="20"/>
    </w:rPr>
  </w:style>
  <w:style w:type="character" w:customStyle="1" w:styleId="FootnoteTextChar">
    <w:name w:val="Footnote Text Char"/>
    <w:basedOn w:val="DefaultParagraphFont"/>
    <w:link w:val="FootnoteText"/>
    <w:rsid w:val="00CC096B"/>
    <w:rPr>
      <w:rFonts w:ascii="Garamond" w:hAnsi="Garamond"/>
    </w:rPr>
  </w:style>
  <w:style w:type="character" w:styleId="FootnoteReference">
    <w:name w:val="footnote reference"/>
    <w:basedOn w:val="DefaultParagraphFont"/>
    <w:semiHidden/>
    <w:unhideWhenUsed/>
    <w:rsid w:val="00CC096B"/>
    <w:rPr>
      <w:vertAlign w:val="superscript"/>
    </w:rPr>
  </w:style>
  <w:style w:type="paragraph" w:styleId="CommentSubject">
    <w:name w:val="annotation subject"/>
    <w:basedOn w:val="CommentText"/>
    <w:next w:val="CommentText"/>
    <w:link w:val="CommentSubjectChar"/>
    <w:uiPriority w:val="99"/>
    <w:semiHidden/>
    <w:unhideWhenUsed/>
    <w:rsid w:val="007837CA"/>
    <w:pPr>
      <w:spacing w:after="0" w:line="240" w:lineRule="auto"/>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7837CA"/>
    <w:rPr>
      <w:rFonts w:ascii="Calibri" w:eastAsia="Calibri" w:hAnsi="Calibri"/>
      <w:b/>
      <w:bCs/>
    </w:rPr>
  </w:style>
  <w:style w:type="paragraph" w:customStyle="1" w:styleId="Tabletext">
    <w:name w:val="Table text"/>
    <w:basedOn w:val="Normal"/>
    <w:rsid w:val="00EB0699"/>
    <w:pPr>
      <w:snapToGrid w:val="0"/>
      <w:spacing w:before="60" w:after="60"/>
    </w:pPr>
    <w:rPr>
      <w:rFonts w:eastAsiaTheme="minorHAnsi"/>
    </w:rPr>
  </w:style>
  <w:style w:type="character" w:styleId="FollowedHyperlink">
    <w:name w:val="FollowedHyperlink"/>
    <w:basedOn w:val="DefaultParagraphFont"/>
    <w:uiPriority w:val="99"/>
    <w:semiHidden/>
    <w:unhideWhenUsed/>
    <w:rsid w:val="00B021C5"/>
    <w:rPr>
      <w:color w:val="800080" w:themeColor="followedHyperlink"/>
      <w:u w:val="single"/>
    </w:rPr>
  </w:style>
  <w:style w:type="paragraph" w:styleId="EndnoteText">
    <w:name w:val="endnote text"/>
    <w:basedOn w:val="Normal"/>
    <w:link w:val="EndnoteTextChar"/>
    <w:uiPriority w:val="99"/>
    <w:semiHidden/>
    <w:unhideWhenUsed/>
    <w:rsid w:val="00071751"/>
    <w:rPr>
      <w:sz w:val="20"/>
      <w:szCs w:val="20"/>
    </w:rPr>
  </w:style>
  <w:style w:type="character" w:customStyle="1" w:styleId="EndnoteTextChar">
    <w:name w:val="Endnote Text Char"/>
    <w:basedOn w:val="DefaultParagraphFont"/>
    <w:link w:val="EndnoteText"/>
    <w:uiPriority w:val="99"/>
    <w:semiHidden/>
    <w:rsid w:val="00071751"/>
  </w:style>
  <w:style w:type="character" w:styleId="EndnoteReference">
    <w:name w:val="endnote reference"/>
    <w:basedOn w:val="DefaultParagraphFont"/>
    <w:uiPriority w:val="99"/>
    <w:semiHidden/>
    <w:unhideWhenUsed/>
    <w:rsid w:val="00071751"/>
    <w:rPr>
      <w:vertAlign w:val="superscript"/>
    </w:rPr>
  </w:style>
  <w:style w:type="character" w:customStyle="1" w:styleId="ref-title">
    <w:name w:val="ref-title"/>
    <w:basedOn w:val="DefaultParagraphFont"/>
    <w:rsid w:val="00780A9A"/>
  </w:style>
  <w:style w:type="character" w:customStyle="1" w:styleId="ref-journal">
    <w:name w:val="ref-journal"/>
    <w:basedOn w:val="DefaultParagraphFont"/>
    <w:rsid w:val="00780A9A"/>
  </w:style>
  <w:style w:type="character" w:customStyle="1" w:styleId="ref-vol">
    <w:name w:val="ref-vol"/>
    <w:basedOn w:val="DefaultParagraphFont"/>
    <w:rsid w:val="00780A9A"/>
  </w:style>
  <w:style w:type="character" w:customStyle="1" w:styleId="UnresolvedMention1">
    <w:name w:val="Unresolved Mention1"/>
    <w:basedOn w:val="DefaultParagraphFont"/>
    <w:uiPriority w:val="99"/>
    <w:semiHidden/>
    <w:unhideWhenUsed/>
    <w:rsid w:val="00361F80"/>
    <w:rPr>
      <w:color w:val="808080"/>
      <w:shd w:val="clear" w:color="auto" w:fill="E6E6E6"/>
    </w:rPr>
  </w:style>
  <w:style w:type="table" w:styleId="TableGrid">
    <w:name w:val="Table Grid"/>
    <w:basedOn w:val="TableNormal"/>
    <w:uiPriority w:val="39"/>
    <w:rsid w:val="00BB428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795626">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614286956">
      <w:bodyDiv w:val="1"/>
      <w:marLeft w:val="0"/>
      <w:marRight w:val="0"/>
      <w:marTop w:val="0"/>
      <w:marBottom w:val="0"/>
      <w:divBdr>
        <w:top w:val="none" w:sz="0" w:space="0" w:color="auto"/>
        <w:left w:val="none" w:sz="0" w:space="0" w:color="auto"/>
        <w:bottom w:val="none" w:sz="0" w:space="0" w:color="auto"/>
        <w:right w:val="none" w:sz="0" w:space="0" w:color="auto"/>
      </w:divBdr>
    </w:div>
    <w:div w:id="890657216">
      <w:bodyDiv w:val="1"/>
      <w:marLeft w:val="0"/>
      <w:marRight w:val="0"/>
      <w:marTop w:val="0"/>
      <w:marBottom w:val="0"/>
      <w:divBdr>
        <w:top w:val="none" w:sz="0" w:space="0" w:color="auto"/>
        <w:left w:val="none" w:sz="0" w:space="0" w:color="auto"/>
        <w:bottom w:val="none" w:sz="0" w:space="0" w:color="auto"/>
        <w:right w:val="none" w:sz="0" w:space="0" w:color="auto"/>
      </w:divBdr>
      <w:divsChild>
        <w:div w:id="2096243349">
          <w:marLeft w:val="0"/>
          <w:marRight w:val="0"/>
          <w:marTop w:val="0"/>
          <w:marBottom w:val="0"/>
          <w:divBdr>
            <w:top w:val="none" w:sz="0" w:space="0" w:color="auto"/>
            <w:left w:val="none" w:sz="0" w:space="0" w:color="auto"/>
            <w:bottom w:val="none" w:sz="0" w:space="0" w:color="auto"/>
            <w:right w:val="none" w:sz="0" w:space="0" w:color="auto"/>
          </w:divBdr>
          <w:divsChild>
            <w:div w:id="111368839">
              <w:marLeft w:val="0"/>
              <w:marRight w:val="0"/>
              <w:marTop w:val="0"/>
              <w:marBottom w:val="0"/>
              <w:divBdr>
                <w:top w:val="none" w:sz="0" w:space="0" w:color="auto"/>
                <w:left w:val="none" w:sz="0" w:space="0" w:color="auto"/>
                <w:bottom w:val="none" w:sz="0" w:space="0" w:color="auto"/>
                <w:right w:val="none" w:sz="0" w:space="0" w:color="auto"/>
              </w:divBdr>
              <w:divsChild>
                <w:div w:id="169374568">
                  <w:marLeft w:val="0"/>
                  <w:marRight w:val="0"/>
                  <w:marTop w:val="0"/>
                  <w:marBottom w:val="0"/>
                  <w:divBdr>
                    <w:top w:val="none" w:sz="0" w:space="0" w:color="auto"/>
                    <w:left w:val="none" w:sz="0" w:space="0" w:color="auto"/>
                    <w:bottom w:val="none" w:sz="0" w:space="0" w:color="auto"/>
                    <w:right w:val="none" w:sz="0" w:space="0" w:color="auto"/>
                  </w:divBdr>
                  <w:divsChild>
                    <w:div w:id="554389323">
                      <w:marLeft w:val="0"/>
                      <w:marRight w:val="0"/>
                      <w:marTop w:val="0"/>
                      <w:marBottom w:val="0"/>
                      <w:divBdr>
                        <w:top w:val="none" w:sz="0" w:space="0" w:color="auto"/>
                        <w:left w:val="none" w:sz="0" w:space="0" w:color="auto"/>
                        <w:bottom w:val="none" w:sz="0" w:space="0" w:color="auto"/>
                        <w:right w:val="none" w:sz="0" w:space="0" w:color="auto"/>
                      </w:divBdr>
                      <w:divsChild>
                        <w:div w:id="2061440152">
                          <w:marLeft w:val="0"/>
                          <w:marRight w:val="0"/>
                          <w:marTop w:val="0"/>
                          <w:marBottom w:val="0"/>
                          <w:divBdr>
                            <w:top w:val="none" w:sz="0" w:space="0" w:color="auto"/>
                            <w:left w:val="none" w:sz="0" w:space="0" w:color="auto"/>
                            <w:bottom w:val="none" w:sz="0" w:space="0" w:color="auto"/>
                            <w:right w:val="none" w:sz="0" w:space="0" w:color="auto"/>
                          </w:divBdr>
                          <w:divsChild>
                            <w:div w:id="13864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907235">
      <w:bodyDiv w:val="1"/>
      <w:marLeft w:val="0"/>
      <w:marRight w:val="0"/>
      <w:marTop w:val="0"/>
      <w:marBottom w:val="0"/>
      <w:divBdr>
        <w:top w:val="none" w:sz="0" w:space="0" w:color="auto"/>
        <w:left w:val="none" w:sz="0" w:space="0" w:color="auto"/>
        <w:bottom w:val="none" w:sz="0" w:space="0" w:color="auto"/>
        <w:right w:val="none" w:sz="0" w:space="0" w:color="auto"/>
      </w:divBdr>
      <w:divsChild>
        <w:div w:id="781728463">
          <w:marLeft w:val="0"/>
          <w:marRight w:val="0"/>
          <w:marTop w:val="0"/>
          <w:marBottom w:val="0"/>
          <w:divBdr>
            <w:top w:val="none" w:sz="0" w:space="0" w:color="auto"/>
            <w:left w:val="none" w:sz="0" w:space="0" w:color="auto"/>
            <w:bottom w:val="none" w:sz="0" w:space="0" w:color="auto"/>
            <w:right w:val="none" w:sz="0" w:space="0" w:color="auto"/>
          </w:divBdr>
          <w:divsChild>
            <w:div w:id="1981883919">
              <w:marLeft w:val="0"/>
              <w:marRight w:val="0"/>
              <w:marTop w:val="0"/>
              <w:marBottom w:val="0"/>
              <w:divBdr>
                <w:top w:val="none" w:sz="0" w:space="0" w:color="auto"/>
                <w:left w:val="none" w:sz="0" w:space="0" w:color="auto"/>
                <w:bottom w:val="none" w:sz="0" w:space="0" w:color="auto"/>
                <w:right w:val="none" w:sz="0" w:space="0" w:color="auto"/>
              </w:divBdr>
              <w:divsChild>
                <w:div w:id="1837459786">
                  <w:marLeft w:val="0"/>
                  <w:marRight w:val="0"/>
                  <w:marTop w:val="0"/>
                  <w:marBottom w:val="0"/>
                  <w:divBdr>
                    <w:top w:val="none" w:sz="0" w:space="0" w:color="auto"/>
                    <w:left w:val="none" w:sz="0" w:space="0" w:color="auto"/>
                    <w:bottom w:val="none" w:sz="0" w:space="0" w:color="auto"/>
                    <w:right w:val="none" w:sz="0" w:space="0" w:color="auto"/>
                  </w:divBdr>
                  <w:divsChild>
                    <w:div w:id="1429422374">
                      <w:marLeft w:val="0"/>
                      <w:marRight w:val="0"/>
                      <w:marTop w:val="0"/>
                      <w:marBottom w:val="0"/>
                      <w:divBdr>
                        <w:top w:val="none" w:sz="0" w:space="0" w:color="auto"/>
                        <w:left w:val="none" w:sz="0" w:space="0" w:color="auto"/>
                        <w:bottom w:val="none" w:sz="0" w:space="0" w:color="auto"/>
                        <w:right w:val="none" w:sz="0" w:space="0" w:color="auto"/>
                      </w:divBdr>
                      <w:divsChild>
                        <w:div w:id="980382280">
                          <w:marLeft w:val="0"/>
                          <w:marRight w:val="0"/>
                          <w:marTop w:val="0"/>
                          <w:marBottom w:val="0"/>
                          <w:divBdr>
                            <w:top w:val="none" w:sz="0" w:space="0" w:color="auto"/>
                            <w:left w:val="none" w:sz="0" w:space="0" w:color="auto"/>
                            <w:bottom w:val="none" w:sz="0" w:space="0" w:color="auto"/>
                            <w:right w:val="none" w:sz="0" w:space="0" w:color="auto"/>
                          </w:divBdr>
                          <w:divsChild>
                            <w:div w:id="20583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949320">
      <w:bodyDiv w:val="1"/>
      <w:marLeft w:val="0"/>
      <w:marRight w:val="0"/>
      <w:marTop w:val="0"/>
      <w:marBottom w:val="0"/>
      <w:divBdr>
        <w:top w:val="none" w:sz="0" w:space="0" w:color="auto"/>
        <w:left w:val="none" w:sz="0" w:space="0" w:color="auto"/>
        <w:bottom w:val="none" w:sz="0" w:space="0" w:color="auto"/>
        <w:right w:val="none" w:sz="0" w:space="0" w:color="auto"/>
      </w:divBdr>
    </w:div>
    <w:div w:id="1271860756">
      <w:bodyDiv w:val="1"/>
      <w:marLeft w:val="0"/>
      <w:marRight w:val="0"/>
      <w:marTop w:val="0"/>
      <w:marBottom w:val="0"/>
      <w:divBdr>
        <w:top w:val="none" w:sz="0" w:space="0" w:color="auto"/>
        <w:left w:val="none" w:sz="0" w:space="0" w:color="auto"/>
        <w:bottom w:val="none" w:sz="0" w:space="0" w:color="auto"/>
        <w:right w:val="none" w:sz="0" w:space="0" w:color="auto"/>
      </w:divBdr>
      <w:divsChild>
        <w:div w:id="1507397608">
          <w:marLeft w:val="0"/>
          <w:marRight w:val="0"/>
          <w:marTop w:val="0"/>
          <w:marBottom w:val="0"/>
          <w:divBdr>
            <w:top w:val="none" w:sz="0" w:space="0" w:color="auto"/>
            <w:left w:val="none" w:sz="0" w:space="0" w:color="auto"/>
            <w:bottom w:val="none" w:sz="0" w:space="0" w:color="auto"/>
            <w:right w:val="none" w:sz="0" w:space="0" w:color="auto"/>
          </w:divBdr>
          <w:divsChild>
            <w:div w:id="1235435703">
              <w:marLeft w:val="0"/>
              <w:marRight w:val="0"/>
              <w:marTop w:val="0"/>
              <w:marBottom w:val="0"/>
              <w:divBdr>
                <w:top w:val="none" w:sz="0" w:space="0" w:color="auto"/>
                <w:left w:val="none" w:sz="0" w:space="0" w:color="auto"/>
                <w:bottom w:val="none" w:sz="0" w:space="0" w:color="auto"/>
                <w:right w:val="none" w:sz="0" w:space="0" w:color="auto"/>
              </w:divBdr>
              <w:divsChild>
                <w:div w:id="1265726337">
                  <w:marLeft w:val="0"/>
                  <w:marRight w:val="0"/>
                  <w:marTop w:val="0"/>
                  <w:marBottom w:val="0"/>
                  <w:divBdr>
                    <w:top w:val="none" w:sz="0" w:space="0" w:color="auto"/>
                    <w:left w:val="none" w:sz="0" w:space="0" w:color="auto"/>
                    <w:bottom w:val="none" w:sz="0" w:space="0" w:color="auto"/>
                    <w:right w:val="none" w:sz="0" w:space="0" w:color="auto"/>
                  </w:divBdr>
                  <w:divsChild>
                    <w:div w:id="632950116">
                      <w:marLeft w:val="0"/>
                      <w:marRight w:val="0"/>
                      <w:marTop w:val="0"/>
                      <w:marBottom w:val="0"/>
                      <w:divBdr>
                        <w:top w:val="none" w:sz="0" w:space="0" w:color="auto"/>
                        <w:left w:val="none" w:sz="0" w:space="0" w:color="auto"/>
                        <w:bottom w:val="none" w:sz="0" w:space="0" w:color="auto"/>
                        <w:right w:val="none" w:sz="0" w:space="0" w:color="auto"/>
                      </w:divBdr>
                      <w:divsChild>
                        <w:div w:id="405953113">
                          <w:marLeft w:val="0"/>
                          <w:marRight w:val="0"/>
                          <w:marTop w:val="0"/>
                          <w:marBottom w:val="0"/>
                          <w:divBdr>
                            <w:top w:val="none" w:sz="0" w:space="0" w:color="auto"/>
                            <w:left w:val="none" w:sz="0" w:space="0" w:color="auto"/>
                            <w:bottom w:val="none" w:sz="0" w:space="0" w:color="auto"/>
                            <w:right w:val="none" w:sz="0" w:space="0" w:color="auto"/>
                          </w:divBdr>
                          <w:divsChild>
                            <w:div w:id="2337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70421">
      <w:bodyDiv w:val="1"/>
      <w:marLeft w:val="0"/>
      <w:marRight w:val="0"/>
      <w:marTop w:val="0"/>
      <w:marBottom w:val="0"/>
      <w:divBdr>
        <w:top w:val="none" w:sz="0" w:space="0" w:color="auto"/>
        <w:left w:val="none" w:sz="0" w:space="0" w:color="auto"/>
        <w:bottom w:val="none" w:sz="0" w:space="0" w:color="auto"/>
        <w:right w:val="none" w:sz="0" w:space="0" w:color="auto"/>
      </w:divBdr>
    </w:div>
    <w:div w:id="1960188429">
      <w:bodyDiv w:val="1"/>
      <w:marLeft w:val="0"/>
      <w:marRight w:val="0"/>
      <w:marTop w:val="0"/>
      <w:marBottom w:val="0"/>
      <w:divBdr>
        <w:top w:val="none" w:sz="0" w:space="0" w:color="auto"/>
        <w:left w:val="none" w:sz="0" w:space="0" w:color="auto"/>
        <w:bottom w:val="none" w:sz="0" w:space="0" w:color="auto"/>
        <w:right w:val="none" w:sz="0" w:space="0" w:color="auto"/>
      </w:divBdr>
    </w:div>
    <w:div w:id="2019119443">
      <w:bodyDiv w:val="1"/>
      <w:marLeft w:val="0"/>
      <w:marRight w:val="0"/>
      <w:marTop w:val="0"/>
      <w:marBottom w:val="0"/>
      <w:divBdr>
        <w:top w:val="none" w:sz="0" w:space="0" w:color="auto"/>
        <w:left w:val="none" w:sz="0" w:space="0" w:color="auto"/>
        <w:bottom w:val="none" w:sz="0" w:space="0" w:color="auto"/>
        <w:right w:val="none" w:sz="0" w:space="0" w:color="auto"/>
      </w:divBdr>
      <w:divsChild>
        <w:div w:id="1230579027">
          <w:marLeft w:val="0"/>
          <w:marRight w:val="0"/>
          <w:marTop w:val="0"/>
          <w:marBottom w:val="0"/>
          <w:divBdr>
            <w:top w:val="none" w:sz="0" w:space="0" w:color="auto"/>
            <w:left w:val="none" w:sz="0" w:space="0" w:color="auto"/>
            <w:bottom w:val="none" w:sz="0" w:space="0" w:color="auto"/>
            <w:right w:val="none" w:sz="0" w:space="0" w:color="auto"/>
          </w:divBdr>
          <w:divsChild>
            <w:div w:id="674108963">
              <w:marLeft w:val="0"/>
              <w:marRight w:val="0"/>
              <w:marTop w:val="0"/>
              <w:marBottom w:val="0"/>
              <w:divBdr>
                <w:top w:val="none" w:sz="0" w:space="0" w:color="auto"/>
                <w:left w:val="none" w:sz="0" w:space="0" w:color="auto"/>
                <w:bottom w:val="none" w:sz="0" w:space="0" w:color="auto"/>
                <w:right w:val="none" w:sz="0" w:space="0" w:color="auto"/>
              </w:divBdr>
              <w:divsChild>
                <w:div w:id="1068308649">
                  <w:marLeft w:val="0"/>
                  <w:marRight w:val="0"/>
                  <w:marTop w:val="0"/>
                  <w:marBottom w:val="0"/>
                  <w:divBdr>
                    <w:top w:val="none" w:sz="0" w:space="0" w:color="auto"/>
                    <w:left w:val="none" w:sz="0" w:space="0" w:color="auto"/>
                    <w:bottom w:val="none" w:sz="0" w:space="0" w:color="auto"/>
                    <w:right w:val="none" w:sz="0" w:space="0" w:color="auto"/>
                  </w:divBdr>
                  <w:divsChild>
                    <w:div w:id="109320535">
                      <w:marLeft w:val="0"/>
                      <w:marRight w:val="0"/>
                      <w:marTop w:val="0"/>
                      <w:marBottom w:val="0"/>
                      <w:divBdr>
                        <w:top w:val="none" w:sz="0" w:space="0" w:color="auto"/>
                        <w:left w:val="none" w:sz="0" w:space="0" w:color="auto"/>
                        <w:bottom w:val="none" w:sz="0" w:space="0" w:color="auto"/>
                        <w:right w:val="none" w:sz="0" w:space="0" w:color="auto"/>
                      </w:divBdr>
                      <w:divsChild>
                        <w:div w:id="1197280984">
                          <w:marLeft w:val="0"/>
                          <w:marRight w:val="0"/>
                          <w:marTop w:val="0"/>
                          <w:marBottom w:val="0"/>
                          <w:divBdr>
                            <w:top w:val="none" w:sz="0" w:space="0" w:color="auto"/>
                            <w:left w:val="none" w:sz="0" w:space="0" w:color="auto"/>
                            <w:bottom w:val="none" w:sz="0" w:space="0" w:color="auto"/>
                            <w:right w:val="none" w:sz="0" w:space="0" w:color="auto"/>
                          </w:divBdr>
                          <w:divsChild>
                            <w:div w:id="180318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la.Mizrachi@fda.hh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da.gov/AboutFDA/ReportsManualsForms/Reports/ucm59199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7FE18A5CA9B548BDD1DEA2CDEA1044" ma:contentTypeVersion="9" ma:contentTypeDescription="Create a new document." ma:contentTypeScope="" ma:versionID="8ad0e09c2fa6386498be9c4982944a55">
  <xsd:schema xmlns:xsd="http://www.w3.org/2001/XMLSchema" xmlns:xs="http://www.w3.org/2001/XMLSchema" xmlns:p="http://schemas.microsoft.com/office/2006/metadata/properties" xmlns:ns2="6f38b1c7-e28f-49bf-938a-b360dcb916c0" xmlns:ns3="14c8ce7b-d2df-469d-b2c3-96f4c56193cb" targetNamespace="http://schemas.microsoft.com/office/2006/metadata/properties" ma:root="true" ma:fieldsID="26bd86a0b2b68fad4e0e1ea8e73d5147" ns2:_="" ns3:_="">
    <xsd:import namespace="6f38b1c7-e28f-49bf-938a-b360dcb916c0"/>
    <xsd:import namespace="14c8ce7b-d2df-469d-b2c3-96f4c56193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8b1c7-e28f-49bf-938a-b360dcb91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c8ce7b-d2df-469d-b2c3-96f4c56193c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7EBCB-DE71-4CF8-B1FA-BB9CA4F02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8b1c7-e28f-49bf-938a-b360dcb916c0"/>
    <ds:schemaRef ds:uri="14c8ce7b-d2df-469d-b2c3-96f4c56193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AD29E0-9D20-43CC-92AA-E23BE654EC5A}">
  <ds:schemaRefs>
    <ds:schemaRef ds:uri="http://schemas.microsoft.com/sharepoint/v3/contenttype/forms"/>
  </ds:schemaRefs>
</ds:datastoreItem>
</file>

<file path=customXml/itemProps3.xml><?xml version="1.0" encoding="utf-8"?>
<ds:datastoreItem xmlns:ds="http://schemas.openxmlformats.org/officeDocument/2006/customXml" ds:itemID="{383AB0CA-D5A2-45FC-8BD0-F7C266246843}">
  <ds:schemaRefs>
    <ds:schemaRef ds:uri="http://purl.org/dc/terms/"/>
    <ds:schemaRef ds:uri="http://schemas.openxmlformats.org/package/2006/metadata/core-properties"/>
    <ds:schemaRef ds:uri="http://purl.org/dc/dcmitype/"/>
    <ds:schemaRef ds:uri="http://schemas.microsoft.com/office/infopath/2007/PartnerControls"/>
    <ds:schemaRef ds:uri="14c8ce7b-d2df-469d-b2c3-96f4c56193cb"/>
    <ds:schemaRef ds:uri="http://purl.org/dc/elements/1.1/"/>
    <ds:schemaRef ds:uri="http://schemas.microsoft.com/office/2006/metadata/properties"/>
    <ds:schemaRef ds:uri="http://schemas.microsoft.com/office/2006/documentManagement/types"/>
    <ds:schemaRef ds:uri="6f38b1c7-e28f-49bf-938a-b360dcb916c0"/>
    <ds:schemaRef ds:uri="http://www.w3.org/XML/1998/namespace"/>
  </ds:schemaRefs>
</ds:datastoreItem>
</file>

<file path=customXml/itemProps4.xml><?xml version="1.0" encoding="utf-8"?>
<ds:datastoreItem xmlns:ds="http://schemas.openxmlformats.org/officeDocument/2006/customXml" ds:itemID="{D4B0BF1B-007F-47DF-A1E7-04D6BC3A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2507</Words>
  <Characters>13966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Mizrachi, Ila</cp:lastModifiedBy>
  <cp:revision>3</cp:revision>
  <cp:lastPrinted>2020-07-09T13:05:00Z</cp:lastPrinted>
  <dcterms:created xsi:type="dcterms:W3CDTF">2020-07-09T17:51:00Z</dcterms:created>
  <dcterms:modified xsi:type="dcterms:W3CDTF">2020-07-09T18:18:00Z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0x0101007C7FE18A5CA9B548BDD1DEA2CDEA1044</vt:lpwstr>
  </property>
</Properties>
</file>