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0D1" w:rsidP="005B24AC" w:rsidRDefault="00F530D1">
      <w:pPr>
        <w:pStyle w:val="Heading2"/>
        <w:tabs>
          <w:tab w:val="left" w:pos="900"/>
        </w:tabs>
        <w:ind w:right="-180"/>
        <w:rPr>
          <w:b w:val="0"/>
        </w:rPr>
      </w:pPr>
      <w:bookmarkStart w:name="_GoBack" w:id="0"/>
      <w:bookmarkEnd w:id="0"/>
      <w:r>
        <w:rPr>
          <w:b w:val="0"/>
        </w:rPr>
        <w:t>United States Food and Drug Administration</w:t>
      </w:r>
    </w:p>
    <w:p w:rsidRPr="00F530D1" w:rsidR="003F1C7A" w:rsidP="005B24AC" w:rsidRDefault="00B92FC1">
      <w:pPr>
        <w:pStyle w:val="Heading2"/>
        <w:tabs>
          <w:tab w:val="left" w:pos="900"/>
        </w:tabs>
        <w:ind w:right="-180"/>
        <w:rPr>
          <w:b w:val="0"/>
        </w:rPr>
      </w:pPr>
      <w:r w:rsidRPr="00F530D1">
        <w:rPr>
          <w:b w:val="0"/>
        </w:rPr>
        <w:t>Generic Clearance: Focus Groups as Used by the FDA</w:t>
      </w:r>
    </w:p>
    <w:p w:rsidRPr="00F530D1" w:rsidR="003F1C7A" w:rsidP="005B24AC" w:rsidRDefault="00B92FC1">
      <w:pPr>
        <w:jc w:val="center"/>
      </w:pPr>
      <w:r w:rsidRPr="00F530D1">
        <w:t xml:space="preserve">OMB Control Number </w:t>
      </w:r>
      <w:r w:rsidRPr="00F530D1" w:rsidR="000F2F28">
        <w:t>0910-0497</w:t>
      </w:r>
    </w:p>
    <w:p w:rsidRPr="00F530D1" w:rsidR="00C945A3" w:rsidP="005B24AC" w:rsidRDefault="00C945A3">
      <w:pPr>
        <w:jc w:val="center"/>
      </w:pPr>
      <w:r w:rsidRPr="00F530D1">
        <w:t>G</w:t>
      </w:r>
      <w:r w:rsidR="00F530D1">
        <w:t>en</w:t>
      </w:r>
      <w:r w:rsidRPr="00F530D1">
        <w:t xml:space="preserve"> IC Approval Request</w:t>
      </w:r>
    </w:p>
    <w:p w:rsidR="003F1C7A" w:rsidP="005B24AC" w:rsidRDefault="003F1C7A"/>
    <w:p w:rsidRPr="005B24AC" w:rsidR="005B24AC" w:rsidP="005B24AC" w:rsidRDefault="005B24AC">
      <w:pPr>
        <w:rPr>
          <w:sz w:val="20"/>
          <w:szCs w:val="20"/>
        </w:rPr>
      </w:pPr>
      <w:r w:rsidRPr="005B24AC">
        <w:rPr>
          <w:sz w:val="20"/>
          <w:szCs w:val="20"/>
        </w:rPr>
        <w:t>Focus groups do not yield meaningful quantitative findings.  They can provide public input, but they do not yield data about public opinion that can be generalized.  As such, they cannot be used to drive the development of policies, programs, and services.  Policy makers and educators can use focus groups findings to test and refine their ideas but should then conduct further research before making important decisions such as adopting new policies and allocating or redirecting significant resources to support these policies.</w:t>
      </w:r>
    </w:p>
    <w:p w:rsidRPr="005B24AC" w:rsidR="005B24AC" w:rsidP="005B24AC" w:rsidRDefault="005B24AC">
      <w:pPr>
        <w:rPr>
          <w:sz w:val="20"/>
          <w:szCs w:val="20"/>
        </w:rPr>
      </w:pPr>
    </w:p>
    <w:p w:rsidRPr="00937D10" w:rsidR="00937D10" w:rsidP="00937D10" w:rsidRDefault="00937D10">
      <w:pPr>
        <w:spacing w:after="200"/>
        <w:rPr>
          <w:rFonts w:eastAsia="Calibri"/>
        </w:rPr>
      </w:pPr>
      <w:r w:rsidRPr="00937D10">
        <w:rPr>
          <w:rFonts w:eastAsia="Calibri"/>
          <w:b/>
        </w:rPr>
        <w:t>Title of Gen IC:</w:t>
      </w:r>
      <w:r w:rsidRPr="00937D10">
        <w:rPr>
          <w:rFonts w:eastAsia="Calibri"/>
        </w:rPr>
        <w:t xml:space="preserve"> </w:t>
      </w:r>
      <w:r w:rsidR="001E6269">
        <w:rPr>
          <w:rFonts w:eastAsia="Calibri"/>
        </w:rPr>
        <w:t>Usability Testing of Virtual Reality for Opioid-Sparing Pain Management Among Diverse Patients</w:t>
      </w:r>
    </w:p>
    <w:p w:rsidRPr="00937D10" w:rsidR="00937D10" w:rsidP="00B96DB9" w:rsidRDefault="00937D10">
      <w:pPr>
        <w:numPr>
          <w:ilvl w:val="0"/>
          <w:numId w:val="20"/>
        </w:numPr>
        <w:spacing w:after="200" w:line="276" w:lineRule="auto"/>
        <w:rPr>
          <w:b/>
        </w:rPr>
      </w:pPr>
      <w:r w:rsidRPr="00937D10">
        <w:rPr>
          <w:b/>
        </w:rPr>
        <w:t>Statement of Need:</w:t>
      </w:r>
    </w:p>
    <w:p w:rsidRPr="001E6269" w:rsidR="001E6269" w:rsidP="00EF0C87" w:rsidRDefault="001E6269">
      <w:pPr>
        <w:ind w:left="432"/>
        <w:contextualSpacing/>
        <w:rPr>
          <w:b/>
          <w:szCs w:val="22"/>
        </w:rPr>
      </w:pPr>
      <w:r w:rsidRPr="001E6269">
        <w:rPr>
          <w:szCs w:val="22"/>
        </w:rPr>
        <w:t>Almost half of all patients report pain in the hospital setting, and 12% call it ‘unbearable.’ In the inpatient setting, pain is typically managed pharmacologically. However, opioids, a common pain treatment approach in the United States, can lead to serious harm. Previous reports indicate that disparities in opioid access, use, and related morbidity and mortality by income and race/ethnicity exist.</w:t>
      </w:r>
      <w:r w:rsidR="00362955">
        <w:rPr>
          <w:szCs w:val="22"/>
        </w:rPr>
        <w:t xml:space="preserve"> </w:t>
      </w:r>
      <w:r w:rsidRPr="001E6269">
        <w:rPr>
          <w:szCs w:val="22"/>
        </w:rPr>
        <w:fldChar w:fldCharType="begin"/>
      </w:r>
      <w:r w:rsidR="00A43F2A">
        <w:rPr>
          <w:szCs w:val="22"/>
        </w:rPr>
        <w:instrText xml:space="preserve"> ADDIN ZOTERO_ITEM CSL_CITATION {"citationID":"hZcXsvw0","properties":{"formattedCitation":"(1\\uc0\\u8211{}6)","plainCitation":"(1–6)","noteIndex":0},"citationItems":[{"id":1893,"uris":["http://zotero.org/groups/2118823/items/AC854ZG9"],"uri":["http://zotero.org/groups/2118823/items/AC854ZG9"],"itemData":{"id":1893,"type":"article-journal","abstract":"BACKGROUND: Research on disparities in the treatment of pain has shown that minorities receive less aggressive pain management than non-minorities. While reasons include physician bias, the focus of this study was to examine whether differences in pain reporting behavior might occur when pain is reported to individuals of a different race or gender.\nOBJECTIVE: To test whether gender and racial concordance might influence pain reporting and pain behavior in a laboratory setting.\nDESIGN/SETTING: By using a two (subject race)-by-two (subject gender)-by-two (experimenter race)-by two (experimenter gender) quasi-experimental design, pain was assessed in a laboratory through a standard cold pressor task administered by someone whose gender and/or race was similar or dissimilar.\nSUBJECTS: Subjects were 343 (156 men; 187 women) undergraduates whose ages ranged from 17 to 43 years (mean 20.27 years).\nOUTCOME MEASURES: Pain tolerance was assessed by total immersion time in the ice bath. Pain ratings were obtained by using Gracely scales, which rate the intensity and unpleasantness of the task.\nRESULTS: Total immersion time was shorter for both blacks and women, and both blacks and women reported higher pain intensity and unpleasantness. Racial and gender concordance did not influence pain reporting or pain tolerance, but interactions between subject race and experimenter gender, as well as subject gender and experimenter race, were revealed.\nCONCLUSIONS: Racial and gender concordance did not influence pain reporting; however, pain reporting was influenced by interactions between gender and race in the subject-experimenter dyads.","container-title":"Pain Medicine (Malden, Mass.)","DOI":"10.1111/j.1526-4637.2005.05004.x","ISSN":"1526-2375","issue":"1","journalAbbreviation":"Pain Med","language":"eng","note":"PMID: 15669953","page":"80-87","source":"PubMed","title":"The influence of experimenter gender and race on pain reporting: does racial or gender concordance matter?","title-short":"The influence of experimenter gender and race on pain reporting","volume":"6","author":[{"family":"Weisse","given":"Carol S."},{"family":"Foster","given":"Kemoy K."},{"family":"Fisher","given":"Elizabeth A."}],"issued":{"date-parts":[["2005",2]]}}},{"id":1894,"uris":["http://zotero.org/groups/2118823/items/JBF424XE"],"uri":["http://zotero.org/groups/2118823/items/JBF424XE"],"itemData":{"id":1894,"type":"article-journal","abstract":"This California population-based study assesses differential exposure to opioids via the health care system by race/ethnicity and income and describes the observed social gradient of the current opioid epidemic.","container-title":"JAMA Internal Medicine","DOI":"10.1001/jamainternmed.2018.6721","ISSN":"2168-6106","issue":"4","journalAbbreviation":"JAMA Intern Med","note":"PMID: 30742196\nPMCID: PMC6450285","page":"469-476","source":"PubMed Central","title":"Assessment of Racial/Ethnic and Income Disparities in the Prescription of Opioids and Other Controlled Medications in California","volume":"179","author":[{"family":"Friedman","given":"Joseph"},{"family":"Kim","given":"David"},{"family":"Schneberk","given":"Todd"},{"family":"Bourgois","given":"Philippe"},{"family":"Shin","given":"Michael"},{"family":"Celious","given":"Aaron"},{"family":"Schriger","given":"David L."}],"issued":{"date-parts":[["2019",4]]}}},{"id":1892,"uris":["http://zotero.org/groups/2118823/items/C8AK8NN7"],"uri":["http://zotero.org/groups/2118823/items/C8AK8NN7"],"itemData":{"id":1892,"type":"webpage","title":"Increases in Drug and Opioid Overdose Deaths — United States, 2000–2014","URL":"https://www.cdc.gov/mmwr/preview/mmwrhtml/mm6450a3.htm","accessed":{"date-parts":[["2020",2,18]]}}},{"id":1891,"uris":["http://zotero.org/groups/2118823/items/HQ96R3RM"],"uri":["http://zotero.org/groups/2118823/items/HQ96R3RM"],"itemData":{"id":1891,"type":"article-journal","abstract":"BACKGROUND: The harms related to nonmedical use of opioid analgesics have impacted the United States for more than a decade. Examining trends in nonmedical use, abuse, and dependence among various demographic and substance using groups can provide critical insight for prevention and treatment activities.\nMETHODS: Data from the National Survey on Drug Use and Health were used to assess trends in opioid analgesic nonmedical use, abuse, and dependence for 2003-2005, 2006-2008, 2009-2011, and 2012-2014. Multivariable logistic regression was used to identify characteristics associated with opioid analgesic abuse or dependence.\nRESULTS: Rates of past-year opioid analgesic nonmedical use decreased from 48.4 per 1000 persons aged 12years and older in 2003-2005 to 43.3 in 2012-2014. Declines were seen among most demographic and substance using groups. In contrast, rates of past-year opioid analgesic abuse or dependence increased from 6.0 per 1000 persons in 2003-2005 to 7.5 in 2012-2014; increases were seen among most demographic and substance using groups. In 2012-2014, odds of opioid analgesic abuse or dependence were highest among those with sedative or tranquilizer and heroin abuse or dependence.\nCONCLUSIONS: These findings indicate encouraging trends in overall nonmedical use of opioid analgesics which declined among many demographic and substance using groups. However, continued increases in rates of opioid analgesic abuse or dependence highlight the critical importance of maintaining efforts to drive down inappropriate opioid prescribing and expanding efforts to increase the provision of medication assisted treatment and psychosocial services for opioid use disorders and equipping individuals with naloxone to reverse opioid overdose.","container-title":"Addictive Behaviors","DOI":"10.1016/j.addbeh.2016.08.027","ISSN":"1873-6327","journalAbbreviation":"Addict Behav","language":"eng","note":"PMID: 27561431","page":"229-235","source":"PubMed","title":"The paradox of decreasing nonmedical opioid analgesic use and increasing abuse or dependence - An assessment of demographic and substance use trends, United States, 2003-2014","volume":"65","author":[{"family":"Jones","given":"Christopher M."}],"issued":{"date-parts":[["2017"]]}}},{"id":1890,"uris":["http://zotero.org/groups/2118823/items/68L9SJIW"],"uri":["http://zotero.org/groups/2118823/items/68L9SJIW"],"itemData":{"id":1890,"type":"article-journal","abstract":"Background: Despite the continuing epidemic of opioid misuse, data on the prevalence of prescription opioid use, misuse, and use disorders are limited.\nObjective: To estimate the prevalence of prescription opioid use, misuse, and use disorders and motivations for misuse among U.S. adults.\nDesign: Survey.\nSetting: The 2015 National Survey on Drug Use and Health (NSDUH).\nParticipants: 72 600 eligible civilian, noninstitutionalized adults were selected for NSDUH, and 51 200 completed the survey interview.\nMeasurements: Prescription opioid use, misuse, and use disorders.\nResults: Weighted NSDUH estimates suggested that, in 2015, 91.8 million (37.8%) U.S. civilian, noninstitutionalized adults used prescription opioids; 11.5 million (4.7%) misused them; and 1.9 million (0.8%) had a use disorder. Among adults with prescription opioid use, 12.5% reported misuse; of these, 16.7% reported a prescription opioid use disorder. The most commonly reported motivation for misuse was to relieve physical pain (63.4%). Misuse and use disorders were most commonly reported in adults who were uninsured, were unemployed, had low income, or had behavioral health problems. Among adults with misuse, 59.9% reported using opioids without a prescription, and 40.8% obtained prescription opioids for free from friends or relatives for their most recent episode of misuse.\nLimitation: Cross-sectional, self-reported data.\nConclusion: More than one third of U.S. civilian, noninstitutionalized adults reported prescription opioid use in 2015, with substantial numbers reporting misuse and use disorders. Relief from physical pain was the most commonly reported motivation for misuse. Economic disadvantage and behavioral health problems may be associated with prescription opioid misuse. The results suggest a need to improve access to evidence-based pain management and to decrease excessive prescribing that may leave unused opioids available for potential misuse.\nPrimary Funding Source: U.S. Department of Health and Human Services.","container-title":"Annals of Internal Medicine","DOI":"10.7326/M17-0865","ISSN":"1539-3704","issue":"5","journalAbbreviation":"Ann. Intern. Med.","language":"eng","note":"PMID: 28761945","page":"293-301","source":"PubMed","title":"Prescription Opioid Use, Misuse, and Use Disorders in U.S. Adults: 2015 National Survey on Drug Use and Health","title-short":"Prescription Opioid Use, Misuse, and Use Disorders in U.S. Adults","volume":"167","author":[{"family":"Han","given":"Beth"},{"family":"Compton","given":"Wilson M."},{"family":"Blanco","given":"Carlos"},{"family":"Crane","given":"Elizabeth"},{"family":"Lee","given":"Jinhee"},{"family":"Jones","given":"Christopher M."}],"issued":{"date-parts":[["2017",9,5]]}}},{"id":1889,"uris":["http://zotero.org/groups/2118823/items/V7FDJSVH"],"uri":["http://zotero.org/groups/2118823/items/V7FDJSVH"],"itemData":{"id":1889,"type":"webpage","abstract":"CDC public health news, press releases, government public health news, medical and disease news, story ideas, photos.","language":"en-us","title":"New Data Show Growing Complexity of Drug Overdose Deaths in America | CDC Online Newsroom | CDC","URL":"https://www.cdc.gov/media/releases/2018/p1221-complexity-drug-overdose.html","accessed":{"date-parts":[["2020",2,18]]},"issued":{"date-parts":[["2019",4,11]]}}}],"schema":"https://github.com/citation-style-language/schema/raw/master/csl-citation.json"} </w:instrText>
      </w:r>
      <w:r w:rsidRPr="001E6269">
        <w:rPr>
          <w:szCs w:val="22"/>
        </w:rPr>
        <w:fldChar w:fldCharType="separate"/>
      </w:r>
      <w:r w:rsidRPr="00A43F2A" w:rsidR="00A43F2A">
        <w:t>(</w:t>
      </w:r>
      <w:r w:rsidR="00A43F2A">
        <w:t xml:space="preserve">Refs. </w:t>
      </w:r>
      <w:r w:rsidRPr="00A43F2A" w:rsidR="00A43F2A">
        <w:t>1–6)</w:t>
      </w:r>
      <w:r w:rsidRPr="001E6269">
        <w:rPr>
          <w:szCs w:val="22"/>
        </w:rPr>
        <w:fldChar w:fldCharType="end"/>
      </w:r>
      <w:r w:rsidRPr="001E6269">
        <w:rPr>
          <w:szCs w:val="22"/>
        </w:rPr>
        <w:t xml:space="preserve"> Therapeutic virtual reality (VR) provides an alternative approach for managing pain non-pharmacologically, and randomized trials demonstrate its effectiveness in reducing pain among hospitalized patients.</w:t>
      </w:r>
      <w:r w:rsidR="00362955">
        <w:rPr>
          <w:szCs w:val="22"/>
        </w:rPr>
        <w:t xml:space="preserve"> </w:t>
      </w:r>
      <w:r w:rsidRPr="001E6269">
        <w:rPr>
          <w:szCs w:val="22"/>
        </w:rPr>
        <w:fldChar w:fldCharType="begin"/>
      </w:r>
      <w:r w:rsidR="00A43F2A">
        <w:rPr>
          <w:szCs w:val="22"/>
        </w:rPr>
        <w:instrText xml:space="preserve"> ADDIN ZOTERO_ITEM CSL_CITATION {"citationID":"YNuIJYBu","properties":{"formattedCitation":"(7)","plainCitation":"(7)","noteIndex":0},"citationItems":[{"id":11613,"uris":["http://zotero.org/groups/2118823/items/AFJPN25E"],"uri":["http://zotero.org/groups/2118823/items/AFJPN25E"],"itemData":{"id":11613,"type":"article-journal","abstract":"Objectives Therapeutic virtual reality (VR) has emerged as an effective, drug-free tool for pain management, but there is a lack of randomized, controlled data evaluating its effectiveness in hospitalized patients. We sought to measure the impact of on-demand VR versus “health and wellness” television programming for pain in hospitalized patients. Methods We performed a prospective, randomized, comparative effectiveness trial in hospitalized patients with an average pain score of ≥3 out of 10 points. Patients in the experimental group received a library of 21 VR experiences administered using the Samsung Gear Oculus headset; control patients viewed specialized television programming to promote health and wellness. Clinical staff followed usual care; study interventions were not protocolized. The primary outcome was patient-reported pain using a numeric rating scale, as recorded by nursing staff during usual care. Pre- and post-intervention pain scores were compared immediately after initial treatment and after 48- and 72-hours. Results There were 120 subjects (61 VR; 59 control). The mean within-subject difference in immediate pre- and post-intervention pain scores was larger in the VR group (-1.72 points; SD 3.56) than in the control group (-0.46 points; SD 3.01); this difference was significant in favor of VR (P &lt; .04). When limited to the subgroup of patients with severe baseline pain (≥7 points), the effect of VR was more pronounced vs. control (-3.04, SD 3.75 vs. -0.93, SD 2.16 points; P = .02). In regression analyses adjusting for pre-intervention pain, time, age, gender, and type of pain, VR yielded a .59 (P = .03) and .56 (P = .04) point incremental reduction in pain versus control during the 48- and 72-hour post-intervention periods, respectively. Conclusions VR significantly reduces pain versus an active control condition in hospitalized patients. VR is most effective for severe pain. Future trials should evaluate standardized order sets that interpose VR as an early non-drug option for analgesia.","container-title":"PLOS ONE","DOI":"10.1371/journal.pone.0219115","ISSN":"1932-6203","issue":"8","journalAbbreviation":"PLOS ONE","language":"en","page":"e0219115","source":"PLoS Journals","title":"Virtual reality for management of pain in hospitalized patients: A randomized comparative effectiveness trial","title-short":"Virtual reality for management of pain in hospitalized patients","volume":"14","author":[{"family":"Spiegel","given":"Brennan"},{"family":"Fuller","given":"Garth"},{"family":"Lopez","given":"Mayra"},{"family":"Dupuy","given":"Taylor"},{"family":"Noah","given":"Benjamin"},{"family":"Howard","given":"Amber"},{"family":"Albert","given":"Michael"},{"family":"Tashjian","given":"Vartan"},{"family":"Lam","given":"Richard"},{"family":"Ahn","given":"Joseph"},{"family":"Dailey","given":"Francis"},{"family":"Rosen","given":"Bradley T."},{"family":"Vrahas","given":"Mark"},{"family":"Little","given":"Milton"},{"family":"Garlich","given":"John"},{"family":"Dzubur","given":"Eldin"},{"family":"IsHak","given":"Waguih"},{"family":"Danovitch","given":"Itai"}],"issued":{"date-parts":[["2019",8,14]]}}}],"schema":"https://github.com/citation-style-language/schema/raw/master/csl-citation.json"} </w:instrText>
      </w:r>
      <w:r w:rsidRPr="001E6269">
        <w:rPr>
          <w:szCs w:val="22"/>
        </w:rPr>
        <w:fldChar w:fldCharType="separate"/>
      </w:r>
      <w:r w:rsidRPr="00A43F2A" w:rsidR="00A43F2A">
        <w:t>(</w:t>
      </w:r>
      <w:r w:rsidR="00A43F2A">
        <w:t xml:space="preserve">Ref. </w:t>
      </w:r>
      <w:r w:rsidRPr="00A43F2A" w:rsidR="00A43F2A">
        <w:t>7)</w:t>
      </w:r>
      <w:r w:rsidRPr="001E6269">
        <w:rPr>
          <w:szCs w:val="22"/>
        </w:rPr>
        <w:fldChar w:fldCharType="end"/>
      </w:r>
      <w:r w:rsidRPr="001E6269">
        <w:rPr>
          <w:szCs w:val="22"/>
        </w:rPr>
        <w:t xml:space="preserve"> However, VR therapeutic products are primarily tested in well-resourced, controlled settings serving mostly white, non-Hispanic patients with high educational attainment.</w:t>
      </w:r>
      <w:r w:rsidR="00362955">
        <w:rPr>
          <w:szCs w:val="22"/>
        </w:rPr>
        <w:t xml:space="preserve"> </w:t>
      </w:r>
      <w:r w:rsidRPr="001E6269">
        <w:rPr>
          <w:szCs w:val="22"/>
        </w:rPr>
        <w:fldChar w:fldCharType="begin"/>
      </w:r>
      <w:r w:rsidR="00A43F2A">
        <w:rPr>
          <w:szCs w:val="22"/>
        </w:rPr>
        <w:instrText xml:space="preserve"> ADDIN ZOTERO_ITEM CSL_CITATION {"citationID":"Fr9OBENn","properties":{"formattedCitation":"(7,8)","plainCitation":"(7,8)","noteIndex":0},"citationItems":[{"id":11613,"uris":["http://zotero.org/groups/2118823/items/AFJPN25E"],"uri":["http://zotero.org/groups/2118823/items/AFJPN25E"],"itemData":{"id":11613,"type":"article-journal","abstract":"Objectives Therapeutic virtual reality (VR) has emerged as an effective, drug-free tool for pain management, but there is a lack of randomized, controlled data evaluating its effectiveness in hospitalized patients. We sought to measure the impact of on-demand VR versus “health and wellness” television programming for pain in hospitalized patients. Methods We performed a prospective, randomized, comparative effectiveness trial in hospitalized patients with an average pain score of ≥3 out of 10 points. Patients in the experimental group received a library of 21 VR experiences administered using the Samsung Gear Oculus headset; control patients viewed specialized television programming to promote health and wellness. Clinical staff followed usual care; study interventions were not protocolized. The primary outcome was patient-reported pain using a numeric rating scale, as recorded by nursing staff during usual care. Pre- and post-intervention pain scores were compared immediately after initial treatment and after 48- and 72-hours. Results There were 120 subjects (61 VR; 59 control). The mean within-subject difference in immediate pre- and post-intervention pain scores was larger in the VR group (-1.72 points; SD 3.56) than in the control group (-0.46 points; SD 3.01); this difference was significant in favor of VR (P &lt; .04). When limited to the subgroup of patients with severe baseline pain (≥7 points), the effect of VR was more pronounced vs. control (-3.04, SD 3.75 vs. -0.93, SD 2.16 points; P = .02). In regression analyses adjusting for pre-intervention pain, time, age, gender, and type of pain, VR yielded a .59 (P = .03) and .56 (P = .04) point incremental reduction in pain versus control during the 48- and 72-hour post-intervention periods, respectively. Conclusions VR significantly reduces pain versus an active control condition in hospitalized patients. VR is most effective for severe pain. Future trials should evaluate standardized order sets that interpose VR as an early non-drug option for analgesia.","container-title":"PLOS ONE","DOI":"10.1371/journal.pone.0219115","ISSN":"1932-6203","issue":"8","journalAbbreviation":"PLOS ONE","language":"en","page":"e0219115","source":"PLoS Journals","title":"Virtual reality for management of pain in hospitalized patients: A randomized comparative effectiveness trial","title-short":"Virtual reality for management of pain in hospitalized patients","volume":"14","author":[{"family":"Spiegel","given":"Brennan"},{"family":"Fuller","given":"Garth"},{"family":"Lopez","given":"Mayra"},{"family":"Dupuy","given":"Taylor"},{"family":"Noah","given":"Benjamin"},{"family":"Howard","given":"Amber"},{"family":"Albert","given":"Michael"},{"family":"Tashjian","given":"Vartan"},{"family":"Lam","given":"Richard"},{"family":"Ahn","given":"Joseph"},{"family":"Dailey","given":"Francis"},{"family":"Rosen","given":"Bradley T."},{"family":"Vrahas","given":"Mark"},{"family":"Little","given":"Milton"},{"family":"Garlich","given":"John"},{"family":"Dzubur","given":"Eldin"},{"family":"IsHak","given":"Waguih"},{"family":"Danovitch","given":"Itai"}],"issued":{"date-parts":[["2019",8,14]]}}},{"id":11912,"uris":["http://zotero.org/groups/2118823/items/4EMWVMDU"],"uri":["http://zotero.org/groups/2118823/items/4EMWVMDU"],"itemData":{"id":11912,"type":"article-journal","abstract":"PurposeAccording to literature, virtual reality was found to reduce pain and kinesiophobia in patients with chronic pain. The purpose of the study was to investigate short-term effect of the virtual reality on pain, function, and kinesiophobia in patients with subacute and chronic non-specific low-back painMethodsThis randomised controlled study in which 44 patients were randomly assigned to the traditional physiotherapy (control group, 22 subjects) or virtual walking integrated physiotherapy (experimental group, 22 subjects). Before and after treatment, Visual Analog Scale (VAS), TAMPA Kinesiophobia Scale (TKS), Oswestry Disability Index (ODI), Nottingham Health Profile (NHP), Timed-up and go Test (TUG), 6-Minute Walk Test (6MWT), and Single-Leg Balance Test were assessed. The interaction effect between group and time was assessed by using repeated-measures analysis of covariance.ResultsAfter treatment, both groups showed improvement in all parameters. However, VAS, TKS, TUG, and 6MWT scores showed significant differences in favor of the experimental group.ConclusionVirtual walking integrated physiotherapy reduces pain and kinesiophobia, and improved function in patients with subacute and chronic non-specific low-back pain in short term.","container-title":"European Spine Journal","DOI":"10.1007/s00586-016-4892-7","ISSN":"1432-0932","issue":"2","journalAbbreviation":"Eur Spine J","language":"en","page":"538-545","source":"Springer Link","title":"Is physiotherapy integrated virtual walking effective on pain, function, and kinesiophobia in patients with non-specific low-back pain? Randomised controlled trial","title-short":"Is physiotherapy integrated virtual walking effective on pain, function, and kinesiophobia in patients with non-specific low-back pain?","volume":"26","author":[{"family":"Yilmaz Yelvar","given":"Gul Deniz"},{"family":"Çırak","given":"Yasemin"},{"family":"Dalkılınç","given":"Murat"},{"family":"Parlak Demir","given":"Yasemin"},{"family":"Guner","given":"Zeynep"},{"family":"Boydak","given":"Ayşenur"}],"issued":{"date-parts":[["2017",2,1]]}}}],"schema":"https://github.com/citation-style-language/schema/raw/master/csl-citation.json"} </w:instrText>
      </w:r>
      <w:r w:rsidRPr="001E6269">
        <w:rPr>
          <w:szCs w:val="22"/>
        </w:rPr>
        <w:fldChar w:fldCharType="separate"/>
      </w:r>
      <w:r w:rsidRPr="00A43F2A" w:rsidR="00A43F2A">
        <w:t>(</w:t>
      </w:r>
      <w:r w:rsidR="00A43F2A">
        <w:t xml:space="preserve">Refs. </w:t>
      </w:r>
      <w:r w:rsidRPr="00A43F2A" w:rsidR="00A43F2A">
        <w:t>7,</w:t>
      </w:r>
      <w:r w:rsidR="00EF0C87">
        <w:t xml:space="preserve"> </w:t>
      </w:r>
      <w:r w:rsidRPr="00A43F2A" w:rsidR="00A43F2A">
        <w:t>8)</w:t>
      </w:r>
      <w:r w:rsidRPr="001E6269">
        <w:rPr>
          <w:szCs w:val="22"/>
        </w:rPr>
        <w:fldChar w:fldCharType="end"/>
      </w:r>
      <w:r w:rsidRPr="001E6269">
        <w:rPr>
          <w:szCs w:val="22"/>
        </w:rPr>
        <w:t xml:space="preserve"> It is not clear if VR is a feasible or effective approach for pain management in real-world settings serving diverse, low-income patients. Therefore, we propose to conduct usability testing of VR for opioid-sparing pain management in a safety-net health care system serving diverse patients using an implementation science framework. </w:t>
      </w:r>
    </w:p>
    <w:p w:rsidRPr="00937D10" w:rsidR="00937D10" w:rsidP="00937D10" w:rsidRDefault="00937D10"/>
    <w:p w:rsidRPr="001E6269" w:rsidR="00937D10" w:rsidP="00937D10" w:rsidRDefault="00937D10">
      <w:pPr>
        <w:numPr>
          <w:ilvl w:val="0"/>
          <w:numId w:val="20"/>
        </w:numPr>
        <w:spacing w:after="200" w:line="276" w:lineRule="auto"/>
      </w:pPr>
      <w:r w:rsidRPr="00937D10">
        <w:rPr>
          <w:b/>
        </w:rPr>
        <w:t>Intended Use of the Information:</w:t>
      </w:r>
      <w:r w:rsidRPr="00937D10">
        <w:rPr>
          <w:b/>
        </w:rPr>
        <w:br/>
      </w:r>
      <w:r w:rsidRPr="00937D10">
        <w:br/>
      </w:r>
      <w:r w:rsidR="001E6269">
        <w:rPr>
          <w:rFonts w:eastAsia="Calibri"/>
        </w:rPr>
        <w:t>Usability testing, which includes in-depth interviews, will be used for the following purposes:</w:t>
      </w:r>
    </w:p>
    <w:p w:rsidR="001E6269" w:rsidP="001E6269" w:rsidRDefault="00B002DA">
      <w:pPr>
        <w:numPr>
          <w:ilvl w:val="1"/>
          <w:numId w:val="20"/>
        </w:numPr>
        <w:spacing w:after="200" w:line="276" w:lineRule="auto"/>
      </w:pPr>
      <w:r>
        <w:t>Examine the usability of V</w:t>
      </w:r>
      <w:r w:rsidR="001E6269">
        <w:t xml:space="preserve">R therapeutic products among </w:t>
      </w:r>
      <w:r>
        <w:t>diverse, low-income patients</w:t>
      </w:r>
    </w:p>
    <w:p w:rsidRPr="00937D10" w:rsidR="001E6269" w:rsidP="001E6269" w:rsidRDefault="001E6269">
      <w:pPr>
        <w:numPr>
          <w:ilvl w:val="1"/>
          <w:numId w:val="20"/>
        </w:numPr>
        <w:spacing w:after="200" w:line="276" w:lineRule="auto"/>
      </w:pPr>
      <w:r>
        <w:t xml:space="preserve">Examine </w:t>
      </w:r>
      <w:r w:rsidR="00B002DA">
        <w:t xml:space="preserve">the usability of </w:t>
      </w:r>
      <w:r>
        <w:t>VR therapeutic products among health care workers in safety-net settings, who may deliver the intervention to potential end users</w:t>
      </w:r>
    </w:p>
    <w:p w:rsidRPr="00937D10" w:rsidR="00937D10" w:rsidP="00937D10" w:rsidRDefault="00937D10">
      <w:pPr>
        <w:widowControl w:val="0"/>
        <w:numPr>
          <w:ilvl w:val="0"/>
          <w:numId w:val="20"/>
        </w:numPr>
        <w:spacing w:after="200" w:line="276" w:lineRule="auto"/>
        <w:contextualSpacing/>
        <w:rPr>
          <w:b/>
          <w:snapToGrid w:val="0"/>
        </w:rPr>
      </w:pPr>
      <w:r w:rsidRPr="00937D10">
        <w:rPr>
          <w:b/>
          <w:snapToGrid w:val="0"/>
        </w:rPr>
        <w:t>Description of Respondents:</w:t>
      </w:r>
    </w:p>
    <w:p w:rsidRPr="00937D10" w:rsidR="00937D10" w:rsidP="00937D10" w:rsidRDefault="00937D10">
      <w:pPr>
        <w:widowControl w:val="0"/>
        <w:ind w:left="360"/>
        <w:contextualSpacing/>
        <w:rPr>
          <w:snapToGrid w:val="0"/>
        </w:rPr>
      </w:pPr>
    </w:p>
    <w:p w:rsidRPr="00EF0C87" w:rsidR="00A2684A" w:rsidP="00EF0C87" w:rsidRDefault="00C87F73">
      <w:pPr>
        <w:ind w:left="432"/>
        <w:rPr>
          <w:color w:val="000000"/>
        </w:rPr>
      </w:pPr>
      <w:r w:rsidRPr="00EF0C87">
        <w:rPr>
          <w:color w:val="000000"/>
        </w:rPr>
        <w:t>T</w:t>
      </w:r>
      <w:r w:rsidRPr="00EF0C87" w:rsidR="00A2684A">
        <w:rPr>
          <w:color w:val="000000"/>
        </w:rPr>
        <w:t xml:space="preserve">he respondents for this collection are: (a) patients receiving care in primary care and pain clinics at an urban, integrated, safety-net hospital; and (b) health care workers (e.g., providers, front-line staff, information technology staff) who are involved in the delivery of care to diverse, low-income patients.  </w:t>
      </w:r>
    </w:p>
    <w:p w:rsidRPr="00EF0C87" w:rsidR="00A2684A" w:rsidP="00EF0C87" w:rsidRDefault="00A2684A">
      <w:pPr>
        <w:ind w:left="432"/>
        <w:rPr>
          <w:color w:val="000000"/>
        </w:rPr>
      </w:pPr>
    </w:p>
    <w:p w:rsidRPr="00BF2606" w:rsidR="00A2684A" w:rsidP="00EF0C87" w:rsidRDefault="00A2684A">
      <w:pPr>
        <w:ind w:left="432"/>
        <w:rPr>
          <w:rFonts w:ascii="Calibri" w:hAnsi="Calibri" w:cs="Calibri"/>
          <w:color w:val="000000"/>
          <w:sz w:val="22"/>
          <w:szCs w:val="22"/>
        </w:rPr>
      </w:pPr>
      <w:r w:rsidRPr="00EF0C87">
        <w:rPr>
          <w:color w:val="000000"/>
        </w:rPr>
        <w:t>Under Section 3003 of the 21</w:t>
      </w:r>
      <w:r w:rsidRPr="00EF0C87">
        <w:rPr>
          <w:color w:val="000000"/>
          <w:vertAlign w:val="superscript"/>
        </w:rPr>
        <w:t>st</w:t>
      </w:r>
      <w:r w:rsidRPr="00EF0C87">
        <w:rPr>
          <w:color w:val="000000"/>
        </w:rPr>
        <w:t xml:space="preserve"> Century Cures Act (Public Law 114-255, December 13, 2016), the voluntary responses provided by patients receiving primary care and pain clinics at an urban, integrated, safety-net hospital are exempt from the Paperwork Reduction Act.  Section 3003 states that “Chapter 35 of title 44, United States Code, (the Paperwork Reduction Act), shall not apply to the collection of information to which a response is voluntary…”  Therefore, for the collection of information from patients for this individual generic submission under OMB No. </w:t>
      </w:r>
      <w:r w:rsidRPr="00EF0C87">
        <w:rPr>
          <w:color w:val="000000"/>
        </w:rPr>
        <w:lastRenderedPageBreak/>
        <w:t>0910-0497, we are not listing the patients as respondents in Item 3 and are not seeking OMB approval under the PRA and will</w:t>
      </w:r>
      <w:r w:rsidRPr="00BF2606">
        <w:rPr>
          <w:rFonts w:ascii="Calibri" w:hAnsi="Calibri" w:cs="Calibri"/>
          <w:color w:val="000000"/>
          <w:sz w:val="22"/>
          <w:szCs w:val="22"/>
        </w:rPr>
        <w:t xml:space="preserve"> </w:t>
      </w:r>
      <w:r w:rsidRPr="00DF3994">
        <w:rPr>
          <w:color w:val="000000"/>
        </w:rPr>
        <w:t>not add the burden to the burden table in Item 9</w:t>
      </w:r>
      <w:r w:rsidRPr="00BF2606">
        <w:rPr>
          <w:rFonts w:ascii="Calibri" w:hAnsi="Calibri" w:cs="Calibri"/>
          <w:color w:val="000000"/>
          <w:sz w:val="22"/>
          <w:szCs w:val="22"/>
        </w:rPr>
        <w:t xml:space="preserve">.  </w:t>
      </w:r>
    </w:p>
    <w:p w:rsidRPr="00BF2606" w:rsidR="00A2684A" w:rsidP="00A2684A" w:rsidRDefault="00A2684A">
      <w:pPr>
        <w:rPr>
          <w:rFonts w:ascii="Calibri" w:hAnsi="Calibri" w:cs="Calibri"/>
          <w:color w:val="000000"/>
          <w:sz w:val="22"/>
          <w:szCs w:val="22"/>
        </w:rPr>
      </w:pPr>
    </w:p>
    <w:p w:rsidRPr="005B24AC" w:rsidR="005B24AC" w:rsidP="005B24AC" w:rsidRDefault="00937D10">
      <w:pPr>
        <w:numPr>
          <w:ilvl w:val="0"/>
          <w:numId w:val="20"/>
        </w:numPr>
        <w:contextualSpacing/>
      </w:pPr>
      <w:r>
        <w:rPr>
          <w:b/>
        </w:rPr>
        <w:t>How the Information is Collected</w:t>
      </w:r>
      <w:r w:rsidRPr="005B24AC" w:rsidR="005B24AC">
        <w:rPr>
          <w:b/>
        </w:rPr>
        <w:t xml:space="preserve">: </w:t>
      </w:r>
    </w:p>
    <w:p w:rsidRPr="005B24AC" w:rsidR="005B24AC" w:rsidP="005B24AC" w:rsidRDefault="005B24AC"/>
    <w:p w:rsidR="005B24AC" w:rsidP="005B24AC" w:rsidRDefault="00A54CB3">
      <w:pPr>
        <w:ind w:left="360"/>
        <w:rPr>
          <w:rFonts w:eastAsia="Calibri"/>
        </w:rPr>
      </w:pPr>
      <w:bookmarkStart w:name="_Hlk25581043" w:id="1"/>
      <w:r>
        <w:rPr>
          <w:rFonts w:eastAsia="Calibri"/>
        </w:rPr>
        <w:t>Usability tests and interviews will be conducted by trained research staff based at the University of California, San Francisco</w:t>
      </w:r>
      <w:r w:rsidR="00342574">
        <w:rPr>
          <w:rFonts w:eastAsia="Calibri"/>
        </w:rPr>
        <w:t xml:space="preserve"> (UCSF)</w:t>
      </w:r>
      <w:r>
        <w:rPr>
          <w:rFonts w:eastAsia="Calibri"/>
        </w:rPr>
        <w:t xml:space="preserve">. Each session will include one member of the study team and one participant. Interviews will be audio recorded and transcribed. </w:t>
      </w:r>
    </w:p>
    <w:p w:rsidR="00387A23" w:rsidP="005B24AC" w:rsidRDefault="00387A23">
      <w:pPr>
        <w:ind w:left="360"/>
        <w:rPr>
          <w:rFonts w:eastAsia="Calibri"/>
        </w:rPr>
      </w:pPr>
    </w:p>
    <w:p w:rsidRPr="005B24AC" w:rsidR="00387A23" w:rsidP="005B24AC" w:rsidRDefault="00387A23">
      <w:pPr>
        <w:ind w:left="360"/>
      </w:pPr>
      <w:r>
        <w:rPr>
          <w:rFonts w:eastAsia="Calibri"/>
        </w:rPr>
        <w:t xml:space="preserve">Given the ongoing COVID-19 pandemic, study activities will be conducted after receipt of OMB approval and when it is safe to do so. </w:t>
      </w:r>
    </w:p>
    <w:bookmarkEnd w:id="1"/>
    <w:p w:rsidRPr="005B24AC" w:rsidR="005B24AC" w:rsidP="005B24AC" w:rsidRDefault="005B24AC">
      <w:pPr>
        <w:rPr>
          <w:b/>
        </w:rPr>
      </w:pPr>
    </w:p>
    <w:p w:rsidRPr="005B24AC" w:rsidR="005B24AC" w:rsidP="005B24AC" w:rsidRDefault="005B24AC">
      <w:pPr>
        <w:widowControl w:val="0"/>
        <w:numPr>
          <w:ilvl w:val="0"/>
          <w:numId w:val="20"/>
        </w:numPr>
        <w:contextualSpacing/>
        <w:rPr>
          <w:b/>
          <w:snapToGrid w:val="0"/>
        </w:rPr>
      </w:pPr>
      <w:r w:rsidRPr="005B24AC">
        <w:rPr>
          <w:b/>
          <w:snapToGrid w:val="0"/>
        </w:rPr>
        <w:t>N</w:t>
      </w:r>
      <w:r w:rsidR="00937D10">
        <w:rPr>
          <w:b/>
          <w:snapToGrid w:val="0"/>
        </w:rPr>
        <w:t>umber of Focus Groups</w:t>
      </w:r>
      <w:r w:rsidRPr="005B24AC">
        <w:rPr>
          <w:b/>
          <w:snapToGrid w:val="0"/>
        </w:rPr>
        <w:t>:</w:t>
      </w:r>
    </w:p>
    <w:p w:rsidRPr="005B24AC" w:rsidR="005B24AC" w:rsidP="005B24AC" w:rsidRDefault="005B24AC">
      <w:pPr>
        <w:widowControl w:val="0"/>
        <w:ind w:left="360"/>
        <w:contextualSpacing/>
        <w:rPr>
          <w:b/>
          <w:snapToGrid w:val="0"/>
        </w:rPr>
      </w:pPr>
    </w:p>
    <w:p w:rsidRPr="005B24AC" w:rsidR="005B24AC" w:rsidP="005B24AC" w:rsidRDefault="00A54CB3">
      <w:pPr>
        <w:widowControl w:val="0"/>
        <w:ind w:left="360"/>
        <w:contextualSpacing/>
        <w:rPr>
          <w:snapToGrid w:val="0"/>
        </w:rPr>
      </w:pPr>
      <w:r>
        <w:rPr>
          <w:rFonts w:eastAsia="Calibri"/>
        </w:rPr>
        <w:t xml:space="preserve">We intend to recruit 12-20 patients and 12-20 health care workers for a total of 24-40 usability tests and interviews. </w:t>
      </w:r>
    </w:p>
    <w:p w:rsidRPr="005B24AC" w:rsidR="005B24AC" w:rsidP="005B24AC" w:rsidRDefault="005B24AC">
      <w:pPr>
        <w:widowControl w:val="0"/>
        <w:ind w:left="360"/>
        <w:contextualSpacing/>
        <w:rPr>
          <w:snapToGrid w:val="0"/>
        </w:rPr>
      </w:pPr>
    </w:p>
    <w:p w:rsidRPr="00937D10" w:rsidR="00937D10" w:rsidP="00937D10" w:rsidRDefault="00937D10">
      <w:pPr>
        <w:numPr>
          <w:ilvl w:val="0"/>
          <w:numId w:val="20"/>
        </w:numPr>
        <w:spacing w:after="200" w:line="276" w:lineRule="auto"/>
        <w:contextualSpacing/>
        <w:rPr>
          <w:b/>
        </w:rPr>
      </w:pPr>
      <w:r w:rsidRPr="00937D10">
        <w:rPr>
          <w:b/>
        </w:rPr>
        <w:t>Amount and Justification for Proposed Incentive:</w:t>
      </w:r>
    </w:p>
    <w:p w:rsidRPr="005B24AC" w:rsidR="005B24AC" w:rsidP="005B24AC" w:rsidRDefault="005B24AC">
      <w:pPr>
        <w:rPr>
          <w:b/>
        </w:rPr>
      </w:pPr>
    </w:p>
    <w:p w:rsidRPr="005B24AC" w:rsidR="005B24AC" w:rsidP="005B24AC" w:rsidRDefault="00190E39">
      <w:pPr>
        <w:ind w:left="360"/>
      </w:pPr>
      <w:r>
        <w:rPr>
          <w:rFonts w:eastAsia="Calibri"/>
        </w:rPr>
        <w:fldChar w:fldCharType="begin">
          <w:ffData>
            <w:name w:val=""/>
            <w:enabled/>
            <w:calcOnExit w:val="0"/>
            <w:textInput>
              <w:default w:val="Is an incentive (e.g., stipend, reimbursement of expenses, token of appreciation) provided to participants?"/>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Is an incentive (e.g., stipend, reimbursement of expenses, token of appreciation) provided to participants?</w:t>
      </w:r>
      <w:r>
        <w:rPr>
          <w:rFonts w:eastAsia="Calibri"/>
        </w:rPr>
        <w:fldChar w:fldCharType="end"/>
      </w:r>
      <w:r w:rsidRPr="005B24AC" w:rsidR="005B24AC">
        <w:t xml:space="preserve"> </w:t>
      </w:r>
      <w:r w:rsidR="00B002DA">
        <w:t>[</w:t>
      </w:r>
      <w:r w:rsidR="00A54CB3">
        <w:t>X</w:t>
      </w:r>
      <w:r w:rsidRPr="005B24AC" w:rsidR="005B24AC">
        <w:t xml:space="preserve">] Yes [  ] No  </w:t>
      </w:r>
    </w:p>
    <w:p w:rsidRPr="005B24AC" w:rsidR="005B24AC" w:rsidP="005B24AC" w:rsidRDefault="005B24AC">
      <w:pPr>
        <w:ind w:left="720"/>
      </w:pPr>
    </w:p>
    <w:p w:rsidRPr="005B24AC" w:rsidR="00342574" w:rsidP="005B24AC" w:rsidRDefault="00342574">
      <w:pPr>
        <w:ind w:left="360"/>
      </w:pPr>
      <w:r>
        <w:rPr>
          <w:rFonts w:eastAsia="Calibri"/>
        </w:rPr>
        <w:t xml:space="preserve">Patient participants will be provided with $25 for participation in a usability test and interview (approximately 60-90 minutes). Health care workers will be provided with $100 for participation in a usability test and interview (approximately 60-90 minutes). These amounts were determined based on average hourly wages among residents of the Bay Area and among health care professionals. </w:t>
      </w:r>
    </w:p>
    <w:p w:rsidRPr="005B24AC" w:rsidR="005B24AC" w:rsidP="005B24AC" w:rsidRDefault="005B24AC"/>
    <w:p w:rsidRPr="00937D10" w:rsidR="00937D10" w:rsidP="00937D10" w:rsidRDefault="00937D10">
      <w:pPr>
        <w:numPr>
          <w:ilvl w:val="0"/>
          <w:numId w:val="20"/>
        </w:numPr>
        <w:spacing w:after="200" w:line="276" w:lineRule="auto"/>
        <w:contextualSpacing/>
        <w:rPr>
          <w:b/>
        </w:rPr>
      </w:pPr>
      <w:r w:rsidRPr="00937D10">
        <w:rPr>
          <w:b/>
        </w:rPr>
        <w:t>Questions of a Sensitive Nature:</w:t>
      </w:r>
    </w:p>
    <w:p w:rsidRPr="005B24AC" w:rsidR="005B24AC" w:rsidP="005B24AC" w:rsidRDefault="005B24AC">
      <w:pPr>
        <w:ind w:left="360"/>
        <w:contextualSpacing/>
      </w:pPr>
    </w:p>
    <w:p w:rsidRPr="005B24AC" w:rsidR="005B24AC" w:rsidP="005B24AC" w:rsidRDefault="00342574">
      <w:pPr>
        <w:ind w:left="360"/>
        <w:contextualSpacing/>
        <w:rPr>
          <w:rFonts w:eastAsia="Calibri"/>
        </w:rPr>
      </w:pPr>
      <w:r>
        <w:rPr>
          <w:rFonts w:eastAsia="Calibri"/>
        </w:rPr>
        <w:t xml:space="preserve">The usability tests and interviews will elicit participants’ perceptions about VR and digital therapeutics for pain management. </w:t>
      </w:r>
      <w:proofErr w:type="gramStart"/>
      <w:r w:rsidR="00B002DA">
        <w:rPr>
          <w:rFonts w:eastAsia="Calibri"/>
        </w:rPr>
        <w:t>The majority of</w:t>
      </w:r>
      <w:proofErr w:type="gramEnd"/>
      <w:r w:rsidR="00B002DA">
        <w:rPr>
          <w:rFonts w:eastAsia="Calibri"/>
        </w:rPr>
        <w:t xml:space="preserve"> the questions will not be sensitive in nature, but s</w:t>
      </w:r>
      <w:r>
        <w:rPr>
          <w:rFonts w:eastAsia="Calibri"/>
        </w:rPr>
        <w:t xml:space="preserve">ome questions may be considered personal or sensitive to participants. For example, patients may be asked about their experiences with pain and pain management. Researchers will communicate to participants prior to commencing the usability test and interview that participants may be asked questions that make them feel uncomfortable, and that participants can skip any question they do not wish to answer and discontinue the usability test and interview at any time. Additionally, all members of the study team are trained conducting human subjects research. </w:t>
      </w:r>
    </w:p>
    <w:p w:rsidRPr="005B24AC" w:rsidR="005B24AC" w:rsidP="005B24AC" w:rsidRDefault="005B24AC">
      <w:pPr>
        <w:ind w:left="360"/>
        <w:contextualSpacing/>
        <w:rPr>
          <w:rFonts w:eastAsia="Calibri"/>
        </w:rPr>
      </w:pPr>
    </w:p>
    <w:p w:rsidRPr="00937D10" w:rsidR="00937D10" w:rsidP="00937D10" w:rsidRDefault="00937D10">
      <w:pPr>
        <w:numPr>
          <w:ilvl w:val="0"/>
          <w:numId w:val="20"/>
        </w:numPr>
        <w:spacing w:after="200" w:line="276" w:lineRule="auto"/>
        <w:contextualSpacing/>
        <w:rPr>
          <w:b/>
        </w:rPr>
      </w:pPr>
      <w:r w:rsidRPr="00937D10">
        <w:rPr>
          <w:b/>
        </w:rPr>
        <w:t>Description of Statistical Methods:</w:t>
      </w:r>
    </w:p>
    <w:p w:rsidRPr="005B24AC" w:rsidR="005B24AC" w:rsidP="005B24AC" w:rsidRDefault="005B24AC">
      <w:pPr>
        <w:ind w:left="720"/>
        <w:contextualSpacing/>
      </w:pPr>
    </w:p>
    <w:p w:rsidRPr="00A927D9" w:rsidR="00A927D9" w:rsidP="00A927D9" w:rsidRDefault="00342574">
      <w:pPr>
        <w:ind w:left="360"/>
        <w:rPr>
          <w:rFonts w:eastAsia="Calibri"/>
        </w:rPr>
      </w:pPr>
      <w:r>
        <w:rPr>
          <w:rFonts w:eastAsia="Calibri"/>
        </w:rPr>
        <w:t>The study team will conduct a qualitative analysis of</w:t>
      </w:r>
      <w:r w:rsidR="00A927D9">
        <w:rPr>
          <w:rFonts w:eastAsia="Calibri"/>
        </w:rPr>
        <w:t xml:space="preserve"> interview transcripts using a deductive and inductive reasoning approach to characterize usability barriers and facilitators. </w:t>
      </w:r>
      <w:r w:rsidRPr="00A927D9" w:rsidR="00A927D9">
        <w:rPr>
          <w:rFonts w:eastAsia="Calibri"/>
        </w:rPr>
        <w:t>The overall co</w:t>
      </w:r>
      <w:r w:rsidR="00A927D9">
        <w:rPr>
          <w:rFonts w:eastAsia="Calibri"/>
        </w:rPr>
        <w:t>nceptual model that will guide the</w:t>
      </w:r>
      <w:r w:rsidRPr="00A927D9" w:rsidR="00A927D9">
        <w:rPr>
          <w:rFonts w:eastAsia="Calibri"/>
        </w:rPr>
        <w:t xml:space="preserve"> evaluation is the Consolidated Framework for Implementation Research, CFIR.</w:t>
      </w:r>
      <w:r w:rsidR="002F5A56">
        <w:rPr>
          <w:rFonts w:eastAsia="Calibri"/>
        </w:rPr>
        <w:t xml:space="preserve"> </w:t>
      </w:r>
      <w:r w:rsidRPr="00A927D9" w:rsidR="00A927D9">
        <w:rPr>
          <w:rFonts w:eastAsia="Calibri"/>
        </w:rPr>
        <w:fldChar w:fldCharType="begin"/>
      </w:r>
      <w:r w:rsidR="00A43F2A">
        <w:rPr>
          <w:rFonts w:eastAsia="Calibri"/>
        </w:rPr>
        <w:instrText xml:space="preserve"> ADDIN ZOTERO_ITEM CSL_CITATION {"citationID":"iLjGZqA0","properties":{"formattedCitation":"(9,10)","plainCitation":"(9,10)","noteIndex":0},"citationItems":[{"id":13415,"uris":["http://zotero.org/groups/2118823/items/236PPD7C"],"uri":["http://zotero.org/groups/2118823/items/236PPD7C"],"itemData":{"id":13415,"type":"article-journal","container-title":"Implementation science : IS","DOI":"10.1186/1748-5908-4-50","note":"PMCID: PMC2736161","title":"Fostering implementation of health services research findings into practice: a consolidated framework for advancing implementation science","title-short":"Fostering implementation of health services research findings into practice: a consolidated framework for advancing implementation science","URL":"http://dx.doi.org/10.1186/1748-5908-4-50","volume":"4","author":[{"family":"Damschroder","given":"L."},{"family":"Aron","given":"D."},{"family":"Keith","given":"R."},{"family":"Kirsh","given":"S."},{"family":"Alexander","given":"J."},{"family":"Lowery","given":"J."}],"issued":{"date-parts":[["2009"]]}}},{"id":13414,"uris":["http://zotero.org/groups/2118823/items/RVPGZNKC"],"uri":["http://zotero.org/groups/2118823/items/RVPGZNKC"],"itemData":{"id":13414,"type":"article-journal","abstract":"BACKGROUND: In the United States, as in many other parts of the world, the prevalence of overweight/obesity is at epidemic proportions in the adult population and even higher among Veterans. To address the high prevalence of overweight/obesity among Veterans, the MOVE!(R) weight management program was disseminated nationally to Veteran Affairs (VA) medical centers. The objective of this paper is two-fold: to describe factors that explain the wide variation in implementation of MOVE!; and to illustrate, step-by-step, how to apply a theory-based framework using qualitative data. METHODS: Five VA facilities were selected to maximize variation in implementation effectiveness and geographic location. Twenty-four key stakeholders were interviewed at each of these facilities about their experiences in implementing MOVE!. The Consolidated Framework for Implementation Research (CFIR) was used to guide collection and analysis of qualitative data. Constructs that most strongly influence implementation effectiveness were identified through a cross-case comparison of ratings. RESULTS: Of the 31 CFIR constructs assessed, ten constructs strongly distinguished between facilities with low versus high program implementation effectiveness. The majority (six) were related to the inner setting: networks and communications; tension for change; relative priority; goals and feedback; learning climate; and leadership engagement. One construct each, from intervention characteristics (relative advantage) and outer setting (patient needs and resources), plus two from process (executing and reflecting) also strongly distinguished between high and low implementation. Two additional constructs weakly distinguished, 16 were mixed, three constructs had insufficient data to assess, and one was not applicable. Detailed descriptions of how each distinguishing construct manifested in study facilities and a table of recommendations is provided. CONCLUSIONS: This paper presents an approach for using the CFIR to code and rate qualitative data in a way that will facilitate comparisons across studies. An online Wiki resource (www.wiki.cfirwiki.net) is available, in addition to the information presented here, that contains much of the published information about the CFIR and its constructs and sub-constructs. We hope that the described approach and open access to the CFIR will generate wide use and encourage dialogue and continued refinement of both the framework and approaches for applying it.","archive_location":"23663819","container-title":"Implement Sci","DOI":"10.1186/1748-5908-8-51","ISSN":"1748-5908 (Electronic) 1748-5908 (Linking)","issue":"1","language":"Eng","note":"PMCID: PMC3656778","page":"51","source":"NLM","title":"Evaluation of a large-scale weight management program using the consolidated framework for implementation research (CFIR)","title-short":"Evaluation of a large-scale weight management program using the consolidated framework for implementation research (CFIR)","volume":"8","author":[{"family":"Damschroder","given":"L. J."},{"family":"Lowery","given":"J. C."}],"issued":{"date-parts":[["2013",5,10]]}}}],"schema":"https://github.com/citation-style-language/schema/raw/master/csl-citation.json"} </w:instrText>
      </w:r>
      <w:r w:rsidRPr="00A927D9" w:rsidR="00A927D9">
        <w:rPr>
          <w:rFonts w:eastAsia="Calibri"/>
        </w:rPr>
        <w:fldChar w:fldCharType="separate"/>
      </w:r>
      <w:r w:rsidRPr="00A43F2A" w:rsidR="00A43F2A">
        <w:t>(</w:t>
      </w:r>
      <w:r w:rsidR="00A43F2A">
        <w:t xml:space="preserve">Refs. </w:t>
      </w:r>
      <w:r w:rsidRPr="00A43F2A" w:rsidR="00A43F2A">
        <w:t>9,10)</w:t>
      </w:r>
      <w:r w:rsidRPr="00A927D9" w:rsidR="00A927D9">
        <w:rPr>
          <w:rFonts w:eastAsia="Calibri"/>
        </w:rPr>
        <w:fldChar w:fldCharType="end"/>
      </w:r>
      <w:r w:rsidRPr="00A927D9" w:rsidR="00A927D9">
        <w:rPr>
          <w:rFonts w:eastAsia="Calibri"/>
        </w:rPr>
        <w:t xml:space="preserve"> A synthesis of several evidence-based implementation frameworks, CFIR comprises a set of constructs designed to guide theory development and empirical verification of which practices work, where, and why, across different contexts. The CFIR model </w:t>
      </w:r>
      <w:proofErr w:type="gramStart"/>
      <w:r w:rsidRPr="00A927D9" w:rsidR="00A927D9">
        <w:rPr>
          <w:rFonts w:eastAsia="Calibri"/>
        </w:rPr>
        <w:t>takes into account</w:t>
      </w:r>
      <w:proofErr w:type="gramEnd"/>
      <w:r w:rsidRPr="00A927D9" w:rsidR="00A927D9">
        <w:rPr>
          <w:rFonts w:eastAsia="Calibri"/>
        </w:rPr>
        <w:t xml:space="preserve"> the multiple, interacting domains and processes that must factor into successful implementation.</w:t>
      </w:r>
    </w:p>
    <w:p w:rsidRPr="005B24AC" w:rsidR="005B24AC" w:rsidP="005B24AC" w:rsidRDefault="005B24AC">
      <w:pPr>
        <w:ind w:left="360"/>
        <w:contextualSpacing/>
      </w:pPr>
    </w:p>
    <w:p w:rsidR="005B24AC" w:rsidP="001D4B0B" w:rsidRDefault="005B24AC">
      <w:pPr>
        <w:pStyle w:val="ListParagraph"/>
        <w:numPr>
          <w:ilvl w:val="0"/>
          <w:numId w:val="20"/>
        </w:numPr>
        <w:contextualSpacing/>
      </w:pPr>
      <w:r w:rsidRPr="00A927D9">
        <w:rPr>
          <w:b/>
        </w:rPr>
        <w:br w:type="page"/>
      </w:r>
      <w:r w:rsidRPr="00A927D9">
        <w:rPr>
          <w:b/>
        </w:rPr>
        <w:lastRenderedPageBreak/>
        <w:t>B</w:t>
      </w:r>
      <w:r w:rsidRPr="00A927D9" w:rsidR="00A0559D">
        <w:rPr>
          <w:b/>
        </w:rPr>
        <w:t>urden</w:t>
      </w:r>
      <w:r w:rsidRPr="00A927D9">
        <w:rPr>
          <w:b/>
        </w:rPr>
        <w:t xml:space="preserve">: </w:t>
      </w:r>
    </w:p>
    <w:p w:rsidRPr="005B24AC" w:rsidR="00A927D9" w:rsidP="00A927D9" w:rsidRDefault="00A927D9">
      <w:pPr>
        <w:pStyle w:val="ListParagraph"/>
        <w:ind w:left="360"/>
        <w:contextualSpacing/>
      </w:pPr>
    </w:p>
    <w:p w:rsidRPr="00A927D9" w:rsidR="005B24AC" w:rsidP="00A927D9" w:rsidRDefault="005B24AC">
      <w:pPr>
        <w:ind w:left="360"/>
        <w:rPr>
          <w:i/>
        </w:rPr>
      </w:pPr>
      <w:r w:rsidRPr="005B24AC">
        <w:rPr>
          <w:i/>
        </w:rPr>
        <w:t>Burden Hour Computation -- (Number of responses (X) estimated response or participation time in minutes (/60) = annual burden hours).</w:t>
      </w:r>
      <w:r w:rsidRPr="00390A3F">
        <w:rPr>
          <w:b/>
          <w:i/>
        </w:rPr>
        <w:br/>
      </w:r>
    </w:p>
    <w:tbl>
      <w:tblPr>
        <w:tblW w:w="9193"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50"/>
        <w:gridCol w:w="1530"/>
        <w:gridCol w:w="1710"/>
        <w:gridCol w:w="1003"/>
      </w:tblGrid>
      <w:tr w:rsidRPr="005B24AC" w:rsidR="005B24AC" w:rsidTr="00A55B4C">
        <w:trPr>
          <w:trHeight w:val="274"/>
        </w:trPr>
        <w:tc>
          <w:tcPr>
            <w:tcW w:w="4950" w:type="dxa"/>
            <w:shd w:val="clear" w:color="auto" w:fill="E7E6E6"/>
          </w:tcPr>
          <w:p w:rsidRPr="005B24AC" w:rsidR="005B24AC" w:rsidP="005B24AC" w:rsidRDefault="005B24AC">
            <w:pPr>
              <w:rPr>
                <w:b/>
              </w:rPr>
            </w:pPr>
            <w:r w:rsidRPr="005B24AC">
              <w:rPr>
                <w:b/>
              </w:rPr>
              <w:t xml:space="preserve">Type/Category of Respondent </w:t>
            </w:r>
          </w:p>
        </w:tc>
        <w:tc>
          <w:tcPr>
            <w:tcW w:w="1530" w:type="dxa"/>
            <w:shd w:val="clear" w:color="auto" w:fill="E7E6E6"/>
          </w:tcPr>
          <w:p w:rsidRPr="005B24AC" w:rsidR="005B24AC" w:rsidP="005B24AC" w:rsidRDefault="005B24AC">
            <w:pPr>
              <w:rPr>
                <w:b/>
              </w:rPr>
            </w:pPr>
            <w:r w:rsidRPr="005B24AC">
              <w:rPr>
                <w:b/>
              </w:rPr>
              <w:t>No. of Respondents</w:t>
            </w:r>
          </w:p>
        </w:tc>
        <w:tc>
          <w:tcPr>
            <w:tcW w:w="1710" w:type="dxa"/>
            <w:shd w:val="clear" w:color="auto" w:fill="E7E6E6"/>
          </w:tcPr>
          <w:p w:rsidRPr="005B24AC" w:rsidR="005B24AC" w:rsidP="005B24AC" w:rsidRDefault="005B24AC">
            <w:pPr>
              <w:rPr>
                <w:b/>
              </w:rPr>
            </w:pPr>
            <w:r w:rsidRPr="005B24AC">
              <w:rPr>
                <w:b/>
              </w:rPr>
              <w:t>Participation Time (minutes)</w:t>
            </w:r>
          </w:p>
        </w:tc>
        <w:tc>
          <w:tcPr>
            <w:tcW w:w="1003" w:type="dxa"/>
            <w:shd w:val="clear" w:color="auto" w:fill="E7E6E6"/>
          </w:tcPr>
          <w:p w:rsidRPr="005B24AC" w:rsidR="005B24AC" w:rsidP="005B24AC" w:rsidRDefault="005B24AC">
            <w:pPr>
              <w:rPr>
                <w:b/>
              </w:rPr>
            </w:pPr>
            <w:r w:rsidRPr="005B24AC">
              <w:rPr>
                <w:b/>
              </w:rPr>
              <w:t>Burden (hours)</w:t>
            </w:r>
          </w:p>
        </w:tc>
      </w:tr>
      <w:tr w:rsidRPr="005B24AC" w:rsidR="005B24AC" w:rsidTr="00A55B4C">
        <w:trPr>
          <w:trHeight w:val="274"/>
        </w:trPr>
        <w:tc>
          <w:tcPr>
            <w:tcW w:w="4950" w:type="dxa"/>
          </w:tcPr>
          <w:p w:rsidRPr="005B24AC" w:rsidR="005B24AC" w:rsidP="005B24AC" w:rsidRDefault="00A927D9">
            <w:r>
              <w:t>Adult Patients</w:t>
            </w:r>
          </w:p>
        </w:tc>
        <w:tc>
          <w:tcPr>
            <w:tcW w:w="1530" w:type="dxa"/>
          </w:tcPr>
          <w:p w:rsidRPr="005B24AC" w:rsidR="005B24AC" w:rsidP="005B24AC" w:rsidRDefault="00A927D9">
            <w:r>
              <w:t>20</w:t>
            </w:r>
          </w:p>
        </w:tc>
        <w:tc>
          <w:tcPr>
            <w:tcW w:w="1710" w:type="dxa"/>
          </w:tcPr>
          <w:p w:rsidRPr="005B24AC" w:rsidR="005B24AC" w:rsidP="005B24AC" w:rsidRDefault="00387A23">
            <w:r>
              <w:t>75</w:t>
            </w:r>
          </w:p>
        </w:tc>
        <w:tc>
          <w:tcPr>
            <w:tcW w:w="1003" w:type="dxa"/>
          </w:tcPr>
          <w:p w:rsidRPr="005B24AC" w:rsidR="005B24AC" w:rsidP="005B24AC" w:rsidRDefault="00387A23">
            <w:r>
              <w:t>25</w:t>
            </w:r>
          </w:p>
        </w:tc>
      </w:tr>
      <w:tr w:rsidRPr="005B24AC" w:rsidR="005B24AC" w:rsidTr="00A55B4C">
        <w:trPr>
          <w:trHeight w:val="274"/>
        </w:trPr>
        <w:tc>
          <w:tcPr>
            <w:tcW w:w="4950" w:type="dxa"/>
          </w:tcPr>
          <w:p w:rsidRPr="005B24AC" w:rsidR="005B24AC" w:rsidP="005B24AC" w:rsidRDefault="00A927D9">
            <w:r>
              <w:t>Health Care Workers</w:t>
            </w:r>
          </w:p>
        </w:tc>
        <w:tc>
          <w:tcPr>
            <w:tcW w:w="1530" w:type="dxa"/>
          </w:tcPr>
          <w:p w:rsidRPr="005B24AC" w:rsidR="005B24AC" w:rsidP="005B24AC" w:rsidRDefault="00A927D9">
            <w:r>
              <w:t>20</w:t>
            </w:r>
          </w:p>
        </w:tc>
        <w:tc>
          <w:tcPr>
            <w:tcW w:w="1710" w:type="dxa"/>
          </w:tcPr>
          <w:p w:rsidRPr="005B24AC" w:rsidR="005B24AC" w:rsidP="005B24AC" w:rsidRDefault="00387A23">
            <w:r>
              <w:t>75</w:t>
            </w:r>
          </w:p>
        </w:tc>
        <w:tc>
          <w:tcPr>
            <w:tcW w:w="1003" w:type="dxa"/>
          </w:tcPr>
          <w:p w:rsidRPr="005B24AC" w:rsidR="005B24AC" w:rsidP="005B24AC" w:rsidRDefault="00387A23">
            <w:r>
              <w:t>25</w:t>
            </w:r>
          </w:p>
        </w:tc>
      </w:tr>
      <w:tr w:rsidRPr="005B24AC" w:rsidR="005B24AC" w:rsidTr="00A55B4C">
        <w:trPr>
          <w:trHeight w:val="289"/>
        </w:trPr>
        <w:tc>
          <w:tcPr>
            <w:tcW w:w="4950" w:type="dxa"/>
          </w:tcPr>
          <w:p w:rsidRPr="005B24AC" w:rsidR="005B24AC" w:rsidP="005B24AC" w:rsidRDefault="005B24AC">
            <w:pPr>
              <w:rPr>
                <w:b/>
              </w:rPr>
            </w:pPr>
            <w:r w:rsidRPr="005B24AC">
              <w:rPr>
                <w:b/>
              </w:rPr>
              <w:t>Totals</w:t>
            </w:r>
          </w:p>
        </w:tc>
        <w:tc>
          <w:tcPr>
            <w:tcW w:w="1530" w:type="dxa"/>
          </w:tcPr>
          <w:p w:rsidRPr="00014C14" w:rsidR="005B24AC" w:rsidP="005B24AC" w:rsidRDefault="00A927D9">
            <w:r w:rsidRPr="00014C14">
              <w:t>40</w:t>
            </w:r>
          </w:p>
        </w:tc>
        <w:tc>
          <w:tcPr>
            <w:tcW w:w="1710" w:type="dxa"/>
          </w:tcPr>
          <w:p w:rsidRPr="005B24AC" w:rsidR="005B24AC" w:rsidP="005B24AC" w:rsidRDefault="005B24AC"/>
        </w:tc>
        <w:tc>
          <w:tcPr>
            <w:tcW w:w="1003" w:type="dxa"/>
          </w:tcPr>
          <w:p w:rsidRPr="005B24AC" w:rsidR="005B24AC" w:rsidP="005B24AC" w:rsidRDefault="00387A23">
            <w:pPr>
              <w:rPr>
                <w:b/>
              </w:rPr>
            </w:pPr>
            <w:r>
              <w:rPr>
                <w:b/>
              </w:rPr>
              <w:t>50</w:t>
            </w:r>
          </w:p>
        </w:tc>
      </w:tr>
    </w:tbl>
    <w:p w:rsidRPr="005B24AC" w:rsidR="005B24AC" w:rsidP="005B24AC" w:rsidRDefault="005B24AC">
      <w:pPr>
        <w:rPr>
          <w:b/>
        </w:rPr>
      </w:pPr>
    </w:p>
    <w:p w:rsidRPr="005B24AC" w:rsidR="005B24AC" w:rsidP="005B24AC" w:rsidRDefault="005B24AC">
      <w:pPr>
        <w:widowControl w:val="0"/>
        <w:numPr>
          <w:ilvl w:val="0"/>
          <w:numId w:val="20"/>
        </w:numPr>
        <w:contextualSpacing/>
        <w:rPr>
          <w:b/>
          <w:snapToGrid w:val="0"/>
        </w:rPr>
      </w:pPr>
      <w:r w:rsidRPr="005B24AC">
        <w:rPr>
          <w:b/>
          <w:snapToGrid w:val="0"/>
        </w:rPr>
        <w:t>D</w:t>
      </w:r>
      <w:r w:rsidR="00937D10">
        <w:rPr>
          <w:b/>
          <w:snapToGrid w:val="0"/>
        </w:rPr>
        <w:t>ate(s) to be Conducted and Locations</w:t>
      </w:r>
      <w:r w:rsidRPr="005B24AC">
        <w:rPr>
          <w:b/>
          <w:snapToGrid w:val="0"/>
        </w:rPr>
        <w:t>:</w:t>
      </w:r>
    </w:p>
    <w:p w:rsidRPr="005B24AC" w:rsidR="005B24AC" w:rsidP="005B24AC" w:rsidRDefault="005B24AC">
      <w:pPr>
        <w:widowControl w:val="0"/>
        <w:ind w:left="360"/>
        <w:contextualSpacing/>
        <w:rPr>
          <w:snapToGrid w:val="0"/>
        </w:rPr>
      </w:pPr>
    </w:p>
    <w:p w:rsidRPr="005B24AC" w:rsidR="005B24AC" w:rsidP="005B24AC" w:rsidRDefault="00A927D9">
      <w:pPr>
        <w:widowControl w:val="0"/>
        <w:ind w:left="360"/>
        <w:contextualSpacing/>
        <w:rPr>
          <w:snapToGrid w:val="0"/>
        </w:rPr>
      </w:pPr>
      <w:r>
        <w:rPr>
          <w:rFonts w:eastAsia="Calibri"/>
        </w:rPr>
        <w:t>Usability tests and interviews will take place in private offices at Zuckerberg San Francisco General Hospital and Trauma Center in San Francisco, California.</w:t>
      </w:r>
    </w:p>
    <w:p w:rsidRPr="005B24AC" w:rsidR="005B24AC" w:rsidP="005B24AC" w:rsidRDefault="005B24AC">
      <w:pPr>
        <w:ind w:left="360"/>
        <w:contextualSpacing/>
      </w:pPr>
    </w:p>
    <w:p w:rsidRPr="005B24AC" w:rsidR="005B24AC" w:rsidP="005B24AC" w:rsidRDefault="00937D10">
      <w:pPr>
        <w:numPr>
          <w:ilvl w:val="0"/>
          <w:numId w:val="20"/>
        </w:numPr>
        <w:contextualSpacing/>
      </w:pPr>
      <w:r>
        <w:rPr>
          <w:b/>
        </w:rPr>
        <w:t>Requested Approval Date</w:t>
      </w:r>
      <w:r w:rsidRPr="005B24AC" w:rsidR="005B24AC">
        <w:rPr>
          <w:b/>
        </w:rPr>
        <w:t xml:space="preserve">: </w:t>
      </w:r>
      <w:proofErr w:type="gramStart"/>
      <w:r w:rsidR="00A2684A">
        <w:rPr>
          <w:rFonts w:eastAsia="Calibri"/>
        </w:rPr>
        <w:t>Aug</w:t>
      </w:r>
      <w:r w:rsidR="00014C14">
        <w:rPr>
          <w:rFonts w:eastAsia="Calibri"/>
        </w:rPr>
        <w:t>ust</w:t>
      </w:r>
      <w:r w:rsidR="00181610">
        <w:rPr>
          <w:rFonts w:eastAsia="Calibri"/>
        </w:rPr>
        <w:t>,</w:t>
      </w:r>
      <w:proofErr w:type="gramEnd"/>
      <w:r w:rsidR="00181610">
        <w:rPr>
          <w:rFonts w:eastAsia="Calibri"/>
        </w:rPr>
        <w:t xml:space="preserve"> 2020</w:t>
      </w:r>
    </w:p>
    <w:p w:rsidRPr="005B24AC" w:rsidR="005B24AC" w:rsidP="005B24AC" w:rsidRDefault="005B24AC">
      <w:pPr>
        <w:rPr>
          <w:b/>
        </w:rPr>
      </w:pPr>
    </w:p>
    <w:p w:rsidRPr="005B24AC" w:rsidR="005B24AC" w:rsidP="005B24AC" w:rsidRDefault="005B24AC">
      <w:pPr>
        <w:numPr>
          <w:ilvl w:val="0"/>
          <w:numId w:val="20"/>
        </w:numPr>
        <w:contextualSpacing/>
        <w:rPr>
          <w:b/>
        </w:rPr>
      </w:pPr>
      <w:r w:rsidRPr="005B24AC">
        <w:rPr>
          <w:b/>
        </w:rPr>
        <w:t>FDA C</w:t>
      </w:r>
      <w:r w:rsidR="00937D10">
        <w:rPr>
          <w:b/>
        </w:rPr>
        <w:t>ontacts</w:t>
      </w:r>
      <w:r w:rsidR="00EA0CD7">
        <w:rPr>
          <w:b/>
        </w:rPr>
        <w:t>:</w:t>
      </w:r>
    </w:p>
    <w:p w:rsidRPr="005B24AC" w:rsidR="005B24AC" w:rsidP="005B24AC" w:rsidRDefault="005B24AC">
      <w:pPr>
        <w:ind w:left="720"/>
        <w:contextualSpacing/>
        <w:rPr>
          <w:b/>
        </w:rPr>
      </w:pPr>
    </w:p>
    <w:tbl>
      <w:tblPr>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20"/>
        <w:gridCol w:w="4320"/>
      </w:tblGrid>
      <w:tr w:rsidRPr="005B24AC" w:rsidR="005B24AC" w:rsidTr="00A55B4C">
        <w:tc>
          <w:tcPr>
            <w:tcW w:w="4320" w:type="dxa"/>
            <w:shd w:val="clear" w:color="auto" w:fill="auto"/>
          </w:tcPr>
          <w:p w:rsidRPr="005B24AC" w:rsidR="005B24AC" w:rsidP="005B24AC" w:rsidRDefault="005B24AC">
            <w:pPr>
              <w:rPr>
                <w:rFonts w:eastAsia="Calibri"/>
                <w:bCs/>
              </w:rPr>
            </w:pPr>
            <w:r w:rsidRPr="005B24AC">
              <w:rPr>
                <w:rFonts w:eastAsia="Calibri"/>
                <w:bCs/>
              </w:rPr>
              <w:t>Program Office Contact</w:t>
            </w:r>
          </w:p>
        </w:tc>
        <w:tc>
          <w:tcPr>
            <w:tcW w:w="4320" w:type="dxa"/>
            <w:shd w:val="clear" w:color="auto" w:fill="auto"/>
          </w:tcPr>
          <w:p w:rsidRPr="005B24AC" w:rsidR="005B24AC" w:rsidP="005B24AC" w:rsidRDefault="005B24AC">
            <w:pPr>
              <w:rPr>
                <w:rFonts w:eastAsia="Calibri"/>
                <w:bCs/>
              </w:rPr>
            </w:pPr>
            <w:r w:rsidRPr="005B24AC">
              <w:rPr>
                <w:rFonts w:eastAsia="Calibri"/>
                <w:bCs/>
              </w:rPr>
              <w:t>FDA PRA Contact</w:t>
            </w:r>
          </w:p>
        </w:tc>
      </w:tr>
      <w:tr w:rsidRPr="005B24AC" w:rsidR="005B24AC" w:rsidTr="00A55B4C">
        <w:tc>
          <w:tcPr>
            <w:tcW w:w="4320" w:type="dxa"/>
            <w:shd w:val="clear" w:color="auto" w:fill="auto"/>
          </w:tcPr>
          <w:p w:rsidR="005B24AC" w:rsidP="005B24AC" w:rsidRDefault="00181610">
            <w:pPr>
              <w:rPr>
                <w:rFonts w:eastAsia="Calibri"/>
              </w:rPr>
            </w:pPr>
            <w:r>
              <w:rPr>
                <w:rFonts w:eastAsia="Calibri"/>
              </w:rPr>
              <w:t>Christine Lee</w:t>
            </w:r>
          </w:p>
          <w:p w:rsidRPr="005B24AC" w:rsidR="00181610" w:rsidP="005B24AC" w:rsidRDefault="00181610">
            <w:pPr>
              <w:rPr>
                <w:rFonts w:eastAsia="Calibri"/>
                <w:bCs/>
              </w:rPr>
            </w:pPr>
            <w:r>
              <w:rPr>
                <w:rFonts w:eastAsia="Calibri"/>
                <w:bCs/>
              </w:rPr>
              <w:t>ChristineS.lee@fda.hhs.gov</w:t>
            </w:r>
          </w:p>
        </w:tc>
        <w:tc>
          <w:tcPr>
            <w:tcW w:w="4320" w:type="dxa"/>
            <w:shd w:val="clear" w:color="auto" w:fill="auto"/>
          </w:tcPr>
          <w:p w:rsidR="00014C14" w:rsidP="005B24AC" w:rsidRDefault="00014C14">
            <w:pPr>
              <w:rPr>
                <w:rFonts w:eastAsia="Calibri"/>
                <w:bCs/>
              </w:rPr>
            </w:pPr>
            <w:r>
              <w:rPr>
                <w:rFonts w:eastAsia="Calibri"/>
                <w:bCs/>
              </w:rPr>
              <w:t>Ila S. Mizrachi</w:t>
            </w:r>
          </w:p>
          <w:p w:rsidRPr="005B24AC" w:rsidR="005B24AC" w:rsidP="005B24AC" w:rsidRDefault="00181610">
            <w:pPr>
              <w:rPr>
                <w:rFonts w:eastAsia="Calibri"/>
                <w:bCs/>
              </w:rPr>
            </w:pPr>
            <w:r w:rsidRPr="00181610">
              <w:rPr>
                <w:rFonts w:eastAsia="Calibri"/>
                <w:bCs/>
              </w:rPr>
              <w:t>Ila.Mizrachi@fda.hhs.gov</w:t>
            </w:r>
          </w:p>
        </w:tc>
      </w:tr>
    </w:tbl>
    <w:p w:rsidRPr="005B24AC" w:rsidR="005B24AC" w:rsidP="005B24AC" w:rsidRDefault="005B24AC"/>
    <w:p w:rsidRPr="005B24AC" w:rsidR="005B24AC" w:rsidP="001E59DF" w:rsidRDefault="005B24AC">
      <w:pPr>
        <w:numPr>
          <w:ilvl w:val="0"/>
          <w:numId w:val="20"/>
        </w:numPr>
        <w:contextualSpacing/>
      </w:pPr>
      <w:r w:rsidRPr="00601F6F">
        <w:rPr>
          <w:b/>
        </w:rPr>
        <w:t>C</w:t>
      </w:r>
      <w:r w:rsidR="00937D10">
        <w:rPr>
          <w:b/>
        </w:rPr>
        <w:t>ertification</w:t>
      </w:r>
      <w:r w:rsidRPr="00601F6F">
        <w:rPr>
          <w:b/>
        </w:rPr>
        <w:t>:</w:t>
      </w:r>
      <w:r w:rsidRPr="00601F6F" w:rsidR="00601F6F">
        <w:rPr>
          <w:b/>
        </w:rPr>
        <w:t xml:space="preserve">  </w:t>
      </w:r>
      <w:r w:rsidRPr="005B24AC">
        <w:t xml:space="preserve">In submitting this request, I certify the following to be true: </w:t>
      </w:r>
      <w:r w:rsidRPr="005B24AC">
        <w:br/>
      </w:r>
    </w:p>
    <w:p w:rsidRPr="002F59D6" w:rsidR="00390A3F" w:rsidP="00390A3F" w:rsidRDefault="00390A3F">
      <w:pPr>
        <w:numPr>
          <w:ilvl w:val="0"/>
          <w:numId w:val="22"/>
        </w:numPr>
        <w:spacing w:before="100" w:beforeAutospacing="1" w:after="100" w:afterAutospacing="1"/>
        <w:contextualSpacing/>
      </w:pPr>
      <w:r w:rsidRPr="002F59D6">
        <w:t>The collections are voluntary;</w:t>
      </w:r>
    </w:p>
    <w:p w:rsidRPr="002F59D6" w:rsidR="00390A3F" w:rsidP="00390A3F" w:rsidRDefault="00390A3F">
      <w:pPr>
        <w:numPr>
          <w:ilvl w:val="0"/>
          <w:numId w:val="22"/>
        </w:numPr>
        <w:spacing w:before="100" w:beforeAutospacing="1" w:after="100" w:afterAutospacing="1"/>
        <w:contextualSpacing/>
      </w:pPr>
      <w:r w:rsidRPr="002F59D6">
        <w:t>The collections are low-burden for participants and are low-cost for both the participants and the Federal Government;</w:t>
      </w:r>
    </w:p>
    <w:p w:rsidRPr="002F59D6" w:rsidR="00390A3F" w:rsidP="00390A3F" w:rsidRDefault="00390A3F">
      <w:pPr>
        <w:numPr>
          <w:ilvl w:val="0"/>
          <w:numId w:val="22"/>
        </w:numPr>
        <w:spacing w:before="100" w:beforeAutospacing="1" w:after="100" w:afterAutospacing="1"/>
        <w:contextualSpacing/>
      </w:pPr>
      <w:r w:rsidRPr="002F59D6">
        <w:t>The collections are noncontroversial;</w:t>
      </w:r>
      <w:r w:rsidRPr="002F59D6" w:rsidDel="004E3487">
        <w:t xml:space="preserve"> </w:t>
      </w:r>
    </w:p>
    <w:p w:rsidRPr="002F59D6" w:rsidR="00390A3F" w:rsidP="00390A3F" w:rsidRDefault="00390A3F">
      <w:pPr>
        <w:numPr>
          <w:ilvl w:val="0"/>
          <w:numId w:val="22"/>
        </w:numPr>
        <w:spacing w:before="100" w:beforeAutospacing="1" w:after="100" w:afterAutospacing="1"/>
        <w:contextualSpacing/>
      </w:pPr>
      <w:proofErr w:type="gramStart"/>
      <w:r w:rsidRPr="002F59D6">
        <w:t>Personally</w:t>
      </w:r>
      <w:proofErr w:type="gramEnd"/>
      <w:r w:rsidRPr="002F59D6">
        <w:t xml:space="preserve"> identifiable information (PII) is collected only to the extent necessary and is not retained; and</w:t>
      </w:r>
    </w:p>
    <w:p w:rsidR="00B92FC1" w:rsidP="00A11FDD" w:rsidRDefault="00390A3F">
      <w:pPr>
        <w:numPr>
          <w:ilvl w:val="0"/>
          <w:numId w:val="22"/>
        </w:numPr>
        <w:spacing w:before="100" w:beforeAutospacing="1" w:after="100" w:afterAutospacing="1"/>
        <w:contextualSpacing/>
      </w:pPr>
      <w:r w:rsidRPr="002F59D6">
        <w:t>Information gathered will not be used for the purpose of substantially informing influential policy decisions.</w:t>
      </w:r>
    </w:p>
    <w:p w:rsidR="00A927D9" w:rsidP="00A927D9" w:rsidRDefault="00A927D9">
      <w:pPr>
        <w:spacing w:before="100" w:beforeAutospacing="1" w:after="100" w:afterAutospacing="1"/>
        <w:contextualSpacing/>
      </w:pPr>
    </w:p>
    <w:p w:rsidR="00A927D9" w:rsidP="00014C14" w:rsidRDefault="00C62FB7">
      <w:r w:rsidRPr="00C62FB7">
        <w:t>Name:</w:t>
      </w:r>
      <w:r>
        <w:t xml:space="preserve">  </w:t>
      </w:r>
      <w:r>
        <w:rPr>
          <w:u w:val="single"/>
        </w:rPr>
        <w:t>Christine Lee</w:t>
      </w:r>
    </w:p>
    <w:p w:rsidR="00A927D9" w:rsidP="00A927D9" w:rsidRDefault="00A927D9">
      <w:pPr>
        <w:spacing w:before="100" w:beforeAutospacing="1" w:after="100" w:afterAutospacing="1"/>
        <w:contextualSpacing/>
      </w:pPr>
    </w:p>
    <w:p w:rsidR="00A927D9" w:rsidP="00A927D9" w:rsidRDefault="00A927D9">
      <w:pPr>
        <w:spacing w:before="100" w:beforeAutospacing="1" w:after="100" w:afterAutospacing="1"/>
        <w:contextualSpacing/>
      </w:pPr>
    </w:p>
    <w:p w:rsidR="00A927D9" w:rsidP="00A927D9" w:rsidRDefault="00A927D9">
      <w:pPr>
        <w:spacing w:before="100" w:beforeAutospacing="1" w:after="100" w:afterAutospacing="1"/>
        <w:contextualSpacing/>
      </w:pPr>
    </w:p>
    <w:p w:rsidR="00A927D9" w:rsidP="00A927D9" w:rsidRDefault="00A927D9">
      <w:pPr>
        <w:spacing w:before="100" w:beforeAutospacing="1" w:after="100" w:afterAutospacing="1"/>
        <w:contextualSpacing/>
      </w:pPr>
    </w:p>
    <w:p w:rsidR="00A927D9" w:rsidP="00A927D9" w:rsidRDefault="00A927D9">
      <w:pPr>
        <w:spacing w:before="100" w:beforeAutospacing="1" w:after="100" w:afterAutospacing="1"/>
        <w:contextualSpacing/>
      </w:pPr>
    </w:p>
    <w:p w:rsidR="00A927D9" w:rsidP="00A927D9" w:rsidRDefault="00A927D9">
      <w:pPr>
        <w:spacing w:before="100" w:beforeAutospacing="1" w:after="100" w:afterAutospacing="1"/>
        <w:contextualSpacing/>
      </w:pPr>
    </w:p>
    <w:p w:rsidR="00A43F2A" w:rsidP="00A927D9" w:rsidRDefault="00A43F2A">
      <w:pPr>
        <w:spacing w:before="100" w:beforeAutospacing="1" w:after="100" w:afterAutospacing="1"/>
        <w:contextualSpacing/>
      </w:pPr>
    </w:p>
    <w:p w:rsidR="00A43F2A" w:rsidP="00A927D9" w:rsidRDefault="00A43F2A">
      <w:pPr>
        <w:spacing w:before="100" w:beforeAutospacing="1" w:after="100" w:afterAutospacing="1"/>
        <w:contextualSpacing/>
      </w:pPr>
    </w:p>
    <w:p w:rsidR="00A43F2A" w:rsidP="00A927D9" w:rsidRDefault="00A43F2A">
      <w:pPr>
        <w:spacing w:before="100" w:beforeAutospacing="1" w:after="100" w:afterAutospacing="1"/>
        <w:contextualSpacing/>
      </w:pPr>
    </w:p>
    <w:p w:rsidR="00A43F2A" w:rsidP="00A927D9" w:rsidRDefault="00A43F2A">
      <w:pPr>
        <w:spacing w:before="100" w:beforeAutospacing="1" w:after="100" w:afterAutospacing="1"/>
        <w:contextualSpacing/>
      </w:pPr>
    </w:p>
    <w:p w:rsidR="00A927D9" w:rsidP="00A927D9" w:rsidRDefault="00A927D9">
      <w:pPr>
        <w:spacing w:before="100" w:beforeAutospacing="1" w:after="100" w:afterAutospacing="1"/>
        <w:contextualSpacing/>
      </w:pPr>
    </w:p>
    <w:p w:rsidR="00A927D9" w:rsidP="00A927D9" w:rsidRDefault="00A927D9">
      <w:pPr>
        <w:spacing w:before="100" w:beforeAutospacing="1" w:after="100" w:afterAutospacing="1"/>
        <w:contextualSpacing/>
      </w:pPr>
    </w:p>
    <w:p w:rsidR="00014C14" w:rsidP="00A927D9" w:rsidRDefault="00014C14">
      <w:pPr>
        <w:spacing w:before="100" w:beforeAutospacing="1" w:after="100" w:afterAutospacing="1"/>
        <w:contextualSpacing/>
      </w:pPr>
    </w:p>
    <w:p w:rsidRPr="00014C14" w:rsidR="00A927D9" w:rsidP="00A927D9" w:rsidRDefault="00A927D9">
      <w:pPr>
        <w:spacing w:before="100" w:beforeAutospacing="1" w:after="100" w:afterAutospacing="1"/>
        <w:contextualSpacing/>
        <w:rPr>
          <w:b/>
        </w:rPr>
      </w:pPr>
      <w:r w:rsidRPr="00014C14">
        <w:rPr>
          <w:b/>
        </w:rPr>
        <w:lastRenderedPageBreak/>
        <w:t>References</w:t>
      </w:r>
    </w:p>
    <w:p w:rsidR="00A927D9" w:rsidP="00A927D9" w:rsidRDefault="00A927D9">
      <w:pPr>
        <w:spacing w:before="100" w:beforeAutospacing="1" w:after="100" w:afterAutospacing="1"/>
        <w:contextualSpacing/>
      </w:pPr>
    </w:p>
    <w:p w:rsidRPr="00A43F2A" w:rsidR="00A43F2A" w:rsidP="00A43F2A" w:rsidRDefault="00A927D9">
      <w:pPr>
        <w:pStyle w:val="Bibliography"/>
      </w:pPr>
      <w:r>
        <w:fldChar w:fldCharType="begin"/>
      </w:r>
      <w:r w:rsidR="00A43F2A">
        <w:instrText xml:space="preserve"> ADDIN ZOTERO_BIBL {"uncited":[],"omitted":[],"custom":[]} CSL_BIBLIOGRAPHY </w:instrText>
      </w:r>
      <w:r>
        <w:fldChar w:fldCharType="separate"/>
      </w:r>
      <w:r w:rsidRPr="00A43F2A" w:rsidR="00A43F2A">
        <w:t xml:space="preserve">1. </w:t>
      </w:r>
      <w:r w:rsidRPr="00A43F2A" w:rsidR="00A43F2A">
        <w:tab/>
        <w:t xml:space="preserve">Weisse CS, Foster KK, Fisher EA. The influence of experimenter gender and race on pain reporting: does racial or gender concordance matter? Pain Med Malden Mass. 2005 Feb;6(1):80–7. </w:t>
      </w:r>
    </w:p>
    <w:p w:rsidRPr="00A43F2A" w:rsidR="00A43F2A" w:rsidP="00A43F2A" w:rsidRDefault="00A43F2A">
      <w:pPr>
        <w:pStyle w:val="Bibliography"/>
      </w:pPr>
      <w:r w:rsidRPr="00A43F2A">
        <w:t xml:space="preserve">2. </w:t>
      </w:r>
      <w:r w:rsidRPr="00A43F2A">
        <w:tab/>
        <w:t xml:space="preserve">Friedman J, Kim D, Schneberk T, Bourgois P, Shin M, Celious A, et al. Assessment of Racial/Ethnic and Income Disparities in the Prescription of Opioids and Other Controlled Medications in California. JAMA Intern Med. 2019 Apr;179(4):469–76. </w:t>
      </w:r>
    </w:p>
    <w:p w:rsidRPr="00A43F2A" w:rsidR="00A43F2A" w:rsidP="00A43F2A" w:rsidRDefault="00A43F2A">
      <w:pPr>
        <w:pStyle w:val="Bibliography"/>
      </w:pPr>
      <w:r w:rsidRPr="00A43F2A">
        <w:t xml:space="preserve">3. </w:t>
      </w:r>
      <w:r w:rsidRPr="00A43F2A">
        <w:tab/>
        <w:t>Increases in Drug and Opioid Overdose Deaths — United States, 2000–2014 [Internet]. [cited 2020 Feb 18]. Available from: https://www.cdc.gov/mmwr/preview/mmwrhtml/mm6450a3.htm</w:t>
      </w:r>
    </w:p>
    <w:p w:rsidRPr="00A43F2A" w:rsidR="00A43F2A" w:rsidP="00A43F2A" w:rsidRDefault="00A43F2A">
      <w:pPr>
        <w:pStyle w:val="Bibliography"/>
      </w:pPr>
      <w:r w:rsidRPr="00A43F2A">
        <w:t xml:space="preserve">4. </w:t>
      </w:r>
      <w:r w:rsidRPr="00A43F2A">
        <w:tab/>
        <w:t xml:space="preserve">Jones CM. The paradox of decreasing nonmedical opioid analgesic use and increasing abuse or dependence - An assessment of demographic and substance use trends, United States, 2003-2014. Addict Behav. 2017;65:229–35. </w:t>
      </w:r>
    </w:p>
    <w:p w:rsidRPr="00A43F2A" w:rsidR="00A43F2A" w:rsidP="00A43F2A" w:rsidRDefault="00A43F2A">
      <w:pPr>
        <w:pStyle w:val="Bibliography"/>
      </w:pPr>
      <w:r w:rsidRPr="00A43F2A">
        <w:t xml:space="preserve">5. </w:t>
      </w:r>
      <w:r w:rsidRPr="00A43F2A">
        <w:tab/>
        <w:t xml:space="preserve">Han B, Compton WM, Blanco C, Crane E, Lee J, Jones CM. Prescription Opioid Use, Misuse, and Use Disorders in U.S. Adults: 2015 National Survey on Drug Use and Health. Ann Intern Med. 2017 Sep 5;167(5):293–301. </w:t>
      </w:r>
    </w:p>
    <w:p w:rsidRPr="00A43F2A" w:rsidR="00A43F2A" w:rsidP="00A43F2A" w:rsidRDefault="00A43F2A">
      <w:pPr>
        <w:pStyle w:val="Bibliography"/>
      </w:pPr>
      <w:r w:rsidRPr="00A43F2A">
        <w:t xml:space="preserve">6. </w:t>
      </w:r>
      <w:r w:rsidRPr="00A43F2A">
        <w:tab/>
        <w:t>New Data Show Growing Complexity of Drug Overdose Deaths in America | CDC Online Newsroom | CDC [Internet]. 2019 [cited 2020 Feb 18]. Available from: https://www.cdc.gov/media/releases/2018/p1221-complexity-drug-overdose.html</w:t>
      </w:r>
    </w:p>
    <w:p w:rsidRPr="00A43F2A" w:rsidR="00A43F2A" w:rsidP="00A43F2A" w:rsidRDefault="00A43F2A">
      <w:pPr>
        <w:pStyle w:val="Bibliography"/>
      </w:pPr>
      <w:r w:rsidRPr="00A43F2A">
        <w:t xml:space="preserve">7. </w:t>
      </w:r>
      <w:r w:rsidRPr="00A43F2A">
        <w:tab/>
        <w:t xml:space="preserve">Spiegel B, Fuller G, Lopez M, Dupuy T, Noah B, Howard A, et al. Virtual reality for management of pain in hospitalized patients: A randomized comparative effectiveness trial. PLOS ONE. 2019 Aug 14;14(8):e0219115. </w:t>
      </w:r>
    </w:p>
    <w:p w:rsidRPr="00A43F2A" w:rsidR="00A43F2A" w:rsidP="00A43F2A" w:rsidRDefault="00A43F2A">
      <w:pPr>
        <w:pStyle w:val="Bibliography"/>
      </w:pPr>
      <w:r w:rsidRPr="00A43F2A">
        <w:t xml:space="preserve">8. </w:t>
      </w:r>
      <w:r w:rsidRPr="00A43F2A">
        <w:tab/>
        <w:t xml:space="preserve">Yilmaz Yelvar GD, Çırak Y, Dalkılınç M, Parlak Demir Y, Guner Z, Boydak A. Is physiotherapy integrated virtual walking effective on pain, function, and kinesiophobia in patients with non-specific low-back pain? Randomised controlled trial. Eur Spine J. 2017 Feb 1;26(2):538–45. </w:t>
      </w:r>
    </w:p>
    <w:p w:rsidRPr="00A43F2A" w:rsidR="00A43F2A" w:rsidP="00A43F2A" w:rsidRDefault="00A43F2A">
      <w:pPr>
        <w:pStyle w:val="Bibliography"/>
      </w:pPr>
      <w:r w:rsidRPr="00A43F2A">
        <w:t xml:space="preserve">9. </w:t>
      </w:r>
      <w:r w:rsidRPr="00A43F2A">
        <w:tab/>
        <w:t>Damschroder L, Aron D, Keith R, Kirsh S, Alexander J, Lowery J. Fostering implementation of health services research findings into practice: a consolidated framework for advancing implementation science. Implement Sci IS [Internet]. 2009;4. Available from: http://dx.doi.org/10.1186/1748-5908-4-50</w:t>
      </w:r>
    </w:p>
    <w:p w:rsidRPr="00A43F2A" w:rsidR="00A43F2A" w:rsidP="00A43F2A" w:rsidRDefault="00A43F2A">
      <w:pPr>
        <w:pStyle w:val="Bibliography"/>
      </w:pPr>
      <w:r w:rsidRPr="00A43F2A">
        <w:t xml:space="preserve">10. </w:t>
      </w:r>
      <w:r w:rsidRPr="00A43F2A">
        <w:tab/>
        <w:t xml:space="preserve">Damschroder LJ, Lowery JC. Evaluation of a large-scale weight management program using the consolidated framework for implementation research (CFIR). Implement Sci. 2013 May 10;8(1):51. </w:t>
      </w:r>
    </w:p>
    <w:p w:rsidRPr="00A11FDD" w:rsidR="00A927D9" w:rsidP="00A927D9" w:rsidRDefault="00A927D9">
      <w:pPr>
        <w:spacing w:before="100" w:beforeAutospacing="1" w:after="100" w:afterAutospacing="1"/>
        <w:contextualSpacing/>
      </w:pPr>
      <w:r>
        <w:fldChar w:fldCharType="end"/>
      </w:r>
    </w:p>
    <w:sectPr w:rsidRPr="00A11FDD" w:rsidR="00A927D9" w:rsidSect="002664AD">
      <w:footerReference w:type="default" r:id="rId10"/>
      <w:pgSz w:w="12240" w:h="15840"/>
      <w:pgMar w:top="720"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056" w:rsidRDefault="00870056">
      <w:r>
        <w:separator/>
      </w:r>
    </w:p>
  </w:endnote>
  <w:endnote w:type="continuationSeparator" w:id="0">
    <w:p w:rsidR="00870056" w:rsidRDefault="00870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87A2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056" w:rsidRDefault="00870056">
      <w:r>
        <w:separator/>
      </w:r>
    </w:p>
  </w:footnote>
  <w:footnote w:type="continuationSeparator" w:id="0">
    <w:p w:rsidR="00870056" w:rsidRDefault="00870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C28BE"/>
    <w:multiLevelType w:val="hybridMultilevel"/>
    <w:tmpl w:val="9E605DE2"/>
    <w:lvl w:ilvl="0" w:tplc="398E6DB2">
      <w:start w:val="1"/>
      <w:numFmt w:val="decimal"/>
      <w:lvlText w:val="%1."/>
      <w:lvlJc w:val="left"/>
      <w:pPr>
        <w:tabs>
          <w:tab w:val="num" w:pos="360"/>
        </w:tabs>
        <w:ind w:left="360" w:hanging="360"/>
      </w:pPr>
      <w:rPr>
        <w:rFonts w:hint="default"/>
        <w:b w:val="0"/>
        <w:i w:val="0"/>
        <w:sz w:val="24"/>
        <w:szCs w:val="24"/>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7DF1836"/>
    <w:multiLevelType w:val="hybridMultilevel"/>
    <w:tmpl w:val="CAA820EE"/>
    <w:lvl w:ilvl="0" w:tplc="F10270E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94C4C1C"/>
    <w:multiLevelType w:val="hybridMultilevel"/>
    <w:tmpl w:val="11C622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6C0D07D9"/>
    <w:multiLevelType w:val="hybridMultilevel"/>
    <w:tmpl w:val="5C7699B8"/>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9" w15:restartNumberingAfterBreak="0">
    <w:nsid w:val="746221AE"/>
    <w:multiLevelType w:val="hybridMultilevel"/>
    <w:tmpl w:val="4F1C4132"/>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170F5D"/>
    <w:multiLevelType w:val="hybridMultilevel"/>
    <w:tmpl w:val="3A820606"/>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2"/>
  </w:num>
  <w:num w:numId="3">
    <w:abstractNumId w:val="21"/>
  </w:num>
  <w:num w:numId="4">
    <w:abstractNumId w:val="23"/>
  </w:num>
  <w:num w:numId="5">
    <w:abstractNumId w:val="6"/>
  </w:num>
  <w:num w:numId="6">
    <w:abstractNumId w:val="2"/>
  </w:num>
  <w:num w:numId="7">
    <w:abstractNumId w:val="12"/>
  </w:num>
  <w:num w:numId="8">
    <w:abstractNumId w:val="17"/>
  </w:num>
  <w:num w:numId="9">
    <w:abstractNumId w:val="13"/>
  </w:num>
  <w:num w:numId="10">
    <w:abstractNumId w:val="3"/>
  </w:num>
  <w:num w:numId="11">
    <w:abstractNumId w:val="7"/>
  </w:num>
  <w:num w:numId="12">
    <w:abstractNumId w:val="9"/>
  </w:num>
  <w:num w:numId="13">
    <w:abstractNumId w:val="1"/>
  </w:num>
  <w:num w:numId="14">
    <w:abstractNumId w:val="11"/>
  </w:num>
  <w:num w:numId="15">
    <w:abstractNumId w:val="18"/>
  </w:num>
  <w:num w:numId="16">
    <w:abstractNumId w:val="15"/>
  </w:num>
  <w:num w:numId="17">
    <w:abstractNumId w:val="0"/>
  </w:num>
  <w:num w:numId="18">
    <w:abstractNumId w:val="10"/>
  </w:num>
  <w:num w:numId="19">
    <w:abstractNumId w:val="8"/>
  </w:num>
  <w:num w:numId="20">
    <w:abstractNumId w:val="4"/>
  </w:num>
  <w:num w:numId="21">
    <w:abstractNumId w:val="5"/>
  </w:num>
  <w:num w:numId="22">
    <w:abstractNumId w:val="16"/>
  </w:num>
  <w:num w:numId="23">
    <w:abstractNumId w:val="2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5D48"/>
    <w:rsid w:val="00014C14"/>
    <w:rsid w:val="00035B5C"/>
    <w:rsid w:val="00040C5B"/>
    <w:rsid w:val="00067670"/>
    <w:rsid w:val="000A525C"/>
    <w:rsid w:val="000B5A76"/>
    <w:rsid w:val="000C386B"/>
    <w:rsid w:val="000F1CDA"/>
    <w:rsid w:val="000F2F28"/>
    <w:rsid w:val="00102B3E"/>
    <w:rsid w:val="00126D06"/>
    <w:rsid w:val="00132EF8"/>
    <w:rsid w:val="00140343"/>
    <w:rsid w:val="00140A0D"/>
    <w:rsid w:val="00172A6E"/>
    <w:rsid w:val="00181610"/>
    <w:rsid w:val="00190AA2"/>
    <w:rsid w:val="00190E39"/>
    <w:rsid w:val="001A68F4"/>
    <w:rsid w:val="001C0117"/>
    <w:rsid w:val="001D19B4"/>
    <w:rsid w:val="001D4B0B"/>
    <w:rsid w:val="001D4DA4"/>
    <w:rsid w:val="001E1FD5"/>
    <w:rsid w:val="001E59DF"/>
    <w:rsid w:val="001E6269"/>
    <w:rsid w:val="001F09C0"/>
    <w:rsid w:val="001F4032"/>
    <w:rsid w:val="00243BAE"/>
    <w:rsid w:val="00255B16"/>
    <w:rsid w:val="002664AD"/>
    <w:rsid w:val="002F5A56"/>
    <w:rsid w:val="00342574"/>
    <w:rsid w:val="00350C25"/>
    <w:rsid w:val="00362955"/>
    <w:rsid w:val="00364051"/>
    <w:rsid w:val="003723B2"/>
    <w:rsid w:val="00387A23"/>
    <w:rsid w:val="00390A3F"/>
    <w:rsid w:val="003F1C7A"/>
    <w:rsid w:val="00411149"/>
    <w:rsid w:val="00425AAA"/>
    <w:rsid w:val="00445A6D"/>
    <w:rsid w:val="00463B4D"/>
    <w:rsid w:val="0049419A"/>
    <w:rsid w:val="004A0DE9"/>
    <w:rsid w:val="004B694D"/>
    <w:rsid w:val="005154F8"/>
    <w:rsid w:val="005161A7"/>
    <w:rsid w:val="005340C7"/>
    <w:rsid w:val="005A18A4"/>
    <w:rsid w:val="005B24AC"/>
    <w:rsid w:val="005E23BA"/>
    <w:rsid w:val="005E4981"/>
    <w:rsid w:val="00601F6F"/>
    <w:rsid w:val="00696B03"/>
    <w:rsid w:val="006970B6"/>
    <w:rsid w:val="006A2182"/>
    <w:rsid w:val="006C2AC9"/>
    <w:rsid w:val="006D3B31"/>
    <w:rsid w:val="006E38E6"/>
    <w:rsid w:val="0074463A"/>
    <w:rsid w:val="00744F5B"/>
    <w:rsid w:val="00764B44"/>
    <w:rsid w:val="00773727"/>
    <w:rsid w:val="007A4331"/>
    <w:rsid w:val="007B045B"/>
    <w:rsid w:val="00870056"/>
    <w:rsid w:val="00882AE4"/>
    <w:rsid w:val="008863D0"/>
    <w:rsid w:val="00894F96"/>
    <w:rsid w:val="008E6145"/>
    <w:rsid w:val="008F6E91"/>
    <w:rsid w:val="00937D10"/>
    <w:rsid w:val="009404FA"/>
    <w:rsid w:val="00A037AF"/>
    <w:rsid w:val="00A0559D"/>
    <w:rsid w:val="00A11FDD"/>
    <w:rsid w:val="00A2684A"/>
    <w:rsid w:val="00A26BA5"/>
    <w:rsid w:val="00A43F2A"/>
    <w:rsid w:val="00A44BF9"/>
    <w:rsid w:val="00A54CB3"/>
    <w:rsid w:val="00A55B4C"/>
    <w:rsid w:val="00A64FC5"/>
    <w:rsid w:val="00A82DCC"/>
    <w:rsid w:val="00A927D9"/>
    <w:rsid w:val="00AA272D"/>
    <w:rsid w:val="00AF1264"/>
    <w:rsid w:val="00B002DA"/>
    <w:rsid w:val="00B46E5B"/>
    <w:rsid w:val="00B859B1"/>
    <w:rsid w:val="00B92FC1"/>
    <w:rsid w:val="00B96DB9"/>
    <w:rsid w:val="00BC2DC2"/>
    <w:rsid w:val="00C126C2"/>
    <w:rsid w:val="00C21991"/>
    <w:rsid w:val="00C62FB7"/>
    <w:rsid w:val="00C85E08"/>
    <w:rsid w:val="00C87F73"/>
    <w:rsid w:val="00C942D8"/>
    <w:rsid w:val="00C945A3"/>
    <w:rsid w:val="00CD39DC"/>
    <w:rsid w:val="00CE57C2"/>
    <w:rsid w:val="00CF0774"/>
    <w:rsid w:val="00CF10F4"/>
    <w:rsid w:val="00D340AB"/>
    <w:rsid w:val="00D404D8"/>
    <w:rsid w:val="00D452AE"/>
    <w:rsid w:val="00D474BE"/>
    <w:rsid w:val="00D542D4"/>
    <w:rsid w:val="00D62CE9"/>
    <w:rsid w:val="00DC76EE"/>
    <w:rsid w:val="00DD6106"/>
    <w:rsid w:val="00DF3994"/>
    <w:rsid w:val="00E215FA"/>
    <w:rsid w:val="00E26798"/>
    <w:rsid w:val="00E45BA0"/>
    <w:rsid w:val="00E567D2"/>
    <w:rsid w:val="00E629FF"/>
    <w:rsid w:val="00E971FC"/>
    <w:rsid w:val="00EA0586"/>
    <w:rsid w:val="00EA0CD7"/>
    <w:rsid w:val="00EE7334"/>
    <w:rsid w:val="00EF0C87"/>
    <w:rsid w:val="00F0481D"/>
    <w:rsid w:val="00F12AEE"/>
    <w:rsid w:val="00F3704A"/>
    <w:rsid w:val="00F530D1"/>
    <w:rsid w:val="00F84E94"/>
    <w:rsid w:val="00F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223343C-D2EC-4949-BB8F-714F39CA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table" w:styleId="TableGrid">
    <w:name w:val="Table Grid"/>
    <w:basedOn w:val="TableNormal"/>
    <w:uiPriority w:val="59"/>
    <w:rsid w:val="00B92FC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B24AC"/>
    <w:rPr>
      <w:rFonts w:ascii="Calibri" w:eastAsia="Calibri" w:hAnsi="Calibri"/>
      <w:sz w:val="20"/>
      <w:szCs w:val="20"/>
    </w:rPr>
  </w:style>
  <w:style w:type="character" w:customStyle="1" w:styleId="FootnoteTextChar">
    <w:name w:val="Footnote Text Char"/>
    <w:link w:val="FootnoteText"/>
    <w:uiPriority w:val="99"/>
    <w:semiHidden/>
    <w:rsid w:val="005B24AC"/>
    <w:rPr>
      <w:rFonts w:ascii="Calibri" w:eastAsia="Calibri" w:hAnsi="Calibri"/>
    </w:rPr>
  </w:style>
  <w:style w:type="character" w:styleId="FootnoteReference">
    <w:name w:val="footnote reference"/>
    <w:uiPriority w:val="99"/>
    <w:rsid w:val="005B24AC"/>
    <w:rPr>
      <w:vertAlign w:val="superscript"/>
    </w:rPr>
  </w:style>
  <w:style w:type="table" w:customStyle="1" w:styleId="TableGrid1">
    <w:name w:val="Table Grid1"/>
    <w:basedOn w:val="TableNormal"/>
    <w:next w:val="TableGrid"/>
    <w:uiPriority w:val="59"/>
    <w:rsid w:val="005B24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A927D9"/>
    <w:pPr>
      <w:tabs>
        <w:tab w:val="left" w:pos="504"/>
      </w:tabs>
      <w:spacing w:after="240"/>
      <w:ind w:left="504" w:hanging="504"/>
    </w:pPr>
  </w:style>
  <w:style w:type="character" w:styleId="CommentReference">
    <w:name w:val="annotation reference"/>
    <w:uiPriority w:val="99"/>
    <w:semiHidden/>
    <w:unhideWhenUsed/>
    <w:rsid w:val="00773727"/>
    <w:rPr>
      <w:sz w:val="16"/>
      <w:szCs w:val="16"/>
    </w:rPr>
  </w:style>
  <w:style w:type="paragraph" w:styleId="CommentText">
    <w:name w:val="annotation text"/>
    <w:basedOn w:val="Normal"/>
    <w:link w:val="CommentTextChar"/>
    <w:uiPriority w:val="99"/>
    <w:semiHidden/>
    <w:unhideWhenUsed/>
    <w:rsid w:val="00773727"/>
    <w:rPr>
      <w:sz w:val="20"/>
      <w:szCs w:val="20"/>
    </w:rPr>
  </w:style>
  <w:style w:type="character" w:customStyle="1" w:styleId="CommentTextChar">
    <w:name w:val="Comment Text Char"/>
    <w:basedOn w:val="DefaultParagraphFont"/>
    <w:link w:val="CommentText"/>
    <w:uiPriority w:val="99"/>
    <w:semiHidden/>
    <w:rsid w:val="00773727"/>
  </w:style>
  <w:style w:type="paragraph" w:styleId="CommentSubject">
    <w:name w:val="annotation subject"/>
    <w:basedOn w:val="CommentText"/>
    <w:next w:val="CommentText"/>
    <w:link w:val="CommentSubjectChar"/>
    <w:uiPriority w:val="99"/>
    <w:semiHidden/>
    <w:unhideWhenUsed/>
    <w:rsid w:val="00773727"/>
    <w:rPr>
      <w:b/>
      <w:bCs/>
    </w:rPr>
  </w:style>
  <w:style w:type="character" w:customStyle="1" w:styleId="CommentSubjectChar">
    <w:name w:val="Comment Subject Char"/>
    <w:link w:val="CommentSubject"/>
    <w:uiPriority w:val="99"/>
    <w:semiHidden/>
    <w:rsid w:val="007737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64935">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858081586">
      <w:bodyDiv w:val="1"/>
      <w:marLeft w:val="0"/>
      <w:marRight w:val="0"/>
      <w:marTop w:val="0"/>
      <w:marBottom w:val="0"/>
      <w:divBdr>
        <w:top w:val="none" w:sz="0" w:space="0" w:color="auto"/>
        <w:left w:val="none" w:sz="0" w:space="0" w:color="auto"/>
        <w:bottom w:val="none" w:sz="0" w:space="0" w:color="auto"/>
        <w:right w:val="none" w:sz="0" w:space="0" w:color="auto"/>
      </w:divBdr>
    </w:div>
    <w:div w:id="185961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3" ma:contentTypeDescription="Create a new document." ma:contentTypeScope="" ma:versionID="32b432a01be3bb38deb2ed9172233520">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597f3a5a5aa1803b7d5eb8044e5f9b90"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48B729-3FFC-4362-AB1B-0E12D4456FB5}">
  <ds:schemaRefs>
    <ds:schemaRef ds:uri="http://schemas.microsoft.com/sharepoint/v3/contenttype/forms"/>
  </ds:schemaRefs>
</ds:datastoreItem>
</file>

<file path=customXml/itemProps2.xml><?xml version="1.0" encoding="utf-8"?>
<ds:datastoreItem xmlns:ds="http://schemas.openxmlformats.org/officeDocument/2006/customXml" ds:itemID="{B97C312B-701E-479E-B9C3-9FC04A1F7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609586-D136-4030-A130-BE907760EEDB}">
  <ds:schemaRefs>
    <ds:schemaRef ds:uri="978cbee1-b604-4d95-9f89-3d25ff6383a8"/>
    <ds:schemaRef ds:uri="ecc0eb5f-8763-404a-8c31-210cabb72f8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5044</Words>
  <Characters>28752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33729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Mizrachi, Ila</cp:lastModifiedBy>
  <cp:revision>2</cp:revision>
  <cp:lastPrinted>2010-11-01T17:07:00Z</cp:lastPrinted>
  <dcterms:created xsi:type="dcterms:W3CDTF">2020-08-24T22:06:00Z</dcterms:created>
  <dcterms:modified xsi:type="dcterms:W3CDTF">2020-08-24T22:06:00Z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ZOTERO_PREF_1">
    <vt:lpwstr>&lt;data data-version="3" zotero-version="5.0.89"&gt;&lt;session id="EUUgebeA"/&gt;&lt;style id="http://www.zotero.org/styles/vancouver" locale="en-US" hasBibliography="1" bibliographyStyleHasBeenSet="1"/&gt;&lt;prefs&gt;&lt;pref name="fieldType" value="Field"/&gt;&lt;pref name="automati</vt:lpwstr>
  </property>
  <property fmtid="{D5CDD505-2E9C-101B-9397-08002B2CF9AE}" pid="4" name="ZOTERO_PREF_2">
    <vt:lpwstr>cJournalAbbreviations" value="true"/&gt;&lt;/prefs&gt;&lt;/data&gt;</vt:lpwstr>
  </property>
  <property fmtid="{D5CDD505-2E9C-101B-9397-08002B2CF9AE}" pid="5" name="ContentTypeId">
    <vt:lpwstr>0x010100076A08FBD5310342BF958ADCB470BE9A</vt:lpwstr>
  </property>
</Properties>
</file>