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7B27" w:rsidR="000C4B5F" w:rsidP="004305FE" w:rsidRDefault="000C4B5F" w14:paraId="294869F9" w14:textId="39CB1961">
      <w:pPr>
        <w:pStyle w:val="Title"/>
        <w:spacing w:before="0" w:after="0"/>
        <w:contextualSpacing w:val="0"/>
        <w:rPr>
          <w:b w:val="0"/>
          <w:sz w:val="24"/>
          <w:szCs w:val="24"/>
        </w:rPr>
      </w:pPr>
      <w:r w:rsidRPr="006F7B27">
        <w:rPr>
          <w:sz w:val="24"/>
          <w:szCs w:val="24"/>
        </w:rPr>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00D26EEF" w:rsidP="00226B1A" w:rsidRDefault="00D26EEF" w14:paraId="2138BB2D" w14:textId="6F74429A">
      <w:pPr>
        <w:pStyle w:val="Heading1"/>
        <w:numPr>
          <w:ilvl w:val="0"/>
          <w:numId w:val="0"/>
        </w:numPr>
        <w:tabs>
          <w:tab w:val="clear" w:pos="720"/>
          <w:tab w:val="left" w:pos="810"/>
        </w:tabs>
        <w:ind w:left="360" w:hanging="360"/>
      </w:pPr>
      <w:r w:rsidRPr="006F7B27">
        <w:rPr>
          <w:sz w:val="24"/>
          <w:szCs w:val="24"/>
        </w:rPr>
        <w:t>Background</w:t>
      </w:r>
    </w:p>
    <w:p w:rsidR="00092C2E" w:rsidP="00730BEF" w:rsidRDefault="00092C2E" w14:paraId="591B3C55" w14:textId="3C159A7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 </w:t>
      </w:r>
      <w:r w:rsidR="00E83C37">
        <w:t xml:space="preserve"> </w:t>
      </w:r>
      <w:r>
        <w:t xml:space="preserve">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rsidR="00092C2E" w:rsidP="00730BEF" w:rsidRDefault="00092C2E" w14:paraId="16CA6E7B" w14:textId="4849CE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15314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w:t>
      </w:r>
      <w:r w:rsidR="00222D1B">
        <w:t>C</w:t>
      </w:r>
      <w:r>
        <w:t>MS Web Interface</w:t>
      </w:r>
      <w:r w:rsidR="00F049CC">
        <w:t xml:space="preserve">, and </w:t>
      </w:r>
      <w:r w:rsidRPr="00D06FBB" w:rsidR="00F049CC">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 we will refer only to groups as an inclusive term for both</w:t>
      </w:r>
      <w:r w:rsidR="00FD3EC2">
        <w:t xml:space="preserve"> unless otherwise noted</w:t>
      </w:r>
      <w:r w:rsidR="001964ED">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Pr="00764423" w:rsidR="00764423">
        <w:t xml:space="preserve">In the 2019 and prior MIPS performance periods, individuals and groups submitting data for the quality performance category via a qualified registry or QCDR that did not also support reporting of data for the Promoting Interoperability or improvement activity performance categories would be required to submit data for these performance categories using an alternate submission type.  The </w:t>
      </w:r>
      <w:r w:rsidR="006518B9">
        <w:t>requirements</w:t>
      </w:r>
      <w:r w:rsidRPr="00764423" w:rsidR="006518B9">
        <w:t xml:space="preserve"> </w:t>
      </w:r>
      <w:r w:rsidR="002068BE">
        <w:t>finalized</w:t>
      </w:r>
      <w:r w:rsidRPr="00764423" w:rsidR="002068BE">
        <w:t xml:space="preserve"> </w:t>
      </w:r>
      <w:r w:rsidRPr="00764423" w:rsidR="00764423">
        <w:t>in section</w:t>
      </w:r>
      <w:r w:rsidR="00A05D7C">
        <w:t>s</w:t>
      </w:r>
      <w:r w:rsidRPr="00764423" w:rsidR="00764423">
        <w:t xml:space="preserve"> </w:t>
      </w:r>
      <w:r w:rsidR="00A05D7C">
        <w:t>III.K.3.g.(3)(a)(i)</w:t>
      </w:r>
      <w:r w:rsidRPr="00764423" w:rsidR="00764423">
        <w:t xml:space="preserve"> </w:t>
      </w:r>
      <w:r w:rsidR="00A05D7C">
        <w:t>and III.K</w:t>
      </w:r>
      <w:r w:rsidR="00597DCA">
        <w:t xml:space="preserve">.3.g.(4)(a)(i) </w:t>
      </w:r>
      <w:r w:rsidR="00FA5B8A">
        <w:t xml:space="preserve">of the </w:t>
      </w:r>
      <w:r w:rsidR="005C2F87">
        <w:t xml:space="preserve">CY 2020 PFS </w:t>
      </w:r>
      <w:r w:rsidR="002068BE">
        <w:t xml:space="preserve">final </w:t>
      </w:r>
      <w:r w:rsidR="005C2F87">
        <w:t>rule</w:t>
      </w:r>
      <w:r w:rsidR="00FA5B8A">
        <w:t xml:space="preserve"> </w:t>
      </w:r>
      <w:r w:rsidRPr="00764423" w:rsidR="00764423">
        <w:t>requiring qualified registries and QCDRs</w:t>
      </w:r>
      <w:r w:rsidR="009540DA">
        <w:t>, beginning with the 2023 MIPS payment year,</w:t>
      </w:r>
      <w:r w:rsidRPr="00764423" w:rsidR="00764423">
        <w:t xml:space="preserve"> to </w:t>
      </w:r>
      <w:r w:rsidR="0008451E">
        <w:t xml:space="preserve">be able to submit data for </w:t>
      </w:r>
      <w:r w:rsidRPr="00764423" w:rsidR="00764423">
        <w:t>th</w:t>
      </w:r>
      <w:r w:rsidR="00597DCA">
        <w:t>e</w:t>
      </w:r>
      <w:r w:rsidRPr="00764423" w:rsidR="00764423">
        <w:t xml:space="preserve"> </w:t>
      </w:r>
      <w:r w:rsidR="00597DCA">
        <w:t xml:space="preserve">quality, improvement activities, and Promoting Interoperability performance categories </w:t>
      </w:r>
      <w:r w:rsidRPr="00764423" w:rsidR="00764423">
        <w:t xml:space="preserve">alleviates this issue.  </w:t>
      </w:r>
    </w:p>
    <w:p w:rsidR="00680B4B" w:rsidP="00730BEF" w:rsidRDefault="0071510C" w14:paraId="65B842DF" w14:textId="6F99708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Pr="00AA5555" w:rsidR="00DE4C38">
        <w:rPr>
          <w:rFonts w:eastAsia="Calibri"/>
        </w:rPr>
        <w:t>we</w:t>
      </w:r>
      <w:r w:rsidR="00DE4C38">
        <w:rPr>
          <w:rFonts w:eastAsia="Calibri"/>
        </w:rPr>
        <w:t xml:space="preserve"> </w:t>
      </w:r>
      <w:r w:rsidR="00C60F89">
        <w:rPr>
          <w:rFonts w:eastAsia="Calibri"/>
        </w:rPr>
        <w:t>finaliz</w:t>
      </w:r>
      <w:r w:rsidR="00630108">
        <w:rPr>
          <w:rFonts w:eastAsia="Calibri"/>
        </w:rPr>
        <w:t>ed</w:t>
      </w:r>
      <w:r w:rsidR="00C60F89">
        <w:rPr>
          <w:rFonts w:eastAsia="Calibri"/>
        </w:rPr>
        <w:t xml:space="preserve"> </w:t>
      </w:r>
      <w:r w:rsidR="00520658">
        <w:rPr>
          <w:rFonts w:eastAsia="Calibri"/>
        </w:rPr>
        <w:t>a number of proposals</w:t>
      </w:r>
      <w:r w:rsidR="009774B4">
        <w:rPr>
          <w:rFonts w:eastAsia="Calibri"/>
        </w:rPr>
        <w:t xml:space="preserve"> </w:t>
      </w:r>
      <w:r w:rsidR="00520658">
        <w:rPr>
          <w:rFonts w:eastAsia="Calibri"/>
        </w:rPr>
        <w:t xml:space="preserve">in the CY 2020 PFS </w:t>
      </w:r>
      <w:r w:rsidR="00C60F89">
        <w:rPr>
          <w:rFonts w:eastAsia="Calibri"/>
        </w:rPr>
        <w:t>final</w:t>
      </w:r>
      <w:r w:rsidR="00520658">
        <w:rPr>
          <w:rFonts w:eastAsia="Calibri"/>
        </w:rPr>
        <w:t xml:space="preserve"> rule</w:t>
      </w:r>
      <w:r w:rsidR="00AE5635">
        <w:rPr>
          <w:rFonts w:eastAsia="Calibri"/>
        </w:rPr>
        <w:t xml:space="preserve">: (1) </w:t>
      </w:r>
      <w:r w:rsidR="00C414F4">
        <w:rPr>
          <w:rFonts w:eastAsia="Calibri"/>
        </w:rPr>
        <w:t xml:space="preserve">to </w:t>
      </w:r>
      <w:r w:rsidR="00DE4C38">
        <w:rPr>
          <w:rFonts w:eastAsia="Calibri"/>
        </w:rPr>
        <w:t>reweight the performance categories</w:t>
      </w:r>
      <w:r w:rsidR="004707F8">
        <w:rPr>
          <w:rFonts w:eastAsia="Calibri"/>
        </w:rPr>
        <w:t xml:space="preserve"> for a MIPS eligible clinician </w:t>
      </w:r>
      <w:r w:rsidRPr="00B05901" w:rsidR="004707F8">
        <w:rPr>
          <w:rFonts w:eastAsia="Calibri"/>
        </w:rPr>
        <w:t>who we determine has data for a performance category that are inaccurate, unusable</w:t>
      </w:r>
      <w:r w:rsidR="004707F8">
        <w:rPr>
          <w:rFonts w:eastAsia="Calibri"/>
        </w:rPr>
        <w:t>,</w:t>
      </w:r>
      <w:r w:rsidRPr="00B05901" w:rsidR="004707F8">
        <w:rPr>
          <w:rFonts w:eastAsia="Calibri"/>
        </w:rPr>
        <w:t xml:space="preserve"> or otherwise compromised due to circumstances outside of the control of the clinician or its agents if we learn the relevant information prior to the beginning of the associated MIPS payment year</w:t>
      </w:r>
      <w:r w:rsidR="004707F8">
        <w:rPr>
          <w:rFonts w:eastAsia="Calibri"/>
        </w:rPr>
        <w:t>;</w:t>
      </w:r>
      <w:r w:rsidDel="004707F8" w:rsidR="004707F8">
        <w:rPr>
          <w:rFonts w:eastAsia="Calibri"/>
        </w:rPr>
        <w:t xml:space="preserve"> </w:t>
      </w:r>
      <w:r w:rsidR="006A331C">
        <w:rPr>
          <w:rFonts w:eastAsia="Calibri"/>
        </w:rPr>
        <w:t xml:space="preserve">(2) </w:t>
      </w:r>
      <w:r w:rsidR="001946F9">
        <w:rPr>
          <w:rFonts w:eastAsia="Calibri"/>
        </w:rPr>
        <w:t xml:space="preserve">to assign a zero percent weight </w:t>
      </w:r>
      <w:r w:rsidR="001946F9">
        <w:rPr>
          <w:rFonts w:eastAsia="Melior"/>
        </w:rPr>
        <w:t>f</w:t>
      </w:r>
      <w:r w:rsidRPr="00623524" w:rsidR="001946F9">
        <w:rPr>
          <w:rFonts w:eastAsia="Melior"/>
        </w:rPr>
        <w:t xml:space="preserve">or the Promoting Interoperability performance category </w:t>
      </w:r>
      <w:r w:rsidR="001946F9">
        <w:rPr>
          <w:rFonts w:eastAsia="Melior"/>
        </w:rPr>
        <w:t>for groups defined as hospital-based and non-patient facing, and redistribute the points associated with the Promoting Interoperability performance category to another performance category or categories</w:t>
      </w:r>
      <w:r w:rsidR="00F85D67">
        <w:rPr>
          <w:rFonts w:eastAsia="Melior"/>
        </w:rPr>
        <w:t>;</w:t>
      </w:r>
      <w:r w:rsidDel="00F85D67" w:rsidR="005D58C7">
        <w:rPr>
          <w:rFonts w:eastAsia="Melior"/>
        </w:rPr>
        <w:t xml:space="preserve"> </w:t>
      </w:r>
      <w:r w:rsidR="008B3F08">
        <w:rPr>
          <w:rFonts w:eastAsia="Melior"/>
        </w:rPr>
        <w:t>(3)</w:t>
      </w:r>
      <w:r w:rsidR="005D58C7">
        <w:rPr>
          <w:rFonts w:eastAsia="Melior"/>
        </w:rPr>
        <w:t xml:space="preserve"> to require </w:t>
      </w:r>
      <w:r w:rsidR="00F85D67">
        <w:rPr>
          <w:rFonts w:eastAsia="Melior"/>
        </w:rPr>
        <w:t>a</w:t>
      </w:r>
      <w:r w:rsidR="005D58C7">
        <w:rPr>
          <w:rFonts w:eastAsia="Melior"/>
        </w:rPr>
        <w:t>grou</w:t>
      </w:r>
      <w:r w:rsidR="001946F9">
        <w:rPr>
          <w:rFonts w:eastAsia="Melior"/>
        </w:rPr>
        <w:t xml:space="preserve">p or virtual group to meet a threshold of more than 75 percent </w:t>
      </w:r>
      <w:r w:rsidR="006A331C">
        <w:rPr>
          <w:rFonts w:eastAsia="Melior"/>
        </w:rPr>
        <w:t xml:space="preserve">(instead of 100 percent) </w:t>
      </w:r>
      <w:r w:rsidRPr="00FD2428" w:rsidR="001946F9">
        <w:rPr>
          <w:rFonts w:eastAsia="Melior"/>
        </w:rPr>
        <w:t xml:space="preserve">of the NPIs billing under the group's TIN or virtual group's TINs, as applicable, </w:t>
      </w:r>
      <w:r w:rsidR="001946F9">
        <w:rPr>
          <w:rFonts w:eastAsia="Melior"/>
        </w:rPr>
        <w:t xml:space="preserve">to </w:t>
      </w:r>
      <w:r w:rsidRPr="00FD2428" w:rsidR="001946F9">
        <w:rPr>
          <w:rFonts w:eastAsia="Melior"/>
        </w:rPr>
        <w:t xml:space="preserve">meet the definition of a </w:t>
      </w:r>
      <w:r w:rsidR="001946F9">
        <w:rPr>
          <w:rFonts w:eastAsia="Melior"/>
        </w:rPr>
        <w:t>hospital-based or non-patient facing</w:t>
      </w:r>
      <w:r w:rsidR="006A331C">
        <w:rPr>
          <w:rFonts w:eastAsia="Melior"/>
        </w:rPr>
        <w:t>; (</w:t>
      </w:r>
      <w:r w:rsidR="00F85D67">
        <w:rPr>
          <w:rFonts w:eastAsia="Melior"/>
        </w:rPr>
        <w:t>4</w:t>
      </w:r>
      <w:r w:rsidR="006A331C">
        <w:rPr>
          <w:rFonts w:eastAsia="Melior"/>
        </w:rPr>
        <w:t>)</w:t>
      </w:r>
      <w:r w:rsidR="00D764CC">
        <w:rPr>
          <w:rFonts w:eastAsia="Melior"/>
        </w:rPr>
        <w:t xml:space="preserve"> that </w:t>
      </w:r>
      <w:r w:rsidR="001946F9">
        <w:rPr>
          <w:rFonts w:eastAsia="Melior"/>
        </w:rPr>
        <w:t xml:space="preserve">a hospital-based MIPS eligible clinician means </w:t>
      </w:r>
      <w:r w:rsidRPr="00FD2428" w:rsidR="001946F9">
        <w:rPr>
          <w:rFonts w:eastAsia="Melior"/>
        </w:rPr>
        <w:t>a</w:t>
      </w:r>
      <w:r w:rsidR="001946F9">
        <w:rPr>
          <w:rFonts w:eastAsia="Melior"/>
        </w:rPr>
        <w:t>n individual</w:t>
      </w:r>
      <w:r w:rsidRPr="00FD2428" w:rsidR="001946F9">
        <w:rPr>
          <w:rFonts w:eastAsia="Melior"/>
        </w:rPr>
        <w:t xml:space="preserve"> MIPS eligible clinician who furnishes 75 percent or more of his or her covered professional services in an inpatient hospital, on-campus outpatient hospital, off campus outpatient hospital, or emergency room setting based on claims for the MIPS determination period</w:t>
      </w:r>
      <w:r w:rsidR="001946F9">
        <w:rPr>
          <w:rFonts w:eastAsia="Melior"/>
        </w:rPr>
        <w:t xml:space="preserve">, </w:t>
      </w:r>
      <w:r w:rsidRPr="00FD2428" w:rsidR="001946F9">
        <w:rPr>
          <w:rFonts w:eastAsia="Melior"/>
        </w:rPr>
        <w:t xml:space="preserve">and a group or virtual group provided that more than 75 percent </w:t>
      </w:r>
      <w:r w:rsidR="001946F9">
        <w:rPr>
          <w:rFonts w:eastAsia="Melior"/>
        </w:rPr>
        <w:t>of the NPIs billing under the group’s TIN or virtual group’s TINs, as applicable, meet the definition of a hospital-based individual MIPS eligible clinician</w:t>
      </w:r>
      <w:r w:rsidR="006A331C">
        <w:rPr>
          <w:rFonts w:eastAsia="Melior"/>
        </w:rPr>
        <w:t>; and (</w:t>
      </w:r>
      <w:r w:rsidR="00F85D67">
        <w:rPr>
          <w:rFonts w:eastAsia="Melior"/>
        </w:rPr>
        <w:t>5</w:t>
      </w:r>
      <w:r w:rsidR="006A331C">
        <w:rPr>
          <w:rFonts w:eastAsia="Melior"/>
        </w:rPr>
        <w:t>)</w:t>
      </w:r>
      <w:r w:rsidR="001946F9">
        <w:rPr>
          <w:rFonts w:eastAsia="Melior"/>
        </w:rPr>
        <w:t xml:space="preserve"> </w:t>
      </w:r>
      <w:r w:rsidRPr="008D5416" w:rsidR="001946F9">
        <w:rPr>
          <w:rFonts w:eastAsia="Melior"/>
        </w:rPr>
        <w:t>revis</w:t>
      </w:r>
      <w:r w:rsidR="001946F9">
        <w:rPr>
          <w:rFonts w:eastAsia="Melior"/>
        </w:rPr>
        <w:t>ions</w:t>
      </w:r>
      <w:r w:rsidRPr="008D5416" w:rsidR="001946F9">
        <w:rPr>
          <w:rFonts w:eastAsia="Melior"/>
        </w:rPr>
        <w:t xml:space="preserve"> to </w:t>
      </w:r>
      <w:r w:rsidR="001946F9">
        <w:rPr>
          <w:rFonts w:eastAsia="Melior"/>
        </w:rPr>
        <w:t>account for a</w:t>
      </w:r>
      <w:r w:rsidRPr="008D5416" w:rsidR="001946F9">
        <w:rPr>
          <w:rFonts w:eastAsia="Melior"/>
        </w:rPr>
        <w:t xml:space="preserve"> group or virtual group that meets the definition of a </w:t>
      </w:r>
      <w:r w:rsidR="001946F9">
        <w:rPr>
          <w:rFonts w:eastAsia="Melior"/>
        </w:rPr>
        <w:t xml:space="preserve">non-patient facing MIPS eligible clinician such that the group or virtual group only has </w:t>
      </w:r>
      <w:r w:rsidRPr="00FE1CFC" w:rsidR="001946F9">
        <w:rPr>
          <w:rFonts w:eastAsia="Melior"/>
        </w:rPr>
        <w:t>to meet a threshold of more</w:t>
      </w:r>
      <w:r w:rsidR="001946F9">
        <w:rPr>
          <w:rFonts w:eastAsia="Melior"/>
        </w:rPr>
        <w:t xml:space="preserve"> than 75 percent</w:t>
      </w:r>
      <w:r w:rsidRPr="008D5416" w:rsidR="001946F9">
        <w:rPr>
          <w:rFonts w:eastAsia="Melior"/>
        </w:rPr>
        <w:t>.</w:t>
      </w:r>
      <w:r w:rsidR="001946F9">
        <w:rPr>
          <w:rFonts w:eastAsia="Melior"/>
        </w:rPr>
        <w:t xml:space="preserve">  </w:t>
      </w:r>
      <w:r w:rsidRPr="00CC2BFB" w:rsidR="00B95132">
        <w:rPr>
          <w:rFonts w:eastAsia="Calibri"/>
        </w:rPr>
        <w:t xml:space="preserve">We believe these </w:t>
      </w:r>
      <w:r w:rsidRPr="00F90569" w:rsidR="00B95132">
        <w:rPr>
          <w:rFonts w:eastAsia="Calibri"/>
        </w:rPr>
        <w:t>policies</w:t>
      </w:r>
      <w:r w:rsidRPr="00CC2BFB" w:rsidR="00B95132">
        <w:rPr>
          <w:rFonts w:eastAsia="Calibri"/>
        </w:rPr>
        <w:t xml:space="preserve"> could result in a decrease in the number of data submissions for the Promoting Interoperability performance category, but we do not currently have the data necessary to determine how many groups would </w:t>
      </w:r>
      <w:r w:rsidR="00945527">
        <w:rPr>
          <w:rFonts w:eastAsia="Calibri"/>
        </w:rPr>
        <w:t xml:space="preserve">have performance category scores be reweighted or </w:t>
      </w:r>
      <w:r w:rsidRPr="00CC2BFB" w:rsidR="00B95132">
        <w:rPr>
          <w:rFonts w:eastAsia="Calibri"/>
        </w:rPr>
        <w:t>elect to forego submission.</w:t>
      </w:r>
      <w:r w:rsidR="00810A5D">
        <w:rPr>
          <w:rFonts w:eastAsia="Calibri"/>
        </w:rPr>
        <w:t xml:space="preserve"> </w:t>
      </w:r>
    </w:p>
    <w:p w:rsidR="00092C2E" w:rsidP="00730BEF" w:rsidRDefault="00680B4B" w14:paraId="79BCE1BF" w14:textId="601B08D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For the improvement activities performance category, </w:t>
      </w:r>
      <w:r w:rsidR="00143A3D">
        <w:rPr>
          <w:rFonts w:eastAsia="Calibri"/>
        </w:rPr>
        <w:t xml:space="preserve">as </w:t>
      </w:r>
      <w:r w:rsidR="00F50529">
        <w:rPr>
          <w:rFonts w:eastAsia="Calibri"/>
        </w:rPr>
        <w:t>finalized</w:t>
      </w:r>
      <w:r w:rsidR="00143A3D">
        <w:rPr>
          <w:rFonts w:eastAsia="Calibri"/>
        </w:rPr>
        <w:t xml:space="preserve"> in </w:t>
      </w:r>
      <w:r w:rsidRPr="009913AE" w:rsidR="00143A3D">
        <w:rPr>
          <w:rFonts w:eastAsia="Calibri"/>
        </w:rPr>
        <w:t xml:space="preserve">section </w:t>
      </w:r>
      <w:r w:rsidR="00143A3D">
        <w:rPr>
          <w:rFonts w:eastAsia="Calibri"/>
        </w:rPr>
        <w:t xml:space="preserve">III.K.3.c.(3)(d)(iii) of the CY 2020 PFS </w:t>
      </w:r>
      <w:r w:rsidR="00F50529">
        <w:rPr>
          <w:rFonts w:eastAsia="Calibri"/>
        </w:rPr>
        <w:t>final</w:t>
      </w:r>
      <w:r w:rsidR="00143A3D">
        <w:rPr>
          <w:rFonts w:eastAsia="Calibri"/>
        </w:rPr>
        <w:t xml:space="preserve"> rule, </w:t>
      </w:r>
      <w:r w:rsidR="005E11E6">
        <w:rPr>
          <w:rFonts w:eastAsia="Calibri"/>
        </w:rPr>
        <w:t>beginning with the 2020 MIPS performance period</w:t>
      </w:r>
      <w:r w:rsidRPr="00EF01BB" w:rsidR="00EF01BB">
        <w:rPr>
          <w:rFonts w:eastAsia="Calibri"/>
        </w:rPr>
        <w:t xml:space="preserve"> </w:t>
      </w:r>
      <w:r w:rsidR="00EF01BB">
        <w:rPr>
          <w:rFonts w:eastAsia="Calibri"/>
        </w:rPr>
        <w:t xml:space="preserve">and for future years, </w:t>
      </w:r>
      <w:r w:rsidR="003C05EC">
        <w:rPr>
          <w:rFonts w:eastAsia="Calibri"/>
        </w:rPr>
        <w:t>each improvement activity for which</w:t>
      </w:r>
      <w:r w:rsidRPr="00CC2BFB" w:rsidR="003C05EC">
        <w:rPr>
          <w:rFonts w:eastAsia="Calibri"/>
        </w:rPr>
        <w:t xml:space="preserve"> group</w:t>
      </w:r>
      <w:r w:rsidR="003C05EC">
        <w:rPr>
          <w:rFonts w:eastAsia="Calibri"/>
        </w:rPr>
        <w:t>s</w:t>
      </w:r>
      <w:r w:rsidRPr="00CC2BFB" w:rsidR="003C05EC">
        <w:rPr>
          <w:rFonts w:eastAsia="Calibri"/>
        </w:rPr>
        <w:t xml:space="preserve"> </w:t>
      </w:r>
      <w:r w:rsidR="003C05EC">
        <w:rPr>
          <w:rFonts w:eastAsia="Calibri"/>
        </w:rPr>
        <w:t>and</w:t>
      </w:r>
      <w:r w:rsidRPr="00CC2BFB" w:rsidR="003C05EC">
        <w:rPr>
          <w:rFonts w:eastAsia="Calibri"/>
        </w:rPr>
        <w:t xml:space="preserve"> virtual group</w:t>
      </w:r>
      <w:r w:rsidR="003C05EC">
        <w:rPr>
          <w:rFonts w:eastAsia="Calibri"/>
        </w:rPr>
        <w:t>s submit a “yes” response must be performed by</w:t>
      </w:r>
      <w:r w:rsidRPr="00CC2BFB" w:rsidR="003C05EC">
        <w:rPr>
          <w:rFonts w:eastAsia="Calibri"/>
        </w:rPr>
        <w:t xml:space="preserve"> at least 50 percent of the NPIs billing under the group’s TIN or virtual group’s TINs, as applicable; and the NPIs must perform the same activity </w:t>
      </w:r>
      <w:r w:rsidR="003C05EC">
        <w:rPr>
          <w:rFonts w:eastAsia="Calibri"/>
        </w:rPr>
        <w:t>during a</w:t>
      </w:r>
      <w:r w:rsidRPr="00CC2BFB" w:rsidR="003C05EC">
        <w:rPr>
          <w:rFonts w:eastAsia="Calibri"/>
        </w:rPr>
        <w:t xml:space="preserve"> 90</w:t>
      </w:r>
      <w:r w:rsidR="003C05EC">
        <w:rPr>
          <w:rFonts w:eastAsia="Calibri"/>
        </w:rPr>
        <w:t>-</w:t>
      </w:r>
      <w:r w:rsidRPr="00CC2BFB" w:rsidR="003C05EC">
        <w:rPr>
          <w:rFonts w:eastAsia="Calibri"/>
        </w:rPr>
        <w:t>day period</w:t>
      </w:r>
      <w:r w:rsidR="003C05EC">
        <w:rPr>
          <w:rFonts w:eastAsia="Calibri"/>
        </w:rPr>
        <w:t xml:space="preserve"> within the same performance year</w:t>
      </w:r>
      <w:r w:rsidR="00EF01BB">
        <w:rPr>
          <w:rFonts w:eastAsia="Calibri"/>
        </w:rPr>
        <w:t>.</w:t>
      </w:r>
      <w:r w:rsidR="001652E6">
        <w:rPr>
          <w:rFonts w:eastAsia="Calibri"/>
        </w:rPr>
        <w:t xml:space="preserve"> </w:t>
      </w:r>
      <w:r w:rsidR="00EF01BB">
        <w:rPr>
          <w:rFonts w:eastAsia="Calibri"/>
        </w:rPr>
        <w:t xml:space="preserve"> </w:t>
      </w:r>
    </w:p>
    <w:p w:rsidR="00092C2E" w:rsidP="00730BEF" w:rsidRDefault="00092C2E" w14:paraId="0C5A2936" w14:textId="3886A0D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Qualified registries and QCDRs must </w:t>
      </w:r>
      <w:r w:rsidR="00D831EF">
        <w:t>complete</w:t>
      </w:r>
      <w:r>
        <w:t xml:space="preserve"> </w:t>
      </w:r>
      <w:r w:rsidR="00A93DD0">
        <w:t>a self-nominat</w:t>
      </w:r>
      <w:r w:rsidR="00D831EF">
        <w:t>ion form submitted electronically using a web-based tool</w:t>
      </w:r>
      <w:r>
        <w:t xml:space="preserve">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E83C37">
        <w:t xml:space="preserve"> </w:t>
      </w:r>
      <w:r w:rsidR="00083787">
        <w:t xml:space="preserve">In order to use either the log in and upload or log in and attest submission types or to access feedback reports, clinicians, groups, virtual groups, or third-parties who do not already have CMS Enterprise Portal user accounts must register for one.  </w:t>
      </w:r>
      <w:r>
        <w:t>Clinicians, groups, and other relevant stakeholders may nominate new improvement activities</w:t>
      </w:r>
      <w:r w:rsidR="00083787">
        <w:t xml:space="preserve">, Promoting Interoperability measures, and quality measures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rsidR="006104BA" w:rsidP="00730BEF" w:rsidRDefault="00F24A7F" w14:paraId="45E11F45" w14:textId="5B540F5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are requesting approval of 19</w:t>
      </w:r>
      <w:r w:rsidR="00092C2E">
        <w:t xml:space="preserve"> information collect</w:t>
      </w:r>
      <w:r>
        <w:t>ions associated with the CY 20</w:t>
      </w:r>
      <w:r w:rsidR="00FA3435">
        <w:t>20</w:t>
      </w:r>
      <w:r w:rsidR="00092C2E">
        <w:t xml:space="preserve"> </w:t>
      </w:r>
      <w:r w:rsidR="00AB7DAC">
        <w:t xml:space="preserve">PFS </w:t>
      </w:r>
      <w:r w:rsidR="003C05EC">
        <w:t>final</w:t>
      </w:r>
      <w:r>
        <w:t xml:space="preserve"> rule</w:t>
      </w:r>
      <w:r w:rsidR="00092C2E">
        <w:t xml:space="preserve"> as a revision to </w:t>
      </w:r>
      <w:r w:rsidR="005D6106">
        <w:t xml:space="preserve">our </w:t>
      </w:r>
      <w:r w:rsidR="00092C2E">
        <w:t xml:space="preserve">currently approved </w:t>
      </w:r>
      <w:r w:rsidR="005D6106">
        <w:t xml:space="preserve">(or active)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E83C37">
        <w:t xml:space="preserve"> </w:t>
      </w:r>
      <w:r w:rsidR="00092C2E">
        <w:t xml:space="preserve">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092C2E">
        <w:t xml:space="preserve">. </w:t>
      </w:r>
      <w:r w:rsidR="00E83C37">
        <w:t xml:space="preserve"> </w:t>
      </w:r>
      <w:r w:rsidR="00092C2E">
        <w:t>CMS has already received approval for collection of information associated with the virtual group election process under OMB control number 0938-1343</w:t>
      </w:r>
      <w:r w:rsidR="00415939">
        <w:t xml:space="preserve"> (</w:t>
      </w:r>
      <w:r w:rsidRPr="00415939" w:rsidR="00415939">
        <w:t>CMS-10652</w:t>
      </w:r>
      <w:r w:rsidR="00415939">
        <w:t>)</w:t>
      </w:r>
      <w:r w:rsidR="00092C2E">
        <w:t>.</w:t>
      </w:r>
    </w:p>
    <w:p w:rsidRPr="00F36F52" w:rsidR="00965426" w:rsidP="00730BEF" w:rsidRDefault="009D65FD" w14:paraId="43B59C69" w14:textId="3E8BE901">
      <w:pPr>
        <w:pStyle w:val="Heading2"/>
      </w:pPr>
      <w:r w:rsidRPr="00F36F52">
        <w:t>Data Collection for MIPS</w:t>
      </w:r>
    </w:p>
    <w:p w:rsidRPr="00007333" w:rsidR="003429D4" w:rsidP="00730BEF" w:rsidRDefault="009D65FD" w14:paraId="60BFDEDB" w14:textId="5A97B31B">
      <w:pPr>
        <w:pStyle w:val="Heading3"/>
        <w:numPr>
          <w:ilvl w:val="2"/>
          <w:numId w:val="23"/>
        </w:numPr>
      </w:pPr>
      <w:r w:rsidRPr="00007333">
        <w:t>Quality Performance Category</w:t>
      </w:r>
    </w:p>
    <w:p w:rsidR="009D65FD" w:rsidP="00730BEF" w:rsidRDefault="00E52B3E" w14:paraId="5BAF6678" w14:textId="7FA97309">
      <w:r>
        <w:t>T</w:t>
      </w:r>
      <w:r w:rsidRPr="00D652C4" w:rsidR="00D9432D">
        <w:t>he</w:t>
      </w:r>
      <w:r w:rsidR="00D9432D">
        <w:t xml:space="preserve"> processes </w:t>
      </w:r>
      <w:r>
        <w:t xml:space="preserve">for </w:t>
      </w:r>
      <w:r w:rsidR="00FC794D">
        <w:t xml:space="preserve">reporting quality performance category data </w:t>
      </w:r>
      <w:r w:rsidR="005E3E65">
        <w:t>will be</w:t>
      </w:r>
      <w:r w:rsidR="00D9432D">
        <w:t xml:space="preserve"> generally the same </w:t>
      </w:r>
      <w:r w:rsidR="00FC794D">
        <w:t xml:space="preserve">for the </w:t>
      </w:r>
      <w:r w:rsidR="005E3E65">
        <w:t xml:space="preserve">2020 MIPS performance period </w:t>
      </w:r>
      <w:r w:rsidR="00D9432D">
        <w:t>as the</w:t>
      </w:r>
      <w:r w:rsidR="005E3E65">
        <w:t xml:space="preserve">y were in the </w:t>
      </w:r>
      <w:r w:rsidR="00915FEC">
        <w:t>201</w:t>
      </w:r>
      <w:r w:rsidR="005E3E65">
        <w:t>9</w:t>
      </w:r>
      <w:r w:rsidR="00915FEC">
        <w:t xml:space="preserve"> MIPS performance period</w:t>
      </w:r>
      <w:r w:rsidRPr="0007426C" w:rsidR="009D65FD">
        <w:t>.</w:t>
      </w:r>
      <w:r w:rsidR="009D65FD">
        <w:t xml:space="preserve"> </w:t>
      </w:r>
      <w:r w:rsidR="00A31F2F">
        <w:t xml:space="preserve"> </w:t>
      </w:r>
      <w:r w:rsidR="009D65FD">
        <w:t xml:space="preserve">Under MIPS, the quality performance category performance requirements are as follows: </w:t>
      </w:r>
      <w:r w:rsidRPr="00E649AA" w:rsidR="009D65FD">
        <w:rPr>
          <w:rFonts w:eastAsia="Calibri"/>
        </w:rPr>
        <w:t xml:space="preserve">the MIPS eligible clinician or group will report at least </w:t>
      </w:r>
      <w:r w:rsidR="009D65FD">
        <w:rPr>
          <w:rFonts w:eastAsia="Calibri"/>
        </w:rPr>
        <w:t>6</w:t>
      </w:r>
      <w:r w:rsidRPr="00E649AA" w:rsidR="009D65FD">
        <w:rPr>
          <w:rFonts w:eastAsia="Calibri"/>
        </w:rPr>
        <w:t xml:space="preserve"> measures including at least </w:t>
      </w:r>
      <w:r w:rsidR="009D65FD">
        <w:rPr>
          <w:rFonts w:eastAsia="Calibri"/>
        </w:rPr>
        <w:t>1</w:t>
      </w:r>
      <w:r w:rsidRPr="00E649AA" w:rsidR="009D65FD">
        <w:rPr>
          <w:rFonts w:eastAsia="Calibri"/>
        </w:rPr>
        <w:t xml:space="preserve"> outcome measure if available; if an applicable outcome measure is not available, then the MIPS eligible clinician or group will report </w:t>
      </w:r>
      <w:r w:rsidR="009D65FD">
        <w:rPr>
          <w:rFonts w:eastAsia="Calibri"/>
        </w:rPr>
        <w:t>a</w:t>
      </w:r>
      <w:r w:rsidRPr="00E649AA" w:rsidR="009D65FD">
        <w:rPr>
          <w:rFonts w:eastAsia="Calibri"/>
        </w:rPr>
        <w:t xml:space="preserve"> high priority measure (appropriate use, patient safety, efficiency, p</w:t>
      </w:r>
      <w:r w:rsidR="00D00DDB">
        <w:rPr>
          <w:rFonts w:eastAsia="Calibri"/>
        </w:rPr>
        <w:t>atient experience,</w:t>
      </w:r>
      <w:r w:rsidRPr="00E649AA" w:rsidR="009D65FD">
        <w:rPr>
          <w:rFonts w:eastAsia="Calibri"/>
        </w:rPr>
        <w:t xml:space="preserve"> care coordination</w:t>
      </w:r>
      <w:r w:rsidR="00D00DDB">
        <w:rPr>
          <w:rFonts w:eastAsia="Calibri"/>
        </w:rPr>
        <w:t>, or opioid-related</w:t>
      </w:r>
      <w:r w:rsidRPr="00E649AA" w:rsidR="009D65FD">
        <w:rPr>
          <w:rFonts w:eastAsia="Calibri"/>
        </w:rPr>
        <w:t xml:space="preserve"> measures) in lieu of an outcome measure.</w:t>
      </w:r>
      <w:r w:rsidR="009D65FD">
        <w:rPr>
          <w:rFonts w:eastAsia="Calibri"/>
        </w:rPr>
        <w:t xml:space="preserve"> </w:t>
      </w:r>
      <w:r w:rsidR="00E83C37">
        <w:rPr>
          <w:rFonts w:eastAsia="Calibri"/>
        </w:rPr>
        <w:t xml:space="preserve"> </w:t>
      </w:r>
      <w:r w:rsidRPr="007976E8" w:rsidR="009D65FD">
        <w:rPr>
          <w:rFonts w:eastAsia="Calibri"/>
        </w:rPr>
        <w:t xml:space="preserve">If fewer than </w:t>
      </w:r>
      <w:r w:rsidR="009D65FD">
        <w:rPr>
          <w:rFonts w:eastAsia="Calibri"/>
        </w:rPr>
        <w:t>6</w:t>
      </w:r>
      <w:r w:rsidRPr="007976E8" w:rsidR="009D65FD">
        <w:rPr>
          <w:rFonts w:eastAsia="Calibri"/>
        </w:rPr>
        <w:t xml:space="preserve"> measures apply to the individual MIPS eligible clinician</w:t>
      </w:r>
      <w:r w:rsidR="001964ED">
        <w:rPr>
          <w:rFonts w:eastAsia="Calibri"/>
        </w:rPr>
        <w:t xml:space="preserve"> or</w:t>
      </w:r>
      <w:r w:rsidDel="005111D9" w:rsidR="009D65FD">
        <w:rPr>
          <w:rFonts w:eastAsia="Calibri"/>
        </w:rPr>
        <w:t xml:space="preserve"> </w:t>
      </w:r>
      <w:r w:rsidRPr="007976E8" w:rsidR="009D65FD">
        <w:rPr>
          <w:rFonts w:eastAsia="Calibri"/>
        </w:rPr>
        <w:t>group, then the MIPS eligible clinician</w:t>
      </w:r>
      <w:r w:rsidR="001964ED">
        <w:rPr>
          <w:rFonts w:eastAsia="Calibri"/>
        </w:rPr>
        <w:t xml:space="preserve"> or</w:t>
      </w:r>
      <w:r w:rsidR="009D65FD">
        <w:rPr>
          <w:rFonts w:eastAsia="Calibri"/>
        </w:rPr>
        <w:t xml:space="preserve"> </w:t>
      </w:r>
      <w:r w:rsidRPr="007976E8" w:rsidR="009D65FD">
        <w:rPr>
          <w:rFonts w:eastAsia="Calibri"/>
        </w:rPr>
        <w:t>group will be required to report on each measure that is applicable.</w:t>
      </w:r>
      <w:r w:rsidR="009D65FD">
        <w:rPr>
          <w:rFonts w:eastAsia="Calibri"/>
        </w:rPr>
        <w:t xml:space="preserve"> </w:t>
      </w:r>
      <w:r w:rsidR="00E83C37">
        <w:rPr>
          <w:rFonts w:eastAsia="Calibri"/>
        </w:rPr>
        <w:t xml:space="preserve"> </w:t>
      </w:r>
      <w:r w:rsidR="002E3A1E">
        <w:t xml:space="preserve">As discussed in section </w:t>
      </w:r>
      <w:r w:rsidRPr="00485C90" w:rsidR="00246BBC">
        <w:t>III.K.3.c.(1)(c)(ii)</w:t>
      </w:r>
      <w:r w:rsidR="002E3A1E">
        <w:t xml:space="preserve"> of the </w:t>
      </w:r>
      <w:r w:rsidR="005C2F87">
        <w:t xml:space="preserve">CY 2020 PFS </w:t>
      </w:r>
      <w:r w:rsidR="00BE792C">
        <w:t>final</w:t>
      </w:r>
      <w:r w:rsidR="005C2F87">
        <w:t xml:space="preserve"> rule</w:t>
      </w:r>
      <w:r w:rsidR="002E3A1E">
        <w:t xml:space="preserve">, we are </w:t>
      </w:r>
      <w:r w:rsidR="0044145B">
        <w:rPr>
          <w:rFonts w:eastAsia="Calibri"/>
        </w:rPr>
        <w:t>adopt</w:t>
      </w:r>
      <w:r w:rsidR="006E0347">
        <w:rPr>
          <w:rFonts w:eastAsia="Calibri"/>
        </w:rPr>
        <w:t>ing</w:t>
      </w:r>
      <w:r w:rsidR="0044145B">
        <w:rPr>
          <w:rFonts w:eastAsia="Calibri"/>
        </w:rPr>
        <w:t xml:space="preserve"> a higher data completeness threshold </w:t>
      </w:r>
      <w:r w:rsidRPr="00256B11" w:rsidR="0044145B">
        <w:rPr>
          <w:rFonts w:eastAsia="Calibri"/>
        </w:rPr>
        <w:t xml:space="preserve">(the percentage of eligible patients the clinician must check to see whether the measure applies to) </w:t>
      </w:r>
      <w:r w:rsidR="0044145B">
        <w:rPr>
          <w:rFonts w:eastAsia="Calibri"/>
        </w:rPr>
        <w:t>for the 2020 MIPS performance period</w:t>
      </w:r>
      <w:r w:rsidR="000273E1">
        <w:t>.</w:t>
      </w:r>
    </w:p>
    <w:p w:rsidR="00640856" w:rsidP="00730BEF" w:rsidRDefault="00640856" w14:paraId="1D2462AC" w14:textId="5B39C9CC">
      <w:pPr>
        <w:pStyle w:val="NormalWeb"/>
      </w:pPr>
      <w:r>
        <w:t xml:space="preserve">As established in the CY 2018 Quality Payment Program final rule, we allow MIPS eligible clinicians to apply for a redistribution of the weights for the quality, cost, and improvement activities performance categories </w:t>
      </w:r>
      <w:r w:rsidR="00B527AC">
        <w:t xml:space="preserve">due to </w:t>
      </w:r>
      <w:r>
        <w:rPr>
          <w:rFonts w:eastAsia="Calibri"/>
        </w:rPr>
        <w:t xml:space="preserve">hardship exceptions such as a natural disaster </w:t>
      </w:r>
      <w:r>
        <w:t xml:space="preserve">(82 FR 53783 through 53785).  </w:t>
      </w:r>
      <w:r w:rsidRPr="00FD1808">
        <w:t>We rely on section 1848(</w:t>
      </w:r>
      <w:r w:rsidR="00FB17B9">
        <w:t>q</w:t>
      </w:r>
      <w:r w:rsidRPr="00FD1808">
        <w:t>)(</w:t>
      </w:r>
      <w:r w:rsidR="00FB17B9">
        <w:t>5</w:t>
      </w:r>
      <w:r w:rsidRPr="00FD1808">
        <w:t>)(</w:t>
      </w:r>
      <w:r w:rsidR="00FB17B9">
        <w:t>F</w:t>
      </w:r>
      <w:r w:rsidRPr="00FD1808">
        <w:t>) of the Act, as amended by section 4002(b)(1)(B) of the 21st Century Cure</w:t>
      </w:r>
      <w:r>
        <w:t xml:space="preserve">s Act, as our authority for these </w:t>
      </w:r>
      <w:r w:rsidRPr="00FD1808">
        <w:t>exemptions</w:t>
      </w:r>
      <w:r>
        <w:t>.</w:t>
      </w:r>
    </w:p>
    <w:p w:rsidRPr="00007333" w:rsidR="00D00DDB" w:rsidP="00730BEF" w:rsidRDefault="00D00DDB" w14:paraId="2C2880F7" w14:textId="5DB40E57">
      <w:pPr>
        <w:pStyle w:val="Heading3"/>
        <w:numPr>
          <w:ilvl w:val="2"/>
          <w:numId w:val="23"/>
        </w:numPr>
      </w:pPr>
      <w:r w:rsidRPr="00007333">
        <w:t>Promoting Interoperability Performance Category</w:t>
      </w:r>
    </w:p>
    <w:p w:rsidRPr="00C92E4B" w:rsidR="00D00DDB" w:rsidP="00730BEF" w:rsidRDefault="00CB70D9" w14:paraId="0E798D1B" w14:textId="3FC5F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70D9">
        <w:t xml:space="preserve">Section 1848(q)(2)(A) of the Act includes the meaningful use of CEHRT as a performance category under the MIPS. </w:t>
      </w:r>
      <w:r w:rsidRPr="00C92E4B" w:rsidR="00D00DDB">
        <w:t xml:space="preserve"> </w:t>
      </w:r>
    </w:p>
    <w:p w:rsidR="00EC4B03" w:rsidP="00730BEF" w:rsidRDefault="00942AAC" w14:paraId="696A722D" w14:textId="7F9EF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t>
      </w:r>
      <w:r w:rsidRPr="00C92E4B" w:rsidR="00336783">
        <w:t xml:space="preserve"> the 20</w:t>
      </w:r>
      <w:r>
        <w:t>20 MIPS</w:t>
      </w:r>
      <w:r w:rsidRPr="00C92E4B" w:rsidR="00336783">
        <w:t xml:space="preserve"> performance period, w</w:t>
      </w:r>
      <w:r w:rsidRPr="00C92E4B" w:rsidR="00EC4B03">
        <w:t xml:space="preserve">e </w:t>
      </w:r>
      <w:r w:rsidR="00BD2878">
        <w:t>finaliz</w:t>
      </w:r>
      <w:r w:rsidR="00630108">
        <w:t>ed</w:t>
      </w:r>
      <w:r w:rsidRPr="00C92E4B" w:rsidR="00BD2878">
        <w:t xml:space="preserve"> </w:t>
      </w:r>
      <w:r w:rsidRPr="00C92E4B" w:rsidR="00EC4B03">
        <w:t>a new scoring methodology</w:t>
      </w:r>
      <w:r w:rsidRPr="00C92E4B" w:rsidR="00336783">
        <w:t xml:space="preserve"> as shown in </w:t>
      </w:r>
      <w:r w:rsidRPr="00E04E2D" w:rsidR="00336783">
        <w:t xml:space="preserve">Table </w:t>
      </w:r>
      <w:r w:rsidRPr="00E04E2D" w:rsidR="000D57EF">
        <w:t>4</w:t>
      </w:r>
      <w:r w:rsidRPr="00E04E2D" w:rsidR="003F7563">
        <w:t>2</w:t>
      </w:r>
      <w:r w:rsidRPr="00C92E4B" w:rsidR="00DB7B73">
        <w:t xml:space="preserve"> of the </w:t>
      </w:r>
      <w:r w:rsidR="005C2F87">
        <w:t xml:space="preserve">CY 2020 PFS </w:t>
      </w:r>
      <w:r w:rsidR="00BD2878">
        <w:t xml:space="preserve">final </w:t>
      </w:r>
      <w:r w:rsidR="005C2F87">
        <w:t>rule</w:t>
      </w:r>
      <w:r w:rsidRPr="00C92E4B" w:rsidR="00EC4B03">
        <w:t>,</w:t>
      </w:r>
      <w:r w:rsidR="003A467A">
        <w:t xml:space="preserve"> which </w:t>
      </w:r>
      <w:r w:rsidR="00840642">
        <w:t xml:space="preserve">reflects our </w:t>
      </w:r>
      <w:r w:rsidR="00202168">
        <w:t xml:space="preserve">decisions </w:t>
      </w:r>
      <w:r w:rsidR="00840642">
        <w:t>to</w:t>
      </w:r>
      <w:r w:rsidR="00E83C37">
        <w:t>:</w:t>
      </w:r>
      <w:r w:rsidR="00840642">
        <w:t xml:space="preserve"> (1) make the Query of PDMP measure optional</w:t>
      </w:r>
      <w:r w:rsidR="00F52910">
        <w:t xml:space="preserve"> and </w:t>
      </w:r>
      <w:r w:rsidR="001C674C">
        <w:t>eligible for five bonus points in CY 2020</w:t>
      </w:r>
      <w:r w:rsidR="007B3607">
        <w:t>; (2) make the e-Prescribing measure w</w:t>
      </w:r>
      <w:r w:rsidR="004A054F">
        <w:t>o</w:t>
      </w:r>
      <w:r w:rsidR="007B3607">
        <w:t>rth up to 10 points in</w:t>
      </w:r>
      <w:r w:rsidR="00202168">
        <w:t xml:space="preserve"> CY 2020</w:t>
      </w:r>
      <w:r w:rsidR="004A054F">
        <w:t>; and (3) remove the Verify Opioid Treatment Agreement measure</w:t>
      </w:r>
      <w:r w:rsidR="001C674C">
        <w:t xml:space="preserve"> beginning in 2020</w:t>
      </w:r>
      <w:r w:rsidRPr="00EC4B03" w:rsidR="00EC4B03">
        <w:t xml:space="preserve">. </w:t>
      </w:r>
      <w:r w:rsidR="00D00DDB">
        <w:t xml:space="preserve"> </w:t>
      </w:r>
      <w:r w:rsidR="003F7563">
        <w:t>Under the finalized</w:t>
      </w:r>
      <w:r w:rsidRPr="00EC4B03" w:rsidR="00EC4B03">
        <w:t xml:space="preserve"> scoring methodology, MIPS eligible clinicia</w:t>
      </w:r>
      <w:r w:rsidR="003F7563">
        <w:t xml:space="preserve">ns </w:t>
      </w:r>
      <w:r w:rsidR="00202168">
        <w:t>are</w:t>
      </w:r>
      <w:r w:rsidRPr="00EC4B03" w:rsidR="00EC4B03">
        <w:t xml:space="preserve"> required to report certain measures from each of the four objectives, with performance-based scoring occurring at the individual me</w:t>
      </w:r>
      <w:r w:rsidR="003F7563">
        <w:t>asure-level.  Each measure will</w:t>
      </w:r>
      <w:r w:rsidRPr="00EC4B03" w:rsidR="00EC4B03">
        <w:t xml:space="preserve"> be scored based on the MIPS eligible clinician’s performance for that measure, based on the submission of a numerator and denominator, except for the measures associated with the Public Health and Clinical Data Exchange objective, which require “yes or no” submissions.  Each measure would contribute to the MIPS eligible clinician’s total Promoting Interoperability performance category score.  </w:t>
      </w:r>
    </w:p>
    <w:p w:rsidR="00D00DDB" w:rsidP="00730BEF" w:rsidRDefault="00D00DDB" w14:paraId="000D0752" w14:textId="76F9E2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t>
      </w:r>
      <w:r w:rsidR="00115849">
        <w:t>established in the CY 2017 and CY 2018 Quality Payment Program final rules</w:t>
      </w:r>
      <w:r w:rsidRPr="00E81B49">
        <w:t>,</w:t>
      </w:r>
      <w:r w:rsidRPr="00C25687">
        <w:t xml:space="preserve"> we allow MIPS eligible clinicians to apply for a</w:t>
      </w:r>
      <w:r>
        <w:t xml:space="preserve">n </w:t>
      </w:r>
      <w:r w:rsidRPr="007257DB">
        <w:t xml:space="preserve">exception </w:t>
      </w:r>
      <w:r>
        <w:t xml:space="preserve">due to a significant hardship or as a result of a decertified EHR </w:t>
      </w:r>
      <w:r w:rsidRPr="007257DB">
        <w:t xml:space="preserve">and subsequently have their </w:t>
      </w:r>
      <w:r w:rsidR="00115849">
        <w:t>Promoting Interoperability</w:t>
      </w:r>
      <w:r w:rsidRPr="007257DB">
        <w:t xml:space="preserve"> performance category reweighted to zero</w:t>
      </w:r>
      <w:r w:rsidR="00115849">
        <w:t xml:space="preserve"> (</w:t>
      </w:r>
      <w:r w:rsidRPr="00C47150" w:rsidR="00115849">
        <w:t>81 FR 77240 through 77243</w:t>
      </w:r>
      <w:r w:rsidR="00115849">
        <w:t>, 82 FR 53680 through 53682</w:t>
      </w:r>
      <w:r w:rsidRPr="00C47150" w:rsidR="00115849">
        <w:t>).</w:t>
      </w:r>
      <w:r>
        <w:t xml:space="preserve"> </w:t>
      </w:r>
      <w:r w:rsidR="003C5063">
        <w:t>I</w:t>
      </w:r>
      <w:r w:rsidR="00877C55">
        <w:t xml:space="preserve">n </w:t>
      </w:r>
      <w:r w:rsidRPr="0004003C" w:rsidR="000D137E">
        <w:rPr>
          <w:rFonts w:eastAsia="Calibri"/>
        </w:rPr>
        <w:t>section</w:t>
      </w:r>
      <w:r w:rsidR="000D137E">
        <w:rPr>
          <w:rFonts w:eastAsia="Calibri"/>
        </w:rPr>
        <w:t>s</w:t>
      </w:r>
      <w:r w:rsidRPr="0004003C" w:rsidR="000D137E">
        <w:rPr>
          <w:rFonts w:eastAsia="Calibri"/>
        </w:rPr>
        <w:t xml:space="preserve"> </w:t>
      </w:r>
      <w:r w:rsidR="000D137E">
        <w:rPr>
          <w:rFonts w:eastAsia="Calibri"/>
        </w:rPr>
        <w:t xml:space="preserve">III.K.3.c.(4)(f)(iii) and (iv) of the CY 2020 PFS </w:t>
      </w:r>
      <w:r w:rsidR="00CF74E5">
        <w:rPr>
          <w:rFonts w:eastAsia="Calibri"/>
        </w:rPr>
        <w:t xml:space="preserve">final </w:t>
      </w:r>
      <w:r w:rsidR="000D137E">
        <w:rPr>
          <w:rFonts w:eastAsia="Calibri"/>
        </w:rPr>
        <w:t>rule</w:t>
      </w:r>
      <w:r w:rsidR="00877C55">
        <w:t xml:space="preserve">, we are </w:t>
      </w:r>
      <w:r w:rsidR="003C5063">
        <w:t>finaliz</w:t>
      </w:r>
      <w:r w:rsidR="00877C55">
        <w:t xml:space="preserve">ing to </w:t>
      </w:r>
      <w:r w:rsidR="000D137E">
        <w:rPr>
          <w:rFonts w:eastAsia="Melior"/>
        </w:rPr>
        <w:t xml:space="preserve">require a group or virtual group to meet a threshold of more than 75 percent </w:t>
      </w:r>
      <w:r w:rsidRPr="00FD2428" w:rsidR="000D137E">
        <w:rPr>
          <w:rFonts w:eastAsia="Melior"/>
        </w:rPr>
        <w:t xml:space="preserve">of the NPIs billing under the group's TIN or virtual group's TINs, as applicable, </w:t>
      </w:r>
      <w:r w:rsidR="000D137E">
        <w:rPr>
          <w:rFonts w:eastAsia="Melior"/>
        </w:rPr>
        <w:t xml:space="preserve">to </w:t>
      </w:r>
      <w:r w:rsidRPr="00FD2428" w:rsidR="000D137E">
        <w:rPr>
          <w:rFonts w:eastAsia="Melior"/>
        </w:rPr>
        <w:t xml:space="preserve">meet the definition of a </w:t>
      </w:r>
      <w:r w:rsidR="000D137E">
        <w:rPr>
          <w:rFonts w:eastAsia="Melior"/>
        </w:rPr>
        <w:t xml:space="preserve">hospital-based or non-patient facing individual </w:t>
      </w:r>
      <w:r w:rsidRPr="00FD2428" w:rsidR="000D137E">
        <w:rPr>
          <w:rFonts w:eastAsia="Melior"/>
        </w:rPr>
        <w:t>MIPS eligible clinician</w:t>
      </w:r>
      <w:r w:rsidR="000D137E">
        <w:rPr>
          <w:rFonts w:eastAsia="Melior"/>
        </w:rPr>
        <w:t xml:space="preserve"> instead of a threshold of </w:t>
      </w:r>
      <w:r w:rsidRPr="00220D63" w:rsidR="000D137E">
        <w:rPr>
          <w:rFonts w:eastAsia="Melior"/>
        </w:rPr>
        <w:t>all of the MIPS eligible clinicians</w:t>
      </w:r>
      <w:r w:rsidR="000D137E">
        <w:rPr>
          <w:rFonts w:eastAsia="Melior"/>
        </w:rPr>
        <w:t xml:space="preserve"> in the group or virtual group.  </w:t>
      </w:r>
      <w:r w:rsidRPr="00CC2BFB" w:rsidR="009149C9">
        <w:rPr>
          <w:rFonts w:eastAsia="Calibri"/>
        </w:rPr>
        <w:t>We believe th</w:t>
      </w:r>
      <w:r w:rsidR="009149C9">
        <w:rPr>
          <w:rFonts w:eastAsia="Calibri"/>
        </w:rPr>
        <w:t>is</w:t>
      </w:r>
      <w:r w:rsidRPr="00CC2BFB" w:rsidR="009149C9">
        <w:rPr>
          <w:rFonts w:eastAsia="Calibri"/>
        </w:rPr>
        <w:t xml:space="preserve"> </w:t>
      </w:r>
      <w:r w:rsidRPr="00F90569" w:rsidR="009149C9">
        <w:rPr>
          <w:rFonts w:eastAsia="Calibri"/>
        </w:rPr>
        <w:t>poli</w:t>
      </w:r>
      <w:r w:rsidR="009149C9">
        <w:rPr>
          <w:rFonts w:eastAsia="Calibri"/>
        </w:rPr>
        <w:t>cy</w:t>
      </w:r>
      <w:r w:rsidRPr="00CC2BFB" w:rsidR="009149C9">
        <w:rPr>
          <w:rFonts w:eastAsia="Calibri"/>
        </w:rPr>
        <w:t xml:space="preserve"> could result in a decrease in the number of data submissions for the Promoting Interoperability performance category, but we do not currently have the data necessary to determine how many groups would elect to forego submission.  As additional information becomes available in future years, we will revisit the impact of this policy and </w:t>
      </w:r>
      <w:r w:rsidR="009149C9">
        <w:rPr>
          <w:rFonts w:eastAsia="Calibri"/>
        </w:rPr>
        <w:t xml:space="preserve">may </w:t>
      </w:r>
      <w:r w:rsidRPr="00CC2BFB" w:rsidR="009149C9">
        <w:rPr>
          <w:rFonts w:eastAsia="Calibri"/>
        </w:rPr>
        <w:t>adjust our burden estimates accordingly</w:t>
      </w:r>
      <w:r w:rsidRPr="00BA547B" w:rsidR="009149C9">
        <w:rPr>
          <w:rFonts w:eastAsia="Calibri"/>
        </w:rPr>
        <w:t>.</w:t>
      </w:r>
      <w:r w:rsidR="009149C9">
        <w:rPr>
          <w:rFonts w:eastAsia="Calibri"/>
        </w:rPr>
        <w:t xml:space="preserve">  </w:t>
      </w:r>
      <w:r w:rsidRPr="00FD1808">
        <w:t>We rely on section 1848(o)(2)(D) of the Act, as amended by section 4002(b)(1)(B) of the 21st Century Cure</w:t>
      </w:r>
      <w:r>
        <w:t xml:space="preserve">s Act, as our authority for these </w:t>
      </w:r>
      <w:r w:rsidRPr="00FD1808">
        <w:t>exemptions</w:t>
      </w:r>
      <w:r>
        <w:t>.</w:t>
      </w:r>
      <w:r w:rsidR="00C72B1F">
        <w:t xml:space="preserve">  </w:t>
      </w:r>
    </w:p>
    <w:p w:rsidRPr="00007333" w:rsidR="00115849" w:rsidP="00730BEF" w:rsidRDefault="00115849" w14:paraId="5D0D4F42" w14:textId="4131D1B1">
      <w:pPr>
        <w:pStyle w:val="Heading3"/>
        <w:numPr>
          <w:ilvl w:val="2"/>
          <w:numId w:val="23"/>
        </w:numPr>
      </w:pPr>
      <w:r w:rsidRPr="00007333">
        <w:t>Improvement Activities Performance Category</w:t>
      </w:r>
    </w:p>
    <w:p w:rsidR="00115849" w:rsidP="00730BEF" w:rsidRDefault="00115849" w14:paraId="63F17340" w14:textId="43307DE5">
      <w:r>
        <w:t xml:space="preserve">Under MIPS, clinical practice improvement activities are referred to as improvement activities. 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r w:rsidR="008D2858">
        <w:t xml:space="preserve">  In section </w:t>
      </w:r>
      <w:r w:rsidRPr="00E04E2D" w:rsidR="00414DE5">
        <w:t>III.K.3.c.(3)(d)(iii)</w:t>
      </w:r>
      <w:r w:rsidR="008D2858">
        <w:t xml:space="preserve"> of the </w:t>
      </w:r>
      <w:r w:rsidR="005C2F87">
        <w:t xml:space="preserve">CY 2020 PFS </w:t>
      </w:r>
      <w:r w:rsidR="00841590">
        <w:t xml:space="preserve">final </w:t>
      </w:r>
      <w:r w:rsidR="005C2F87">
        <w:t>rule</w:t>
      </w:r>
      <w:r w:rsidR="008D2858">
        <w:t xml:space="preserve">, </w:t>
      </w:r>
      <w:r w:rsidR="00915BAA">
        <w:t xml:space="preserve">we are </w:t>
      </w:r>
      <w:r w:rsidR="00640E79">
        <w:t>finaliz</w:t>
      </w:r>
      <w:r w:rsidR="00915BAA">
        <w:t xml:space="preserve">ing, </w:t>
      </w:r>
      <w:r w:rsidR="00915BAA">
        <w:rPr>
          <w:rFonts w:eastAsia="Calibri"/>
        </w:rPr>
        <w:t xml:space="preserve">beginning with the 2020 MIPS performance period, </w:t>
      </w:r>
      <w:r w:rsidR="00640E79">
        <w:rPr>
          <w:rFonts w:eastAsia="Calibri"/>
        </w:rPr>
        <w:t>each improvement activity for which</w:t>
      </w:r>
      <w:r w:rsidRPr="00CC2BFB" w:rsidR="00640E79">
        <w:rPr>
          <w:rFonts w:eastAsia="Calibri"/>
        </w:rPr>
        <w:t xml:space="preserve"> group</w:t>
      </w:r>
      <w:r w:rsidR="00640E79">
        <w:rPr>
          <w:rFonts w:eastAsia="Calibri"/>
        </w:rPr>
        <w:t>s</w:t>
      </w:r>
      <w:r w:rsidRPr="00CC2BFB" w:rsidR="00640E79">
        <w:rPr>
          <w:rFonts w:eastAsia="Calibri"/>
        </w:rPr>
        <w:t xml:space="preserve"> </w:t>
      </w:r>
      <w:r w:rsidR="00640E79">
        <w:rPr>
          <w:rFonts w:eastAsia="Calibri"/>
        </w:rPr>
        <w:t>and</w:t>
      </w:r>
      <w:r w:rsidRPr="00CC2BFB" w:rsidR="00640E79">
        <w:rPr>
          <w:rFonts w:eastAsia="Calibri"/>
        </w:rPr>
        <w:t xml:space="preserve"> virtual group</w:t>
      </w:r>
      <w:r w:rsidR="00640E79">
        <w:rPr>
          <w:rFonts w:eastAsia="Calibri"/>
        </w:rPr>
        <w:t>s submit a “yes” response must be performed by</w:t>
      </w:r>
      <w:r w:rsidRPr="00CC2BFB" w:rsidR="00640E79">
        <w:rPr>
          <w:rFonts w:eastAsia="Calibri"/>
        </w:rPr>
        <w:t xml:space="preserve"> at least 50 percent of the NPIs billing under the group’s TIN or virtual group’s TINs, as applicable; and the NPIs must perform the same activity </w:t>
      </w:r>
      <w:r w:rsidR="00640E79">
        <w:rPr>
          <w:rFonts w:eastAsia="Calibri"/>
        </w:rPr>
        <w:t>during a</w:t>
      </w:r>
      <w:r w:rsidRPr="00CC2BFB" w:rsidR="00640E79">
        <w:rPr>
          <w:rFonts w:eastAsia="Calibri"/>
        </w:rPr>
        <w:t xml:space="preserve"> 90</w:t>
      </w:r>
      <w:r w:rsidR="00640E79">
        <w:rPr>
          <w:rFonts w:eastAsia="Calibri"/>
        </w:rPr>
        <w:t>-</w:t>
      </w:r>
      <w:r w:rsidRPr="00CC2BFB" w:rsidR="00640E79">
        <w:rPr>
          <w:rFonts w:eastAsia="Calibri"/>
        </w:rPr>
        <w:t>day period</w:t>
      </w:r>
      <w:r w:rsidR="00640E79">
        <w:rPr>
          <w:rFonts w:eastAsia="Calibri"/>
        </w:rPr>
        <w:t xml:space="preserve"> within the same performance year</w:t>
      </w:r>
      <w:r w:rsidR="00915BAA">
        <w:rPr>
          <w:rFonts w:eastAsia="Calibri"/>
        </w:rPr>
        <w:t xml:space="preserve">.  </w:t>
      </w:r>
    </w:p>
    <w:p w:rsidRPr="00007333" w:rsidR="00115849" w:rsidP="00730BEF" w:rsidRDefault="00115849" w14:paraId="26D0D42A" w14:textId="3C24AB21">
      <w:pPr>
        <w:pStyle w:val="Heading3"/>
        <w:numPr>
          <w:ilvl w:val="2"/>
          <w:numId w:val="23"/>
        </w:numPr>
      </w:pPr>
      <w:r w:rsidRPr="00007333">
        <w:t>Cost Performance Category</w:t>
      </w:r>
    </w:p>
    <w:p w:rsidR="00115849" w:rsidP="00730BEF" w:rsidRDefault="00115849" w14:paraId="19DE02B0" w14:textId="12677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rsidRPr="00007333" w:rsidR="00115849" w:rsidP="00730BEF" w:rsidRDefault="00115849" w14:paraId="7E1D3CCF" w14:textId="65C5F4A4">
      <w:pPr>
        <w:pStyle w:val="Heading3"/>
        <w:numPr>
          <w:ilvl w:val="2"/>
          <w:numId w:val="23"/>
        </w:numPr>
      </w:pPr>
      <w:r w:rsidRPr="00007333">
        <w:t>Additional Data Collection</w:t>
      </w:r>
    </w:p>
    <w:p w:rsidR="00115849" w:rsidP="00730BEF" w:rsidRDefault="00115849" w14:paraId="60043A94" w14:textId="237E49DE">
      <w:pPr>
        <w:pStyle w:val="NormalWeb"/>
        <w:spacing w:before="0" w:beforeAutospacing="0" w:after="0" w:afterAutospacing="0"/>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w:t>
      </w:r>
      <w:r w:rsidR="00151E3B">
        <w:rPr>
          <w:bCs/>
        </w:rPr>
        <w:t>s</w:t>
      </w:r>
      <w:r>
        <w:rPr>
          <w:bCs/>
        </w:rPr>
        <w:t>, CMS Web Interface registration</w:t>
      </w:r>
      <w:r w:rsidR="00151E3B">
        <w:rPr>
          <w:bCs/>
        </w:rPr>
        <w:t>s</w:t>
      </w:r>
      <w:r>
        <w:rPr>
          <w:bCs/>
        </w:rPr>
        <w:t>, CAHPS for MIPS registration</w:t>
      </w:r>
      <w:r w:rsidR="00151E3B">
        <w:rPr>
          <w:bCs/>
        </w:rPr>
        <w:t>s,</w:t>
      </w:r>
      <w:r>
        <w:rPr>
          <w:bCs/>
        </w:rPr>
        <w:t xml:space="preserve"> and reweighting application</w:t>
      </w:r>
      <w:r w:rsidR="00151E3B">
        <w:rPr>
          <w:bCs/>
        </w:rPr>
        <w:t>s</w:t>
      </w:r>
      <w:r>
        <w:rPr>
          <w:bCs/>
        </w:rPr>
        <w:t xml:space="preserve">. </w:t>
      </w:r>
    </w:p>
    <w:p w:rsidR="00C76275" w:rsidP="00730BEF" w:rsidRDefault="00C76275" w14:paraId="14057475" w14:textId="77777777">
      <w:pPr>
        <w:pStyle w:val="NormalWeb"/>
        <w:spacing w:before="0" w:beforeAutospacing="0" w:after="0" w:afterAutospacing="0"/>
        <w:rPr>
          <w:bCs/>
        </w:rPr>
      </w:pPr>
    </w:p>
    <w:p w:rsidR="00115849" w:rsidP="00730BEF" w:rsidRDefault="00C65260" w14:paraId="1D482C1D" w14:textId="3DA5BB63">
      <w:pPr>
        <w:tabs>
          <w:tab w:val="left" w:pos="720"/>
        </w:tabs>
      </w:pPr>
      <w:r w:rsidRPr="004E01D7">
        <w:t>The policies finalized in the CY 2017</w:t>
      </w:r>
      <w:r w:rsidR="00AB7DAC">
        <w:t xml:space="preserve"> and</w:t>
      </w:r>
      <w:r w:rsidR="00E31943">
        <w:t xml:space="preserve"> </w:t>
      </w:r>
      <w:r w:rsidRPr="004E01D7">
        <w:t>CY 2018</w:t>
      </w:r>
      <w:r w:rsidR="00E73D1B">
        <w:t xml:space="preserve"> </w:t>
      </w:r>
      <w:r w:rsidRPr="004E01D7">
        <w:t xml:space="preserve">Quality Payment Program final rules </w:t>
      </w:r>
      <w:r w:rsidR="00AB7DAC">
        <w:t xml:space="preserve">and the CY 2019 </w:t>
      </w:r>
      <w:r w:rsidR="00473B40">
        <w:t xml:space="preserve">and CY 2020 </w:t>
      </w:r>
      <w:r w:rsidR="00AB7DAC">
        <w:t>PFS final rule</w:t>
      </w:r>
      <w:r w:rsidR="00473B40">
        <w:t>s</w:t>
      </w:r>
      <w:r w:rsidR="00AB7DAC">
        <w:t xml:space="preserve"> </w:t>
      </w:r>
      <w:r w:rsidRPr="004E01D7">
        <w:t xml:space="preserve">create some additional data collection requirements not listed in Table </w:t>
      </w:r>
      <w:r>
        <w:t xml:space="preserve">2.  </w:t>
      </w:r>
      <w:r w:rsidRPr="00561F87" w:rsidR="00115849">
        <w:rPr>
          <w:rFonts w:eastAsia="Calibri"/>
        </w:rPr>
        <w:t>These additional data collections</w:t>
      </w:r>
      <w:r w:rsidR="00115849">
        <w:rPr>
          <w:rFonts w:eastAsia="Calibri"/>
        </w:rPr>
        <w:t xml:space="preserve"> which were </w:t>
      </w:r>
      <w:r w:rsidRPr="005619CE" w:rsidR="00115849">
        <w:rPr>
          <w:rFonts w:eastAsia="Calibri"/>
        </w:rPr>
        <w:t xml:space="preserve">previously approved </w:t>
      </w:r>
      <w:r w:rsidRPr="00085955" w:rsidR="00115849">
        <w:t>by OMB under control number 0938-1314</w:t>
      </w:r>
      <w:r w:rsidR="00115849">
        <w:t xml:space="preserve">, </w:t>
      </w:r>
      <w:r w:rsidRPr="00085955" w:rsidR="00115849">
        <w:t xml:space="preserve">are as follows: </w:t>
      </w:r>
    </w:p>
    <w:p w:rsidR="00115849" w:rsidP="00730BEF" w:rsidRDefault="00115849" w14:paraId="74D12109" w14:textId="77777777">
      <w:pPr>
        <w:pStyle w:val="NormalWeb"/>
        <w:spacing w:before="0" w:beforeAutospacing="0" w:after="0" w:afterAutospacing="0"/>
        <w:ind w:firstLine="720"/>
        <w:rPr>
          <w:bCs/>
        </w:rPr>
      </w:pPr>
    </w:p>
    <w:p w:rsidR="00C65260" w:rsidP="00730BEF" w:rsidRDefault="00115849" w14:paraId="7C260233" w14:textId="77777777">
      <w:pPr>
        <w:pStyle w:val="ListParagraph"/>
        <w:numPr>
          <w:ilvl w:val="0"/>
          <w:numId w:val="4"/>
        </w:numPr>
        <w:spacing w:after="200"/>
      </w:pPr>
      <w:r w:rsidRPr="00DB082D">
        <w:t xml:space="preserve">Self-nomination of new and returning QCDRs </w:t>
      </w:r>
    </w:p>
    <w:p w:rsidR="00115849" w:rsidP="00730BEF" w:rsidRDefault="00C65260" w14:paraId="15ED4192" w14:textId="346E9EA4">
      <w:pPr>
        <w:pStyle w:val="ListParagraph"/>
        <w:numPr>
          <w:ilvl w:val="0"/>
          <w:numId w:val="4"/>
        </w:numPr>
        <w:spacing w:after="200"/>
      </w:pPr>
      <w:r>
        <w:t>Self-nomination of new and returning qualified</w:t>
      </w:r>
      <w:r w:rsidRPr="00DB082D" w:rsidR="00115849">
        <w:t xml:space="preserve"> registries </w:t>
      </w:r>
    </w:p>
    <w:p w:rsidR="00C65260" w:rsidP="00730BEF" w:rsidRDefault="001B7D13" w14:paraId="12C8C09D" w14:textId="66219B06">
      <w:pPr>
        <w:pStyle w:val="ListParagraph"/>
        <w:numPr>
          <w:ilvl w:val="0"/>
          <w:numId w:val="4"/>
        </w:numPr>
        <w:spacing w:after="200"/>
      </w:pPr>
      <w:r>
        <w:t xml:space="preserve">QPP </w:t>
      </w:r>
      <w:r w:rsidR="006B7949">
        <w:t>Identity Management Application Process</w:t>
      </w:r>
    </w:p>
    <w:p w:rsidRPr="00DB082D" w:rsidR="00115849" w:rsidP="00730BEF" w:rsidRDefault="00640856" w14:paraId="49F935B6" w14:textId="0A7063A8">
      <w:pPr>
        <w:pStyle w:val="ListParagraph"/>
        <w:numPr>
          <w:ilvl w:val="0"/>
          <w:numId w:val="4"/>
        </w:numPr>
        <w:spacing w:after="200"/>
      </w:pPr>
      <w:r>
        <w:t xml:space="preserve">Reweighting </w:t>
      </w:r>
      <w:r w:rsidR="00115849">
        <w:t>Application</w:t>
      </w:r>
      <w:r>
        <w:t>s</w:t>
      </w:r>
      <w:r w:rsidR="00115849">
        <w:t xml:space="preserve"> for </w:t>
      </w:r>
      <w:r w:rsidR="00C65260">
        <w:t xml:space="preserve">Promoting Interoperability </w:t>
      </w:r>
      <w:r>
        <w:t>and Other Performance Categories</w:t>
      </w:r>
    </w:p>
    <w:p w:rsidR="00115849" w:rsidP="00730BEF" w:rsidRDefault="00115849" w14:paraId="788E5F61" w14:textId="77777777">
      <w:pPr>
        <w:pStyle w:val="ListParagraph"/>
        <w:numPr>
          <w:ilvl w:val="0"/>
          <w:numId w:val="4"/>
        </w:numPr>
        <w:spacing w:after="200"/>
      </w:pPr>
      <w:r>
        <w:t>Call for quality measures</w:t>
      </w:r>
    </w:p>
    <w:p w:rsidR="00115849" w:rsidP="00730BEF" w:rsidRDefault="00861B04" w14:paraId="08EE0B65" w14:textId="267E4224">
      <w:pPr>
        <w:pStyle w:val="ListParagraph"/>
        <w:numPr>
          <w:ilvl w:val="0"/>
          <w:numId w:val="4"/>
        </w:numPr>
        <w:spacing w:after="200"/>
      </w:pPr>
      <w:r>
        <w:t>Nomination of</w:t>
      </w:r>
      <w:r w:rsidRPr="00DB082D" w:rsidR="00115849">
        <w:t xml:space="preserve"> new improvement activities</w:t>
      </w:r>
    </w:p>
    <w:p w:rsidR="00115849" w:rsidP="00730BEF" w:rsidRDefault="00115849" w14:paraId="2F37DE9C" w14:textId="276B5393">
      <w:pPr>
        <w:pStyle w:val="ListParagraph"/>
        <w:numPr>
          <w:ilvl w:val="0"/>
          <w:numId w:val="4"/>
        </w:numPr>
        <w:spacing w:after="200"/>
      </w:pPr>
      <w:r>
        <w:t xml:space="preserve">Call for </w:t>
      </w:r>
      <w:r w:rsidR="00B32CB8">
        <w:t>Promoting Interoperability measures</w:t>
      </w:r>
    </w:p>
    <w:p w:rsidRPr="00DB082D" w:rsidR="00115849" w:rsidP="00730BEF" w:rsidRDefault="00115849" w14:paraId="0D63D400" w14:textId="621B015F">
      <w:pPr>
        <w:pStyle w:val="ListParagraph"/>
        <w:numPr>
          <w:ilvl w:val="0"/>
          <w:numId w:val="4"/>
        </w:numPr>
        <w:spacing w:after="200"/>
      </w:pPr>
      <w:r w:rsidRPr="00DB082D">
        <w:t>Opt out of performance data display on Physician Compare for</w:t>
      </w:r>
      <w:r w:rsidR="00B32CB8">
        <w:t xml:space="preserve"> voluntary reporters under MIPS</w:t>
      </w:r>
    </w:p>
    <w:p w:rsidRPr="00B96BCF" w:rsidR="00ED1687" w:rsidP="00730BEF" w:rsidRDefault="00185824" w14:paraId="3959CD65" w14:textId="0F072502">
      <w:pPr>
        <w:pStyle w:val="Heading2"/>
      </w:pPr>
      <w:r w:rsidRPr="00185824">
        <w:t>Data Collection related to Advanced APMs</w:t>
      </w:r>
    </w:p>
    <w:p w:rsidR="00185824" w:rsidP="00730BEF" w:rsidRDefault="00185824" w14:paraId="323C2C9A" w14:textId="5FE8760A">
      <w:r>
        <w:rPr>
          <w:color w:val="000000"/>
        </w:rPr>
        <w:t xml:space="preserve">This information request includes four information collections related to Advanced APMs. </w:t>
      </w:r>
      <w:r w:rsidR="00775E2E">
        <w:rPr>
          <w:color w:val="000000"/>
        </w:rPr>
        <w:t xml:space="preserve">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rsidRPr="00DB082D" w:rsidR="00185824" w:rsidP="00730BEF" w:rsidRDefault="00185824" w14:paraId="4987EA75" w14:textId="77777777">
      <w:pPr>
        <w:pStyle w:val="ListParagraph"/>
        <w:numPr>
          <w:ilvl w:val="0"/>
          <w:numId w:val="4"/>
        </w:numPr>
        <w:spacing w:after="200"/>
      </w:pPr>
      <w:r>
        <w:t>Partial Qualifying APM Participant (Partial QP) election</w:t>
      </w:r>
      <w:r w:rsidRPr="00DB082D">
        <w:t xml:space="preserve"> </w:t>
      </w:r>
    </w:p>
    <w:p w:rsidR="00185824" w:rsidP="00730BEF" w:rsidRDefault="00185824" w14:paraId="7E3A7486" w14:textId="77777777">
      <w:pPr>
        <w:pStyle w:val="ListParagraph"/>
        <w:numPr>
          <w:ilvl w:val="0"/>
          <w:numId w:val="4"/>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185824" w:rsidP="00730BEF" w:rsidRDefault="00185824" w14:paraId="239539B5" w14:textId="444FF72A">
      <w:pPr>
        <w:pStyle w:val="ListParagraph"/>
        <w:numPr>
          <w:ilvl w:val="0"/>
          <w:numId w:val="4"/>
        </w:numPr>
        <w:spacing w:after="200"/>
      </w:pPr>
      <w:r>
        <w:t xml:space="preserve">Other Payer Advanced APM determinations: </w:t>
      </w:r>
      <w:r w:rsidR="00915FEC">
        <w:t>Eligible</w:t>
      </w:r>
      <w:r w:rsidR="00861B04">
        <w:t xml:space="preserve"> </w:t>
      </w:r>
      <w:r>
        <w:t xml:space="preserve">Clinician Initiated Process </w:t>
      </w:r>
    </w:p>
    <w:p w:rsidRPr="00DB082D" w:rsidR="00185824" w:rsidP="00730BEF" w:rsidRDefault="00185824" w14:paraId="5E6ADD61" w14:textId="79740873">
      <w:pPr>
        <w:pStyle w:val="ListParagraph"/>
        <w:numPr>
          <w:ilvl w:val="0"/>
          <w:numId w:val="4"/>
        </w:numPr>
        <w:spacing w:after="200"/>
      </w:pPr>
      <w:r w:rsidRPr="004E01D7">
        <w:t>Submission of Data for All-Payer QP Determinations</w:t>
      </w:r>
    </w:p>
    <w:p w:rsidRPr="00185824" w:rsidR="00185824" w:rsidP="00730BEF" w:rsidRDefault="00185824" w14:paraId="08A75CDD" w14:textId="01B11373">
      <w:pPr>
        <w:rPr>
          <w:color w:val="000000"/>
        </w:rPr>
      </w:pPr>
      <w:r w:rsidRPr="004B6D15">
        <w:rPr>
          <w:color w:val="000000"/>
        </w:rPr>
        <w:t xml:space="preserve">APM Entities </w:t>
      </w:r>
      <w:r w:rsidR="00296620">
        <w:rPr>
          <w:color w:val="000000"/>
        </w:rPr>
        <w:t>may</w:t>
      </w:r>
      <w:r w:rsidRPr="004B6D15">
        <w:rPr>
          <w:color w:val="000000"/>
        </w:rPr>
        <w:t xml:space="preserve">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 xml:space="preserve">Partial QPs will have the option to elect whether to report under MIPS, which determines whether they will be subject to MIPS scoring and payment adjustments. </w:t>
      </w:r>
      <w:r w:rsidR="00775E2E">
        <w:rPr>
          <w:rFonts w:eastAsia="Calibri"/>
        </w:rPr>
        <w:t xml:space="preserve"> </w:t>
      </w:r>
      <w:r w:rsidR="00915484">
        <w:rPr>
          <w:rFonts w:eastAsia="Calibri"/>
        </w:rPr>
        <w:t>For</w:t>
      </w:r>
      <w:r w:rsidRPr="00155C20">
        <w:rPr>
          <w:color w:val="000000"/>
        </w:rPr>
        <w:t xml:space="preserve"> the 20</w:t>
      </w:r>
      <w:r w:rsidR="00915484">
        <w:rPr>
          <w:color w:val="000000"/>
        </w:rPr>
        <w:t>20</w:t>
      </w:r>
      <w:r w:rsidRPr="00155C20">
        <w:rPr>
          <w:color w:val="000000"/>
        </w:rPr>
        <w:t xml:space="preserve"> M</w:t>
      </w:r>
      <w:r w:rsidR="006B7949">
        <w:rPr>
          <w:color w:val="000000"/>
        </w:rPr>
        <w:t>edicare QP</w:t>
      </w:r>
      <w:r w:rsidRPr="00155C20">
        <w:rPr>
          <w:color w:val="000000"/>
        </w:rPr>
        <w:t xml:space="preserve"> performance period,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w:t>
      </w:r>
      <w:r w:rsidR="009C69C0">
        <w:rPr>
          <w:color w:val="000000"/>
        </w:rPr>
        <w:t xml:space="preserve">collectively </w:t>
      </w:r>
      <w:r w:rsidRPr="00155C20">
        <w:rPr>
          <w:color w:val="000000"/>
        </w:rPr>
        <w:t xml:space="preserve">have at least </w:t>
      </w:r>
      <w:r w:rsidR="006B7949">
        <w:rPr>
          <w:color w:val="000000"/>
        </w:rPr>
        <w:t>40</w:t>
      </w:r>
      <w:r w:rsidRPr="00155C20">
        <w:rPr>
          <w:color w:val="000000"/>
        </w:rPr>
        <w:t xml:space="preserve"> percent, but less than </w:t>
      </w:r>
      <w:r w:rsidR="006B7949">
        <w:rPr>
          <w:color w:val="000000"/>
        </w:rPr>
        <w:t>50</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APM Entity</w:t>
      </w:r>
      <w:r w:rsidR="009C69C0">
        <w:rPr>
          <w:color w:val="000000"/>
        </w:rPr>
        <w:t>,</w:t>
      </w:r>
      <w:r w:rsidRPr="00155C20">
        <w:rPr>
          <w:color w:val="000000"/>
        </w:rPr>
        <w:t xml:space="preserve"> </w:t>
      </w:r>
      <w:r w:rsidR="006B7949">
        <w:rPr>
          <w:color w:val="000000"/>
        </w:rPr>
        <w:t xml:space="preserve">or </w:t>
      </w:r>
      <w:r w:rsidR="009C69C0">
        <w:rPr>
          <w:color w:val="000000"/>
        </w:rPr>
        <w:t xml:space="preserve">collectively </w:t>
      </w:r>
      <w:r w:rsidR="006B7949">
        <w:rPr>
          <w:color w:val="000000"/>
        </w:rPr>
        <w:t>furnish Part B covered professional services to</w:t>
      </w:r>
      <w:r w:rsidRPr="00155C20">
        <w:rPr>
          <w:color w:val="000000"/>
        </w:rPr>
        <w:t xml:space="preserve"> at least </w:t>
      </w:r>
      <w:r w:rsidR="006B7949">
        <w:rPr>
          <w:color w:val="000000"/>
        </w:rPr>
        <w:t>2</w:t>
      </w:r>
      <w:r w:rsidR="00F4627F">
        <w:rPr>
          <w:color w:val="000000"/>
        </w:rPr>
        <w:t>5</w:t>
      </w:r>
      <w:r w:rsidRPr="00155C20">
        <w:rPr>
          <w:color w:val="000000"/>
        </w:rPr>
        <w:t xml:space="preserve"> percent, but less than </w:t>
      </w:r>
      <w:r w:rsidR="006B7949">
        <w:rPr>
          <w:color w:val="000000"/>
        </w:rPr>
        <w:t>35</w:t>
      </w:r>
      <w:r w:rsidRPr="00155C20">
        <w:rPr>
          <w:color w:val="000000"/>
        </w:rPr>
        <w:t xml:space="preserve"> percent, of their Medicare </w:t>
      </w:r>
      <w:r w:rsidR="006B7949">
        <w:rPr>
          <w:color w:val="000000"/>
        </w:rPr>
        <w:t>beneficiaries</w:t>
      </w:r>
      <w:r w:rsidRPr="00155C20">
        <w:rPr>
          <w:color w:val="000000"/>
        </w:rPr>
        <w:t xml:space="preserve"> through an APM Entity. </w:t>
      </w:r>
      <w:r w:rsidR="00775E2E">
        <w:rPr>
          <w:color w:val="000000"/>
        </w:rPr>
        <w:t xml:space="preserve"> </w:t>
      </w:r>
      <w:r w:rsidRPr="00155C20">
        <w:t xml:space="preserve">If an Advanced APM Entity is notified that they </w:t>
      </w:r>
      <w:r w:rsidR="00A146C9">
        <w:t>attain</w:t>
      </w:r>
      <w:r w:rsidRPr="00155C20">
        <w:t xml:space="preserve"> Partial QP </w:t>
      </w:r>
      <w:r w:rsidR="00A146C9">
        <w:t>status</w:t>
      </w:r>
      <w:r w:rsidRPr="00155C20">
        <w:t>, a representative from the APM Entity will log into the MIPS portal to indicate whether all eligible clinicians participating in the APM Entity meeting the Partial QP threshold wish to participate in MIPS.</w:t>
      </w:r>
      <w:r>
        <w:t xml:space="preserve"> </w:t>
      </w:r>
      <w:r w:rsidRPr="00372186" w:rsidR="00725D71">
        <w:rPr>
          <w:rFonts w:eastAsia="Calibri"/>
          <w:snapToGrid w:val="0"/>
        </w:rPr>
        <w:t>If the Partial QP elects to be scored under MIPS, they would be subject to all MIPS requirements</w:t>
      </w:r>
      <w:r w:rsidR="00A146C9">
        <w:rPr>
          <w:rFonts w:eastAsia="Calibri"/>
          <w:snapToGrid w:val="0"/>
        </w:rPr>
        <w:t xml:space="preserve"> and would receive a MIPS payment adjustment</w:t>
      </w:r>
      <w:r w:rsidRPr="00372186" w:rsidR="00725D71">
        <w:rPr>
          <w:rFonts w:eastAsia="Calibri"/>
          <w:snapToGrid w:val="0"/>
        </w:rPr>
        <w:t xml:space="preserve">.  If an eligible clinician does not </w:t>
      </w:r>
      <w:r w:rsidR="00A146C9">
        <w:rPr>
          <w:rFonts w:eastAsia="Calibri"/>
          <w:snapToGrid w:val="0"/>
        </w:rPr>
        <w:t>attain</w:t>
      </w:r>
      <w:r w:rsidRPr="00372186" w:rsidR="00725D71">
        <w:rPr>
          <w:rFonts w:eastAsia="Calibri"/>
          <w:snapToGrid w:val="0"/>
        </w:rPr>
        <w:t xml:space="preserve"> either QP or Partial QP </w:t>
      </w:r>
      <w:r w:rsidR="00A146C9">
        <w:rPr>
          <w:rFonts w:eastAsia="Calibri"/>
          <w:snapToGrid w:val="0"/>
        </w:rPr>
        <w:t>status</w:t>
      </w:r>
      <w:r w:rsidRPr="00372186" w:rsidR="00725D71">
        <w:rPr>
          <w:rFonts w:eastAsia="Calibri"/>
          <w:snapToGrid w:val="0"/>
        </w:rPr>
        <w:t>, and does not meet any another exemption category, the eligible clinician would be subject to MIPS</w:t>
      </w:r>
      <w:r w:rsidR="00A146C9">
        <w:rPr>
          <w:rFonts w:eastAsia="Calibri"/>
          <w:snapToGrid w:val="0"/>
        </w:rPr>
        <w:t>,</w:t>
      </w:r>
      <w:r w:rsidRPr="00372186" w:rsidR="00725D71">
        <w:rPr>
          <w:rFonts w:eastAsia="Calibri"/>
          <w:snapToGrid w:val="0"/>
        </w:rPr>
        <w:t xml:space="preserve"> would report to MIPS</w:t>
      </w:r>
      <w:r w:rsidR="00A146C9">
        <w:rPr>
          <w:rFonts w:eastAsia="Calibri"/>
          <w:snapToGrid w:val="0"/>
        </w:rPr>
        <w:t>, and would receive the corresponding MIPS payment adjustment</w:t>
      </w:r>
      <w:r w:rsidR="005C5584">
        <w:rPr>
          <w:rFonts w:eastAsia="Calibri"/>
          <w:snapToGrid w:val="0"/>
        </w:rPr>
        <w:t>.</w:t>
      </w:r>
    </w:p>
    <w:p w:rsidR="00185824" w:rsidP="00730BEF" w:rsidRDefault="00972800" w14:paraId="43CC8EAC" w14:textId="433CC79D">
      <w:r>
        <w:t xml:space="preserve">As detailed in CMS 5522-FC, </w:t>
      </w:r>
      <w:r w:rsidR="00185824">
        <w:t>t</w:t>
      </w:r>
      <w:r w:rsidR="009149C9">
        <w:t>T</w:t>
      </w:r>
      <w:r w:rsidR="00185824">
        <w:t xml:space="preserve">he All-Payer Combination Option </w:t>
      </w:r>
      <w:r>
        <w:t>is</w:t>
      </w:r>
      <w:r w:rsidR="00185824">
        <w:t xml:space="preserve"> an available pathway to QP </w:t>
      </w:r>
      <w:r w:rsidR="000F6D3B">
        <w:t xml:space="preserve">or Partial QP </w:t>
      </w:r>
      <w:r w:rsidR="00185824">
        <w:t>status for eligible clinicians participating sufficiently in Advanced APMs and Other Payer Advanced APMs.  Th</w:t>
      </w:r>
      <w:r w:rsidR="009149C9">
        <w:t xml:space="preserve">is </w:t>
      </w:r>
      <w:r w:rsidR="00185824">
        <w:t>Option allows for eligible clinicians to achieve QP status through their participation in both Advanced APMs and Other Payer Advanced APMs.  To provide eligible clinicians with advanced notice prior to the start of a given performance period, and to allow other payers to be involved prospectively</w:t>
      </w:r>
      <w:r w:rsidR="00852674">
        <w:t xml:space="preserve"> in the process,</w:t>
      </w:r>
      <w:r w:rsidR="00185824">
        <w:t xml:space="preserve"> </w:t>
      </w:r>
      <w:r w:rsidR="0019795C">
        <w:t xml:space="preserve">we provided </w:t>
      </w:r>
      <w:r w:rsidR="000167FE">
        <w:t xml:space="preserve">in </w:t>
      </w:r>
      <w:r w:rsidR="00185824">
        <w:t xml:space="preserve">the CY </w:t>
      </w:r>
      <w:r w:rsidR="0063487A">
        <w:t>2018 Quality Payment Program</w:t>
      </w:r>
      <w:r w:rsidR="00185824">
        <w:t xml:space="preserve"> final rule</w:t>
      </w:r>
      <w:r w:rsidR="004905BE">
        <w:t xml:space="preserve"> </w:t>
      </w:r>
      <w:r w:rsidR="0063487A">
        <w:t>a payer-initiated</w:t>
      </w:r>
      <w:r w:rsidR="00185824">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rsidR="00185824">
        <w:t>Other Paye</w:t>
      </w:r>
      <w:r w:rsidR="0063487A">
        <w:t xml:space="preserve">r Advanced APM determinations </w:t>
      </w:r>
      <w:r w:rsidR="00185824">
        <w:t>began in CY 2018 for Medicaid, Medicare Health Plans, and payers participating</w:t>
      </w:r>
      <w:r w:rsidR="0063487A">
        <w:t xml:space="preserve"> in CMS </w:t>
      </w:r>
      <w:r w:rsidR="003C380B">
        <w:t>M</w:t>
      </w:r>
      <w:r w:rsidR="0063487A">
        <w:t>ulti-</w:t>
      </w:r>
      <w:r w:rsidR="003C380B">
        <w:t>P</w:t>
      </w:r>
      <w:r w:rsidR="0063487A">
        <w:t xml:space="preserve">ayer </w:t>
      </w:r>
      <w:r w:rsidR="003C380B">
        <w:t>M</w:t>
      </w:r>
      <w:r w:rsidR="0063487A">
        <w:t xml:space="preserve">odels. </w:t>
      </w:r>
      <w:r w:rsidR="00DB7B73">
        <w:t xml:space="preserve"> </w:t>
      </w:r>
      <w:r w:rsidR="004905BE">
        <w:t>Also</w:t>
      </w:r>
      <w:r w:rsidR="008946C8">
        <w:t xml:space="preserve"> in </w:t>
      </w:r>
      <w:r w:rsidR="0057238E">
        <w:t>the CY 2018 Quality Payment Program final rule we established that</w:t>
      </w:r>
      <w:r w:rsidRPr="0063487A" w:rsidR="0063487A">
        <w:t xml:space="preserve"> remaining other payers, including commercial and other private payers, may </w:t>
      </w:r>
      <w:r w:rsidR="003C380B">
        <w:t xml:space="preserve">also </w:t>
      </w:r>
      <w:r w:rsidRPr="0063487A" w:rsidR="0063487A">
        <w:t>request that we determine whether other payer arrangements are Other Payer Advanced APMs</w:t>
      </w:r>
      <w:r w:rsidR="002F0971">
        <w:t xml:space="preserve"> (82 FR 53867)</w:t>
      </w:r>
      <w:r w:rsidR="003C380B">
        <w:t>.</w:t>
      </w:r>
      <w:r w:rsidR="002F0971">
        <w:rPr>
          <w:rFonts w:eastAsia="Calibri"/>
        </w:rPr>
        <w:t>I</w:t>
      </w:r>
      <w:r w:rsidR="00364EEC">
        <w:rPr>
          <w:rFonts w:eastAsia="Calibri"/>
        </w:rPr>
        <w:t>n the CY 2019 PFS final rule, we finalized</w:t>
      </w:r>
      <w:r w:rsidR="0057238E">
        <w:rPr>
          <w:rFonts w:eastAsia="Calibri"/>
        </w:rPr>
        <w:t xml:space="preserve"> to eliminate the Payer Initiated Process that is specifically for CMS Multi-Payer Models.  </w:t>
      </w:r>
    </w:p>
    <w:p w:rsidR="008521EA" w:rsidP="00730BEF" w:rsidRDefault="002F0971" w14:paraId="32D4D570" w14:textId="0AEFA37D">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finalized in the CY 2018 Quality Payment Program, </w:t>
      </w:r>
      <w:r w:rsidRPr="0063487A" w:rsidR="0063487A">
        <w:t xml:space="preserve">APM Entities and eligible clinicians participating in other payer arrangements have an opportunity to request that we determine for the year whether those other payer arrangements are Other Payer Advanced APMs (82 FR 53857 - 53858).  </w:t>
      </w:r>
      <w:r>
        <w:t xml:space="preserve">As finalized in the CY 2018 Quality Payment Program final rule, </w:t>
      </w:r>
      <w:r w:rsidRPr="0063487A" w:rsidR="0063487A">
        <w:t xml:space="preserve">APM Entities and eligible clinicians may request determinations for any Medicaid payment arrangements in which they are participating at an earlier point, prior to the start of a given QP performance period (82 FR 53858).  </w:t>
      </w:r>
      <w:r w:rsidR="003C380B">
        <w:t xml:space="preserve"> via the</w:t>
      </w:r>
      <w:r w:rsidRPr="0063487A" w:rsidR="0063487A">
        <w:t xml:space="preserve"> eligible clinician-initiated determination process for Other Payer Advanced APMs</w:t>
      </w:r>
      <w:r w:rsidR="008E547D">
        <w:t>.</w:t>
      </w:r>
    </w:p>
    <w:p w:rsidR="003C380B" w:rsidP="00730BEF" w:rsidRDefault="002F0971" w14:paraId="2EADF0A9" w14:textId="3D91F9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finalized in the </w:t>
      </w:r>
      <w:r w:rsidR="0063487A">
        <w:t>CY 2017 Qual</w:t>
      </w:r>
      <w:r w:rsidR="004905BE">
        <w:t xml:space="preserve">ity Payment Program final rule </w:t>
      </w:r>
      <w:r>
        <w:t xml:space="preserve">that </w:t>
      </w:r>
      <w:r w:rsidR="0063487A">
        <w:t>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w:t>
      </w:r>
      <w:r w:rsidR="00775E2E">
        <w:t>;</w:t>
      </w:r>
      <w:r w:rsidR="0063487A">
        <w:t xml:space="preserve"> and (3) the total number of patients furnished any service through the arrangement (81 FR 77480).  </w:t>
      </w:r>
      <w:r w:rsidR="003C380B">
        <w:t>I</w:t>
      </w:r>
      <w:r w:rsidR="0063487A">
        <w:t xml:space="preserve">f we do not receive sufficient information to complete our evaluation of another payer arrangement and to make QP determinations for an eligible clinician using the All-Payer Combination Option, we </w:t>
      </w:r>
      <w:r w:rsidR="003C380B">
        <w:t>can</w:t>
      </w:r>
      <w:r w:rsidR="0063487A">
        <w:t>not assess the eligible clinicians under the All-Payer Combination Option</w:t>
      </w:r>
      <w:r w:rsidR="003C380B">
        <w:t>.</w:t>
      </w:r>
      <w:r w:rsidR="0063487A">
        <w:t xml:space="preserve"> </w:t>
      </w:r>
      <w:r w:rsidR="003C380B">
        <w:t xml:space="preserve"> </w:t>
      </w:r>
    </w:p>
    <w:p w:rsidR="0063487A" w:rsidRDefault="002F0971" w14:paraId="25FE3812" w14:textId="7BD50F8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As explained i</w:t>
      </w:r>
      <w:r w:rsidR="0063487A">
        <w:t>n the CY 201</w:t>
      </w:r>
      <w:r w:rsidR="004905BE">
        <w:t>8 Quality Payment Program final</w:t>
      </w:r>
      <w:r w:rsidR="0063487A">
        <w:t xml:space="preserve"> rule, in order for us to make QP determinations under the All-Payer Combination Option using either the payment amount or patient count method, we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t>
      </w:r>
      <w:r w:rsidR="006F7E82">
        <w:t xml:space="preserve">  </w:t>
      </w:r>
      <w:r>
        <w:t xml:space="preserve">In the same rule, we finalized that </w:t>
      </w:r>
      <w:r w:rsidR="0063487A">
        <w:t xml:space="preserve">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by </w:t>
      </w:r>
      <w:r w:rsidR="006F7E82">
        <w:t xml:space="preserve">the </w:t>
      </w:r>
      <w:r w:rsidR="0063487A">
        <w:t xml:space="preserve">QP Determination Submission Deadline (82 FR 53886).  </w:t>
      </w:r>
    </w:p>
    <w:p w:rsidR="007B757D" w:rsidP="00730BEF" w:rsidRDefault="00140F8F" w14:paraId="60DCFB1C" w14:textId="19C7BAE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In the</w:t>
      </w:r>
      <w:r w:rsidR="00390730">
        <w:t xml:space="preserve"> CY 2019 </w:t>
      </w:r>
      <w:r w:rsidR="00EF5CC3">
        <w:t xml:space="preserve">PFS final </w:t>
      </w:r>
      <w:r>
        <w:t>rule, w</w:t>
      </w:r>
      <w:r w:rsidR="0063487A">
        <w:t xml:space="preserve">e </w:t>
      </w:r>
      <w:r w:rsidR="0057238E">
        <w:t>finalized</w:t>
      </w:r>
      <w:r w:rsidR="0063487A">
        <w:t xml:space="preserve"> to add a third alternative to allow QP determinations at the TIN level in instances where all clinicians who have reassigned billing rights to the TIN participate in a single APM Entity</w:t>
      </w:r>
      <w:r w:rsidR="00423207">
        <w:t xml:space="preserve"> (83 FR 59936)</w:t>
      </w:r>
      <w:r w:rsidR="0063487A">
        <w:t xml:space="preserve">.  This option </w:t>
      </w:r>
      <w:r w:rsidR="006F7E82">
        <w:t>is</w:t>
      </w:r>
      <w:r w:rsidR="0063487A">
        <w:t xml:space="preserve"> available to all TINs participating in Full TIN APMs, such as the Medicare Shared Savings Program.  To make QP determinations under the All-Payer Combination Option at the TIN level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rsidR="00D26EEF" w:rsidP="00FC7A11" w:rsidRDefault="00D26EEF" w14:paraId="44BAFCF7" w14:textId="184819FF">
      <w:pPr>
        <w:pStyle w:val="Heading1"/>
        <w:keepNext w:val="0"/>
        <w:numPr>
          <w:ilvl w:val="0"/>
          <w:numId w:val="8"/>
        </w:numPr>
      </w:pPr>
      <w:r>
        <w:t>Justification</w:t>
      </w:r>
    </w:p>
    <w:p w:rsidRPr="00EF1AA0" w:rsidR="00D26EEF" w:rsidP="00FC7A11" w:rsidRDefault="00D26EEF" w14:paraId="6834EB5E" w14:textId="14211C39">
      <w:pPr>
        <w:pStyle w:val="Heading2"/>
        <w:keepNext w:val="0"/>
        <w:keepLines w:val="0"/>
        <w:numPr>
          <w:ilvl w:val="0"/>
          <w:numId w:val="31"/>
        </w:numPr>
      </w:pPr>
      <w:r w:rsidRPr="00EF1AA0">
        <w:t>Need and Legal Basis</w:t>
      </w:r>
    </w:p>
    <w:p w:rsidRPr="00155C20" w:rsidR="00155C20" w:rsidP="00730BEF" w:rsidRDefault="00155C20" w14:paraId="0180353A" w14:textId="5638F06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155C20">
        <w:rPr>
          <w:szCs w:val="20"/>
        </w:rPr>
        <w:t>Authority for collection of this information is provided under sections 1848(q), 1848(k), 1848(m), 1848(o), 1848(p), and 1833(z) of the Act</w:t>
      </w:r>
      <w:r>
        <w:rPr>
          <w:szCs w:val="20"/>
        </w:rPr>
        <w:t xml:space="preserve">. </w:t>
      </w:r>
    </w:p>
    <w:p w:rsidR="007B757D" w:rsidP="00730BEF" w:rsidRDefault="00155C20" w14:paraId="1D8F0260" w14:textId="552F11D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155C20">
        <w:rPr>
          <w:szCs w:val="20"/>
        </w:rPr>
        <w:t>Section 1848(q) of the Act requires the establishment of the MIPS beginning with payments for items and services furnished on or after January 1, 20</w:t>
      </w:r>
      <w:r w:rsidR="00BD77DD">
        <w:rPr>
          <w:szCs w:val="20"/>
        </w:rPr>
        <w:t>20</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p>
    <w:p w:rsidRPr="0007426C" w:rsidR="00D26EEF" w:rsidP="00730BEF" w:rsidRDefault="00D26EEF" w14:paraId="5A1B5CCE" w14:textId="09EF086B">
      <w:pPr>
        <w:pStyle w:val="Heading2"/>
        <w:keepNext w:val="0"/>
        <w:keepLines w:val="0"/>
      </w:pPr>
      <w:r w:rsidRPr="0007426C">
        <w:t>Information Users</w:t>
      </w:r>
    </w:p>
    <w:p w:rsidR="00155C20" w:rsidP="00730BEF" w:rsidRDefault="00155C20" w14:paraId="1E057782" w14:textId="4C841E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155C20">
        <w:rPr>
          <w:szCs w:val="20"/>
        </w:rPr>
        <w:t xml:space="preserve">CMS will use this data 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This information may also be used for administrative purposes such as determining third party </w:t>
      </w:r>
      <w:r w:rsidR="0070637E">
        <w:rPr>
          <w:szCs w:val="20"/>
        </w:rPr>
        <w:t>intermediaries</w:t>
      </w:r>
      <w:r w:rsidRPr="00155C20" w:rsidR="0070637E">
        <w:rPr>
          <w:szCs w:val="20"/>
        </w:rPr>
        <w:t xml:space="preserve"> </w:t>
      </w:r>
      <w:r w:rsidRPr="00155C20">
        <w:rPr>
          <w:szCs w:val="20"/>
        </w:rPr>
        <w:t>and measures appropriate for the MIPS program or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7E28FB" w:rsidP="00730BEF" w:rsidRDefault="00155C20" w14:paraId="285943E8" w14:textId="550812FC">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C824D4">
        <w:rPr>
          <w:szCs w:val="20"/>
        </w:rPr>
        <w:t xml:space="preserve">We also use this information to provide performance feedback to MIPS eligible clinicians and eligible entities. </w:t>
      </w:r>
      <w:r w:rsidR="00775E2E">
        <w:rPr>
          <w:szCs w:val="20"/>
        </w:rPr>
        <w:t xml:space="preserve"> </w:t>
      </w:r>
      <w:r w:rsidRPr="00C824D4" w:rsidR="009B19DB">
        <w:rPr>
          <w:szCs w:val="20"/>
        </w:rPr>
        <w:t xml:space="preserve">We expect to </w:t>
      </w:r>
      <w:r w:rsidRPr="00C824D4" w:rsidR="008B4F65">
        <w:rPr>
          <w:szCs w:val="20"/>
        </w:rPr>
        <w:t>publicly report</w:t>
      </w:r>
      <w:r w:rsidRPr="00C824D4" w:rsidR="002908D2">
        <w:rPr>
          <w:szCs w:val="20"/>
        </w:rPr>
        <w:t xml:space="preserve"> </w:t>
      </w:r>
      <w:r w:rsidRPr="00C824D4" w:rsidR="000638C0">
        <w:rPr>
          <w:szCs w:val="20"/>
        </w:rPr>
        <w:t xml:space="preserve">2018 MIPS performance period data </w:t>
      </w:r>
      <w:r w:rsidRPr="00C824D4" w:rsidR="00DE0AB6">
        <w:rPr>
          <w:szCs w:val="20"/>
        </w:rPr>
        <w:t xml:space="preserve">and final scores </w:t>
      </w:r>
      <w:r w:rsidRPr="00C824D4" w:rsidR="000638C0">
        <w:rPr>
          <w:szCs w:val="20"/>
        </w:rPr>
        <w:t xml:space="preserve">on Physician Compare </w:t>
      </w:r>
      <w:r w:rsidRPr="00C824D4" w:rsidR="00AB4734">
        <w:rPr>
          <w:szCs w:val="20"/>
        </w:rPr>
        <w:t>in late C</w:t>
      </w:r>
      <w:r w:rsidRPr="00C824D4" w:rsidR="00DE0AB6">
        <w:rPr>
          <w:szCs w:val="20"/>
        </w:rPr>
        <w:t>Y</w:t>
      </w:r>
      <w:r w:rsidRPr="00C824D4" w:rsidR="00AB4734">
        <w:rPr>
          <w:szCs w:val="20"/>
        </w:rPr>
        <w:t xml:space="preserve"> 2019.</w:t>
      </w:r>
      <w:r w:rsidRPr="00C824D4">
        <w:rPr>
          <w:szCs w:val="20"/>
        </w:rPr>
        <w:t xml:space="preserve">  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r w:rsidR="00D96BB3">
        <w:rPr>
          <w:szCs w:val="20"/>
        </w:rPr>
        <w:t xml:space="preserve">The </w:t>
      </w:r>
      <w:r w:rsidR="00F55CC5">
        <w:rPr>
          <w:szCs w:val="20"/>
        </w:rPr>
        <w:t xml:space="preserve">initial </w:t>
      </w:r>
      <w:r w:rsidR="007E28FB">
        <w:rPr>
          <w:szCs w:val="20"/>
        </w:rPr>
        <w:t>Quality Payment Program Experience Report was published on qpp.cms.gov on March 20, 2019.</w:t>
      </w:r>
      <w:r w:rsidR="00F55CC5">
        <w:rPr>
          <w:szCs w:val="20"/>
        </w:rPr>
        <w:t xml:space="preserve"> </w:t>
      </w:r>
    </w:p>
    <w:p w:rsidRPr="00155C20" w:rsidR="0002497D" w:rsidP="00730BEF" w:rsidRDefault="00155C20" w14:paraId="7A39A250" w14:textId="56B58B2E">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155C20">
        <w:rPr>
          <w:szCs w:val="20"/>
        </w:rPr>
        <w:t>Relevant data will be provided to federal and state agencies, Quality Improvement Networks,  , the Small, Underserved, and Rural Support (SURS) technical assistance contractors, and parties assisting consumers, for use in administering or conducting federally-funded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p>
    <w:p w:rsidR="000A1BC2" w:rsidP="00730BEF" w:rsidRDefault="000A1BC2" w14:paraId="6E2A06C0" w14:textId="78CE8B26">
      <w:pPr>
        <w:pStyle w:val="Heading2"/>
      </w:pPr>
      <w:r>
        <w:t>Use of Information Technology</w:t>
      </w:r>
    </w:p>
    <w:p w:rsidRPr="00155C20" w:rsidR="00932A5A" w:rsidP="00730BEF" w:rsidRDefault="00155C20" w14:paraId="3B4E4A21" w14:textId="25A7F1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000A1BC2" w:rsidP="00730BEF" w:rsidRDefault="000A1BC2" w14:paraId="4A5F4C47" w14:textId="631F3EF4">
      <w:pPr>
        <w:pStyle w:val="Heading2"/>
      </w:pPr>
      <w:r>
        <w:t>Duplication of Efforts</w:t>
      </w:r>
    </w:p>
    <w:p w:rsidR="00155C20" w:rsidP="00730BEF" w:rsidRDefault="00155C20" w14:paraId="70479869" w14:textId="76F99CDC">
      <w:pPr>
        <w:keepNext/>
        <w:keepLines/>
        <w:rPr>
          <w:szCs w:val="20"/>
        </w:rPr>
      </w:pPr>
      <w:r>
        <w:t>T</w:t>
      </w:r>
      <w:r w:rsidRPr="0007426C">
        <w:t xml:space="preserve">he information to be collected is not duplicative of similar information collected by the </w:t>
      </w:r>
      <w:r>
        <w:t>CMS</w:t>
      </w:r>
      <w:r w:rsidRPr="0007426C">
        <w:t>.</w:t>
      </w:r>
      <w:r w:rsidRPr="001103ED">
        <w:rPr>
          <w:szCs w:val="20"/>
        </w:rPr>
        <w:t xml:space="preserve"> </w:t>
      </w:r>
      <w:r>
        <w:rPr>
          <w:szCs w:val="20"/>
        </w:rPr>
        <w:t xml:space="preserve">The final data collection and associated burden for the </w:t>
      </w:r>
      <w:r w:rsidR="0057238E">
        <w:rPr>
          <w:szCs w:val="20"/>
        </w:rPr>
        <w:t>CY 201</w:t>
      </w:r>
      <w:r w:rsidR="004F741B">
        <w:rPr>
          <w:szCs w:val="20"/>
        </w:rPr>
        <w:t>9</w:t>
      </w:r>
      <w:r>
        <w:rPr>
          <w:szCs w:val="20"/>
        </w:rPr>
        <w:t xml:space="preserve"> Quality Payment Program will occur in 20</w:t>
      </w:r>
      <w:r w:rsidR="004F741B">
        <w:rPr>
          <w:szCs w:val="20"/>
        </w:rPr>
        <w:t>20</w:t>
      </w:r>
      <w:r>
        <w:rPr>
          <w:szCs w:val="20"/>
        </w:rPr>
        <w:t xml:space="preserve"> with respect to the 201</w:t>
      </w:r>
      <w:r w:rsidR="004F741B">
        <w:rPr>
          <w:szCs w:val="20"/>
        </w:rPr>
        <w:t>9</w:t>
      </w:r>
      <w:r>
        <w:rPr>
          <w:szCs w:val="20"/>
        </w:rPr>
        <w:t xml:space="preserve"> </w:t>
      </w:r>
      <w:r w:rsidR="005F4066">
        <w:rPr>
          <w:szCs w:val="20"/>
        </w:rPr>
        <w:t xml:space="preserve">MIPS </w:t>
      </w:r>
      <w:r>
        <w:rPr>
          <w:szCs w:val="20"/>
        </w:rPr>
        <w:t xml:space="preserve">performance period. </w:t>
      </w:r>
      <w:r w:rsidR="00775E2E">
        <w:rPr>
          <w:szCs w:val="20"/>
        </w:rPr>
        <w:t xml:space="preserve"> </w:t>
      </w:r>
      <w:r>
        <w:rPr>
          <w:szCs w:val="20"/>
        </w:rPr>
        <w:t xml:space="preserve">The data submission requirements for </w:t>
      </w:r>
      <w:r w:rsidR="005F4066">
        <w:rPr>
          <w:szCs w:val="20"/>
        </w:rPr>
        <w:t>the CY 20</w:t>
      </w:r>
      <w:r w:rsidR="004F741B">
        <w:rPr>
          <w:szCs w:val="20"/>
        </w:rPr>
        <w:t>20</w:t>
      </w:r>
      <w:r>
        <w:rPr>
          <w:szCs w:val="20"/>
        </w:rPr>
        <w:t xml:space="preserve"> Quality Payment Program will begin in </w:t>
      </w:r>
      <w:r w:rsidR="005F4066">
        <w:rPr>
          <w:szCs w:val="20"/>
        </w:rPr>
        <w:t>the 20</w:t>
      </w:r>
      <w:r w:rsidR="004F741B">
        <w:rPr>
          <w:szCs w:val="20"/>
        </w:rPr>
        <w:t>20</w:t>
      </w:r>
      <w:r w:rsidR="005F4066">
        <w:rPr>
          <w:szCs w:val="20"/>
        </w:rPr>
        <w:t xml:space="preserve"> MIPS </w:t>
      </w:r>
      <w:r>
        <w:rPr>
          <w:szCs w:val="20"/>
        </w:rPr>
        <w:t>performance period, which will affect data submission burden that wi</w:t>
      </w:r>
      <w:r w:rsidR="005F4066">
        <w:rPr>
          <w:szCs w:val="20"/>
        </w:rPr>
        <w:t>ll occur in 202</w:t>
      </w:r>
      <w:r w:rsidR="004F741B">
        <w:rPr>
          <w:szCs w:val="20"/>
        </w:rPr>
        <w:t>1</w:t>
      </w:r>
      <w:r>
        <w:rPr>
          <w:szCs w:val="20"/>
        </w:rPr>
        <w:t>.</w:t>
      </w:r>
    </w:p>
    <w:p w:rsidRPr="0059049C" w:rsidR="00155C20" w:rsidP="00730BEF" w:rsidRDefault="00155C20" w14:paraId="05AEF03B" w14:textId="1C971176">
      <w:pPr>
        <w:rPr>
          <w:szCs w:val="20"/>
        </w:rPr>
      </w:pPr>
      <w:r w:rsidRPr="0059049C">
        <w:rPr>
          <w:szCs w:val="20"/>
        </w:rPr>
        <w:t>With respect to participating in MIPS for MIPS APM</w:t>
      </w:r>
      <w:r>
        <w:rPr>
          <w:szCs w:val="20"/>
        </w:rPr>
        <w:t>s</w:t>
      </w:r>
      <w:r w:rsidRPr="0059049C">
        <w:rPr>
          <w:szCs w:val="20"/>
        </w:rPr>
        <w:t xml:space="preserve">, CMS has set forth requirements that limit duplication of effort. Quality measures submitted by MIPS APM Entities to fulfill the requirements of their MIPS APMs will also </w:t>
      </w:r>
      <w:r>
        <w:rPr>
          <w:szCs w:val="20"/>
        </w:rPr>
        <w:t xml:space="preserve">be </w:t>
      </w:r>
      <w:r w:rsidRPr="0059049C">
        <w:rPr>
          <w:szCs w:val="20"/>
        </w:rPr>
        <w:t>used to fulfill their data submission requirements under MIPS.</w:t>
      </w:r>
      <w:r>
        <w:rPr>
          <w:szCs w:val="20"/>
        </w:rPr>
        <w:t xml:space="preserve"> In addition, as discussed in later sections, many APM Entities will not need to submit improvement activities </w:t>
      </w:r>
      <w:r w:rsidRPr="00B27B2B">
        <w:rPr>
          <w:szCs w:val="20"/>
        </w:rPr>
        <w:t xml:space="preserve">because </w:t>
      </w:r>
      <w:r>
        <w:rPr>
          <w:szCs w:val="20"/>
        </w:rPr>
        <w:t xml:space="preserve">participants receive improvement activity credit based on the requirements of the model. </w:t>
      </w:r>
      <w:r w:rsidR="00775E2E">
        <w:rPr>
          <w:szCs w:val="20"/>
        </w:rPr>
        <w:t xml:space="preserve"> </w:t>
      </w:r>
      <w:r>
        <w:rPr>
          <w:szCs w:val="20"/>
        </w:rPr>
        <w:t xml:space="preserve">For </w:t>
      </w:r>
      <w:r w:rsidR="005F4066">
        <w:rPr>
          <w:szCs w:val="20"/>
        </w:rPr>
        <w:t>CY 20</w:t>
      </w:r>
      <w:r w:rsidR="00667773">
        <w:rPr>
          <w:szCs w:val="20"/>
        </w:rPr>
        <w:t>20</w:t>
      </w:r>
      <w:r>
        <w:rPr>
          <w:szCs w:val="20"/>
        </w:rPr>
        <w:t xml:space="preserve"> MIPS performance period, </w:t>
      </w:r>
      <w:r w:rsidR="000C77D6">
        <w:rPr>
          <w:szCs w:val="20"/>
        </w:rPr>
        <w:t xml:space="preserve">we </w:t>
      </w:r>
      <w:r w:rsidRPr="009C4D33" w:rsidR="00592D6D">
        <w:rPr>
          <w:rFonts w:eastAsia="Calibri"/>
        </w:rPr>
        <w:t>assume that MIPS APM models will qualify for the maximum improvement activities performance category score and the APM Entities will not need to submit any additional improvement activities.</w:t>
      </w:r>
    </w:p>
    <w:p w:rsidR="000A1BC2" w:rsidP="00811F9E" w:rsidRDefault="000A1BC2" w14:paraId="3A53EC91" w14:textId="01C320BC">
      <w:pPr>
        <w:pStyle w:val="Heading2"/>
      </w:pPr>
      <w:r>
        <w:t>Small Businesses</w:t>
      </w:r>
    </w:p>
    <w:p w:rsidRPr="00530F7F" w:rsidR="005F4066" w:rsidP="00730BEF" w:rsidRDefault="005F4066" w14:paraId="519CD1A7" w14:textId="1DA1A8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providers (well </w:t>
      </w:r>
      <w:r w:rsidRPr="006739FD">
        <w:rPr>
          <w:szCs w:val="20"/>
        </w:rPr>
        <w:t>over 90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20</w:t>
      </w:r>
      <w:r w:rsidRPr="00530F7F">
        <w:rPr>
          <w:color w:val="000000"/>
        </w:rPr>
        <w:t xml:space="preserve"> </w:t>
      </w:r>
      <w:r w:rsidRPr="00530F7F" w:rsidR="00D8477B">
        <w:rPr>
          <w:color w:val="000000"/>
        </w:rPr>
        <w:t xml:space="preserve">PFS </w:t>
      </w:r>
      <w:r w:rsidR="001775B3">
        <w:rPr>
          <w:color w:val="000000"/>
        </w:rPr>
        <w:t>final</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Pr="00530F7F" w:rsidR="00455678">
        <w:t>8</w:t>
      </w:r>
      <w:r w:rsidR="000C3DD5">
        <w:t>79,966</w:t>
      </w:r>
      <w:r w:rsidRPr="00530F7F">
        <w:t xml:space="preserve"> 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000C3DD5">
        <w:rPr>
          <w:rFonts w:eastAsia="Calibri"/>
        </w:rPr>
        <w:t>81,982</w:t>
      </w:r>
      <w:r w:rsidRPr="00530F7F">
        <w:t xml:space="preserve"> clinicians in eligible specialties will be excluded from MIPS data submission requirements</w:t>
      </w:r>
      <w:r w:rsidRPr="00530F7F" w:rsidR="004B588A">
        <w:t xml:space="preserve"> because they have no charges under the </w:t>
      </w:r>
      <w:r w:rsidRPr="00530F7F" w:rsidR="009A1A8C">
        <w:t xml:space="preserve">PFS </w:t>
      </w:r>
      <w:r w:rsidRPr="00530F7F" w:rsidR="004B588A">
        <w:t>and thus</w:t>
      </w:r>
      <w:r w:rsidRPr="00530F7F" w:rsidR="00480DD5">
        <w:t xml:space="preserve"> </w:t>
      </w:r>
      <w:r w:rsidRPr="00530F7F" w:rsidR="004B588A">
        <w:t>do not meet opt-in volume criteria</w:t>
      </w:r>
      <w:r w:rsidRPr="00530F7F">
        <w:t xml:space="preserve">. </w:t>
      </w:r>
      <w:r w:rsidRPr="00530F7F" w:rsidR="004B588A">
        <w:t xml:space="preserve"> </w:t>
      </w:r>
      <w:r w:rsidRPr="00530F7F">
        <w:t>Further, we exclude</w:t>
      </w:r>
      <w:r w:rsidRPr="00530F7F" w:rsidR="00667814">
        <w:t xml:space="preserve"> an additional 2</w:t>
      </w:r>
      <w:r w:rsidR="000C3DD5">
        <w:t>65,982</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 meet the low-volume threshold, who are not in MIPS eligible specialties,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7759B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 xml:space="preserve">section </w:t>
      </w:r>
      <w:r w:rsidR="002C344D">
        <w:t xml:space="preserve">(section </w:t>
      </w:r>
      <w:r w:rsidR="00374FDB">
        <w:t xml:space="preserve">VI) </w:t>
      </w:r>
      <w:r w:rsidRPr="00530F7F" w:rsidR="003022E0">
        <w:t>of the CY 20</w:t>
      </w:r>
      <w:r w:rsidR="00374FDB">
        <w:t>20</w:t>
      </w:r>
      <w:r w:rsidRPr="00530F7F" w:rsidR="003022E0">
        <w:t xml:space="preserve"> </w:t>
      </w:r>
      <w:r w:rsidRPr="00530F7F" w:rsidR="009A1A8C">
        <w:t xml:space="preserve">PFS </w:t>
      </w:r>
      <w:r w:rsidR="0071289D">
        <w:t>final</w:t>
      </w:r>
      <w:r w:rsidRPr="00530F7F" w:rsidR="003022E0">
        <w:t xml:space="preserve"> rule</w:t>
      </w:r>
      <w:r w:rsidRPr="00530F7F">
        <w:t>, w</w:t>
      </w:r>
      <w:r w:rsidRPr="00530F7F" w:rsidR="00667814">
        <w:t xml:space="preserve">e explain that we assume </w:t>
      </w:r>
      <w:r w:rsidRPr="00530F7F" w:rsidR="00031C96">
        <w:t>8</w:t>
      </w:r>
      <w:r w:rsidR="000C3DD5">
        <w:t>79,966</w:t>
      </w:r>
      <w:r w:rsidRPr="00530F7F">
        <w:t xml:space="preserve"> MIPS eligible clinicians will submit quality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994EE0">
        <w:t>20,644</w:t>
      </w:r>
      <w:r w:rsidRPr="00530F7F">
        <w:t xml:space="preserve"> clinicians or </w:t>
      </w:r>
      <w:r w:rsidRPr="00530F7F" w:rsidR="00405E2C">
        <w:t>33 percent of clinicians who exceed</w:t>
      </w:r>
      <w:r w:rsidRPr="00530F7F" w:rsidR="00611F6F">
        <w:t xml:space="preserve"> at least one but not all low-volume threshold</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in the CY 2017 MIPS performance period</w:t>
      </w:r>
      <w:r w:rsidRPr="00530F7F" w:rsidR="00020C8A">
        <w:t xml:space="preserve"> will </w:t>
      </w:r>
      <w:r w:rsidRPr="00530F7F" w:rsidR="00842CA3">
        <w:t>elect</w:t>
      </w:r>
      <w:r w:rsidRPr="00530F7F" w:rsidR="00020C8A">
        <w:t xml:space="preserve"> to opt-in </w:t>
      </w:r>
      <w:r w:rsidRPr="00530F7F" w:rsidR="00842CA3">
        <w:t>to M</w:t>
      </w:r>
      <w:r w:rsidRPr="00530F7F" w:rsidR="00405E2C">
        <w:t>IPS</w:t>
      </w:r>
      <w:r w:rsidRPr="00530F7F">
        <w:t xml:space="preserve">. </w:t>
      </w:r>
      <w:r w:rsidRPr="00530F7F" w:rsidR="00775E2E">
        <w:t xml:space="preserve"> </w:t>
      </w:r>
      <w:r w:rsidRPr="00530F7F" w:rsidR="00AD503B">
        <w:t>We selected a random sample of 33 percent of clinicians without accounting for performance.  We believe this assumption of 33 percent is reasonable because some clinicians may choose not to submit data due to performance, practice size, or resources or alternatively, some may submit data, but elect to be a voluntary reporter and not be subject to a MIPS payment adjustment based on their performance.</w:t>
      </w:r>
      <w:r w:rsidRPr="00530F7F" w:rsidR="003022E0">
        <w:t xml:space="preserve">  </w:t>
      </w:r>
    </w:p>
    <w:p w:rsidR="00901E5A" w:rsidP="00730BEF" w:rsidRDefault="005F4066" w14:paraId="568AD025" w14:textId="024A4A42">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530F7F">
        <w:t xml:space="preserve">Additionally, we estimate that between </w:t>
      </w:r>
      <w:r w:rsidR="005D5EC0">
        <w:t>210</w:t>
      </w:r>
      <w:r w:rsidRPr="00530F7F">
        <w:t>,000 and 2</w:t>
      </w:r>
      <w:r w:rsidR="005D5EC0">
        <w:t>70</w:t>
      </w:r>
      <w:r w:rsidRPr="00530F7F">
        <w:t>,000 eligible</w:t>
      </w:r>
      <w:r w:rsidRPr="0090231D">
        <w:t xml:space="preserve"> clinicians will </w:t>
      </w:r>
      <w:r>
        <w:t xml:space="preserve">participate in the Quality Payment Program through the Advanced APM Path. </w:t>
      </w:r>
      <w:r w:rsidR="00901E5A">
        <w:rPr>
          <w:szCs w:val="20"/>
        </w:rPr>
        <w:t xml:space="preserve"> </w:t>
      </w:r>
    </w:p>
    <w:p w:rsidR="00D26EEF" w:rsidP="00730BEF" w:rsidRDefault="00D26EEF" w14:paraId="27ABF758" w14:textId="028645F2">
      <w:pPr>
        <w:pStyle w:val="Heading2"/>
      </w:pPr>
      <w:r w:rsidRPr="008C03C6">
        <w:t>Less Frequent Collection</w:t>
      </w:r>
    </w:p>
    <w:p w:rsidRPr="0007426C" w:rsidR="00F049CC" w:rsidP="00730BEF" w:rsidRDefault="00F049CC" w14:paraId="6E9B9503" w14:textId="338CA7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If data on the quality</w:t>
      </w:r>
      <w:r>
        <w:t>, Promoting Interoperability, and improvement activities</w:t>
      </w:r>
      <w:r w:rsidRPr="0007426C">
        <w:t xml:space="preserve"> </w:t>
      </w:r>
      <w:r>
        <w:t xml:space="preserve">performance categories </w:t>
      </w:r>
      <w:r w:rsidRPr="0007426C">
        <w:t xml:space="preserve">are not collected from individual </w:t>
      </w:r>
      <w:r>
        <w:t xml:space="preserve">MIPS </w:t>
      </w:r>
      <w:r w:rsidRPr="00AC495C">
        <w:t>eligible clinicia</w:t>
      </w:r>
      <w:r>
        <w:t>ns</w:t>
      </w:r>
      <w:r w:rsidRPr="0007426C">
        <w:t xml:space="preserve"> or groups</w:t>
      </w:r>
      <w:r>
        <w:t xml:space="preserve"> annually</w:t>
      </w:r>
      <w:r w:rsidRPr="0007426C">
        <w:t xml:space="preserve">, </w:t>
      </w:r>
      <w:r>
        <w:t>we</w:t>
      </w:r>
      <w:r w:rsidRPr="0007426C">
        <w:t xml:space="preserve"> will have no mechanism to: </w:t>
      </w:r>
      <w:r w:rsidR="00775E2E">
        <w:t xml:space="preserve"> </w:t>
      </w:r>
      <w:r w:rsidRPr="0007426C">
        <w:t>(1) determine whether a</w:t>
      </w:r>
      <w:r>
        <w:t xml:space="preserve"> MIPS </w:t>
      </w:r>
      <w:r w:rsidRPr="00AC495C">
        <w:t>eligible clinician</w:t>
      </w:r>
      <w:r w:rsidRPr="0007426C">
        <w:t xml:space="preserve"> or group meets the performance criteria for a payment adjustment under MIPS</w:t>
      </w:r>
      <w:r w:rsidR="00775E2E">
        <w:t>;</w:t>
      </w:r>
      <w:r w:rsidRPr="0007426C">
        <w:t xml:space="preserve"> (2) calculate for payment adjustments to</w:t>
      </w:r>
      <w:r>
        <w:t xml:space="preserve"> MIPS</w:t>
      </w:r>
      <w:r w:rsidRPr="0007426C">
        <w:t xml:space="preserve"> </w:t>
      </w:r>
      <w:r w:rsidRPr="00AC495C">
        <w:t>eligible clinicia</w:t>
      </w:r>
      <w:r>
        <w:t>ns</w:t>
      </w:r>
      <w:r w:rsidRPr="0007426C">
        <w:t xml:space="preserve"> or groups</w:t>
      </w:r>
      <w:r w:rsidR="00775E2E">
        <w:t>;</w:t>
      </w:r>
      <w:r w:rsidRPr="0007426C">
        <w:t xml:space="preserve"> and (3) publicly post </w:t>
      </w:r>
      <w:r>
        <w:t>clinician</w:t>
      </w:r>
      <w:r w:rsidRPr="0007426C">
        <w:t xml:space="preserve"> performance information on the </w:t>
      </w:r>
      <w:r w:rsidRPr="009C052A">
        <w:t>Physician Compare</w:t>
      </w:r>
      <w:r w:rsidRPr="0007426C">
        <w:t xml:space="preserve"> website.</w:t>
      </w:r>
    </w:p>
    <w:p w:rsidR="00D26EEF" w:rsidP="00730BEF" w:rsidRDefault="00F049CC" w14:paraId="5B5BD3A4" w14:textId="4CE196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If qualified registries and QCDRs are not required to submit a self-nomination statement, </w:t>
      </w:r>
      <w:r>
        <w:t>we</w:t>
      </w:r>
      <w:r w:rsidRPr="0007426C">
        <w:t xml:space="preserve"> will have no mechanism to determine which registries and </w:t>
      </w:r>
      <w:r>
        <w:t xml:space="preserve">QCDRs </w:t>
      </w:r>
      <w:r w:rsidRPr="0007426C">
        <w:t>will participate in submitting quality measures</w:t>
      </w:r>
      <w:r>
        <w:t>, improvement activities, or Promoting Interoperability measures, objectives and activities</w:t>
      </w:r>
      <w:r w:rsidRPr="0007426C">
        <w:t>.</w:t>
      </w:r>
      <w:r>
        <w:t xml:space="preserve"> </w:t>
      </w:r>
      <w:r w:rsidR="00775E2E">
        <w:t xml:space="preserve"> </w:t>
      </w:r>
      <w:r w:rsidRPr="0007426C">
        <w:t xml:space="preserve">As such, </w:t>
      </w:r>
      <w:r>
        <w:t>we</w:t>
      </w:r>
      <w:r w:rsidRPr="0007426C">
        <w:t xml:space="preserve"> would not be able to post the annual list of qualified registries </w:t>
      </w:r>
      <w:r>
        <w:t>which</w:t>
      </w:r>
      <w:r w:rsidRPr="0007426C">
        <w:t xml:space="preserve"> </w:t>
      </w:r>
      <w:r>
        <w:t xml:space="preserve">MIPS </w:t>
      </w:r>
      <w:r w:rsidRPr="00AC495C">
        <w:t>eligible clinicia</w:t>
      </w:r>
      <w:r>
        <w:t>ns</w:t>
      </w:r>
      <w:r w:rsidRPr="0007426C">
        <w:t xml:space="preserve"> use to select qualified registries and QCDRs to use to report quality measures</w:t>
      </w:r>
      <w:r>
        <w:t>, improvement activities, or Promoting Interoperability</w:t>
      </w:r>
      <w:r w:rsidRPr="0007426C">
        <w:t xml:space="preserve"> </w:t>
      </w:r>
      <w:r>
        <w:t xml:space="preserve">measures, objectives, and activities </w:t>
      </w:r>
      <w:r w:rsidRPr="0007426C">
        <w:t>to CMS.</w:t>
      </w:r>
      <w:r>
        <w:t xml:space="preserve"> </w:t>
      </w:r>
    </w:p>
    <w:p w:rsidR="00D26EEF" w:rsidP="00730BEF" w:rsidRDefault="00D26EEF" w14:paraId="6CD326B2" w14:textId="6C788E35">
      <w:pPr>
        <w:pStyle w:val="Heading2"/>
      </w:pPr>
      <w:r>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730BEF" w:rsidRDefault="00F049CC" w14:paraId="1EB3609B" w14:textId="77777777">
      <w:pPr>
        <w:pStyle w:val="MediumGrid1-Accent21"/>
        <w:widowControl/>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730BEF" w:rsidRDefault="00F049CC" w14:paraId="628DE17D"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730BEF" w:rsidRDefault="00F049CC" w14:paraId="781067AD"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730BEF" w:rsidRDefault="00F049CC" w14:paraId="28664DF0"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730BEF" w:rsidRDefault="00F049CC" w14:paraId="77C8ADDA"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730BEF" w:rsidRDefault="00F049CC" w14:paraId="68C270D7"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730BEF" w:rsidRDefault="00F049CC" w14:paraId="066FD0A2" w14:textId="77777777">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049CC" w:rsidR="00AB0027" w:rsidP="00730BEF" w:rsidRDefault="00F049CC" w14:paraId="6CD71DF8" w14:textId="081E4BFA">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00D26EEF" w:rsidP="00730BEF" w:rsidRDefault="00D26EEF" w14:paraId="29D9A72C" w14:textId="2C165FA0">
      <w:pPr>
        <w:pStyle w:val="Heading2"/>
      </w:pPr>
      <w:r>
        <w:t>Federal Register/Outside Consultation</w:t>
      </w:r>
    </w:p>
    <w:p w:rsidR="00523BE6" w:rsidP="00730BEF" w:rsidRDefault="002C3F8F" w14:paraId="7D59C7BC" w14:textId="76EAED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C7A11">
        <w:t xml:space="preserve">The </w:t>
      </w:r>
      <w:r w:rsidRPr="00FC7A11" w:rsidR="005C2F87">
        <w:t>CY 2020 PFS proposed rule</w:t>
      </w:r>
      <w:r w:rsidRPr="00FC7A11">
        <w:t xml:space="preserve"> </w:t>
      </w:r>
      <w:r w:rsidR="00765555">
        <w:t>served</w:t>
      </w:r>
      <w:r w:rsidRPr="00FC7A11">
        <w:t xml:space="preserve"> as the 60-day Federal Register notice which published on </w:t>
      </w:r>
      <w:r w:rsidR="003056CD">
        <w:t>August 14</w:t>
      </w:r>
      <w:r w:rsidRPr="00FC7A11">
        <w:t xml:space="preserve">, </w:t>
      </w:r>
      <w:r w:rsidR="00250E4B">
        <w:t>2019</w:t>
      </w:r>
      <w:r w:rsidRPr="00FC7A11">
        <w:t xml:space="preserve"> (84 FR </w:t>
      </w:r>
      <w:r w:rsidR="003056CD">
        <w:t>40482</w:t>
      </w:r>
      <w:r w:rsidRPr="00FC7A11">
        <w:t>, RIN 0938–AT</w:t>
      </w:r>
      <w:r w:rsidR="003056CD">
        <w:t>72</w:t>
      </w:r>
      <w:r w:rsidRPr="00FC7A11">
        <w:t>, CMS-1</w:t>
      </w:r>
      <w:r w:rsidR="00765555">
        <w:t>715</w:t>
      </w:r>
      <w:r w:rsidRPr="00FC7A11">
        <w:t>-P).</w:t>
      </w:r>
      <w:r w:rsidRPr="00FC7A11">
        <w:rPr>
          <w:szCs w:val="20"/>
        </w:rPr>
        <w:t xml:space="preserve">  </w:t>
      </w:r>
      <w:r w:rsidRPr="00250E4B" w:rsidR="00250E4B">
        <w:rPr>
          <w:szCs w:val="20"/>
        </w:rPr>
        <w:t xml:space="preserve">The rule was placed on display for public inspection on </w:t>
      </w:r>
      <w:r w:rsidR="00CB0F8D">
        <w:rPr>
          <w:szCs w:val="20"/>
        </w:rPr>
        <w:t>July 29</w:t>
      </w:r>
      <w:r w:rsidRPr="006E74F2" w:rsidR="00250E4B">
        <w:rPr>
          <w:szCs w:val="20"/>
        </w:rPr>
        <w:t>,</w:t>
      </w:r>
      <w:r w:rsidRPr="00250E4B" w:rsidR="00250E4B">
        <w:rPr>
          <w:szCs w:val="20"/>
        </w:rPr>
        <w:t xml:space="preserve"> 201</w:t>
      </w:r>
      <w:r w:rsidR="00250E4B">
        <w:rPr>
          <w:szCs w:val="20"/>
        </w:rPr>
        <w:t>9</w:t>
      </w:r>
      <w:r w:rsidRPr="00250E4B" w:rsidR="00250E4B">
        <w:rPr>
          <w:szCs w:val="20"/>
        </w:rPr>
        <w:t xml:space="preserve">. Comments were received. </w:t>
      </w:r>
      <w:r w:rsidR="00672942">
        <w:rPr>
          <w:szCs w:val="20"/>
        </w:rPr>
        <w:t xml:space="preserve"> </w:t>
      </w:r>
      <w:r w:rsidRPr="00250E4B" w:rsidR="00250E4B">
        <w:rPr>
          <w:szCs w:val="20"/>
        </w:rPr>
        <w:t>A summary of the comments and our response</w:t>
      </w:r>
      <w:r w:rsidR="00741913">
        <w:rPr>
          <w:szCs w:val="20"/>
        </w:rPr>
        <w:t>s</w:t>
      </w:r>
      <w:r w:rsidRPr="00250E4B" w:rsidR="00250E4B">
        <w:rPr>
          <w:szCs w:val="20"/>
        </w:rPr>
        <w:t xml:space="preserve"> is attached to this PRA package.</w:t>
      </w:r>
    </w:p>
    <w:p w:rsidR="005D3B72" w:rsidP="005D3B72" w:rsidRDefault="005D3B72" w14:paraId="40EBAC6B" w14:textId="50FD00A2">
      <w:pPr>
        <w:rPr>
          <w:szCs w:val="20"/>
        </w:rPr>
      </w:pPr>
      <w:r>
        <w:t xml:space="preserve">The </w:t>
      </w:r>
      <w:r w:rsidRPr="00FC7A11">
        <w:t>CY 2020</w:t>
      </w:r>
      <w:r>
        <w:t xml:space="preserve"> final rule (CMS-1715-F) published in the Federal Register on November 15, 2019 (84 FR 62998, </w:t>
      </w:r>
      <w:r w:rsidR="00301B57">
        <w:t xml:space="preserve">with the </w:t>
      </w:r>
      <w:r>
        <w:t xml:space="preserve">COI </w:t>
      </w:r>
      <w:r w:rsidR="00301B57">
        <w:t xml:space="preserve">section </w:t>
      </w:r>
      <w:r>
        <w:t>beginning on page 63105), and is effective on January 1, 2020.</w:t>
      </w:r>
    </w:p>
    <w:p w:rsidRPr="0069660C" w:rsidR="002F7812" w:rsidP="00730BEF" w:rsidRDefault="002F7812" w14:paraId="2AB9562E" w14:textId="77777777">
      <w:pPr>
        <w:pStyle w:val="paragraph"/>
        <w:textAlignment w:val="baseline"/>
      </w:pPr>
    </w:p>
    <w:p w:rsidR="002C3F8F" w:rsidP="00730BEF" w:rsidRDefault="002C3F8F" w14:paraId="17FD53DD" w14:textId="1C4D84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C7A11">
        <w:rPr>
          <w:szCs w:val="20"/>
        </w:rPr>
        <w:t xml:space="preserve">In the </w:t>
      </w:r>
      <w:r w:rsidRPr="00FC7A11" w:rsidR="005C2F87">
        <w:rPr>
          <w:szCs w:val="20"/>
        </w:rPr>
        <w:t>CY 2020 PFS proposed rule</w:t>
      </w:r>
      <w:r w:rsidRPr="00FC7A11">
        <w:rPr>
          <w:szCs w:val="20"/>
        </w:rPr>
        <w:t>, we estimate</w:t>
      </w:r>
      <w:r w:rsidR="00257C8E">
        <w:rPr>
          <w:szCs w:val="20"/>
        </w:rPr>
        <w:t>d</w:t>
      </w:r>
      <w:r w:rsidRPr="00FC7A11">
        <w:rPr>
          <w:szCs w:val="20"/>
        </w:rPr>
        <w:t xml:space="preserve"> a total of </w:t>
      </w:r>
      <w:r w:rsidRPr="00FC7A11" w:rsidR="004A3CB4">
        <w:rPr>
          <w:szCs w:val="20"/>
        </w:rPr>
        <w:t>3,319,382</w:t>
      </w:r>
      <w:r w:rsidRPr="00FC7A11">
        <w:rPr>
          <w:szCs w:val="20"/>
        </w:rPr>
        <w:t xml:space="preserve"> hours with a total cost of $3</w:t>
      </w:r>
      <w:r w:rsidRPr="00FC7A11" w:rsidR="005F34C1">
        <w:rPr>
          <w:szCs w:val="20"/>
        </w:rPr>
        <w:t>16,24</w:t>
      </w:r>
      <w:r w:rsidRPr="00FC7A11" w:rsidR="00C2797D">
        <w:rPr>
          <w:szCs w:val="20"/>
        </w:rPr>
        <w:t>9,</w:t>
      </w:r>
      <w:r w:rsidRPr="00FC7A11" w:rsidR="004A3CB4">
        <w:rPr>
          <w:szCs w:val="20"/>
        </w:rPr>
        <w:t>934</w:t>
      </w:r>
      <w:r w:rsidR="00E73BA2">
        <w:rPr>
          <w:szCs w:val="20"/>
        </w:rPr>
        <w:t>.</w:t>
      </w:r>
      <w:r w:rsidRPr="00FC7A11">
        <w:rPr>
          <w:szCs w:val="20"/>
        </w:rPr>
        <w:t xml:space="preserve"> </w:t>
      </w:r>
      <w:r w:rsidR="00E73BA2">
        <w:rPr>
          <w:rStyle w:val="normaltextrun1"/>
        </w:rPr>
        <w:t xml:space="preserve">In the </w:t>
      </w:r>
      <w:r w:rsidR="00257C8E">
        <w:rPr>
          <w:rStyle w:val="normaltextrun1"/>
        </w:rPr>
        <w:t xml:space="preserve">CY 2020 PFS </w:t>
      </w:r>
      <w:r w:rsidR="00E73BA2">
        <w:rPr>
          <w:rStyle w:val="normaltextrun1"/>
        </w:rPr>
        <w:t xml:space="preserve">final rule, we revised our estimate to </w:t>
      </w:r>
      <w:r w:rsidRPr="000906C9" w:rsidR="00D333DC">
        <w:rPr>
          <w:rStyle w:val="normaltextrun1"/>
        </w:rPr>
        <w:t>2,937,</w:t>
      </w:r>
      <w:r w:rsidR="00323F17">
        <w:rPr>
          <w:rStyle w:val="normaltextrun1"/>
        </w:rPr>
        <w:t>890</w:t>
      </w:r>
      <w:r w:rsidRPr="0069660C" w:rsidR="00E73BA2">
        <w:rPr>
          <w:rStyle w:val="normaltextrun1"/>
        </w:rPr>
        <w:t xml:space="preserve"> hours and $</w:t>
      </w:r>
      <w:r w:rsidRPr="000906C9" w:rsidR="00D333DC">
        <w:rPr>
          <w:rStyle w:val="normaltextrun1"/>
        </w:rPr>
        <w:t>280,02</w:t>
      </w:r>
      <w:r w:rsidR="00323F17">
        <w:rPr>
          <w:rStyle w:val="normaltextrun1"/>
        </w:rPr>
        <w:t>2,285</w:t>
      </w:r>
      <w:r w:rsidRPr="0069660C" w:rsidR="00E73BA2">
        <w:rPr>
          <w:rStyle w:val="normaltextrun1"/>
        </w:rPr>
        <w:t>.  This is</w:t>
      </w:r>
      <w:r w:rsidRPr="00805F4B" w:rsidR="00E73BA2">
        <w:rPr>
          <w:rStyle w:val="normaltextrun1"/>
        </w:rPr>
        <w:t xml:space="preserve"> a decrease in burden of </w:t>
      </w:r>
      <w:r w:rsidRPr="000906C9" w:rsidR="00297F38">
        <w:rPr>
          <w:rStyle w:val="normaltextrun1"/>
        </w:rPr>
        <w:t>381,4</w:t>
      </w:r>
      <w:r w:rsidR="000176F9">
        <w:rPr>
          <w:rStyle w:val="normaltextrun1"/>
        </w:rPr>
        <w:t>92</w:t>
      </w:r>
      <w:r w:rsidRPr="0069660C" w:rsidR="00E73BA2">
        <w:rPr>
          <w:rStyle w:val="normaltextrun1"/>
        </w:rPr>
        <w:t xml:space="preserve"> hou</w:t>
      </w:r>
      <w:r w:rsidRPr="00805F4B" w:rsidR="00E73BA2">
        <w:rPr>
          <w:rStyle w:val="normaltextrun1"/>
        </w:rPr>
        <w:t>rs and a decrease of $</w:t>
      </w:r>
      <w:r w:rsidRPr="000906C9" w:rsidR="00F911B7">
        <w:rPr>
          <w:rStyle w:val="normaltextrun1"/>
        </w:rPr>
        <w:t>36,22</w:t>
      </w:r>
      <w:r w:rsidR="00736C2A">
        <w:rPr>
          <w:rStyle w:val="normaltextrun1"/>
        </w:rPr>
        <w:t>7,649</w:t>
      </w:r>
      <w:r w:rsidRPr="000906C9" w:rsidR="00F911B7">
        <w:rPr>
          <w:rStyle w:val="normaltextrun1"/>
        </w:rPr>
        <w:t xml:space="preserve"> </w:t>
      </w:r>
      <w:r w:rsidRPr="0069660C" w:rsidR="00E73BA2">
        <w:rPr>
          <w:rStyle w:val="normaltextrun1"/>
        </w:rPr>
        <w:t>in</w:t>
      </w:r>
      <w:r w:rsidR="00E73BA2">
        <w:rPr>
          <w:rStyle w:val="normaltextrun1"/>
        </w:rPr>
        <w:t xml:space="preserve"> the labor cost</w:t>
      </w:r>
      <w:r w:rsidR="005C2493">
        <w:rPr>
          <w:rStyle w:val="normaltextrun1"/>
        </w:rPr>
        <w:t>s</w:t>
      </w:r>
      <w:r w:rsidRPr="00FC7A11">
        <w:rPr>
          <w:szCs w:val="20"/>
        </w:rPr>
        <w:t>.</w:t>
      </w:r>
      <w:r>
        <w:rPr>
          <w:szCs w:val="20"/>
        </w:rPr>
        <w:t xml:space="preserve"> </w:t>
      </w:r>
    </w:p>
    <w:p w:rsidRPr="0069660C" w:rsidR="00000322" w:rsidP="00730BEF" w:rsidRDefault="00000322" w14:paraId="4693A5E3" w14:textId="369CEA8F">
      <w:pPr>
        <w:pStyle w:val="paragraph"/>
        <w:textAlignment w:val="baseline"/>
      </w:pPr>
      <w:r w:rsidRPr="001A5EC2">
        <w:rPr>
          <w:rStyle w:val="normaltextrun1"/>
        </w:rPr>
        <w:t>The change is due to updated data becoming available from the 201</w:t>
      </w:r>
      <w:r w:rsidRPr="000906C9" w:rsidR="00F911B7">
        <w:rPr>
          <w:rStyle w:val="normaltextrun1"/>
        </w:rPr>
        <w:t>8</w:t>
      </w:r>
      <w:r w:rsidRPr="001A5EC2">
        <w:rPr>
          <w:rStyle w:val="normaltextrun1"/>
        </w:rPr>
        <w:t xml:space="preserve"> MIPS performance perio</w:t>
      </w:r>
      <w:r w:rsidRPr="00CF0FC6">
        <w:rPr>
          <w:rStyle w:val="normaltextrun1"/>
        </w:rPr>
        <w:t xml:space="preserve">d which changed the number of participants included for all performance categories as well as </w:t>
      </w:r>
      <w:r w:rsidRPr="000906C9" w:rsidR="00E727CB">
        <w:rPr>
          <w:rStyle w:val="normaltextrun1"/>
        </w:rPr>
        <w:t xml:space="preserve">a decrease </w:t>
      </w:r>
      <w:r w:rsidRPr="000906C9" w:rsidR="00D05BC9">
        <w:rPr>
          <w:rStyle w:val="normaltextrun1"/>
        </w:rPr>
        <w:t xml:space="preserve">in the number of QCDR measures nominated per QCDR due to </w:t>
      </w:r>
      <w:r w:rsidR="00B34CE6">
        <w:rPr>
          <w:rStyle w:val="normaltextrun1"/>
        </w:rPr>
        <w:t xml:space="preserve">the finalized requirement </w:t>
      </w:r>
      <w:r w:rsidR="00B540DA">
        <w:rPr>
          <w:rStyle w:val="normaltextrun1"/>
        </w:rPr>
        <w:t>for QCDR measures to be fully developed with completed testing results</w:t>
      </w:r>
      <w:r w:rsidR="007D5C70">
        <w:rPr>
          <w:rStyle w:val="normaltextrun1"/>
        </w:rPr>
        <w:t xml:space="preserve"> at the clinician level prior to nomination.</w:t>
      </w:r>
      <w:r w:rsidRPr="00CF0FC6">
        <w:rPr>
          <w:rStyle w:val="normaltextrun1"/>
        </w:rPr>
        <w:t>.</w:t>
      </w:r>
      <w:r>
        <w:rPr>
          <w:rStyle w:val="eop"/>
        </w:rPr>
        <w:t> </w:t>
      </w:r>
    </w:p>
    <w:p w:rsidR="00D26EEF" w:rsidP="00730BEF" w:rsidRDefault="00D26EEF" w14:paraId="3E364A9E" w14:textId="02C023A8">
      <w:pPr>
        <w:pStyle w:val="Heading2"/>
      </w:pPr>
      <w:r>
        <w:t>Payments/Gifts to Respondents</w:t>
      </w:r>
    </w:p>
    <w:p w:rsidR="00D26EEF" w:rsidP="00730BEF" w:rsidRDefault="0078551D" w14:paraId="244F02C5" w14:textId="65BF14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64F72CD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found in the associated rulemakings.</w:t>
      </w:r>
    </w:p>
    <w:p w:rsidR="000E56B6" w:rsidP="00811F9E" w:rsidRDefault="00D26EEF" w14:paraId="5D68B3CB" w14:textId="741045F1">
      <w:pPr>
        <w:pStyle w:val="Heading2"/>
      </w:pPr>
      <w:r>
        <w:t>Confidentiality</w:t>
      </w:r>
    </w:p>
    <w:p w:rsidR="00D26EEF" w:rsidP="00730BEF" w:rsidRDefault="0078551D" w14:paraId="0CAD9962" w14:textId="469A9607">
      <w:pPr>
        <w:keepNext/>
        <w:keepLines/>
      </w:pPr>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001114E5" w:rsidP="00730BEF" w:rsidRDefault="001114E5" w14:paraId="0E54D4DA" w14:textId="52EC80BC">
      <w:pPr>
        <w:keepNext/>
        <w:keepLines/>
      </w:pPr>
      <w:r w:rsidRPr="001114E5">
        <w:t>Quality Payment P</w:t>
      </w:r>
      <w:r w:rsidR="00816851">
        <w:t>rogram (QPP), System No. 09</w:t>
      </w:r>
      <w:r w:rsidR="00886FF3">
        <w:t>-</w:t>
      </w:r>
      <w:r w:rsidR="00816851">
        <w:t>70</w:t>
      </w:r>
      <w:r w:rsidR="00886FF3">
        <w:t>-</w:t>
      </w:r>
      <w:r w:rsidRPr="001114E5">
        <w:t>0539</w:t>
      </w:r>
      <w:r>
        <w:t xml:space="preserve"> (February 14, 2018; 83 FR 6587).</w:t>
      </w:r>
    </w:p>
    <w:p w:rsidR="00D26EEF" w:rsidP="00811F9E" w:rsidRDefault="00D26EEF" w14:paraId="7AE1EC16" w14:textId="0189579C">
      <w:pPr>
        <w:pStyle w:val="Heading2"/>
      </w:pPr>
      <w:r>
        <w:t>Sensitive Questions</w:t>
      </w:r>
    </w:p>
    <w:p w:rsidRPr="001B3EA7" w:rsidR="0078551D" w:rsidP="00730BEF" w:rsidRDefault="0078551D" w14:paraId="481BD23B" w14:textId="77777777">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p>
    <w:p w:rsidRPr="00FF7AB6" w:rsidR="00BE799C" w:rsidP="00730BEF" w:rsidRDefault="00D26EEF" w14:paraId="5EE5987A" w14:textId="66C472A3">
      <w:pPr>
        <w:pStyle w:val="Heading2"/>
      </w:pPr>
      <w:r w:rsidRPr="004013EA">
        <w:t>Burden Estimates (Hours &amp; Wages)</w:t>
      </w:r>
      <w:r w:rsidRPr="00FF7AB6" w:rsidR="00BE799C">
        <w:rPr>
          <w:szCs w:val="20"/>
        </w:rPr>
        <w:t xml:space="preserve"> </w:t>
      </w:r>
    </w:p>
    <w:p w:rsidRPr="00705AEB" w:rsidR="00705AEB" w:rsidP="00730BEF" w:rsidRDefault="00705AEB" w14:paraId="144CBC41" w14:textId="363A831E">
      <w:pPr>
        <w:pStyle w:val="Heading3"/>
        <w:numPr>
          <w:ilvl w:val="0"/>
          <w:numId w:val="32"/>
        </w:numPr>
      </w:pPr>
      <w:r w:rsidRPr="00705AEB">
        <w:t>Wage Estimates</w:t>
      </w:r>
    </w:p>
    <w:p w:rsidR="00490272" w:rsidP="00730BEF" w:rsidRDefault="00665BC8" w14:paraId="71D3A111" w14:textId="7DC4D762">
      <w:r>
        <w:t>To derive average costs, we used data from the U.S. Bureau of Labor Statistics’ May 201</w:t>
      </w:r>
      <w:r w:rsidR="005F34C1">
        <w:t>8</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 associated with our </w:t>
      </w:r>
      <w:r w:rsidR="00390730">
        <w:t>finalize</w:t>
      </w:r>
      <w:r>
        <w:t>d requirements.</w:t>
      </w:r>
    </w:p>
    <w:p w:rsidR="00490272" w:rsidP="00730BEF" w:rsidRDefault="00665BC8" w14:paraId="530793C9" w14:textId="3790A87F">
      <w:r w:rsidRPr="00665BC8">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 Practice Administrator,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Pr="00171B73" w:rsidR="00665BC8" w:rsidP="00665BC8" w:rsidRDefault="00665BC8" w14:paraId="5FD6F0D3" w14:textId="3A5D1225">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943"/>
        <w:gridCol w:w="1378"/>
        <w:gridCol w:w="1373"/>
        <w:gridCol w:w="2084"/>
        <w:gridCol w:w="1572"/>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($/hr</w:t>
            </w:r>
            <w:r w:rsidRPr="00814AD2">
              <w:rPr>
                <w:b/>
                <w:bCs/>
                <w:sz w:val="20"/>
                <w:szCs w:val="20"/>
              </w:rPr>
              <w:t>)</w:t>
            </w:r>
          </w:p>
        </w:tc>
      </w:tr>
      <w:tr w:rsidRPr="00814AD2" w:rsidR="00665BC8" w:rsidTr="00743AF8" w14:paraId="470D1A39" w14:textId="77777777">
        <w:trPr>
          <w:jc w:val="center"/>
        </w:trPr>
        <w:tc>
          <w:tcPr>
            <w:tcW w:w="0" w:type="auto"/>
            <w:vAlign w:val="center"/>
          </w:tcPr>
          <w:p w:rsidR="00665BC8" w:rsidP="006958E0" w:rsidRDefault="00665BC8" w14:paraId="6EBC0BDB" w14:textId="77777777">
            <w:pPr>
              <w:spacing w:after="0"/>
              <w:rPr>
                <w:sz w:val="20"/>
                <w:szCs w:val="20"/>
              </w:rPr>
            </w:pPr>
            <w:r w:rsidRPr="00814AD2">
              <w:rPr>
                <w:sz w:val="20"/>
                <w:szCs w:val="20"/>
              </w:rPr>
              <w:t>Billing and Posting Clerks</w:t>
            </w:r>
          </w:p>
        </w:tc>
        <w:tc>
          <w:tcPr>
            <w:tcW w:w="0" w:type="auto"/>
            <w:vAlign w:val="center"/>
          </w:tcPr>
          <w:p w:rsidR="00665BC8" w:rsidP="00743AF8" w:rsidRDefault="00665BC8" w14:paraId="3F1FCB24" w14:textId="77777777">
            <w:pPr>
              <w:spacing w:after="0"/>
              <w:jc w:val="center"/>
              <w:rPr>
                <w:sz w:val="20"/>
                <w:szCs w:val="20"/>
              </w:rPr>
            </w:pPr>
            <w:r w:rsidRPr="00814AD2">
              <w:rPr>
                <w:sz w:val="20"/>
                <w:szCs w:val="20"/>
              </w:rPr>
              <w:t>43-3021</w:t>
            </w:r>
          </w:p>
        </w:tc>
        <w:tc>
          <w:tcPr>
            <w:tcW w:w="0" w:type="auto"/>
            <w:vAlign w:val="center"/>
          </w:tcPr>
          <w:p w:rsidR="00665BC8" w:rsidP="00743AF8" w:rsidRDefault="00665BC8" w14:paraId="41C10436" w14:textId="0387C15E">
            <w:pPr>
              <w:spacing w:after="0"/>
              <w:jc w:val="center"/>
              <w:rPr>
                <w:sz w:val="20"/>
                <w:szCs w:val="20"/>
              </w:rPr>
            </w:pPr>
            <w:r w:rsidRPr="00814AD2">
              <w:rPr>
                <w:sz w:val="20"/>
                <w:szCs w:val="20"/>
              </w:rPr>
              <w:t>1</w:t>
            </w:r>
            <w:r w:rsidR="00701460">
              <w:rPr>
                <w:sz w:val="20"/>
                <w:szCs w:val="20"/>
              </w:rPr>
              <w:t>9.00</w:t>
            </w:r>
          </w:p>
        </w:tc>
        <w:tc>
          <w:tcPr>
            <w:tcW w:w="0" w:type="auto"/>
            <w:vAlign w:val="center"/>
          </w:tcPr>
          <w:p w:rsidR="00665BC8" w:rsidP="00743AF8" w:rsidRDefault="00665BC8" w14:paraId="24CB672E" w14:textId="0A11E2E2">
            <w:pPr>
              <w:spacing w:after="0"/>
              <w:jc w:val="center"/>
              <w:rPr>
                <w:sz w:val="20"/>
                <w:szCs w:val="20"/>
              </w:rPr>
            </w:pPr>
            <w:r w:rsidRPr="00814AD2">
              <w:rPr>
                <w:sz w:val="20"/>
                <w:szCs w:val="20"/>
              </w:rPr>
              <w:t>1</w:t>
            </w:r>
            <w:r w:rsidR="00F93273">
              <w:rPr>
                <w:sz w:val="20"/>
                <w:szCs w:val="20"/>
              </w:rPr>
              <w:t>9.00</w:t>
            </w:r>
          </w:p>
        </w:tc>
        <w:tc>
          <w:tcPr>
            <w:tcW w:w="0" w:type="auto"/>
            <w:vAlign w:val="center"/>
          </w:tcPr>
          <w:p w:rsidR="00665BC8" w:rsidP="00743AF8" w:rsidRDefault="00665BC8" w14:paraId="2A422834" w14:textId="6B39A043">
            <w:pPr>
              <w:spacing w:after="0"/>
              <w:jc w:val="center"/>
              <w:rPr>
                <w:sz w:val="20"/>
                <w:szCs w:val="20"/>
              </w:rPr>
            </w:pPr>
            <w:r w:rsidRPr="00814AD2">
              <w:rPr>
                <w:sz w:val="20"/>
                <w:szCs w:val="20"/>
              </w:rPr>
              <w:t>3</w:t>
            </w:r>
            <w:r w:rsidR="00F93273">
              <w:rPr>
                <w:sz w:val="20"/>
                <w:szCs w:val="20"/>
              </w:rPr>
              <w:t>8.00</w:t>
            </w:r>
          </w:p>
        </w:tc>
      </w:tr>
      <w:tr w:rsidRPr="00814AD2" w:rsidR="00665BC8" w:rsidTr="00743AF8" w14:paraId="3EDF3A1E" w14:textId="77777777">
        <w:trPr>
          <w:jc w:val="center"/>
        </w:trPr>
        <w:tc>
          <w:tcPr>
            <w:tcW w:w="0" w:type="auto"/>
            <w:vAlign w:val="center"/>
          </w:tcPr>
          <w:p w:rsidRPr="00814AD2" w:rsidR="00665BC8" w:rsidP="006958E0" w:rsidRDefault="00665BC8" w14:paraId="5CB3D38C" w14:textId="77777777">
            <w:pPr>
              <w:spacing w:after="0"/>
              <w:rPr>
                <w:sz w:val="20"/>
                <w:szCs w:val="20"/>
              </w:rPr>
            </w:pPr>
            <w:r w:rsidRPr="00814AD2">
              <w:rPr>
                <w:sz w:val="20"/>
                <w:szCs w:val="20"/>
              </w:rPr>
              <w:t>Computer Systems Analysts</w:t>
            </w:r>
          </w:p>
        </w:tc>
        <w:tc>
          <w:tcPr>
            <w:tcW w:w="0" w:type="auto"/>
            <w:vAlign w:val="center"/>
          </w:tcPr>
          <w:p w:rsidRPr="00814AD2" w:rsidR="00665BC8" w:rsidP="00743AF8" w:rsidRDefault="00665BC8" w14:paraId="79C78FB3" w14:textId="77777777">
            <w:pPr>
              <w:spacing w:after="0"/>
              <w:jc w:val="center"/>
              <w:rPr>
                <w:sz w:val="20"/>
                <w:szCs w:val="20"/>
              </w:rPr>
            </w:pPr>
            <w:r w:rsidRPr="00814AD2">
              <w:rPr>
                <w:sz w:val="20"/>
                <w:szCs w:val="20"/>
              </w:rPr>
              <w:t>15-1121</w:t>
            </w:r>
          </w:p>
        </w:tc>
        <w:tc>
          <w:tcPr>
            <w:tcW w:w="0" w:type="auto"/>
            <w:vAlign w:val="center"/>
          </w:tcPr>
          <w:p w:rsidRPr="00814AD2" w:rsidR="00665BC8" w:rsidP="00743AF8" w:rsidRDefault="00665BC8" w14:paraId="77E0D12B" w14:textId="1CC611F8">
            <w:pPr>
              <w:spacing w:after="0"/>
              <w:jc w:val="center"/>
              <w:rPr>
                <w:sz w:val="20"/>
                <w:szCs w:val="20"/>
              </w:rPr>
            </w:pPr>
            <w:r w:rsidRPr="00814AD2">
              <w:rPr>
                <w:sz w:val="20"/>
                <w:szCs w:val="20"/>
              </w:rPr>
              <w:t>4</w:t>
            </w:r>
            <w:r w:rsidR="00701460">
              <w:rPr>
                <w:sz w:val="20"/>
                <w:szCs w:val="20"/>
              </w:rPr>
              <w:t>5.01</w:t>
            </w:r>
          </w:p>
        </w:tc>
        <w:tc>
          <w:tcPr>
            <w:tcW w:w="0" w:type="auto"/>
            <w:vAlign w:val="center"/>
          </w:tcPr>
          <w:p w:rsidRPr="00814AD2" w:rsidR="00665BC8" w:rsidP="00743AF8" w:rsidRDefault="00665BC8" w14:paraId="06C5444D" w14:textId="75AC12A9">
            <w:pPr>
              <w:spacing w:after="0"/>
              <w:jc w:val="center"/>
              <w:rPr>
                <w:sz w:val="20"/>
                <w:szCs w:val="20"/>
              </w:rPr>
            </w:pPr>
            <w:r w:rsidRPr="00814AD2">
              <w:rPr>
                <w:sz w:val="20"/>
                <w:szCs w:val="20"/>
              </w:rPr>
              <w:t>4</w:t>
            </w:r>
            <w:r w:rsidR="00F93273">
              <w:rPr>
                <w:sz w:val="20"/>
                <w:szCs w:val="20"/>
              </w:rPr>
              <w:t>5.01</w:t>
            </w:r>
          </w:p>
        </w:tc>
        <w:tc>
          <w:tcPr>
            <w:tcW w:w="0" w:type="auto"/>
            <w:vAlign w:val="center"/>
          </w:tcPr>
          <w:p w:rsidRPr="00814AD2" w:rsidR="00665BC8" w:rsidP="00743AF8" w:rsidRDefault="00F93273" w14:paraId="58DA042E" w14:textId="6554C6BE">
            <w:pPr>
              <w:spacing w:after="0"/>
              <w:jc w:val="center"/>
              <w:rPr>
                <w:sz w:val="20"/>
                <w:szCs w:val="20"/>
              </w:rPr>
            </w:pPr>
            <w:r>
              <w:rPr>
                <w:sz w:val="20"/>
                <w:szCs w:val="20"/>
              </w:rPr>
              <w:t>90.02</w:t>
            </w:r>
          </w:p>
        </w:tc>
      </w:tr>
      <w:tr w:rsidRPr="00814AD2" w:rsidR="00665BC8" w:rsidTr="00743AF8" w14:paraId="2A81D7C2" w14:textId="77777777">
        <w:trPr>
          <w:jc w:val="center"/>
        </w:trPr>
        <w:tc>
          <w:tcPr>
            <w:tcW w:w="0" w:type="auto"/>
            <w:vAlign w:val="center"/>
          </w:tcPr>
          <w:p w:rsidRPr="00814AD2" w:rsidR="00665BC8" w:rsidP="006958E0" w:rsidRDefault="00665BC8" w14:paraId="22E61586" w14:textId="77777777">
            <w:pPr>
              <w:spacing w:after="0"/>
              <w:rPr>
                <w:sz w:val="20"/>
                <w:szCs w:val="20"/>
              </w:rPr>
            </w:pPr>
            <w:r w:rsidRPr="00814AD2">
              <w:rPr>
                <w:sz w:val="20"/>
                <w:szCs w:val="20"/>
              </w:rPr>
              <w:t>Licensed Practical Nurse (LPN)</w:t>
            </w:r>
          </w:p>
        </w:tc>
        <w:tc>
          <w:tcPr>
            <w:tcW w:w="0" w:type="auto"/>
            <w:vAlign w:val="center"/>
          </w:tcPr>
          <w:p w:rsidRPr="00814AD2" w:rsidR="00665BC8" w:rsidP="00743AF8" w:rsidRDefault="00665BC8" w14:paraId="6FD475D1" w14:textId="77777777">
            <w:pPr>
              <w:spacing w:after="0"/>
              <w:jc w:val="center"/>
              <w:rPr>
                <w:sz w:val="20"/>
                <w:szCs w:val="20"/>
              </w:rPr>
            </w:pPr>
            <w:r w:rsidRPr="00814AD2">
              <w:rPr>
                <w:sz w:val="20"/>
                <w:szCs w:val="20"/>
              </w:rPr>
              <w:t>29-2061</w:t>
            </w:r>
          </w:p>
        </w:tc>
        <w:tc>
          <w:tcPr>
            <w:tcW w:w="0" w:type="auto"/>
            <w:vAlign w:val="center"/>
          </w:tcPr>
          <w:p w:rsidRPr="00814AD2" w:rsidR="00665BC8" w:rsidP="00743AF8" w:rsidRDefault="00665BC8" w14:paraId="44B8BF59" w14:textId="00594FDA">
            <w:pPr>
              <w:spacing w:after="0"/>
              <w:jc w:val="center"/>
              <w:rPr>
                <w:sz w:val="20"/>
                <w:szCs w:val="20"/>
              </w:rPr>
            </w:pPr>
            <w:r w:rsidRPr="00814AD2">
              <w:rPr>
                <w:sz w:val="20"/>
                <w:szCs w:val="20"/>
              </w:rPr>
              <w:t>2</w:t>
            </w:r>
            <w:r w:rsidR="00F93273">
              <w:rPr>
                <w:sz w:val="20"/>
                <w:szCs w:val="20"/>
              </w:rPr>
              <w:t>2.62</w:t>
            </w:r>
          </w:p>
        </w:tc>
        <w:tc>
          <w:tcPr>
            <w:tcW w:w="0" w:type="auto"/>
            <w:vAlign w:val="center"/>
          </w:tcPr>
          <w:p w:rsidRPr="00814AD2" w:rsidR="00665BC8" w:rsidP="00743AF8" w:rsidRDefault="00665BC8" w14:paraId="7E918CE0" w14:textId="7D591617">
            <w:pPr>
              <w:spacing w:after="0"/>
              <w:jc w:val="center"/>
              <w:rPr>
                <w:sz w:val="20"/>
                <w:szCs w:val="20"/>
              </w:rPr>
            </w:pPr>
            <w:r w:rsidRPr="00814AD2">
              <w:rPr>
                <w:sz w:val="20"/>
                <w:szCs w:val="20"/>
              </w:rPr>
              <w:t>2</w:t>
            </w:r>
            <w:r w:rsidR="00F93273">
              <w:rPr>
                <w:sz w:val="20"/>
                <w:szCs w:val="20"/>
              </w:rPr>
              <w:t>2.62</w:t>
            </w:r>
          </w:p>
        </w:tc>
        <w:tc>
          <w:tcPr>
            <w:tcW w:w="0" w:type="auto"/>
            <w:vAlign w:val="center"/>
          </w:tcPr>
          <w:p w:rsidRPr="00814AD2" w:rsidR="00665BC8" w:rsidP="00743AF8" w:rsidRDefault="00F93273" w14:paraId="30D65B85" w14:textId="5DB15D87">
            <w:pPr>
              <w:spacing w:after="0"/>
              <w:jc w:val="center"/>
              <w:rPr>
                <w:sz w:val="20"/>
                <w:szCs w:val="20"/>
              </w:rPr>
            </w:pPr>
            <w:r>
              <w:rPr>
                <w:sz w:val="20"/>
                <w:szCs w:val="20"/>
              </w:rPr>
              <w:t>45.24</w:t>
            </w:r>
          </w:p>
        </w:tc>
      </w:tr>
      <w:tr w:rsidRPr="00814AD2" w:rsidR="00665BC8" w:rsidTr="00743AF8" w14:paraId="51C26C55" w14:textId="77777777">
        <w:trPr>
          <w:jc w:val="center"/>
        </w:trPr>
        <w:tc>
          <w:tcPr>
            <w:tcW w:w="0" w:type="auto"/>
            <w:vAlign w:val="center"/>
          </w:tcPr>
          <w:p w:rsidRPr="00814AD2" w:rsidR="00665BC8" w:rsidP="006958E0" w:rsidRDefault="00665BC8" w14:paraId="523EEA2B" w14:textId="3AA219DE">
            <w:pPr>
              <w:spacing w:after="0"/>
              <w:rPr>
                <w:sz w:val="20"/>
                <w:szCs w:val="20"/>
              </w:rPr>
            </w:pPr>
            <w:r w:rsidRPr="00814AD2">
              <w:rPr>
                <w:sz w:val="20"/>
                <w:szCs w:val="20"/>
              </w:rPr>
              <w:t>Physicians</w:t>
            </w:r>
          </w:p>
        </w:tc>
        <w:tc>
          <w:tcPr>
            <w:tcW w:w="0" w:type="auto"/>
            <w:vAlign w:val="center"/>
          </w:tcPr>
          <w:p w:rsidRPr="00814AD2" w:rsidR="00665BC8" w:rsidP="00743AF8" w:rsidRDefault="00665BC8" w14:paraId="52AA5268" w14:textId="2EC482F5">
            <w:pPr>
              <w:spacing w:after="0"/>
              <w:jc w:val="center"/>
              <w:rPr>
                <w:sz w:val="20"/>
                <w:szCs w:val="20"/>
              </w:rPr>
            </w:pPr>
            <w:r w:rsidRPr="00814AD2">
              <w:rPr>
                <w:sz w:val="20"/>
                <w:szCs w:val="20"/>
              </w:rPr>
              <w:t>29-1060</w:t>
            </w:r>
          </w:p>
        </w:tc>
        <w:tc>
          <w:tcPr>
            <w:tcW w:w="0" w:type="auto"/>
            <w:vAlign w:val="center"/>
          </w:tcPr>
          <w:p w:rsidRPr="00814AD2" w:rsidR="00665BC8" w:rsidP="00743AF8" w:rsidRDefault="00665BC8" w14:paraId="6B283100" w14:textId="785DDEEE">
            <w:pPr>
              <w:spacing w:after="0"/>
              <w:jc w:val="center"/>
              <w:rPr>
                <w:sz w:val="20"/>
                <w:szCs w:val="20"/>
              </w:rPr>
            </w:pPr>
            <w:r w:rsidRPr="00814AD2">
              <w:rPr>
                <w:sz w:val="20"/>
                <w:szCs w:val="20"/>
              </w:rPr>
              <w:t>10</w:t>
            </w:r>
            <w:r w:rsidR="00F93273">
              <w:rPr>
                <w:sz w:val="20"/>
                <w:szCs w:val="20"/>
              </w:rPr>
              <w:t>1.43</w:t>
            </w:r>
          </w:p>
        </w:tc>
        <w:tc>
          <w:tcPr>
            <w:tcW w:w="0" w:type="auto"/>
            <w:vAlign w:val="center"/>
          </w:tcPr>
          <w:p w:rsidRPr="00814AD2" w:rsidR="00665BC8" w:rsidP="00743AF8" w:rsidRDefault="00665BC8" w14:paraId="7FECC94D" w14:textId="443E36F7">
            <w:pPr>
              <w:spacing w:after="0"/>
              <w:jc w:val="center"/>
              <w:rPr>
                <w:sz w:val="20"/>
                <w:szCs w:val="20"/>
              </w:rPr>
            </w:pPr>
            <w:r w:rsidRPr="00814AD2">
              <w:rPr>
                <w:sz w:val="20"/>
                <w:szCs w:val="20"/>
              </w:rPr>
              <w:t>10</w:t>
            </w:r>
            <w:r w:rsidR="00F93273">
              <w:rPr>
                <w:sz w:val="20"/>
                <w:szCs w:val="20"/>
              </w:rPr>
              <w:t>1.43</w:t>
            </w:r>
          </w:p>
        </w:tc>
        <w:tc>
          <w:tcPr>
            <w:tcW w:w="0" w:type="auto"/>
            <w:vAlign w:val="center"/>
          </w:tcPr>
          <w:p w:rsidRPr="00814AD2" w:rsidR="00665BC8" w:rsidP="00743AF8" w:rsidRDefault="00665BC8" w14:paraId="39F39C5D" w14:textId="21CF67CA">
            <w:pPr>
              <w:spacing w:after="0"/>
              <w:jc w:val="center"/>
              <w:rPr>
                <w:sz w:val="20"/>
                <w:szCs w:val="20"/>
              </w:rPr>
            </w:pPr>
            <w:r w:rsidRPr="00814AD2">
              <w:rPr>
                <w:sz w:val="20"/>
                <w:szCs w:val="20"/>
              </w:rPr>
              <w:t>20</w:t>
            </w:r>
            <w:r w:rsidR="00F93273">
              <w:rPr>
                <w:sz w:val="20"/>
                <w:szCs w:val="20"/>
              </w:rPr>
              <w:t>2.86</w:t>
            </w:r>
          </w:p>
        </w:tc>
      </w:tr>
      <w:tr w:rsidRPr="00814AD2" w:rsidR="00665BC8" w:rsidTr="00743AF8" w14:paraId="257571DF" w14:textId="77777777">
        <w:trPr>
          <w:jc w:val="center"/>
        </w:trPr>
        <w:tc>
          <w:tcPr>
            <w:tcW w:w="0" w:type="auto"/>
            <w:vAlign w:val="center"/>
          </w:tcPr>
          <w:p w:rsidRPr="00814AD2" w:rsidR="00665BC8" w:rsidP="006958E0" w:rsidRDefault="00665BC8" w14:paraId="2AC2DCD6" w14:textId="49668309">
            <w:pPr>
              <w:spacing w:after="0"/>
              <w:rPr>
                <w:sz w:val="20"/>
                <w:szCs w:val="20"/>
              </w:rPr>
            </w:pPr>
            <w:r w:rsidRPr="00814AD2">
              <w:rPr>
                <w:sz w:val="20"/>
                <w:szCs w:val="20"/>
              </w:rPr>
              <w:t>Practice Administrator (Medical and Health Services Managers)</w:t>
            </w:r>
          </w:p>
        </w:tc>
        <w:tc>
          <w:tcPr>
            <w:tcW w:w="0" w:type="auto"/>
            <w:vAlign w:val="center"/>
          </w:tcPr>
          <w:p w:rsidRPr="00814AD2" w:rsidR="00665BC8" w:rsidP="00743AF8" w:rsidRDefault="00665BC8" w14:paraId="109EBD0F" w14:textId="1A63AA4D">
            <w:pPr>
              <w:spacing w:after="0"/>
              <w:jc w:val="center"/>
              <w:rPr>
                <w:sz w:val="20"/>
                <w:szCs w:val="20"/>
              </w:rPr>
            </w:pPr>
            <w:r w:rsidRPr="00814AD2">
              <w:rPr>
                <w:sz w:val="20"/>
                <w:szCs w:val="20"/>
              </w:rPr>
              <w:t>11-9111</w:t>
            </w:r>
          </w:p>
        </w:tc>
        <w:tc>
          <w:tcPr>
            <w:tcW w:w="0" w:type="auto"/>
            <w:vAlign w:val="center"/>
          </w:tcPr>
          <w:p w:rsidRPr="00814AD2" w:rsidR="00665BC8" w:rsidP="00743AF8" w:rsidRDefault="00665BC8" w14:paraId="34C7AE95" w14:textId="2CCD83DB">
            <w:pPr>
              <w:spacing w:after="0"/>
              <w:jc w:val="center"/>
              <w:rPr>
                <w:sz w:val="20"/>
                <w:szCs w:val="20"/>
              </w:rPr>
            </w:pPr>
            <w:r w:rsidRPr="00814AD2">
              <w:rPr>
                <w:sz w:val="20"/>
                <w:szCs w:val="20"/>
              </w:rPr>
              <w:t>5</w:t>
            </w:r>
            <w:r w:rsidR="00F93273">
              <w:rPr>
                <w:sz w:val="20"/>
                <w:szCs w:val="20"/>
              </w:rPr>
              <w:t>4.68</w:t>
            </w:r>
          </w:p>
        </w:tc>
        <w:tc>
          <w:tcPr>
            <w:tcW w:w="0" w:type="auto"/>
            <w:vAlign w:val="center"/>
          </w:tcPr>
          <w:p w:rsidRPr="00814AD2" w:rsidR="00665BC8" w:rsidP="00743AF8" w:rsidRDefault="00665BC8" w14:paraId="6B816491" w14:textId="6348295F">
            <w:pPr>
              <w:spacing w:after="0"/>
              <w:jc w:val="center"/>
              <w:rPr>
                <w:sz w:val="20"/>
                <w:szCs w:val="20"/>
              </w:rPr>
            </w:pPr>
            <w:r w:rsidRPr="00814AD2">
              <w:rPr>
                <w:sz w:val="20"/>
                <w:szCs w:val="20"/>
              </w:rPr>
              <w:t>5</w:t>
            </w:r>
            <w:r w:rsidR="00F93273">
              <w:rPr>
                <w:sz w:val="20"/>
                <w:szCs w:val="20"/>
              </w:rPr>
              <w:t>4.68</w:t>
            </w:r>
          </w:p>
        </w:tc>
        <w:tc>
          <w:tcPr>
            <w:tcW w:w="0" w:type="auto"/>
            <w:vAlign w:val="center"/>
          </w:tcPr>
          <w:p w:rsidRPr="00814AD2" w:rsidR="00665BC8" w:rsidP="00743AF8" w:rsidRDefault="00665BC8" w14:paraId="5DFBF1BB" w14:textId="6267FFEB">
            <w:pPr>
              <w:spacing w:after="0"/>
              <w:jc w:val="center"/>
              <w:rPr>
                <w:sz w:val="20"/>
                <w:szCs w:val="20"/>
              </w:rPr>
            </w:pPr>
            <w:r w:rsidRPr="00814AD2">
              <w:rPr>
                <w:sz w:val="20"/>
                <w:szCs w:val="20"/>
              </w:rPr>
              <w:t>10</w:t>
            </w:r>
            <w:r w:rsidR="00F93273">
              <w:rPr>
                <w:sz w:val="20"/>
                <w:szCs w:val="20"/>
              </w:rPr>
              <w:t>9.36</w:t>
            </w:r>
          </w:p>
        </w:tc>
      </w:tr>
    </w:tbl>
    <w:p w:rsidR="005038E4" w:rsidP="00665BC8" w:rsidRDefault="005038E4" w14:paraId="01BC65FB" w14:textId="77777777">
      <w:pPr>
        <w:ind w:left="220" w:right="96"/>
        <w:rPr>
          <w:szCs w:val="20"/>
        </w:rPr>
      </w:pPr>
    </w:p>
    <w:p w:rsidR="00B43534" w:rsidP="0095356F" w:rsidRDefault="005038E4" w14:paraId="020CE0D0" w14:textId="209A3DB6">
      <w:pPr>
        <w:pStyle w:val="Heading3"/>
        <w:numPr>
          <w:ilvl w:val="0"/>
          <w:numId w:val="32"/>
        </w:numPr>
      </w:pPr>
      <w:r>
        <w:t>Framework for Understanding the Burden of MIPS Data Submission</w:t>
      </w:r>
    </w:p>
    <w:p w:rsidRPr="009822F0" w:rsidR="005038E4" w:rsidP="00730BEF" w:rsidRDefault="005038E4" w14:paraId="4C6BEC3D" w14:textId="3EDC6F88">
      <w:pPr>
        <w:spacing w:after="0"/>
      </w:pPr>
      <w:r w:rsidRPr="009822F0">
        <w:t xml:space="preserve">Because of the wide range of information collection requirements under MIPS, Table 2 </w:t>
      </w:r>
      <w:r w:rsidRPr="009C4D33" w:rsidR="00950908">
        <w:rPr>
          <w:rFonts w:eastAsia="Calibri"/>
        </w:rPr>
        <w:t xml:space="preserve">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As shown in the first row of </w:t>
      </w:r>
      <w:r w:rsidRPr="009822F0">
        <w:t xml:space="preserve">Table </w:t>
      </w:r>
      <w:r>
        <w:t>2</w:t>
      </w:r>
      <w:r w:rsidRPr="00004791">
        <w:t>,</w:t>
      </w:r>
      <w:r w:rsidRPr="009822F0">
        <w:t xml:space="preserve"> </w:t>
      </w:r>
      <w:r w:rsidRPr="009A5CDC" w:rsidR="009A5CDC">
        <w:t>MIPS eligible clinicians that are not in MIPS APMs and other clinicians voluntarily submitting data will submit data either as individuals, groups, or virtual groups for the quality, Promoting Interoperability, and improvement activities performance categories.</w:t>
      </w:r>
      <w:r w:rsidR="009A5CDC">
        <w:t xml:space="preserve">  </w:t>
      </w:r>
      <w:r w:rsidRPr="009A5CDC" w:rsidR="009A5CDC">
        <w:t>Because MIPS eligible clinicians are not required to submit any additional information for assessment under the cost performance category, the administrative claims data used for the cost performance category is not represented in Table</w:t>
      </w:r>
      <w:r w:rsidR="009A5CDC">
        <w:t xml:space="preserve"> </w:t>
      </w:r>
      <w:r>
        <w:t>2</w:t>
      </w:r>
      <w:r w:rsidRPr="00004791">
        <w:t>.</w:t>
      </w:r>
      <w:r w:rsidRPr="009822F0">
        <w:t xml:space="preserve">  </w:t>
      </w:r>
    </w:p>
    <w:p w:rsidR="00196B45" w:rsidP="00730BEF" w:rsidRDefault="00196B45" w14:paraId="36F89BB9" w14:textId="77777777">
      <w:pPr>
        <w:spacing w:after="0"/>
      </w:pPr>
    </w:p>
    <w:p w:rsidR="00196B45" w:rsidP="00730BEF" w:rsidRDefault="00B77A2E" w14:paraId="7A7ACB31" w14:textId="4AD73254">
      <w:pPr>
        <w:spacing w:after="0"/>
        <w:rPr>
          <w:rFonts w:eastAsia="Calibri"/>
        </w:rPr>
      </w:pPr>
      <w:r w:rsidRPr="00CC2BFB">
        <w:rPr>
          <w:rFonts w:eastAsia="Calibri"/>
        </w:rPr>
        <w:t xml:space="preserve">For MIPS eligible clinicians participating in MIPS APMs, the organizations submitting data on behalf of MIPS eligible clinicians will vary between performance categories and, in some instances, between MIPS APMs.  For the 2020 MIPS performance period, the quality data submitted by MIPS APM participants reporting through the CMS Web Interface on behalf of their participant MIPS eligible clinicians will fulfill any MIPS submission requirements for the quality performance category.  For other MIPS APMs, the quality data submitted by APM Entities on behalf of their participant MIPS eligible clinicians will fulfill any MIPS submission requirements for the quality performance category if that data is available to be scored. </w:t>
      </w:r>
      <w:r w:rsidRPr="00CC2BFB">
        <w:t xml:space="preserve"> </w:t>
      </w:r>
      <w:r w:rsidRPr="00CC2BFB">
        <w:rPr>
          <w:rFonts w:eastAsia="Calibri"/>
        </w:rPr>
        <w:t xml:space="preserve">However, </w:t>
      </w:r>
      <w:r>
        <w:rPr>
          <w:rFonts w:eastAsia="Calibri"/>
        </w:rPr>
        <w:t xml:space="preserve">as finalized </w:t>
      </w:r>
      <w:r w:rsidRPr="00CC2BFB">
        <w:rPr>
          <w:rFonts w:eastAsia="Calibri"/>
        </w:rPr>
        <w:t xml:space="preserve">in </w:t>
      </w:r>
      <w:r w:rsidRPr="00753B90">
        <w:rPr>
          <w:rFonts w:eastAsia="Calibri"/>
        </w:rPr>
        <w:t>section III.K.3.c.(5)(c)(i)(A) of th</w:t>
      </w:r>
      <w:r w:rsidR="001B25F0">
        <w:rPr>
          <w:rFonts w:eastAsia="Calibri"/>
        </w:rPr>
        <w:t>e CY 2020 PFS final</w:t>
      </w:r>
      <w:r w:rsidRPr="00753B90">
        <w:rPr>
          <w:rFonts w:eastAsia="Calibri"/>
        </w:rPr>
        <w:t xml:space="preserve"> rule</w:t>
      </w:r>
      <w:r w:rsidRPr="00CC2BFB">
        <w:rPr>
          <w:rFonts w:eastAsia="Calibri"/>
        </w:rPr>
        <w:t xml:space="preserve">, beginning in the 2020 MIPS performance period, MIPS eligible clinicians participating in MIPS APMs whose APM quality data is not available for MIPS may elect to report MIPS quality measures at either the APM entity, individual, or TIN-level in a manner similar to our established policy for the Promoting Interoperability performance category under the APM scoring standard for purposes of the MIPS quality performance category. </w:t>
      </w:r>
      <w:r w:rsidRPr="00CC2BFB">
        <w:t xml:space="preserve"> </w:t>
      </w:r>
      <w:r w:rsidRPr="00CC2BFB">
        <w:rPr>
          <w:rFonts w:eastAsia="Calibri"/>
        </w:rPr>
        <w:t>If we determine there are not sufficient measures applicable and available, we will assign performance category weights as specified in § 414.1370(h)(5).</w:t>
      </w:r>
    </w:p>
    <w:p w:rsidR="001B25F0" w:rsidP="00730BEF" w:rsidRDefault="001B25F0" w14:paraId="28D2DAB1" w14:textId="77777777">
      <w:pPr>
        <w:spacing w:after="0"/>
      </w:pPr>
    </w:p>
    <w:p w:rsidR="0038472C" w:rsidP="00730BEF" w:rsidRDefault="00270D44" w14:paraId="1B41C6BA" w14:textId="1301E43A">
      <w:pPr>
        <w:spacing w:after="0"/>
      </w:pPr>
      <w:r w:rsidRPr="00270D44">
        <w:t xml:space="preserve">For the Promoting Interoperability performance category, group TINs may submit data on behalf of eligible clinicians in MIPS APMs, or eligible clinicians in MIPS APMs may submit data individually.  For the improvement activities performance category, we will assume no reporting burden for MIPS APM participants.  In the CY 2017 Quality Payment Program final rule, we described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00270D44" w:rsidP="00730BEF" w:rsidRDefault="00270D44" w14:paraId="4A9D3313" w14:textId="77777777">
      <w:pPr>
        <w:spacing w:after="0"/>
      </w:pPr>
    </w:p>
    <w:p w:rsidR="005038E4" w:rsidP="00730BEF" w:rsidRDefault="005038E4" w14:paraId="69AAB069" w14:textId="25CF42C8">
      <w:pPr>
        <w:spacing w:after="0"/>
      </w:pPr>
      <w:r w:rsidRPr="00C47150">
        <w:t>Advanced APM participants who are determined to be Partial QPs may incur additional burden if they elect to participate in MIPS, which is discussed in more detail in the CY 2018 Quality Payment Program final rule</w:t>
      </w:r>
      <w:r>
        <w:t xml:space="preserve"> </w:t>
      </w:r>
      <w:r w:rsidRPr="00C47150">
        <w:t>(82 FR 53841 through 53844), but other than the election to participate in MIPS, we do not have data to estimate that burden.</w:t>
      </w:r>
    </w:p>
    <w:p w:rsidRPr="00C47150" w:rsidR="005038E4" w:rsidP="005038E4" w:rsidRDefault="005038E4" w14:paraId="5F6E4DF3" w14:textId="77777777">
      <w:pPr>
        <w:spacing w:after="0"/>
        <w:ind w:firstLine="720"/>
        <w:rPr>
          <w:b/>
          <w:bCs/>
        </w:rPr>
      </w:pPr>
    </w:p>
    <w:p w:rsidRPr="00C47150" w:rsidR="005038E4" w:rsidP="007A136F" w:rsidRDefault="005038E4" w14:paraId="543EAEBE" w14:textId="44A87F6E">
      <w:pPr>
        <w:keepNext/>
        <w:keepLines/>
        <w:spacing w:after="0"/>
        <w:jc w:val="center"/>
        <w:rPr>
          <w:b/>
          <w:bCs/>
        </w:rPr>
      </w:pPr>
      <w:r w:rsidRPr="00C47150">
        <w:rPr>
          <w:b/>
          <w:bCs/>
        </w:rPr>
        <w:t xml:space="preserve">TABLE </w:t>
      </w:r>
      <w:r>
        <w:rPr>
          <w:b/>
          <w:bCs/>
        </w:rPr>
        <w:t>2</w:t>
      </w:r>
      <w:r w:rsidRPr="00C47150">
        <w:rPr>
          <w:b/>
          <w:bCs/>
        </w:rPr>
        <w:t>: Clinicians or Organizations Submitting MIPS Data on Behalf of Clinicians, by Type of Data and Category of Clinician*</w:t>
      </w:r>
    </w:p>
    <w:tbl>
      <w:tblPr>
        <w:tblW w:w="0" w:type="auto"/>
        <w:jc w:val="center"/>
        <w:tblLayout w:type="fixed"/>
        <w:tblLook w:val="04A0" w:firstRow="1" w:lastRow="0" w:firstColumn="1" w:lastColumn="0" w:noHBand="0" w:noVBand="1"/>
      </w:tblPr>
      <w:tblGrid>
        <w:gridCol w:w="2053"/>
        <w:gridCol w:w="1727"/>
        <w:gridCol w:w="2070"/>
        <w:gridCol w:w="1928"/>
        <w:gridCol w:w="1577"/>
      </w:tblGrid>
      <w:tr w:rsidRPr="00C47150" w:rsidR="005038E4" w:rsidTr="00FC7A11" w14:paraId="14F127D4"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A136F" w:rsidRDefault="005038E4" w14:paraId="03C29FDF" w14:textId="77777777">
            <w:pPr>
              <w:keepNext/>
              <w:keepLines/>
              <w:spacing w:after="0"/>
              <w:rPr>
                <w:b/>
                <w:sz w:val="20"/>
                <w:szCs w:val="20"/>
              </w:rPr>
            </w:pPr>
          </w:p>
        </w:tc>
        <w:tc>
          <w:tcPr>
            <w:tcW w:w="7302" w:type="dxa"/>
            <w:gridSpan w:val="4"/>
            <w:tcBorders>
              <w:top w:val="single" w:color="auto" w:sz="4" w:space="0"/>
              <w:left w:val="single" w:color="auto" w:sz="4" w:space="0"/>
              <w:bottom w:val="single" w:color="auto" w:sz="4" w:space="0"/>
              <w:right w:val="single" w:color="auto" w:sz="4" w:space="0"/>
            </w:tcBorders>
          </w:tcPr>
          <w:p w:rsidRPr="000212B8" w:rsidR="005038E4" w:rsidP="007A136F" w:rsidRDefault="005038E4" w14:paraId="5C7BD041" w14:textId="77777777">
            <w:pPr>
              <w:keepNext/>
              <w:keepLines/>
              <w:spacing w:after="0"/>
              <w:rPr>
                <w:b/>
                <w:bCs/>
                <w:sz w:val="20"/>
                <w:szCs w:val="20"/>
              </w:rPr>
            </w:pPr>
            <w:r w:rsidRPr="000212B8">
              <w:rPr>
                <w:b/>
                <w:bCs/>
                <w:sz w:val="20"/>
                <w:szCs w:val="20"/>
              </w:rPr>
              <w:t>Type of Data Submitted</w:t>
            </w:r>
          </w:p>
        </w:tc>
      </w:tr>
      <w:tr w:rsidRPr="00C47150" w:rsidR="005038E4" w:rsidTr="00FC7A11"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291BE2B" w14:textId="77777777">
            <w:pPr>
              <w:spacing w:after="0"/>
              <w:rPr>
                <w:b/>
                <w:sz w:val="20"/>
                <w:szCs w:val="20"/>
              </w:rPr>
            </w:pPr>
          </w:p>
          <w:p w:rsidRPr="000212B8" w:rsidR="005038E4" w:rsidP="00743AF8" w:rsidRDefault="005038E4" w14:paraId="2C393C68" w14:textId="77777777">
            <w:pPr>
              <w:spacing w:after="0"/>
              <w:rPr>
                <w:b/>
                <w:bCs/>
                <w:sz w:val="20"/>
                <w:szCs w:val="20"/>
              </w:rPr>
            </w:pPr>
            <w:r w:rsidRPr="000212B8">
              <w:rPr>
                <w:b/>
                <w:bCs/>
                <w:sz w:val="20"/>
                <w:szCs w:val="20"/>
              </w:rPr>
              <w:t>Category of Clinician</w:t>
            </w:r>
          </w:p>
        </w:tc>
        <w:tc>
          <w:tcPr>
            <w:tcW w:w="1727"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77777777">
            <w:pPr>
              <w:spacing w:after="0"/>
              <w:rPr>
                <w:sz w:val="20"/>
                <w:szCs w:val="20"/>
              </w:rPr>
            </w:pPr>
            <w:r w:rsidRPr="000212B8">
              <w:rPr>
                <w:b/>
                <w:bCs/>
                <w:sz w:val="20"/>
                <w:szCs w:val="20"/>
              </w:rPr>
              <w:t>Quality Performance Category</w:t>
            </w:r>
          </w:p>
        </w:tc>
        <w:tc>
          <w:tcPr>
            <w:tcW w:w="2070"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77777777">
            <w:pPr>
              <w:spacing w:after="0"/>
              <w:rPr>
                <w:sz w:val="20"/>
                <w:szCs w:val="20"/>
              </w:rPr>
            </w:pPr>
            <w:r w:rsidRPr="000212B8">
              <w:rPr>
                <w:b/>
                <w:bCs/>
                <w:sz w:val="20"/>
                <w:szCs w:val="20"/>
              </w:rPr>
              <w:t>PI Performance Category</w:t>
            </w:r>
          </w:p>
        </w:tc>
        <w:tc>
          <w:tcPr>
            <w:tcW w:w="1928"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77777777">
            <w:pPr>
              <w:spacing w:after="0"/>
              <w:rPr>
                <w:sz w:val="20"/>
                <w:szCs w:val="20"/>
              </w:rPr>
            </w:pPr>
            <w:r w:rsidRPr="000212B8">
              <w:rPr>
                <w:b/>
                <w:bCs/>
                <w:sz w:val="20"/>
                <w:szCs w:val="20"/>
              </w:rPr>
              <w:t>Improvement Activities Performance Category</w:t>
            </w:r>
          </w:p>
        </w:tc>
        <w:tc>
          <w:tcPr>
            <w:tcW w:w="1577"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5038E4" w:rsidTr="00FC7A11"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430537A6" w14:textId="2E91A87A">
            <w:pPr>
              <w:spacing w:after="0"/>
              <w:rPr>
                <w:b/>
                <w:bCs/>
                <w:sz w:val="20"/>
                <w:szCs w:val="20"/>
              </w:rPr>
            </w:pPr>
            <w:r w:rsidRPr="00826109">
              <w:rPr>
                <w:b/>
                <w:bCs/>
                <w:sz w:val="20"/>
                <w:szCs w:val="20"/>
              </w:rPr>
              <w:t xml:space="preserve">MIPS Eligible Clinicians (not in MIPS APMs) and Other </w:t>
            </w:r>
            <w:r w:rsidR="0069322F">
              <w:rPr>
                <w:b/>
                <w:bCs/>
                <w:sz w:val="20"/>
                <w:szCs w:val="20"/>
              </w:rPr>
              <w:t xml:space="preserve">Eligible </w:t>
            </w:r>
            <w:r w:rsidRPr="00826109">
              <w:rPr>
                <w:b/>
                <w:bCs/>
                <w:sz w:val="20"/>
                <w:szCs w:val="20"/>
              </w:rPr>
              <w:t>Clinicians Voluntarily Submitting Data</w:t>
            </w:r>
            <w:r w:rsidRPr="00826109">
              <w:rPr>
                <w:b/>
                <w:bCs/>
                <w:sz w:val="20"/>
                <w:szCs w:val="20"/>
                <w:vertAlign w:val="superscript"/>
              </w:rPr>
              <w:footnoteReference w:id="6"/>
            </w:r>
          </w:p>
        </w:tc>
        <w:tc>
          <w:tcPr>
            <w:tcW w:w="172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3A34B2F9" w14:textId="1733B4D8">
            <w:pPr>
              <w:spacing w:after="0"/>
              <w:rPr>
                <w:sz w:val="20"/>
                <w:szCs w:val="20"/>
              </w:rPr>
            </w:pPr>
            <w:r w:rsidRPr="00826109">
              <w:rPr>
                <w:sz w:val="20"/>
                <w:szCs w:val="20"/>
              </w:rPr>
              <w:t>As group or individual clinicians</w:t>
            </w:r>
          </w:p>
        </w:tc>
        <w:tc>
          <w:tcPr>
            <w:tcW w:w="2070"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12C2C1DE" w14:textId="5987429D">
            <w:pPr>
              <w:spacing w:after="0"/>
              <w:rPr>
                <w:sz w:val="20"/>
                <w:szCs w:val="20"/>
              </w:rPr>
            </w:pPr>
            <w:r w:rsidRPr="00826109">
              <w:rPr>
                <w:sz w:val="20"/>
                <w:szCs w:val="20"/>
              </w:rPr>
              <w:t>As group or individual</w:t>
            </w:r>
            <w:r>
              <w:rPr>
                <w:sz w:val="20"/>
                <w:szCs w:val="20"/>
              </w:rPr>
              <w:t xml:space="preserve"> clinicians</w:t>
            </w:r>
            <w:r w:rsidRPr="00826109">
              <w:rPr>
                <w:sz w:val="20"/>
                <w:szCs w:val="20"/>
              </w:rPr>
              <w:t>.</w:t>
            </w:r>
          </w:p>
          <w:p w:rsidRPr="00826109" w:rsidR="005038E4" w:rsidP="00743AF8" w:rsidRDefault="005038E4" w14:paraId="54941918" w14:textId="7B30FC3D">
            <w:pPr>
              <w:spacing w:after="0"/>
              <w:rPr>
                <w:sz w:val="20"/>
                <w:szCs w:val="20"/>
              </w:rPr>
            </w:pPr>
            <w:r>
              <w:rPr>
                <w:sz w:val="20"/>
                <w:szCs w:val="20"/>
              </w:rPr>
              <w:t>C</w:t>
            </w:r>
            <w:r w:rsidRPr="00826109">
              <w:rPr>
                <w:sz w:val="20"/>
                <w:szCs w:val="20"/>
              </w:rPr>
              <w:t xml:space="preserve">linicians who </w:t>
            </w:r>
            <w:r>
              <w:rPr>
                <w:sz w:val="20"/>
                <w:szCs w:val="20"/>
              </w:rPr>
              <w:t>are hospital-based</w:t>
            </w:r>
            <w:r w:rsidRPr="00826109">
              <w:rPr>
                <w:sz w:val="20"/>
                <w:szCs w:val="20"/>
              </w:rPr>
              <w:t>, ambulatory surgical center</w:t>
            </w:r>
            <w:r>
              <w:rPr>
                <w:sz w:val="20"/>
                <w:szCs w:val="20"/>
              </w:rPr>
              <w:t>-</w:t>
            </w:r>
            <w:r w:rsidRPr="00826109">
              <w:rPr>
                <w:sz w:val="20"/>
                <w:szCs w:val="20"/>
              </w:rPr>
              <w:t>based, non-patient facing,</w:t>
            </w:r>
            <w:r>
              <w:rPr>
                <w:sz w:val="20"/>
                <w:szCs w:val="20"/>
              </w:rPr>
              <w:t xml:space="preserve"> </w:t>
            </w:r>
            <w:r w:rsidRPr="00390DC0">
              <w:rPr>
                <w:sz w:val="20"/>
                <w:szCs w:val="20"/>
              </w:rPr>
              <w:t>physician assistants, nurse practitioners, clinician nurse specialists, certified registered nurse anesthetists</w:t>
            </w:r>
            <w:r>
              <w:rPr>
                <w:sz w:val="20"/>
                <w:szCs w:val="20"/>
              </w:rPr>
              <w:t>,</w:t>
            </w:r>
            <w:r w:rsidRPr="00826109">
              <w:rPr>
                <w:sz w:val="20"/>
                <w:szCs w:val="20"/>
              </w:rPr>
              <w:t xml:space="preserve"> physical therapists, occupational therapists, </w:t>
            </w:r>
            <w:r w:rsidR="00E326A7">
              <w:rPr>
                <w:rFonts w:eastAsia="Calibri"/>
                <w:sz w:val="20"/>
                <w:szCs w:val="20"/>
              </w:rPr>
              <w:t>qualified speech-language pathologists, qualified audiologists</w:t>
            </w:r>
            <w:r w:rsidRPr="00826109">
              <w:rPr>
                <w:sz w:val="20"/>
                <w:szCs w:val="20"/>
              </w:rPr>
              <w:t xml:space="preserve">, and </w:t>
            </w:r>
            <w:r w:rsidR="00E326A7">
              <w:rPr>
                <w:rFonts w:eastAsia="Calibri"/>
                <w:sz w:val="20"/>
                <w:szCs w:val="20"/>
              </w:rPr>
              <w:t>registered dieticians or nutrition professionals</w:t>
            </w:r>
            <w:r w:rsidRPr="003428D4" w:rsidR="00E326A7">
              <w:rPr>
                <w:rFonts w:eastAsia="Calibri"/>
                <w:sz w:val="20"/>
                <w:szCs w:val="20"/>
              </w:rPr>
              <w:t xml:space="preserve"> </w:t>
            </w:r>
            <w:r w:rsidRPr="00826109">
              <w:rPr>
                <w:sz w:val="20"/>
                <w:szCs w:val="20"/>
              </w:rPr>
              <w:t>are automatically eligible for a zero percent weighting for the</w:t>
            </w:r>
            <w:r>
              <w:rPr>
                <w:sz w:val="20"/>
                <w:szCs w:val="20"/>
              </w:rPr>
              <w:t xml:space="preserve"> Promoting Interoperability </w:t>
            </w:r>
            <w:r w:rsidRPr="00826109">
              <w:rPr>
                <w:sz w:val="20"/>
                <w:szCs w:val="20"/>
              </w:rPr>
              <w:t xml:space="preserve">performance category.  Clinicians </w:t>
            </w:r>
            <w:r w:rsidR="00D257D9">
              <w:rPr>
                <w:sz w:val="20"/>
                <w:szCs w:val="20"/>
              </w:rPr>
              <w:t xml:space="preserve">who submit an application and are </w:t>
            </w:r>
            <w:r w:rsidRPr="00826109">
              <w:rPr>
                <w:sz w:val="20"/>
                <w:szCs w:val="20"/>
              </w:rPr>
              <w:t xml:space="preserve">approved for significant hardship </w:t>
            </w:r>
            <w:r w:rsidR="0069322F">
              <w:rPr>
                <w:sz w:val="20"/>
                <w:szCs w:val="20"/>
              </w:rPr>
              <w:t xml:space="preserve">or other </w:t>
            </w:r>
            <w:r w:rsidRPr="00826109">
              <w:rPr>
                <w:sz w:val="20"/>
                <w:szCs w:val="20"/>
              </w:rPr>
              <w:t>exceptions are also eligible for a zero percent weighting.</w:t>
            </w:r>
          </w:p>
        </w:tc>
        <w:tc>
          <w:tcPr>
            <w:tcW w:w="1928"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50939771" w14:textId="35135A0D">
            <w:pPr>
              <w:spacing w:after="0"/>
              <w:rPr>
                <w:sz w:val="20"/>
                <w:szCs w:val="20"/>
              </w:rPr>
            </w:pPr>
            <w:r w:rsidRPr="00826109">
              <w:rPr>
                <w:sz w:val="20"/>
                <w:szCs w:val="20"/>
              </w:rPr>
              <w:t>As group or individual clinicians</w:t>
            </w:r>
          </w:p>
        </w:tc>
        <w:tc>
          <w:tcPr>
            <w:tcW w:w="157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4925AF34" w14:textId="77777777">
            <w:pPr>
              <w:spacing w:after="0"/>
              <w:rPr>
                <w:sz w:val="20"/>
                <w:szCs w:val="20"/>
              </w:rPr>
            </w:pPr>
            <w:r w:rsidRPr="00826109">
              <w:rPr>
                <w:sz w:val="20"/>
                <w:szCs w:val="20"/>
              </w:rPr>
              <w:t xml:space="preserve">Groups electing to use a CMS-approved survey vendor to administer CAHPS must register.  </w:t>
            </w:r>
          </w:p>
          <w:p w:rsidRPr="00826109" w:rsidR="005038E4" w:rsidP="00743AF8" w:rsidRDefault="005038E4" w14:paraId="45BF3FF9" w14:textId="77777777">
            <w:pPr>
              <w:spacing w:after="0"/>
              <w:rPr>
                <w:sz w:val="20"/>
                <w:szCs w:val="20"/>
              </w:rPr>
            </w:pPr>
            <w:r w:rsidRPr="00826109">
              <w:rPr>
                <w:sz w:val="20"/>
                <w:szCs w:val="20"/>
              </w:rPr>
              <w:t xml:space="preserve">Groups electing to submit via CMS Web Interface for the first time must register.  </w:t>
            </w:r>
          </w:p>
          <w:p w:rsidRPr="00826109" w:rsidR="005038E4" w:rsidP="00743AF8" w:rsidRDefault="005038E4" w14:paraId="55060461" w14:textId="77777777">
            <w:pPr>
              <w:spacing w:after="0"/>
              <w:rPr>
                <w:sz w:val="20"/>
                <w:szCs w:val="20"/>
              </w:rPr>
            </w:pPr>
            <w:r w:rsidRPr="00826109">
              <w:rPr>
                <w:sz w:val="20"/>
                <w:szCs w:val="20"/>
              </w:rPr>
              <w:t xml:space="preserve">Virtual groups must register via email.  </w:t>
            </w:r>
          </w:p>
        </w:tc>
      </w:tr>
      <w:tr w:rsidRPr="00C47150" w:rsidR="005038E4" w:rsidTr="00FC7A11" w14:paraId="7AFF8347"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64036F" w:rsidR="005038E4" w:rsidP="00743AF8" w:rsidRDefault="005038E4" w14:paraId="345EE08F" w14:textId="77777777">
            <w:pPr>
              <w:spacing w:after="0"/>
              <w:rPr>
                <w:b/>
                <w:bCs/>
                <w:sz w:val="20"/>
                <w:szCs w:val="20"/>
              </w:rPr>
            </w:pPr>
            <w:bookmarkStart w:name="_Hlk515475421" w:id="0"/>
            <w:r w:rsidRPr="0064036F">
              <w:rPr>
                <w:b/>
                <w:bCs/>
                <w:sz w:val="20"/>
                <w:szCs w:val="20"/>
              </w:rPr>
              <w:t>Eligible Clinicians participating in the Shared Savings Program or Next Generation ACO Model (both MIPS APMs)</w:t>
            </w:r>
          </w:p>
        </w:tc>
        <w:tc>
          <w:tcPr>
            <w:tcW w:w="172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36D995F5" w14:textId="2FF7F1CD">
            <w:pPr>
              <w:spacing w:after="0"/>
              <w:rPr>
                <w:sz w:val="20"/>
                <w:szCs w:val="20"/>
              </w:rPr>
            </w:pPr>
            <w:r w:rsidRPr="00826109">
              <w:rPr>
                <w:sz w:val="20"/>
                <w:szCs w:val="20"/>
              </w:rPr>
              <w:t>ACOs submit to the CMS Web Interface and CAHPS for ACOs on behalf of their participating MIPS eligible clinicians.</w:t>
            </w:r>
            <w:r w:rsidR="0038472C">
              <w:rPr>
                <w:sz w:val="20"/>
                <w:szCs w:val="20"/>
              </w:rPr>
              <w:t xml:space="preserve">  If the ACO does not submit quality data, MIPS eligible clinicians participating in MIPS APMs may elect to report individually or at the TIN</w:t>
            </w:r>
            <w:r w:rsidR="00875204">
              <w:rPr>
                <w:sz w:val="20"/>
                <w:szCs w:val="20"/>
              </w:rPr>
              <w:t xml:space="preserve"> </w:t>
            </w:r>
            <w:r w:rsidR="0038472C">
              <w:rPr>
                <w:sz w:val="20"/>
                <w:szCs w:val="20"/>
              </w:rPr>
              <w:t>level</w:t>
            </w:r>
            <w:r w:rsidR="00C66295">
              <w:rPr>
                <w:sz w:val="20"/>
                <w:szCs w:val="20"/>
              </w:rPr>
              <w:t>.</w:t>
            </w:r>
            <w:r w:rsidR="00D31E55">
              <w:rPr>
                <w:rStyle w:val="FootnoteReference"/>
                <w:sz w:val="20"/>
                <w:szCs w:val="20"/>
              </w:rPr>
              <w:footnoteReference w:id="7"/>
            </w:r>
          </w:p>
          <w:p w:rsidRPr="00826109" w:rsidR="005038E4" w:rsidP="00743AF8" w:rsidRDefault="005038E4" w14:paraId="545AA0D5" w14:textId="69ED0AC1">
            <w:pPr>
              <w:spacing w:after="0"/>
              <w:rPr>
                <w:sz w:val="20"/>
                <w:szCs w:val="20"/>
              </w:rPr>
            </w:pPr>
            <w:r w:rsidRPr="00826109">
              <w:rPr>
                <w:sz w:val="20"/>
                <w:szCs w:val="20"/>
              </w:rPr>
              <w:t>[</w:t>
            </w:r>
            <w:r w:rsidR="00C66295">
              <w:rPr>
                <w:sz w:val="20"/>
                <w:szCs w:val="20"/>
              </w:rPr>
              <w:t>S</w:t>
            </w:r>
            <w:r w:rsidR="0069322F">
              <w:rPr>
                <w:sz w:val="20"/>
                <w:szCs w:val="20"/>
              </w:rPr>
              <w:t xml:space="preserve">ubmissions </w:t>
            </w:r>
            <w:r w:rsidR="00C66295">
              <w:rPr>
                <w:sz w:val="20"/>
                <w:szCs w:val="20"/>
              </w:rPr>
              <w:t xml:space="preserve">by the ACO </w:t>
            </w:r>
            <w:r w:rsidR="0069322F">
              <w:rPr>
                <w:sz w:val="20"/>
                <w:szCs w:val="20"/>
              </w:rPr>
              <w:t>are n</w:t>
            </w:r>
            <w:r w:rsidRPr="00826109">
              <w:rPr>
                <w:sz w:val="20"/>
                <w:szCs w:val="20"/>
              </w:rPr>
              <w:t>ot included in burden estimate</w:t>
            </w:r>
            <w:r w:rsidR="00390730">
              <w:rPr>
                <w:sz w:val="20"/>
                <w:szCs w:val="20"/>
              </w:rPr>
              <w:t xml:space="preserve">s </w:t>
            </w:r>
            <w:r w:rsidRPr="00826109">
              <w:rPr>
                <w:sz w:val="20"/>
                <w:szCs w:val="20"/>
              </w:rPr>
              <w:t xml:space="preserve">because quality data submission to fulfill requirements of the Shared Savings Program and </w:t>
            </w:r>
            <w:r>
              <w:rPr>
                <w:sz w:val="20"/>
                <w:szCs w:val="20"/>
              </w:rPr>
              <w:t xml:space="preserve">for purposes of testing and evaluating the </w:t>
            </w:r>
            <w:r w:rsidRPr="00826109">
              <w:rPr>
                <w:sz w:val="20"/>
                <w:szCs w:val="20"/>
              </w:rPr>
              <w:t>Next Generation ACO model Next Generation ACO models are not subject to the PRA].</w:t>
            </w:r>
            <w:r w:rsidRPr="00826109">
              <w:rPr>
                <w:sz w:val="20"/>
                <w:szCs w:val="20"/>
                <w:vertAlign w:val="superscript"/>
              </w:rPr>
              <w:footnoteReference w:id="8"/>
            </w:r>
          </w:p>
        </w:tc>
        <w:tc>
          <w:tcPr>
            <w:tcW w:w="2070"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33D8FA80" w14:textId="7AF1A86A">
            <w:pPr>
              <w:spacing w:after="0"/>
              <w:rPr>
                <w:sz w:val="20"/>
                <w:szCs w:val="20"/>
              </w:rPr>
            </w:pPr>
            <w:r w:rsidRPr="00826109">
              <w:rPr>
                <w:sz w:val="20"/>
                <w:szCs w:val="20"/>
              </w:rPr>
              <w:t>Each MIPS eligible clinician in the APM Entity reports</w:t>
            </w:r>
            <w:r w:rsidR="0069322F">
              <w:rPr>
                <w:sz w:val="20"/>
                <w:szCs w:val="20"/>
              </w:rPr>
              <w:t xml:space="preserve"> data for the</w:t>
            </w:r>
            <w:r>
              <w:rPr>
                <w:sz w:val="20"/>
                <w:szCs w:val="20"/>
              </w:rPr>
              <w:t xml:space="preserve"> Promoting Interoperability </w:t>
            </w:r>
            <w:r w:rsidR="0069322F">
              <w:rPr>
                <w:sz w:val="20"/>
                <w:szCs w:val="20"/>
              </w:rPr>
              <w:t xml:space="preserve">performance category </w:t>
            </w:r>
            <w:r w:rsidRPr="00826109">
              <w:rPr>
                <w:sz w:val="20"/>
                <w:szCs w:val="20"/>
              </w:rPr>
              <w:t xml:space="preserve">to MIPS through either group TIN or individual reporting.  </w:t>
            </w:r>
          </w:p>
          <w:p w:rsidRPr="00826109" w:rsidR="005038E4" w:rsidP="00743AF8" w:rsidRDefault="005038E4" w14:paraId="260EC24A" w14:textId="2ECDA5A8">
            <w:pPr>
              <w:spacing w:after="0"/>
              <w:rPr>
                <w:sz w:val="20"/>
                <w:szCs w:val="20"/>
              </w:rPr>
            </w:pPr>
            <w:r w:rsidRPr="00826109">
              <w:rPr>
                <w:sz w:val="20"/>
                <w:szCs w:val="20"/>
              </w:rPr>
              <w:t>[</w:t>
            </w:r>
            <w:r w:rsidR="0069322F">
              <w:rPr>
                <w:sz w:val="20"/>
                <w:szCs w:val="20"/>
              </w:rPr>
              <w:t>B</w:t>
            </w:r>
            <w:r w:rsidRPr="00826109">
              <w:rPr>
                <w:sz w:val="20"/>
                <w:szCs w:val="20"/>
              </w:rPr>
              <w:t>urden estimates assume group TIN-level reporting].</w:t>
            </w:r>
            <w:r w:rsidRPr="00826109">
              <w:rPr>
                <w:sz w:val="20"/>
                <w:szCs w:val="20"/>
                <w:vertAlign w:val="superscript"/>
              </w:rPr>
              <w:footnoteReference w:id="9"/>
            </w:r>
            <w:r w:rsidDel="00DC262C">
              <w:rPr>
                <w:rStyle w:val="CommentReference"/>
              </w:rPr>
              <w:t xml:space="preserve"> </w:t>
            </w:r>
          </w:p>
        </w:tc>
        <w:tc>
          <w:tcPr>
            <w:tcW w:w="1928"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1F4056CB" w14:textId="77777777">
            <w:pPr>
              <w:spacing w:after="0"/>
              <w:rPr>
                <w:sz w:val="20"/>
                <w:szCs w:val="20"/>
              </w:rPr>
            </w:pPr>
            <w:r w:rsidRPr="00826109">
              <w:rPr>
                <w:sz w:val="20"/>
                <w:szCs w:val="20"/>
              </w:rPr>
              <w:t>CMS will assign the improvement activities performance category score to each APM Entity group based on the activities involved in participation in the Shared Savings Program.</w:t>
            </w:r>
            <w:r w:rsidRPr="00826109">
              <w:rPr>
                <w:sz w:val="20"/>
                <w:szCs w:val="20"/>
                <w:vertAlign w:val="superscript"/>
              </w:rPr>
              <w:footnoteReference w:id="10"/>
            </w:r>
            <w:r w:rsidRPr="00826109">
              <w:rPr>
                <w:sz w:val="20"/>
                <w:szCs w:val="20"/>
              </w:rPr>
              <w:t xml:space="preserve">  </w:t>
            </w:r>
          </w:p>
          <w:p w:rsidRPr="00826109" w:rsidR="005038E4" w:rsidP="00743AF8" w:rsidRDefault="005038E4" w14:paraId="024E6F49" w14:textId="14A3BB73">
            <w:pPr>
              <w:spacing w:after="0"/>
              <w:rPr>
                <w:sz w:val="20"/>
                <w:szCs w:val="20"/>
              </w:rPr>
            </w:pPr>
            <w:r w:rsidRPr="00826109">
              <w:rPr>
                <w:sz w:val="20"/>
                <w:szCs w:val="20"/>
              </w:rPr>
              <w:t>[The burden estimates</w:t>
            </w:r>
            <w:r w:rsidR="00390730">
              <w:rPr>
                <w:sz w:val="20"/>
                <w:szCs w:val="20"/>
              </w:rPr>
              <w:t xml:space="preserve"> </w:t>
            </w:r>
            <w:r w:rsidRPr="00826109">
              <w:rPr>
                <w:sz w:val="20"/>
                <w:szCs w:val="20"/>
              </w:rPr>
              <w:t>assume no improvement activity reporting burden for APM participants because we assume the MIPS APM model provides a maximum improvement activity performance category score.]</w:t>
            </w:r>
          </w:p>
        </w:tc>
        <w:tc>
          <w:tcPr>
            <w:tcW w:w="157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160FE637" w14:textId="77777777">
            <w:pPr>
              <w:spacing w:after="0"/>
              <w:rPr>
                <w:sz w:val="20"/>
                <w:szCs w:val="20"/>
              </w:rPr>
            </w:pPr>
            <w:r w:rsidRPr="00826109">
              <w:rPr>
                <w:sz w:val="20"/>
                <w:szCs w:val="20"/>
              </w:rPr>
              <w:t>Advanced APM Entities will make election for participating MIPS eligible clinicians.</w:t>
            </w:r>
          </w:p>
        </w:tc>
      </w:tr>
      <w:tr w:rsidRPr="00C47150" w:rsidR="005038E4" w:rsidTr="00FC7A11" w14:paraId="75B39216"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64036F" w:rsidR="005038E4" w:rsidP="00743AF8" w:rsidRDefault="005038E4" w14:paraId="375C2D95" w14:textId="77777777">
            <w:pPr>
              <w:spacing w:after="0"/>
              <w:rPr>
                <w:sz w:val="20"/>
                <w:szCs w:val="20"/>
              </w:rPr>
            </w:pPr>
            <w:bookmarkStart w:name="_Hlk515475551" w:id="1"/>
            <w:r w:rsidRPr="0064036F">
              <w:rPr>
                <w:b/>
                <w:bCs/>
                <w:sz w:val="20"/>
                <w:szCs w:val="20"/>
              </w:rPr>
              <w:t>Eligible Clinicians participating in Other MIPS APMs</w:t>
            </w:r>
          </w:p>
        </w:tc>
        <w:tc>
          <w:tcPr>
            <w:tcW w:w="172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664D9175" w14:textId="45C2907D">
            <w:pPr>
              <w:spacing w:after="0"/>
              <w:rPr>
                <w:sz w:val="20"/>
                <w:szCs w:val="20"/>
              </w:rPr>
            </w:pPr>
            <w:r w:rsidRPr="00826109">
              <w:rPr>
                <w:sz w:val="20"/>
                <w:szCs w:val="20"/>
              </w:rPr>
              <w:t>APM Entities submit to MIPS on behalf of their participating MIPS eligible clinicians</w:t>
            </w:r>
            <w:r w:rsidR="00C66295">
              <w:rPr>
                <w:sz w:val="20"/>
                <w:szCs w:val="20"/>
              </w:rPr>
              <w:t>; however if the quality data is not available to MIPS in time for scoring</w:t>
            </w:r>
            <w:r w:rsidR="00596D03">
              <w:rPr>
                <w:sz w:val="20"/>
                <w:szCs w:val="20"/>
              </w:rPr>
              <w:t>, MIPS eligible clinicians participating in MIPS APMs may elect to report individually or at the TIN-level</w:t>
            </w:r>
            <w:r>
              <w:rPr>
                <w:sz w:val="20"/>
                <w:szCs w:val="20"/>
              </w:rPr>
              <w:t>.</w:t>
            </w:r>
            <w:r w:rsidRPr="00766B94" w:rsidR="00D31E55">
              <w:rPr>
                <w:vertAlign w:val="superscript"/>
              </w:rPr>
              <w:t>6</w:t>
            </w:r>
          </w:p>
          <w:p w:rsidRPr="00826109" w:rsidR="005038E4" w:rsidP="00743AF8" w:rsidRDefault="005038E4" w14:paraId="48D217A9" w14:textId="542DE759">
            <w:pPr>
              <w:spacing w:after="0"/>
              <w:rPr>
                <w:sz w:val="20"/>
                <w:szCs w:val="20"/>
              </w:rPr>
            </w:pPr>
            <w:r w:rsidRPr="00826109">
              <w:rPr>
                <w:sz w:val="20"/>
                <w:szCs w:val="20"/>
              </w:rPr>
              <w:t>[</w:t>
            </w:r>
            <w:r w:rsidR="00596D03">
              <w:rPr>
                <w:sz w:val="20"/>
                <w:szCs w:val="20"/>
              </w:rPr>
              <w:t>S</w:t>
            </w:r>
            <w:r w:rsidR="0069322F">
              <w:rPr>
                <w:sz w:val="20"/>
                <w:szCs w:val="20"/>
              </w:rPr>
              <w:t>ubmissions</w:t>
            </w:r>
            <w:r w:rsidR="00596D03">
              <w:rPr>
                <w:sz w:val="20"/>
                <w:szCs w:val="20"/>
              </w:rPr>
              <w:t xml:space="preserve"> mady </w:t>
            </w:r>
            <w:r w:rsidR="00F11992">
              <w:rPr>
                <w:sz w:val="20"/>
                <w:szCs w:val="20"/>
              </w:rPr>
              <w:t>by APM Entities to MIPS on behalf of their participating MIPS eligible clinicians</w:t>
            </w:r>
            <w:r w:rsidR="0069322F">
              <w:rPr>
                <w:sz w:val="20"/>
                <w:szCs w:val="20"/>
              </w:rPr>
              <w:t xml:space="preserve"> are n</w:t>
            </w:r>
            <w:r w:rsidRPr="00826109">
              <w:rPr>
                <w:sz w:val="20"/>
                <w:szCs w:val="20"/>
              </w:rPr>
              <w:t>ot included in burden estimate</w:t>
            </w:r>
            <w:r w:rsidR="0069322F">
              <w:rPr>
                <w:sz w:val="20"/>
                <w:szCs w:val="20"/>
              </w:rPr>
              <w:t xml:space="preserve">s </w:t>
            </w:r>
            <w:r w:rsidRPr="00826109">
              <w:rPr>
                <w:sz w:val="20"/>
                <w:szCs w:val="20"/>
              </w:rPr>
              <w:t xml:space="preserve">because quality data submission </w:t>
            </w:r>
            <w:r>
              <w:rPr>
                <w:sz w:val="20"/>
                <w:szCs w:val="20"/>
              </w:rPr>
              <w:t>for purposes of testing and evaluating</w:t>
            </w:r>
            <w:r w:rsidRPr="00826109">
              <w:rPr>
                <w:sz w:val="20"/>
                <w:szCs w:val="20"/>
              </w:rPr>
              <w:t xml:space="preserve"> Innovation Center models </w:t>
            </w:r>
            <w:r w:rsidRPr="00634B9F">
              <w:rPr>
                <w:sz w:val="20"/>
                <w:szCs w:val="20"/>
              </w:rPr>
              <w:t xml:space="preserve">tested under </w:t>
            </w:r>
            <w:r>
              <w:rPr>
                <w:sz w:val="20"/>
                <w:szCs w:val="20"/>
              </w:rPr>
              <w:t xml:space="preserve">Section </w:t>
            </w:r>
            <w:r w:rsidRPr="00634B9F">
              <w:rPr>
                <w:sz w:val="20"/>
                <w:szCs w:val="20"/>
              </w:rPr>
              <w:t xml:space="preserve">1115A of the </w:t>
            </w:r>
            <w:r>
              <w:rPr>
                <w:sz w:val="20"/>
                <w:szCs w:val="20"/>
              </w:rPr>
              <w:t xml:space="preserve">Social Security </w:t>
            </w:r>
            <w:r w:rsidRPr="00634B9F">
              <w:rPr>
                <w:sz w:val="20"/>
                <w:szCs w:val="20"/>
              </w:rPr>
              <w:t xml:space="preserve">Act (or </w:t>
            </w:r>
            <w:r>
              <w:rPr>
                <w:sz w:val="20"/>
                <w:szCs w:val="20"/>
              </w:rPr>
              <w:t xml:space="preserve">Section </w:t>
            </w:r>
            <w:r w:rsidRPr="00634B9F">
              <w:rPr>
                <w:sz w:val="20"/>
                <w:szCs w:val="20"/>
              </w:rPr>
              <w:t>3021 of the A</w:t>
            </w:r>
            <w:r>
              <w:rPr>
                <w:sz w:val="20"/>
                <w:szCs w:val="20"/>
              </w:rPr>
              <w:t xml:space="preserve">ffordable </w:t>
            </w:r>
            <w:r w:rsidRPr="00634B9F">
              <w:rPr>
                <w:sz w:val="20"/>
                <w:szCs w:val="20"/>
              </w:rPr>
              <w:t>C</w:t>
            </w:r>
            <w:r>
              <w:rPr>
                <w:sz w:val="20"/>
                <w:szCs w:val="20"/>
              </w:rPr>
              <w:t xml:space="preserve">are </w:t>
            </w:r>
            <w:r w:rsidRPr="00634B9F">
              <w:rPr>
                <w:sz w:val="20"/>
                <w:szCs w:val="20"/>
              </w:rPr>
              <w:t>A</w:t>
            </w:r>
            <w:r>
              <w:rPr>
                <w:sz w:val="20"/>
                <w:szCs w:val="20"/>
              </w:rPr>
              <w:t>ct)</w:t>
            </w:r>
            <w:r w:rsidRPr="00634B9F">
              <w:rPr>
                <w:sz w:val="20"/>
                <w:szCs w:val="20"/>
              </w:rPr>
              <w:t xml:space="preserve"> </w:t>
            </w:r>
            <w:r w:rsidRPr="00826109">
              <w:rPr>
                <w:sz w:val="20"/>
                <w:szCs w:val="20"/>
              </w:rPr>
              <w:t>are not subject to the PRA.]</w:t>
            </w:r>
          </w:p>
        </w:tc>
        <w:tc>
          <w:tcPr>
            <w:tcW w:w="2070"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3EE28649" w14:textId="3EDEB669">
            <w:pPr>
              <w:spacing w:after="0"/>
              <w:rPr>
                <w:sz w:val="20"/>
                <w:szCs w:val="20"/>
              </w:rPr>
            </w:pPr>
            <w:r w:rsidRPr="00826109">
              <w:rPr>
                <w:sz w:val="20"/>
                <w:szCs w:val="20"/>
              </w:rPr>
              <w:t>Each MIPS eligible clinician in the APM Entity reports</w:t>
            </w:r>
            <w:r>
              <w:rPr>
                <w:sz w:val="20"/>
                <w:szCs w:val="20"/>
              </w:rPr>
              <w:t xml:space="preserve"> </w:t>
            </w:r>
            <w:r w:rsidR="0069322F">
              <w:rPr>
                <w:sz w:val="20"/>
                <w:szCs w:val="20"/>
              </w:rPr>
              <w:t xml:space="preserve">data for the </w:t>
            </w:r>
            <w:r>
              <w:rPr>
                <w:sz w:val="20"/>
                <w:szCs w:val="20"/>
              </w:rPr>
              <w:t xml:space="preserve">Promoting Interoperability </w:t>
            </w:r>
            <w:r w:rsidR="0069322F">
              <w:rPr>
                <w:sz w:val="20"/>
                <w:szCs w:val="20"/>
              </w:rPr>
              <w:t xml:space="preserve">performance category </w:t>
            </w:r>
            <w:r w:rsidRPr="00826109">
              <w:rPr>
                <w:sz w:val="20"/>
                <w:szCs w:val="20"/>
              </w:rPr>
              <w:t xml:space="preserve">through either group TIN or individual reporting.  </w:t>
            </w:r>
          </w:p>
          <w:p w:rsidRPr="00826109" w:rsidR="005038E4" w:rsidP="00743AF8" w:rsidRDefault="005038E4" w14:paraId="13467AD6" w14:textId="24AAE8AF">
            <w:pPr>
              <w:spacing w:after="0"/>
              <w:rPr>
                <w:sz w:val="20"/>
                <w:szCs w:val="20"/>
              </w:rPr>
            </w:pPr>
            <w:r w:rsidRPr="00826109">
              <w:rPr>
                <w:sz w:val="20"/>
                <w:szCs w:val="20"/>
              </w:rPr>
              <w:t>[</w:t>
            </w:r>
            <w:bookmarkStart w:name="_Hlk515475690" w:id="2"/>
            <w:r w:rsidRPr="00826109">
              <w:rPr>
                <w:sz w:val="20"/>
                <w:szCs w:val="20"/>
              </w:rPr>
              <w:t>The burden estimates</w:t>
            </w:r>
            <w:r w:rsidR="00390730">
              <w:rPr>
                <w:sz w:val="20"/>
                <w:szCs w:val="20"/>
              </w:rPr>
              <w:t xml:space="preserve"> </w:t>
            </w:r>
            <w:r w:rsidRPr="00826109">
              <w:rPr>
                <w:sz w:val="20"/>
                <w:szCs w:val="20"/>
              </w:rPr>
              <w:t>assume group TIN-level reporting</w:t>
            </w:r>
            <w:bookmarkEnd w:id="2"/>
            <w:r w:rsidRPr="00826109">
              <w:rPr>
                <w:sz w:val="20"/>
                <w:szCs w:val="20"/>
              </w:rPr>
              <w:t>].</w:t>
            </w:r>
          </w:p>
        </w:tc>
        <w:tc>
          <w:tcPr>
            <w:tcW w:w="1928"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11E30ED4" w14:textId="77777777">
            <w:pPr>
              <w:spacing w:after="0"/>
              <w:rPr>
                <w:sz w:val="20"/>
                <w:szCs w:val="20"/>
              </w:rPr>
            </w:pPr>
            <w:r w:rsidRPr="00826109">
              <w:rPr>
                <w:sz w:val="20"/>
                <w:szCs w:val="20"/>
              </w:rPr>
              <w:t xml:space="preserve">CMS will assign the same improvement activities performance category score to each APM Entity based on the activities involved in participation in the MIPS APM.  </w:t>
            </w:r>
          </w:p>
          <w:p w:rsidRPr="00826109" w:rsidR="005038E4" w:rsidP="00743AF8" w:rsidRDefault="005038E4" w14:paraId="4EBC9F80" w14:textId="1B6F4BD5">
            <w:pPr>
              <w:spacing w:after="0"/>
              <w:rPr>
                <w:sz w:val="20"/>
                <w:szCs w:val="20"/>
              </w:rPr>
            </w:pPr>
            <w:r w:rsidRPr="00826109">
              <w:rPr>
                <w:sz w:val="20"/>
                <w:szCs w:val="20"/>
              </w:rPr>
              <w:t>[The burden estimates no improvement activities performance category reporting burden for APM participants because we assume the MIPS APM model provides a maximum improvement activity score.]</w:t>
            </w:r>
          </w:p>
        </w:tc>
        <w:tc>
          <w:tcPr>
            <w:tcW w:w="1577" w:type="dxa"/>
            <w:tcBorders>
              <w:top w:val="single" w:color="auto" w:sz="4" w:space="0"/>
              <w:left w:val="single" w:color="auto" w:sz="4" w:space="0"/>
              <w:bottom w:val="single" w:color="auto" w:sz="4" w:space="0"/>
              <w:right w:val="single" w:color="auto" w:sz="4" w:space="0"/>
            </w:tcBorders>
          </w:tcPr>
          <w:p w:rsidRPr="00826109" w:rsidR="005038E4" w:rsidP="00743AF8" w:rsidRDefault="005038E4" w14:paraId="353FCC17" w14:textId="0011164E">
            <w:pPr>
              <w:spacing w:after="0"/>
              <w:rPr>
                <w:sz w:val="20"/>
                <w:szCs w:val="20"/>
              </w:rPr>
            </w:pPr>
            <w:r w:rsidRPr="00826109">
              <w:rPr>
                <w:sz w:val="20"/>
                <w:szCs w:val="20"/>
              </w:rPr>
              <w:t>APM Entities will make election for participating eligible clinicians.</w:t>
            </w:r>
          </w:p>
          <w:p w:rsidRPr="00826109" w:rsidR="005038E4" w:rsidP="00743AF8" w:rsidRDefault="005038E4" w14:paraId="6B8558FB" w14:textId="77777777">
            <w:pPr>
              <w:spacing w:after="0"/>
              <w:rPr>
                <w:sz w:val="20"/>
                <w:szCs w:val="20"/>
              </w:rPr>
            </w:pPr>
          </w:p>
        </w:tc>
      </w:tr>
    </w:tbl>
    <w:bookmarkEnd w:id="0"/>
    <w:bookmarkEnd w:id="1"/>
    <w:p w:rsidR="005038E4" w:rsidP="005038E4" w:rsidRDefault="005038E4" w14:paraId="04F84E68" w14:textId="77777777">
      <w:pPr>
        <w:spacing w:after="0"/>
        <w:rPr>
          <w:sz w:val="20"/>
          <w:szCs w:val="20"/>
        </w:rPr>
      </w:pPr>
      <w:r w:rsidRPr="001558F5">
        <w:rPr>
          <w:sz w:val="20"/>
          <w:szCs w:val="20"/>
        </w:rPr>
        <w:t xml:space="preserve">* Because the cost performance category relies on administrative claims data, MIPS eligible clinicians are not </w:t>
      </w:r>
      <w:r>
        <w:rPr>
          <w:sz w:val="20"/>
          <w:szCs w:val="20"/>
        </w:rPr>
        <w:t>required</w:t>
      </w:r>
      <w:r w:rsidRPr="001558F5">
        <w:rPr>
          <w:sz w:val="20"/>
          <w:szCs w:val="20"/>
        </w:rPr>
        <w:t xml:space="preserve"> to provide any additional information</w:t>
      </w:r>
      <w:r>
        <w:rPr>
          <w:sz w:val="20"/>
          <w:szCs w:val="20"/>
        </w:rPr>
        <w:t>,</w:t>
      </w:r>
      <w:r w:rsidRPr="001558F5">
        <w:rPr>
          <w:sz w:val="20"/>
          <w:szCs w:val="20"/>
        </w:rPr>
        <w:t xml:space="preserve"> and therefore </w:t>
      </w:r>
      <w:r>
        <w:rPr>
          <w:sz w:val="20"/>
          <w:szCs w:val="20"/>
        </w:rPr>
        <w:t>the cost performance category</w:t>
      </w:r>
      <w:r w:rsidRPr="001558F5">
        <w:rPr>
          <w:sz w:val="20"/>
          <w:szCs w:val="20"/>
        </w:rPr>
        <w:t xml:space="preserve"> is not represented in this table. </w:t>
      </w:r>
    </w:p>
    <w:p w:rsidR="005038E4" w:rsidP="005038E4" w:rsidRDefault="005038E4" w14:paraId="11F75EB8" w14:textId="4CE0B7F4"/>
    <w:p w:rsidR="00C90045" w:rsidP="00730BEF" w:rsidRDefault="00C90045" w14:paraId="63FDD90A" w14:textId="0F9AB539">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9A1A8C">
        <w:t xml:space="preserve"> </w:t>
      </w:r>
      <w:r w:rsidR="008A71A5">
        <w:t xml:space="preserve">and CY 2020 </w:t>
      </w:r>
      <w:r w:rsidR="009A1A8C">
        <w:t>PFS final rule</w:t>
      </w:r>
      <w:r w:rsidR="008A71A5">
        <w:t>s</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Pr="00C90045">
        <w:t>which were previously approved by OMB under the control numbers 0938-1314 (Quality Payment Program</w:t>
      </w:r>
      <w:r w:rsidR="00FD250B">
        <w:t>),</w:t>
      </w:r>
      <w:r w:rsidRPr="00C90045">
        <w:t xml:space="preserve"> are as follows:</w:t>
      </w:r>
    </w:p>
    <w:p w:rsidR="00C90045" w:rsidP="00730BEF" w:rsidRDefault="00C90045" w14:paraId="075A11CD" w14:textId="77777777">
      <w:pPr>
        <w:pStyle w:val="ListParagraph"/>
        <w:numPr>
          <w:ilvl w:val="0"/>
          <w:numId w:val="4"/>
        </w:numPr>
        <w:spacing w:after="200"/>
      </w:pPr>
      <w:r w:rsidRPr="00DB082D">
        <w:t xml:space="preserve">Self-nomination of new and returning QCDRs </w:t>
      </w:r>
    </w:p>
    <w:p w:rsidR="00C90045" w:rsidP="00730BEF" w:rsidRDefault="00C90045" w14:paraId="25699F8B" w14:textId="77777777">
      <w:pPr>
        <w:pStyle w:val="ListParagraph"/>
        <w:numPr>
          <w:ilvl w:val="0"/>
          <w:numId w:val="4"/>
        </w:numPr>
        <w:spacing w:after="200"/>
      </w:pPr>
      <w:r>
        <w:t>Self-nomination of new and returning qualified</w:t>
      </w:r>
      <w:r w:rsidRPr="00DB082D">
        <w:t xml:space="preserve"> registries </w:t>
      </w:r>
    </w:p>
    <w:p w:rsidR="00C90045" w:rsidP="00730BEF" w:rsidRDefault="00FD250B" w14:paraId="601A6891" w14:textId="6FEA8C70">
      <w:pPr>
        <w:pStyle w:val="ListParagraph"/>
        <w:numPr>
          <w:ilvl w:val="0"/>
          <w:numId w:val="4"/>
        </w:numPr>
        <w:spacing w:after="200"/>
      </w:pPr>
      <w:r>
        <w:t>Quality Payment Program Identity Management Application Process</w:t>
      </w:r>
    </w:p>
    <w:p w:rsidRPr="00DB082D" w:rsidR="00C90045" w:rsidP="00730BEF" w:rsidRDefault="00E326A7" w14:paraId="702A710B" w14:textId="23571790">
      <w:pPr>
        <w:pStyle w:val="ListParagraph"/>
        <w:numPr>
          <w:ilvl w:val="0"/>
          <w:numId w:val="4"/>
        </w:numPr>
        <w:spacing w:after="200"/>
      </w:pPr>
      <w:r>
        <w:t xml:space="preserve">Reweighting </w:t>
      </w:r>
      <w:r w:rsidR="00C90045">
        <w:t>Application</w:t>
      </w:r>
      <w:r>
        <w:t>s</w:t>
      </w:r>
      <w:r w:rsidR="00C90045">
        <w:t xml:space="preserve"> for Promot</w:t>
      </w:r>
      <w:r>
        <w:t>ing Interoperability and Other Performance Categories</w:t>
      </w:r>
    </w:p>
    <w:p w:rsidR="00C90045" w:rsidP="00730BEF" w:rsidRDefault="00C90045" w14:paraId="273FA231" w14:textId="77777777">
      <w:pPr>
        <w:pStyle w:val="ListParagraph"/>
        <w:numPr>
          <w:ilvl w:val="0"/>
          <w:numId w:val="4"/>
        </w:numPr>
        <w:spacing w:after="200"/>
      </w:pPr>
      <w:r>
        <w:t>Call for quality measures</w:t>
      </w:r>
    </w:p>
    <w:p w:rsidR="00C90045" w:rsidP="00730BEF" w:rsidRDefault="0069322F" w14:paraId="4F3DFA8E" w14:textId="67954B10">
      <w:pPr>
        <w:pStyle w:val="ListParagraph"/>
        <w:numPr>
          <w:ilvl w:val="0"/>
          <w:numId w:val="4"/>
        </w:numPr>
        <w:spacing w:after="200"/>
      </w:pPr>
      <w:r>
        <w:t>Nomination of</w:t>
      </w:r>
      <w:r w:rsidRPr="00DB082D" w:rsidR="00C90045">
        <w:t xml:space="preserve"> new improvement activities</w:t>
      </w:r>
    </w:p>
    <w:p w:rsidR="00C90045" w:rsidP="00730BEF" w:rsidRDefault="00C90045" w14:paraId="17C201BD" w14:textId="77777777">
      <w:pPr>
        <w:pStyle w:val="ListParagraph"/>
        <w:numPr>
          <w:ilvl w:val="0"/>
          <w:numId w:val="4"/>
        </w:numPr>
        <w:spacing w:after="200"/>
      </w:pPr>
      <w:r>
        <w:t>Call for Promoting Interoperability measures</w:t>
      </w:r>
    </w:p>
    <w:p w:rsidR="00C90045" w:rsidP="00730BEF" w:rsidRDefault="00C90045" w14:paraId="67B82832" w14:textId="2224A0C7">
      <w:pPr>
        <w:pStyle w:val="ListParagraph"/>
        <w:numPr>
          <w:ilvl w:val="0"/>
          <w:numId w:val="4"/>
        </w:numPr>
        <w:spacing w:after="200"/>
      </w:pPr>
      <w:r w:rsidRPr="00DB082D">
        <w:t>Opt out of performance data display on Physician Compare for</w:t>
      </w:r>
      <w:r>
        <w:t xml:space="preserve"> voluntary reporters under MIPS</w:t>
      </w:r>
    </w:p>
    <w:p w:rsidRPr="00DB082D" w:rsidR="00C90045" w:rsidP="00730BEF" w:rsidRDefault="00C90045" w14:paraId="51A764B9" w14:textId="77777777">
      <w:pPr>
        <w:pStyle w:val="ListParagraph"/>
        <w:numPr>
          <w:ilvl w:val="0"/>
          <w:numId w:val="4"/>
        </w:numPr>
        <w:spacing w:after="200"/>
      </w:pPr>
      <w:r>
        <w:t>Partial Qualifying APM Participant (Partial QP) election</w:t>
      </w:r>
      <w:r w:rsidRPr="00DB082D">
        <w:t xml:space="preserve"> </w:t>
      </w:r>
    </w:p>
    <w:p w:rsidR="00C90045" w:rsidP="00730BEF" w:rsidRDefault="00C90045" w14:paraId="1DCFE4A7" w14:textId="77777777">
      <w:pPr>
        <w:pStyle w:val="ListParagraph"/>
        <w:numPr>
          <w:ilvl w:val="0"/>
          <w:numId w:val="4"/>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730BEF" w:rsidRDefault="00C90045" w14:paraId="4B838D2B" w14:textId="53A893D0">
      <w:pPr>
        <w:pStyle w:val="ListParagraph"/>
        <w:numPr>
          <w:ilvl w:val="0"/>
          <w:numId w:val="4"/>
        </w:numPr>
        <w:spacing w:after="200"/>
      </w:pPr>
      <w:r>
        <w:t xml:space="preserve">Other Payer Advanced APM determinations: </w:t>
      </w:r>
      <w:r w:rsidR="0069322F">
        <w:t xml:space="preserve">Eligible </w:t>
      </w:r>
      <w:r>
        <w:t xml:space="preserve">Clinician Initiated Process </w:t>
      </w:r>
    </w:p>
    <w:p w:rsidR="00BB0598" w:rsidP="00730BEF" w:rsidRDefault="00C90045" w14:paraId="151B99CB" w14:textId="23FDDF66">
      <w:pPr>
        <w:pStyle w:val="ListParagraph"/>
        <w:numPr>
          <w:ilvl w:val="0"/>
          <w:numId w:val="4"/>
        </w:numPr>
        <w:spacing w:after="200"/>
      </w:pPr>
      <w:r w:rsidRPr="004E01D7">
        <w:t>Submission of Data for All-Payer QP Determinations</w:t>
      </w:r>
      <w:r w:rsidR="00BB0598">
        <w:t xml:space="preserve"> Framework for Understanding the Burden of MIPS Data Submission</w:t>
      </w:r>
    </w:p>
    <w:p w:rsidR="00BB0598" w:rsidP="00730BEF" w:rsidRDefault="0004680F" w14:paraId="37072A9E" w14:textId="6AB4AC07">
      <w:pPr>
        <w:pStyle w:val="Heading3"/>
        <w:numPr>
          <w:ilvl w:val="0"/>
          <w:numId w:val="32"/>
        </w:numPr>
      </w:pPr>
      <w:r w:rsidRPr="0004680F">
        <w:t>Burden for Third Party Reporting</w:t>
      </w:r>
    </w:p>
    <w:p w:rsidRPr="0004680F" w:rsidR="0004680F" w:rsidP="00730BEF" w:rsidRDefault="004850D3" w14:paraId="0C6A94E8" w14:textId="4C44BC73">
      <w:r w:rsidRPr="004850D3">
        <w:t xml:space="preserve">Under MIPS, quality, Promoting Interoperability, and improvement activities performance category data may be submitted via relevant third-party intermediaries, such as qualified registries, QCDRs, and health IT vendors.  Data on the CAHPS for MIPS survey, which counts as one quality performance category measure, or can be used for completion of an improvement activity, can be submitted via CMS-approved survey vendors.  </w:t>
      </w:r>
      <w:r w:rsidR="0047388C">
        <w:rPr>
          <w:rFonts w:eastAsia="Calibri"/>
        </w:rPr>
        <w:t xml:space="preserve">Entities seeking approval to submit data on behalf of clinicians as a qualified registry, QCDR, or survey vendor must complete a self-nomination process annually.  </w:t>
      </w:r>
      <w:r w:rsidRPr="004850D3">
        <w:t xml:space="preserve">The processes for self-nomination for entities seeking approval as qualified registries and QCDRs are similar with the exception that QCDRs have the option to </w:t>
      </w:r>
      <w:r w:rsidR="00CD38DD">
        <w:t>nominate</w:t>
      </w:r>
      <w:r w:rsidRPr="004850D3">
        <w:t xml:space="preserve"> QCDR measures </w:t>
      </w:r>
      <w:r w:rsidR="00CD38DD">
        <w:t xml:space="preserve">for approval </w:t>
      </w:r>
      <w:r w:rsidR="005370F4">
        <w:t>for the reporting of</w:t>
      </w:r>
      <w:r w:rsidRPr="004850D3">
        <w:t xml:space="preserve"> quality performance category</w:t>
      </w:r>
      <w:r w:rsidR="005370F4">
        <w:t xml:space="preserve"> data</w:t>
      </w:r>
      <w:r w:rsidRPr="004850D3">
        <w:t>.  Therefore, differences between QCDRs and qualified registry self-nomination are associated with the preparation of QCDR measures for approval</w:t>
      </w:r>
      <w:r w:rsidRPr="00AD3EE3" w:rsidR="00C166D7">
        <w:rPr>
          <w:rFonts w:eastAsia="Calibri"/>
        </w:rPr>
        <w:t>.  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0004680F" w:rsidP="00730BEF" w:rsidRDefault="0004680F" w14:paraId="588F467E" w14:textId="7BFB8098">
      <w:pPr>
        <w:pStyle w:val="Heading4"/>
        <w:numPr>
          <w:ilvl w:val="3"/>
          <w:numId w:val="23"/>
        </w:numPr>
      </w:pPr>
      <w:r>
        <w:t>Burden for Qualified Registry Self-Nomination</w:t>
      </w:r>
    </w:p>
    <w:p w:rsidRPr="00CB1502" w:rsidR="00CB1502" w:rsidP="00730BEF" w:rsidRDefault="00CB1502" w14:paraId="2D8FC7D3" w14:textId="77777777"/>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Pr="0076539F" w:rsidR="0076539F" w:rsidP="00730BEF" w:rsidRDefault="00F46F1D" w14:paraId="6A0CBD43" w14:textId="7C7E2B4E">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 beginning with the 2020 MIPS performance period.</w:t>
      </w:r>
    </w:p>
    <w:p w:rsidRPr="0076539F" w:rsidR="0076539F" w:rsidP="00730BEF" w:rsidRDefault="0076539F" w14:paraId="07360A58" w14:textId="4FC8C985">
      <w:pPr>
        <w:rPr>
          <w:rFonts w:eastAsia="Calibri"/>
        </w:rPr>
      </w:pPr>
      <w:r>
        <w:rPr>
          <w:rFonts w:eastAsia="Calibri"/>
        </w:rPr>
        <w:t xml:space="preserve">In the CY 2020 PFS </w:t>
      </w:r>
      <w:r w:rsidR="00434262">
        <w:rPr>
          <w:rFonts w:eastAsia="Calibri"/>
        </w:rPr>
        <w:t>final</w:t>
      </w:r>
      <w:r w:rsidRPr="0076539F">
        <w:rPr>
          <w:rFonts w:eastAsia="Calibri"/>
        </w:rPr>
        <w:t xml:space="preserve"> rule, </w:t>
      </w:r>
      <w:r w:rsidRPr="001140C7" w:rsidR="00434262">
        <w:rPr>
          <w:rFonts w:eastAsia="Calibri"/>
        </w:rPr>
        <w:t xml:space="preserve">we adjusted the number of self-nominating applicants from 150 to </w:t>
      </w:r>
      <w:r w:rsidRPr="00F90569" w:rsidR="00434262">
        <w:rPr>
          <w:rFonts w:eastAsia="Calibri"/>
        </w:rPr>
        <w:t>153</w:t>
      </w:r>
      <w:r w:rsidRPr="001140C7" w:rsidR="00434262">
        <w:rPr>
          <w:rFonts w:eastAsia="Calibri"/>
        </w:rPr>
        <w:t xml:space="preserve"> based on </w:t>
      </w:r>
      <w:r w:rsidRPr="00F90569" w:rsidR="00434262">
        <w:rPr>
          <w:rFonts w:eastAsia="Calibri"/>
        </w:rPr>
        <w:t>the number of applications received during the 2020 self-nomination period</w:t>
      </w:r>
      <w:r w:rsidRPr="00F90569" w:rsidR="00434262">
        <w:t xml:space="preserve">, an increase of 3 from the currently approved estimate of 150 (83 FR 59997 through 59998).  This estimate </w:t>
      </w:r>
      <w:r w:rsidRPr="00F90569" w:rsidR="00434262">
        <w:rPr>
          <w:rFonts w:eastAsia="Calibri"/>
        </w:rPr>
        <w:t xml:space="preserve">reflects impacts of </w:t>
      </w:r>
      <w:r w:rsidRPr="001140C7" w:rsidR="00434262">
        <w:rPr>
          <w:rFonts w:eastAsia="Calibri"/>
        </w:rPr>
        <w:t>revis</w:t>
      </w:r>
      <w:r w:rsidRPr="00F90569" w:rsidR="00434262">
        <w:rPr>
          <w:rFonts w:eastAsia="Calibri"/>
        </w:rPr>
        <w:t>ions</w:t>
      </w:r>
      <w:r w:rsidRPr="001140C7" w:rsidR="00434262">
        <w:rPr>
          <w:rFonts w:eastAsia="Calibri"/>
        </w:rPr>
        <w:t xml:space="preserve"> </w:t>
      </w:r>
      <w:r w:rsidRPr="00F90569" w:rsidR="00434262">
        <w:rPr>
          <w:rFonts w:eastAsia="Calibri"/>
        </w:rPr>
        <w:t xml:space="preserve">to </w:t>
      </w:r>
      <w:r w:rsidRPr="001140C7" w:rsidR="00434262">
        <w:rPr>
          <w:rFonts w:eastAsia="Calibri"/>
        </w:rPr>
        <w:t xml:space="preserve">both the definition of a QCDR and minimum participation requirements for entities seeking approval as a QCDR </w:t>
      </w:r>
      <w:r w:rsidRPr="00F90569" w:rsidR="00434262">
        <w:rPr>
          <w:rFonts w:eastAsia="Calibri"/>
        </w:rPr>
        <w:t>which were previously finalized in the CY 2019 PFS final rule (83 FR 59895 through 59897)</w:t>
      </w:r>
      <w:r w:rsidR="00434262">
        <w:rPr>
          <w:rFonts w:eastAsia="Calibri"/>
        </w:rPr>
        <w:t xml:space="preserve"> that may or may not have resulted in some entities seeking approval as a qualified registry rather than a QCDR</w:t>
      </w:r>
      <w:r w:rsidR="00B6098C">
        <w:rPr>
          <w:rFonts w:eastAsia="Calibri"/>
        </w:rPr>
        <w:t xml:space="preserve">.  </w:t>
      </w:r>
    </w:p>
    <w:p w:rsidRPr="009D25D0" w:rsidR="009D25D0" w:rsidP="00730BEF" w:rsidRDefault="009D25D0" w14:paraId="43F3A2F9" w14:textId="77777777">
      <w:pPr>
        <w:rPr>
          <w:rFonts w:eastAsia="Calibri"/>
        </w:rPr>
      </w:pPr>
      <w:bookmarkStart w:name="_Hlk514994518" w:id="3"/>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 We will be submitting a revised version of the form for approval under OMB control number 0938-1314 (CMS-10621).</w:t>
      </w:r>
    </w:p>
    <w:p w:rsidRPr="0075778D" w:rsidR="0075778D" w:rsidP="00730BEF" w:rsidRDefault="009D25D0" w14:paraId="01A46D36" w14:textId="2C2B01E1">
      <w:pPr>
        <w:rPr>
          <w:rFonts w:eastAsia="Calibri"/>
        </w:rPr>
      </w:pPr>
      <w:r w:rsidRPr="009D25D0">
        <w:rPr>
          <w:rFonts w:eastAsia="Calibri"/>
        </w:rPr>
        <w:t xml:space="preserve">As described in the CY 2017 Quality Payment Program final rule, the full self-nomination process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(81 FR 77383 through 77384).  As shown in Table </w:t>
      </w:r>
      <w:r>
        <w:rPr>
          <w:rFonts w:eastAsia="Calibri"/>
        </w:rPr>
        <w:t>3</w:t>
      </w:r>
      <w:r w:rsidRPr="009D25D0">
        <w:rPr>
          <w:rFonts w:eastAsia="Calibri"/>
        </w:rPr>
        <w:t>, we estimate that the staff involved in the qualified registry self-nomination process will be mainly computer systems analysts or their equivalent, who have an adjusted labor rate of $90.02/hr.  Consistent with the CY 2019 PFS final rule (83 FR 59998), we estimate that the time associated with the self-nomination process ranges from a minimum of 0.5 hours (for the simplified self-nomination process) to 3 hours (for the full self-nomination process) per qualified registry.  For the 2019 MIPS performance period, 135 qualified registries were approved to submit data out of the total 141 (96 percent) which submitted nomination forms. For our minimum burden estimate, we assume a similar percentage of the 153 qualified registries that submitted nomination forms in CY 2019 for the 2020 MIPS performance period will be approved and will nominate using the simplified process in CY 2020; this results in a total of 147 (153 x 96 percent) simplified self-nomination applications received.  When considering this rule’s adjusted number of nomination applications (153) we estimate that the annual burden will range from 91.5 hours ([147 simplified self-nominations x 0.5 hr] + [6 full self-nominations x 3 hr]) to 459 hours (153 qualified registries x 3 hr) at a cost ranging from $8,237 (91.5 hr x $90.02/hr) to $41,319 (459 hr x $90.02/hr), respectively (see Table</w:t>
      </w:r>
      <w:r>
        <w:rPr>
          <w:rFonts w:eastAsia="Calibri"/>
        </w:rPr>
        <w:t xml:space="preserve"> </w:t>
      </w:r>
      <w:r w:rsidR="0075778D">
        <w:rPr>
          <w:rFonts w:eastAsia="Calibri"/>
        </w:rPr>
        <w:t>3</w:t>
      </w:r>
      <w:r w:rsidRPr="0075778D" w:rsidR="0075778D">
        <w:rPr>
          <w:rFonts w:eastAsia="Calibri"/>
        </w:rPr>
        <w:t>).</w:t>
      </w:r>
      <w:bookmarkEnd w:id="3"/>
      <w:r w:rsidRPr="0075778D" w:rsidR="0075778D">
        <w:rPr>
          <w:rFonts w:eastAsia="Calibri"/>
        </w:rPr>
        <w:t xml:space="preserve">  </w:t>
      </w:r>
    </w:p>
    <w:p w:rsidR="00640806" w:rsidP="00730BEF" w:rsidRDefault="002C5E69" w14:paraId="60D847F9" w14:textId="64E7D34C">
      <w:pPr>
        <w:rPr>
          <w:rFonts w:eastAsia="Calibri"/>
        </w:rPr>
      </w:pPr>
      <w:r w:rsidRPr="002C5E69">
        <w:rPr>
          <w:rFonts w:eastAsia="Calibri"/>
        </w:rPr>
        <w:t xml:space="preserve">As finalized in the CY 2017 Quality Payment Program final rule (81 FR 77363 through 77364) and as further revised in the CY 2019 PFS final rule at (83 FR 60088) and in § 414.1400(a)(2), qualified registries may submit data for any of the three MIPS performance categories quality (except for data on the CAHPS for MIPS survey); improvement activities; and Promoting Interoperability.  In section III.K.3.g.(4)(a)(i) of this rule, we are finalizing changes to § 414.1400(a)(2) to state that beginning with the 2023 payment year, qualified registries must be able to submit data for all of the MIPS performance categories identified in the regulation.  We are also finalizing to amend § 414.1400(a)(2)(iii) to state that a third party intermediary </w:t>
      </w:r>
      <w:r w:rsidR="001B6CD9">
        <w:rPr>
          <w:rFonts w:eastAsia="Calibri"/>
        </w:rPr>
        <w:t>may</w:t>
      </w:r>
      <w:r w:rsidRPr="002C5E69">
        <w:rPr>
          <w:rFonts w:eastAsia="Calibri"/>
        </w:rPr>
        <w:t xml:space="preserve"> be excepted from this requirement if its MIPS eligible clinicians, groups or virtual groups fall under the reweighting policies at § 414.1380(c)(2)(i)(A)(4) or (5) or § 414.1380(c)(2)(i)(C)(1) through (7) or § 414.1380(c)(2)(i)(C)(9)).  As part of the current self-nomination process, qualified registries are already required to attest to the MIPS quality measures, performance categories, improvement activities, and/or Promoting Interoperability measures and objectives supported.  As part of this policy, we are requiring qualified registries to attest to the ability to submit data for all three of these performance categories at time of self-nomination.  As finalized in the CY 2017 Quality Payment Program final rule, qualified registries are required to provide feedback on all of the MIPS performance categories at least 4 times a year (81 FR 77367 through 77386).  In section III.K.3.g.(4)(a)(ii), we are finalizing, beginning with the 2023 MIPS payment year, to require qualified registries to provide the following as a part of the performance feedback given at least 4 times (to the extent feasible) a year:  feedback to their clinicians and groups on how they compare to other clinicians who have submitted data on a given measure within the qualified registry.  Further, qualified registries will be required to attest during the self-nomination process that they can provide performance feedback at least 4 times a year, and if not, provide sufficient rationale as to why they do not believe they would be able to meet this requirement.  Because we are not requiring qualified registries to provide performance feedback to their clinicians and groups at a greater frequency than what has previously been required combined with qualified registries only being required to provide feedback using data they are already collecting, we do not believe this finalized policy creates enough additional burden for qualified registries to elect to discontinue participation in the Quality Payment Program.  Therefore, we are not adjusting our estimates for the number of qualified registries that will self-nominate in the 2021 performance period or future years as a result of this requirement; if reliable information becomes available indicating this assumption is incorrect, we will adjust our assumptions and respondent estimates at that time.  Because qualified registries will only be required to provide performance feedback to clinicians and not to CMS, and because qualified registries are already required to attest to the performance categories they support, we anticipate minimal changes to the self-nomination process as a result of these requirements and assume there will be minimal impact on the time required to complete either the simplified or full self-nomination process</w:t>
      </w:r>
      <w:r w:rsidRPr="00640806" w:rsidR="00640806">
        <w:rPr>
          <w:rFonts w:eastAsia="Calibri"/>
        </w:rPr>
        <w:t>.</w:t>
      </w:r>
    </w:p>
    <w:p w:rsidRPr="00640806" w:rsidR="00C3586C" w:rsidP="00730BEF" w:rsidRDefault="00C3586C" w14:paraId="05BA0138" w14:textId="5B289C74">
      <w:pPr>
        <w:rPr>
          <w:rFonts w:eastAsia="Calibri"/>
        </w:rPr>
      </w:pPr>
      <w:r w:rsidRPr="00A37DA3">
        <w:rPr>
          <w:rFonts w:eastAsia="Calibri"/>
        </w:rPr>
        <w:t>We also finaliz</w:t>
      </w:r>
      <w:r>
        <w:rPr>
          <w:rFonts w:eastAsia="Calibri"/>
        </w:rPr>
        <w:t>ed</w:t>
      </w:r>
      <w:r w:rsidRPr="00A37DA3">
        <w:rPr>
          <w:rFonts w:eastAsia="Calibri"/>
        </w:rPr>
        <w:t xml:space="preserve"> in section III.K.3.g.(2) </w:t>
      </w:r>
      <w:r>
        <w:rPr>
          <w:rFonts w:eastAsia="Calibri"/>
        </w:rPr>
        <w:t xml:space="preserve">of the CY 2020 PFS final rule </w:t>
      </w:r>
      <w:r w:rsidRPr="00A37DA3">
        <w:rPr>
          <w:rFonts w:eastAsia="Calibri"/>
        </w:rPr>
        <w:t xml:space="preserve">and at § 414.1400(a)(4) to establish that a condition of approval for </w:t>
      </w:r>
      <w:r>
        <w:rPr>
          <w:rFonts w:eastAsia="Calibri"/>
        </w:rPr>
        <w:t xml:space="preserve">a </w:t>
      </w:r>
      <w:r w:rsidRPr="00A37DA3">
        <w:rPr>
          <w:rFonts w:eastAsia="Calibri"/>
        </w:rPr>
        <w:t>third party intermediar</w:t>
      </w:r>
      <w:r>
        <w:rPr>
          <w:rFonts w:eastAsia="Calibri"/>
        </w:rPr>
        <w:t>y</w:t>
      </w:r>
      <w:r w:rsidRPr="00A37DA3">
        <w:rPr>
          <w:rFonts w:eastAsia="Calibri"/>
        </w:rPr>
        <w:t xml:space="preserve"> </w:t>
      </w:r>
      <w:r>
        <w:rPr>
          <w:rFonts w:eastAsia="Calibri"/>
        </w:rPr>
        <w:t xml:space="preserve">is </w:t>
      </w:r>
      <w:r w:rsidRPr="00A37DA3">
        <w:rPr>
          <w:rFonts w:eastAsia="Calibri"/>
        </w:rPr>
        <w:t>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Because of the uncertain, but low frequency (less than 10 per year historically) with which third party intermediaries have elected to discontinue services during a performance period</w:t>
      </w:r>
      <w:r>
        <w:rPr>
          <w:rFonts w:eastAsia="Calibri"/>
        </w:rPr>
        <w:t xml:space="preserve"> combined with the fact that only third party intermediaries who elect to discontinue services will be required to develop a transition plan</w:t>
      </w:r>
      <w:r w:rsidRPr="00A37DA3">
        <w:rPr>
          <w:rFonts w:eastAsia="Calibri"/>
        </w:rPr>
        <w:t>, we are unable to estimate the total burden associated with development of CMS approved transition plans.  However, we anticipate the time involved in developing a transition plan and disseminating it to contracted MIPS eligible clinicians is likely to be no more than 10 hours.</w:t>
      </w:r>
    </w:p>
    <w:p w:rsidRPr="00640806" w:rsidR="00640806" w:rsidP="00730BEF" w:rsidRDefault="00514BE6" w14:paraId="644E040E" w14:textId="253B068B">
      <w:pPr>
        <w:rPr>
          <w:rFonts w:eastAsia="Calibri"/>
        </w:rPr>
      </w:pPr>
      <w:r w:rsidRP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shown in Table </w:t>
      </w:r>
      <w:r w:rsidR="00640806">
        <w:rPr>
          <w:rFonts w:eastAsia="Calibri"/>
        </w:rPr>
        <w:t>3</w:t>
      </w:r>
      <w:r w:rsidRPr="00640806" w:rsidR="00640806">
        <w:rPr>
          <w:rFonts w:eastAsia="Calibri"/>
        </w:rPr>
        <w:t xml:space="preserve"> represent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5F306B4E">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p>
    <w:tbl>
      <w:tblPr>
        <w:tblW w:w="106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60"/>
        <w:gridCol w:w="1620"/>
        <w:gridCol w:w="1568"/>
      </w:tblGrid>
      <w:tr w:rsidRPr="00C47150" w:rsidR="00B05B18" w:rsidTr="00743AF8" w14:paraId="189B07F8" w14:textId="77777777">
        <w:trPr>
          <w:trHeight w:val="540"/>
          <w:tblHeader/>
        </w:trPr>
        <w:tc>
          <w:tcPr>
            <w:tcW w:w="7460" w:type="dxa"/>
            <w:shd w:val="clear" w:color="auto" w:fill="auto"/>
            <w:vAlign w:val="center"/>
          </w:tcPr>
          <w:p w:rsidRPr="00B05B18" w:rsidR="00B05B18" w:rsidP="00743AF8" w:rsidRDefault="00B05B18" w14:paraId="410D7BE6" w14:textId="7E70D4C0">
            <w:pPr>
              <w:spacing w:after="0"/>
              <w:rPr>
                <w:b/>
                <w:sz w:val="20"/>
                <w:szCs w:val="20"/>
              </w:rPr>
            </w:pPr>
            <w:r w:rsidRPr="00B05B18">
              <w:rPr>
                <w:b/>
                <w:sz w:val="20"/>
                <w:szCs w:val="20"/>
              </w:rPr>
              <w:t>Burden and Respondent Descriptions</w:t>
            </w:r>
          </w:p>
        </w:tc>
        <w:tc>
          <w:tcPr>
            <w:tcW w:w="1620" w:type="dxa"/>
          </w:tcPr>
          <w:p w:rsidRPr="007C52BE" w:rsidR="00B05B18" w:rsidP="00743AF8" w:rsidRDefault="00B05B18" w14:paraId="3D56F7A1" w14:textId="77777777">
            <w:pPr>
              <w:spacing w:after="0"/>
              <w:jc w:val="center"/>
              <w:rPr>
                <w:b/>
                <w:bCs/>
                <w:sz w:val="20"/>
                <w:szCs w:val="20"/>
              </w:rPr>
            </w:pPr>
            <w:r>
              <w:rPr>
                <w:b/>
                <w:bCs/>
                <w:sz w:val="20"/>
                <w:szCs w:val="20"/>
              </w:rPr>
              <w:t>Minimum Burden</w:t>
            </w:r>
          </w:p>
        </w:tc>
        <w:tc>
          <w:tcPr>
            <w:tcW w:w="1568" w:type="dxa"/>
            <w:shd w:val="clear" w:color="auto" w:fill="auto"/>
            <w:vAlign w:val="center"/>
          </w:tcPr>
          <w:p w:rsidRPr="007C52BE" w:rsidR="00B05B18" w:rsidP="00743AF8" w:rsidRDefault="00B05B18" w14:paraId="4C66A37E" w14:textId="77777777">
            <w:pPr>
              <w:spacing w:after="0"/>
              <w:jc w:val="center"/>
              <w:rPr>
                <w:b/>
                <w:bCs/>
                <w:sz w:val="20"/>
                <w:szCs w:val="20"/>
              </w:rPr>
            </w:pPr>
            <w:r>
              <w:rPr>
                <w:b/>
                <w:bCs/>
                <w:sz w:val="20"/>
                <w:szCs w:val="20"/>
              </w:rPr>
              <w:t>Maximum Burden</w:t>
            </w:r>
          </w:p>
        </w:tc>
      </w:tr>
      <w:tr w:rsidRPr="00C47150" w:rsidR="006E1F35" w:rsidTr="00743AF8" w14:paraId="49A15009" w14:textId="77777777">
        <w:trPr>
          <w:trHeight w:val="268"/>
        </w:trPr>
        <w:tc>
          <w:tcPr>
            <w:tcW w:w="7460" w:type="dxa"/>
            <w:shd w:val="clear" w:color="auto" w:fill="auto"/>
          </w:tcPr>
          <w:p w:rsidRPr="007C52BE" w:rsidR="006E1F35" w:rsidP="006E1F35" w:rsidRDefault="006E1F35" w14:paraId="0E8D7DDA" w14:textId="77777777">
            <w:pPr>
              <w:spacing w:after="0"/>
              <w:rPr>
                <w:sz w:val="20"/>
                <w:szCs w:val="20"/>
              </w:rPr>
            </w:pPr>
            <w:r>
              <w:rPr>
                <w:sz w:val="20"/>
                <w:szCs w:val="20"/>
              </w:rPr>
              <w:t># of Qualified Registry Simplified Self-Nomination Applications submitted (a)</w:t>
            </w:r>
          </w:p>
        </w:tc>
        <w:tc>
          <w:tcPr>
            <w:tcW w:w="1620" w:type="dxa"/>
          </w:tcPr>
          <w:p w:rsidRPr="007C52BE" w:rsidR="006E1F35" w:rsidP="006E1F35" w:rsidRDefault="006E1F35" w14:paraId="6521D5FB" w14:textId="25CEB90D">
            <w:pPr>
              <w:spacing w:after="0"/>
              <w:rPr>
                <w:sz w:val="20"/>
                <w:szCs w:val="20"/>
              </w:rPr>
            </w:pPr>
            <w:r w:rsidRPr="00896025">
              <w:rPr>
                <w:rFonts w:eastAsia="Calibri"/>
                <w:sz w:val="20"/>
                <w:szCs w:val="20"/>
              </w:rPr>
              <w:t>1</w:t>
            </w:r>
            <w:r w:rsidR="00822936">
              <w:rPr>
                <w:rFonts w:eastAsia="Calibri"/>
                <w:sz w:val="20"/>
                <w:szCs w:val="20"/>
              </w:rPr>
              <w:t>47</w:t>
            </w:r>
          </w:p>
        </w:tc>
        <w:tc>
          <w:tcPr>
            <w:tcW w:w="1568" w:type="dxa"/>
            <w:shd w:val="clear" w:color="auto" w:fill="auto"/>
          </w:tcPr>
          <w:p w:rsidRPr="007C52BE" w:rsidR="006E1F35" w:rsidP="006E1F35" w:rsidRDefault="006E1F35" w14:paraId="5E1AEA74" w14:textId="499348A8">
            <w:pPr>
              <w:spacing w:after="0"/>
              <w:rPr>
                <w:sz w:val="20"/>
                <w:szCs w:val="20"/>
              </w:rPr>
            </w:pPr>
            <w:r w:rsidRPr="00896025">
              <w:rPr>
                <w:rFonts w:eastAsia="Calibri"/>
                <w:sz w:val="20"/>
                <w:szCs w:val="20"/>
              </w:rPr>
              <w:t>0</w:t>
            </w:r>
          </w:p>
        </w:tc>
      </w:tr>
      <w:tr w:rsidRPr="00C47150" w:rsidR="006E1F35" w:rsidTr="00743AF8" w14:paraId="1F32A58C" w14:textId="77777777">
        <w:trPr>
          <w:trHeight w:val="268"/>
        </w:trPr>
        <w:tc>
          <w:tcPr>
            <w:tcW w:w="7460" w:type="dxa"/>
            <w:shd w:val="clear" w:color="auto" w:fill="auto"/>
          </w:tcPr>
          <w:p w:rsidRPr="007C52BE" w:rsidR="006E1F35" w:rsidP="006E1F35" w:rsidRDefault="006E1F35" w14:paraId="4C8858B0" w14:textId="77777777">
            <w:pPr>
              <w:spacing w:after="0"/>
              <w:rPr>
                <w:sz w:val="20"/>
                <w:szCs w:val="20"/>
              </w:rPr>
            </w:pPr>
            <w:r w:rsidRPr="007C52BE">
              <w:rPr>
                <w:sz w:val="20"/>
                <w:szCs w:val="20"/>
              </w:rPr>
              <w:t># of Qualified Registr</w:t>
            </w:r>
            <w:r>
              <w:rPr>
                <w:sz w:val="20"/>
                <w:szCs w:val="20"/>
              </w:rPr>
              <w:t>y</w:t>
            </w:r>
            <w:r w:rsidRPr="007C52BE">
              <w:rPr>
                <w:sz w:val="20"/>
                <w:szCs w:val="20"/>
              </w:rPr>
              <w:t xml:space="preserve"> </w:t>
            </w:r>
            <w:r>
              <w:rPr>
                <w:sz w:val="20"/>
                <w:szCs w:val="20"/>
              </w:rPr>
              <w:t xml:space="preserve">Full </w:t>
            </w:r>
            <w:r w:rsidRPr="007C52BE">
              <w:rPr>
                <w:sz w:val="20"/>
                <w:szCs w:val="20"/>
              </w:rPr>
              <w:t>Self-Nominati</w:t>
            </w:r>
            <w:r>
              <w:rPr>
                <w:sz w:val="20"/>
                <w:szCs w:val="20"/>
              </w:rPr>
              <w:t>on Applications submitted</w:t>
            </w:r>
            <w:r w:rsidRPr="007C52BE">
              <w:rPr>
                <w:sz w:val="20"/>
                <w:szCs w:val="20"/>
              </w:rPr>
              <w:t xml:space="preserve"> (</w:t>
            </w:r>
            <w:r>
              <w:rPr>
                <w:sz w:val="20"/>
                <w:szCs w:val="20"/>
              </w:rPr>
              <w:t>b</w:t>
            </w:r>
            <w:r w:rsidRPr="007C52BE">
              <w:rPr>
                <w:sz w:val="20"/>
                <w:szCs w:val="20"/>
              </w:rPr>
              <w:t>)</w:t>
            </w:r>
          </w:p>
        </w:tc>
        <w:tc>
          <w:tcPr>
            <w:tcW w:w="1620" w:type="dxa"/>
          </w:tcPr>
          <w:p w:rsidRPr="007C52BE" w:rsidR="006E1F35" w:rsidP="006E1F35" w:rsidRDefault="00822936" w14:paraId="25BF359A" w14:textId="32E197BA">
            <w:pPr>
              <w:spacing w:after="0"/>
              <w:rPr>
                <w:sz w:val="20"/>
                <w:szCs w:val="20"/>
              </w:rPr>
            </w:pPr>
            <w:r>
              <w:rPr>
                <w:rFonts w:eastAsia="Calibri"/>
                <w:sz w:val="20"/>
                <w:szCs w:val="20"/>
              </w:rPr>
              <w:t>6</w:t>
            </w:r>
          </w:p>
        </w:tc>
        <w:tc>
          <w:tcPr>
            <w:tcW w:w="1568" w:type="dxa"/>
            <w:shd w:val="clear" w:color="auto" w:fill="auto"/>
          </w:tcPr>
          <w:p w:rsidRPr="007C52BE" w:rsidR="006E1F35" w:rsidP="006E1F35" w:rsidRDefault="00822936" w14:paraId="33780A5F" w14:textId="62AB0491">
            <w:pPr>
              <w:spacing w:after="0"/>
              <w:rPr>
                <w:sz w:val="20"/>
                <w:szCs w:val="20"/>
              </w:rPr>
            </w:pPr>
            <w:r>
              <w:rPr>
                <w:rFonts w:eastAsia="Calibri"/>
                <w:sz w:val="20"/>
                <w:szCs w:val="20"/>
              </w:rPr>
              <w:t>153</w:t>
            </w:r>
          </w:p>
        </w:tc>
      </w:tr>
      <w:tr w:rsidRPr="00C47150" w:rsidR="00270824" w:rsidTr="00270824" w14:paraId="09F4ED01" w14:textId="77777777">
        <w:trPr>
          <w:trHeight w:val="233"/>
        </w:trPr>
        <w:tc>
          <w:tcPr>
            <w:tcW w:w="7460" w:type="dxa"/>
            <w:shd w:val="clear" w:color="auto" w:fill="D9D9D9" w:themeFill="background1" w:themeFillShade="D9"/>
          </w:tcPr>
          <w:p w:rsidRPr="00270824" w:rsidR="00270824" w:rsidP="006E1F35" w:rsidRDefault="00270824" w14:paraId="670F51EC" w14:textId="222BB736">
            <w:pPr>
              <w:spacing w:after="0"/>
              <w:rPr>
                <w:b/>
                <w:bCs/>
                <w:sz w:val="20"/>
                <w:szCs w:val="20"/>
              </w:rPr>
            </w:pPr>
            <w:r w:rsidRPr="00270824">
              <w:rPr>
                <w:b/>
                <w:bCs/>
                <w:sz w:val="20"/>
                <w:szCs w:val="20"/>
              </w:rPr>
              <w:t xml:space="preserve">Total Applications </w:t>
            </w:r>
          </w:p>
        </w:tc>
        <w:tc>
          <w:tcPr>
            <w:tcW w:w="1620" w:type="dxa"/>
            <w:shd w:val="clear" w:color="auto" w:fill="D9D9D9" w:themeFill="background1" w:themeFillShade="D9"/>
          </w:tcPr>
          <w:p w:rsidRPr="00270824" w:rsidR="00270824" w:rsidP="006E1F35" w:rsidRDefault="00270824" w14:paraId="51C6AFBD" w14:textId="6F6D3B18">
            <w:pPr>
              <w:spacing w:after="0"/>
              <w:rPr>
                <w:rFonts w:eastAsia="Calibri"/>
                <w:b/>
                <w:bCs/>
                <w:sz w:val="20"/>
                <w:szCs w:val="20"/>
              </w:rPr>
            </w:pPr>
            <w:r w:rsidRPr="00270824">
              <w:rPr>
                <w:rFonts w:eastAsia="Calibri"/>
                <w:b/>
                <w:bCs/>
                <w:sz w:val="20"/>
                <w:szCs w:val="20"/>
              </w:rPr>
              <w:t>153</w:t>
            </w:r>
          </w:p>
        </w:tc>
        <w:tc>
          <w:tcPr>
            <w:tcW w:w="1568" w:type="dxa"/>
            <w:shd w:val="clear" w:color="auto" w:fill="D9D9D9" w:themeFill="background1" w:themeFillShade="D9"/>
          </w:tcPr>
          <w:p w:rsidRPr="00270824" w:rsidR="00270824" w:rsidP="006E1F35" w:rsidRDefault="00270824" w14:paraId="4E50B9CE" w14:textId="4D109B48">
            <w:pPr>
              <w:spacing w:after="0"/>
              <w:rPr>
                <w:rFonts w:eastAsia="Calibri"/>
                <w:b/>
                <w:bCs/>
                <w:sz w:val="20"/>
                <w:szCs w:val="20"/>
              </w:rPr>
            </w:pPr>
            <w:r w:rsidRPr="00270824">
              <w:rPr>
                <w:rFonts w:eastAsia="Calibri"/>
                <w:b/>
                <w:bCs/>
                <w:sz w:val="20"/>
                <w:szCs w:val="20"/>
              </w:rPr>
              <w:t>153</w:t>
            </w:r>
          </w:p>
        </w:tc>
      </w:tr>
      <w:tr w:rsidRPr="00C47150" w:rsidR="006E1F35" w:rsidTr="00743AF8" w14:paraId="297B9C60" w14:textId="77777777">
        <w:trPr>
          <w:trHeight w:val="233"/>
        </w:trPr>
        <w:tc>
          <w:tcPr>
            <w:tcW w:w="7460" w:type="dxa"/>
            <w:shd w:val="clear" w:color="auto" w:fill="auto"/>
          </w:tcPr>
          <w:p w:rsidRPr="007C52BE" w:rsidR="006E1F35" w:rsidP="006E1F35" w:rsidRDefault="006E1F35" w14:paraId="7505A6D3" w14:textId="5034373B">
            <w:pPr>
              <w:spacing w:after="0"/>
              <w:rPr>
                <w:sz w:val="20"/>
                <w:szCs w:val="20"/>
              </w:rPr>
            </w:pPr>
            <w:r>
              <w:rPr>
                <w:sz w:val="20"/>
                <w:szCs w:val="20"/>
              </w:rPr>
              <w:t>Total Annual</w:t>
            </w:r>
            <w:r w:rsidRPr="007C52BE">
              <w:rPr>
                <w:sz w:val="20"/>
                <w:szCs w:val="20"/>
              </w:rPr>
              <w:t xml:space="preserve"> Hours Per Qualified Registry </w:t>
            </w:r>
            <w:r>
              <w:rPr>
                <w:sz w:val="20"/>
                <w:szCs w:val="20"/>
              </w:rPr>
              <w:t>for Simplified Process (c</w:t>
            </w:r>
            <w:r w:rsidRPr="007C52BE">
              <w:rPr>
                <w:sz w:val="20"/>
                <w:szCs w:val="20"/>
              </w:rPr>
              <w:t>)</w:t>
            </w:r>
          </w:p>
        </w:tc>
        <w:tc>
          <w:tcPr>
            <w:tcW w:w="1620" w:type="dxa"/>
          </w:tcPr>
          <w:p w:rsidRPr="007C52BE" w:rsidR="006E1F35" w:rsidP="006E1F35" w:rsidRDefault="006E1F35" w14:paraId="74DDEAFB" w14:textId="06945D0D">
            <w:pPr>
              <w:spacing w:after="0"/>
              <w:rPr>
                <w:sz w:val="20"/>
                <w:szCs w:val="20"/>
              </w:rPr>
            </w:pPr>
            <w:r w:rsidRPr="00896025">
              <w:rPr>
                <w:rFonts w:eastAsia="Calibri"/>
                <w:sz w:val="20"/>
                <w:szCs w:val="20"/>
              </w:rPr>
              <w:t>0.5</w:t>
            </w:r>
          </w:p>
        </w:tc>
        <w:tc>
          <w:tcPr>
            <w:tcW w:w="1568" w:type="dxa"/>
            <w:shd w:val="clear" w:color="auto" w:fill="auto"/>
          </w:tcPr>
          <w:p w:rsidRPr="007C52BE" w:rsidR="006E1F35" w:rsidP="006E1F35" w:rsidRDefault="006E1F35" w14:paraId="008C829E" w14:textId="32A3C407">
            <w:pPr>
              <w:spacing w:after="0"/>
              <w:rPr>
                <w:sz w:val="20"/>
                <w:szCs w:val="20"/>
              </w:rPr>
            </w:pPr>
            <w:r w:rsidRPr="00896025">
              <w:rPr>
                <w:rFonts w:eastAsia="Calibri"/>
                <w:sz w:val="20"/>
                <w:szCs w:val="20"/>
              </w:rPr>
              <w:t>0.5</w:t>
            </w:r>
          </w:p>
        </w:tc>
      </w:tr>
      <w:tr w:rsidRPr="00C47150" w:rsidR="006E1F35" w:rsidTr="00743AF8" w14:paraId="2957312C" w14:textId="77777777">
        <w:trPr>
          <w:trHeight w:val="233"/>
        </w:trPr>
        <w:tc>
          <w:tcPr>
            <w:tcW w:w="7460" w:type="dxa"/>
            <w:shd w:val="clear" w:color="auto" w:fill="auto"/>
            <w:hideMark/>
          </w:tcPr>
          <w:p w:rsidRPr="007C52BE" w:rsidR="006E1F35" w:rsidP="006E1F35" w:rsidRDefault="006E1F35" w14:paraId="062AD277" w14:textId="77777777">
            <w:pPr>
              <w:spacing w:after="0"/>
              <w:rPr>
                <w:sz w:val="20"/>
                <w:szCs w:val="20"/>
              </w:rPr>
            </w:pPr>
            <w:r w:rsidRPr="007C52BE">
              <w:rPr>
                <w:sz w:val="20"/>
                <w:szCs w:val="20"/>
              </w:rPr>
              <w:t xml:space="preserve">Total Annual Hours Per Qualified Registry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620" w:type="dxa"/>
          </w:tcPr>
          <w:p w:rsidRPr="007C52BE" w:rsidR="006E1F35" w:rsidP="006E1F35" w:rsidRDefault="006E1F35" w14:paraId="33D8D811" w14:textId="63CEC7B4">
            <w:pPr>
              <w:spacing w:after="0"/>
              <w:rPr>
                <w:sz w:val="20"/>
                <w:szCs w:val="20"/>
              </w:rPr>
            </w:pPr>
            <w:r w:rsidRPr="00896025">
              <w:rPr>
                <w:rFonts w:eastAsia="Calibri"/>
                <w:sz w:val="20"/>
                <w:szCs w:val="20"/>
              </w:rPr>
              <w:t>3</w:t>
            </w:r>
          </w:p>
        </w:tc>
        <w:tc>
          <w:tcPr>
            <w:tcW w:w="1568" w:type="dxa"/>
            <w:shd w:val="clear" w:color="auto" w:fill="auto"/>
            <w:hideMark/>
          </w:tcPr>
          <w:p w:rsidRPr="007C52BE" w:rsidR="006E1F35" w:rsidP="006E1F35" w:rsidRDefault="006E1F35" w14:paraId="20E5C22E" w14:textId="66AACF7A">
            <w:pPr>
              <w:spacing w:after="0"/>
              <w:rPr>
                <w:sz w:val="20"/>
                <w:szCs w:val="20"/>
              </w:rPr>
            </w:pPr>
            <w:r w:rsidRPr="00896025">
              <w:rPr>
                <w:rFonts w:eastAsia="Calibri"/>
                <w:sz w:val="20"/>
                <w:szCs w:val="20"/>
              </w:rPr>
              <w:t>3</w:t>
            </w:r>
          </w:p>
        </w:tc>
      </w:tr>
      <w:tr w:rsidRPr="00C47150" w:rsidR="006E1F35" w:rsidTr="00743AF8" w14:paraId="7B8756F6" w14:textId="77777777">
        <w:trPr>
          <w:trHeight w:val="260"/>
        </w:trPr>
        <w:tc>
          <w:tcPr>
            <w:tcW w:w="7460" w:type="dxa"/>
            <w:shd w:val="clear" w:color="auto" w:fill="D9D9D9" w:themeFill="background1" w:themeFillShade="D9"/>
            <w:hideMark/>
          </w:tcPr>
          <w:p w:rsidRPr="007C52BE" w:rsidR="006E1F35" w:rsidP="006E1F35" w:rsidRDefault="006E1F35" w14:paraId="110627A3" w14:textId="15FF5A3E">
            <w:pPr>
              <w:spacing w:after="0"/>
              <w:rPr>
                <w:b/>
                <w:bCs/>
                <w:sz w:val="20"/>
                <w:szCs w:val="20"/>
              </w:rPr>
            </w:pPr>
            <w:r w:rsidRPr="007C52BE">
              <w:rPr>
                <w:b/>
                <w:bCs/>
                <w:sz w:val="20"/>
                <w:szCs w:val="20"/>
              </w:rPr>
              <w:t>Total Annual Hours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+(b)*(d)</w:t>
            </w:r>
          </w:p>
        </w:tc>
        <w:tc>
          <w:tcPr>
            <w:tcW w:w="1620" w:type="dxa"/>
            <w:shd w:val="clear" w:color="auto" w:fill="D9D9D9" w:themeFill="background1" w:themeFillShade="D9"/>
          </w:tcPr>
          <w:p w:rsidRPr="007C52BE" w:rsidR="006E1F35" w:rsidP="006E1F35" w:rsidRDefault="00822936" w14:paraId="342B4E5A" w14:textId="5EB56A1E">
            <w:pPr>
              <w:spacing w:after="0"/>
              <w:rPr>
                <w:b/>
                <w:bCs/>
                <w:sz w:val="20"/>
                <w:szCs w:val="20"/>
              </w:rPr>
            </w:pPr>
            <w:r>
              <w:rPr>
                <w:rFonts w:eastAsia="Calibri"/>
                <w:b/>
                <w:bCs/>
                <w:sz w:val="20"/>
                <w:szCs w:val="20"/>
              </w:rPr>
              <w:t>91.5</w:t>
            </w:r>
          </w:p>
        </w:tc>
        <w:tc>
          <w:tcPr>
            <w:tcW w:w="1568" w:type="dxa"/>
            <w:shd w:val="clear" w:color="auto" w:fill="D9D9D9" w:themeFill="background1" w:themeFillShade="D9"/>
            <w:hideMark/>
          </w:tcPr>
          <w:p w:rsidRPr="007C52BE" w:rsidR="006E1F35" w:rsidP="006E1F35" w:rsidRDefault="00822936" w14:paraId="7C69A261" w14:textId="6948201C">
            <w:pPr>
              <w:spacing w:after="0"/>
              <w:rPr>
                <w:b/>
                <w:bCs/>
                <w:sz w:val="20"/>
                <w:szCs w:val="20"/>
              </w:rPr>
            </w:pPr>
            <w:r>
              <w:rPr>
                <w:rFonts w:eastAsia="Calibri"/>
                <w:b/>
                <w:bCs/>
                <w:sz w:val="20"/>
                <w:szCs w:val="20"/>
              </w:rPr>
              <w:t>459</w:t>
            </w:r>
          </w:p>
        </w:tc>
      </w:tr>
      <w:tr w:rsidRPr="00C47150" w:rsidR="006E1F35" w:rsidTr="00743AF8" w14:paraId="151BC45D" w14:textId="77777777">
        <w:trPr>
          <w:trHeight w:val="440"/>
        </w:trPr>
        <w:tc>
          <w:tcPr>
            <w:tcW w:w="7460" w:type="dxa"/>
            <w:shd w:val="clear" w:color="auto" w:fill="auto"/>
          </w:tcPr>
          <w:p w:rsidRPr="007C52BE" w:rsidR="006E1F35" w:rsidP="006E1F35" w:rsidRDefault="006E1F35" w14:paraId="12201D5F" w14:textId="6AAF6605">
            <w:pPr>
              <w:spacing w:after="0"/>
              <w:rPr>
                <w:sz w:val="20"/>
                <w:szCs w:val="20"/>
              </w:rPr>
            </w:pPr>
            <w:r w:rsidRPr="007C52BE">
              <w:rPr>
                <w:sz w:val="20"/>
                <w:szCs w:val="20"/>
              </w:rPr>
              <w:t xml:space="preserve">Cost Per </w:t>
            </w:r>
            <w:r>
              <w:rPr>
                <w:sz w:val="20"/>
                <w:szCs w:val="20"/>
              </w:rPr>
              <w:t>Simplified Process</w:t>
            </w:r>
            <w:r w:rsidRPr="007C52BE">
              <w:rPr>
                <w:sz w:val="20"/>
                <w:szCs w:val="20"/>
              </w:rPr>
              <w:t xml:space="preserve"> </w:t>
            </w:r>
            <w:r>
              <w:rPr>
                <w:sz w:val="20"/>
                <w:szCs w:val="20"/>
              </w:rPr>
              <w:t xml:space="preserve">Per Registry </w:t>
            </w:r>
            <w:r w:rsidRPr="007C52BE">
              <w:rPr>
                <w:sz w:val="20"/>
                <w:szCs w:val="20"/>
              </w:rPr>
              <w:t>(@ computer systems analys</w:t>
            </w:r>
            <w:r>
              <w:rPr>
                <w:sz w:val="20"/>
                <w:szCs w:val="20"/>
              </w:rPr>
              <w:t>t’s labor rate of $</w:t>
            </w:r>
            <w:r w:rsidR="003F03F2">
              <w:rPr>
                <w:sz w:val="20"/>
                <w:szCs w:val="20"/>
              </w:rPr>
              <w:t>90.02</w:t>
            </w:r>
            <w:r>
              <w:rPr>
                <w:sz w:val="20"/>
                <w:szCs w:val="20"/>
              </w:rPr>
              <w:t>/hr.) (f</w:t>
            </w:r>
            <w:r w:rsidRPr="007C52BE">
              <w:rPr>
                <w:sz w:val="20"/>
                <w:szCs w:val="20"/>
              </w:rPr>
              <w:t>)</w:t>
            </w:r>
          </w:p>
        </w:tc>
        <w:tc>
          <w:tcPr>
            <w:tcW w:w="1620" w:type="dxa"/>
          </w:tcPr>
          <w:p w:rsidRPr="007C52BE" w:rsidR="006E1F35" w:rsidP="006E1F35" w:rsidRDefault="006E1F35" w14:paraId="75137EAE" w14:textId="543C94F0">
            <w:pPr>
              <w:spacing w:after="0"/>
              <w:rPr>
                <w:sz w:val="20"/>
                <w:szCs w:val="20"/>
              </w:rPr>
            </w:pPr>
            <w:r w:rsidRPr="00896025">
              <w:rPr>
                <w:rFonts w:eastAsia="Calibri"/>
                <w:sz w:val="20"/>
                <w:szCs w:val="20"/>
              </w:rPr>
              <w:t>$4</w:t>
            </w:r>
            <w:r w:rsidR="00315C90">
              <w:rPr>
                <w:rFonts w:eastAsia="Calibri"/>
                <w:sz w:val="20"/>
                <w:szCs w:val="20"/>
              </w:rPr>
              <w:t>5.01</w:t>
            </w:r>
          </w:p>
        </w:tc>
        <w:tc>
          <w:tcPr>
            <w:tcW w:w="1568" w:type="dxa"/>
            <w:shd w:val="clear" w:color="auto" w:fill="auto"/>
          </w:tcPr>
          <w:p w:rsidRPr="007C52BE" w:rsidR="006E1F35" w:rsidP="006E1F35" w:rsidRDefault="006E1F35" w14:paraId="07EFC9C2" w14:textId="3AA43852">
            <w:pPr>
              <w:spacing w:after="0"/>
              <w:rPr>
                <w:sz w:val="20"/>
                <w:szCs w:val="20"/>
              </w:rPr>
            </w:pPr>
            <w:r w:rsidRPr="00896025">
              <w:rPr>
                <w:rFonts w:eastAsia="Calibri"/>
                <w:sz w:val="20"/>
                <w:szCs w:val="20"/>
              </w:rPr>
              <w:t>$4</w:t>
            </w:r>
            <w:r w:rsidR="00315C90">
              <w:rPr>
                <w:rFonts w:eastAsia="Calibri"/>
                <w:sz w:val="20"/>
                <w:szCs w:val="20"/>
              </w:rPr>
              <w:t>5.01</w:t>
            </w:r>
          </w:p>
        </w:tc>
      </w:tr>
      <w:tr w:rsidRPr="00C47150" w:rsidR="006E1F35" w:rsidTr="00743AF8" w14:paraId="7BE3236D" w14:textId="77777777">
        <w:trPr>
          <w:trHeight w:val="440"/>
        </w:trPr>
        <w:tc>
          <w:tcPr>
            <w:tcW w:w="7460" w:type="dxa"/>
            <w:shd w:val="clear" w:color="auto" w:fill="auto"/>
            <w:hideMark/>
          </w:tcPr>
          <w:p w:rsidRPr="007C52BE" w:rsidR="006E1F35" w:rsidP="006E1F35" w:rsidRDefault="006E1F35" w14:paraId="6548CFB1" w14:textId="6EFC4955">
            <w:pPr>
              <w:spacing w:after="0"/>
              <w:rPr>
                <w:sz w:val="20"/>
                <w:szCs w:val="20"/>
              </w:rPr>
            </w:pPr>
            <w:r w:rsidRPr="007C52BE">
              <w:rPr>
                <w:sz w:val="20"/>
                <w:szCs w:val="20"/>
              </w:rPr>
              <w:t xml:space="preserve">Cost Per </w:t>
            </w:r>
            <w:r>
              <w:rPr>
                <w:sz w:val="20"/>
                <w:szCs w:val="20"/>
              </w:rPr>
              <w:t>Full Process Per Registry</w:t>
            </w:r>
            <w:r w:rsidRPr="007C52BE">
              <w:rPr>
                <w:sz w:val="20"/>
                <w:szCs w:val="20"/>
              </w:rPr>
              <w:t xml:space="preserve"> (@ computer systems analyst’s labor rate of $</w:t>
            </w:r>
            <w:r w:rsidR="003F03F2">
              <w:rPr>
                <w:sz w:val="20"/>
                <w:szCs w:val="20"/>
              </w:rPr>
              <w:t>90.02</w:t>
            </w:r>
            <w:r w:rsidRPr="007C52BE">
              <w:rPr>
                <w:sz w:val="20"/>
                <w:szCs w:val="20"/>
              </w:rPr>
              <w:t>/hr.) (</w:t>
            </w:r>
            <w:r>
              <w:rPr>
                <w:sz w:val="20"/>
                <w:szCs w:val="20"/>
              </w:rPr>
              <w:t>g</w:t>
            </w:r>
            <w:r w:rsidRPr="007C52BE">
              <w:rPr>
                <w:sz w:val="20"/>
                <w:szCs w:val="20"/>
              </w:rPr>
              <w:t>)</w:t>
            </w:r>
          </w:p>
        </w:tc>
        <w:tc>
          <w:tcPr>
            <w:tcW w:w="1620" w:type="dxa"/>
          </w:tcPr>
          <w:p w:rsidRPr="007C52BE" w:rsidR="006E1F35" w:rsidP="006E1F35" w:rsidRDefault="006E1F35" w14:paraId="3554A413" w14:textId="4F8C6885">
            <w:pPr>
              <w:spacing w:after="0"/>
              <w:rPr>
                <w:sz w:val="20"/>
                <w:szCs w:val="20"/>
              </w:rPr>
            </w:pPr>
            <w:r w:rsidRPr="00896025">
              <w:rPr>
                <w:rFonts w:eastAsia="Calibri"/>
                <w:sz w:val="20"/>
                <w:szCs w:val="20"/>
              </w:rPr>
              <w:t>$2</w:t>
            </w:r>
            <w:r w:rsidR="00315C90">
              <w:rPr>
                <w:rFonts w:eastAsia="Calibri"/>
                <w:sz w:val="20"/>
                <w:szCs w:val="20"/>
              </w:rPr>
              <w:t>70.06</w:t>
            </w:r>
          </w:p>
        </w:tc>
        <w:tc>
          <w:tcPr>
            <w:tcW w:w="1568" w:type="dxa"/>
            <w:shd w:val="clear" w:color="auto" w:fill="auto"/>
            <w:hideMark/>
          </w:tcPr>
          <w:p w:rsidRPr="007C52BE" w:rsidR="006E1F35" w:rsidP="006E1F35" w:rsidRDefault="006E1F35" w14:paraId="0B274087" w14:textId="7A065141">
            <w:pPr>
              <w:spacing w:after="0"/>
              <w:rPr>
                <w:sz w:val="20"/>
                <w:szCs w:val="20"/>
              </w:rPr>
            </w:pPr>
            <w:r w:rsidRPr="00896025">
              <w:rPr>
                <w:rFonts w:eastAsia="Calibri"/>
                <w:sz w:val="20"/>
                <w:szCs w:val="20"/>
              </w:rPr>
              <w:t>$2</w:t>
            </w:r>
            <w:r w:rsidR="00315C90">
              <w:rPr>
                <w:rFonts w:eastAsia="Calibri"/>
                <w:sz w:val="20"/>
                <w:szCs w:val="20"/>
              </w:rPr>
              <w:t>70.06</w:t>
            </w:r>
          </w:p>
        </w:tc>
      </w:tr>
      <w:tr w:rsidRPr="00C47150" w:rsidR="006E1F35" w:rsidTr="00743AF8" w14:paraId="3F351D73" w14:textId="77777777">
        <w:trPr>
          <w:trHeight w:val="233"/>
        </w:trPr>
        <w:tc>
          <w:tcPr>
            <w:tcW w:w="7460" w:type="dxa"/>
            <w:shd w:val="clear" w:color="auto" w:fill="D9D9D9" w:themeFill="background1" w:themeFillShade="D9"/>
            <w:hideMark/>
          </w:tcPr>
          <w:p w:rsidRPr="00004791" w:rsidR="006E1F35" w:rsidP="006E1F35" w:rsidRDefault="006E1F35" w14:paraId="53D30921" w14:textId="0035A750">
            <w:pPr>
              <w:spacing w:after="0"/>
              <w:rPr>
                <w:b/>
                <w:bCs/>
                <w:sz w:val="20"/>
              </w:rPr>
            </w:pPr>
            <w:r w:rsidRPr="00004791">
              <w:rPr>
                <w:b/>
                <w:bCs/>
                <w:sz w:val="20"/>
              </w:rPr>
              <w:t>Total Annual Cost (</w:t>
            </w:r>
            <w:r>
              <w:rPr>
                <w:b/>
                <w:bCs/>
                <w:sz w:val="20"/>
              </w:rPr>
              <w:t>h</w:t>
            </w:r>
            <w:r w:rsidRPr="00004791">
              <w:rPr>
                <w:b/>
                <w:bCs/>
                <w:sz w:val="20"/>
              </w:rPr>
              <w:t>) = (a)*(</w:t>
            </w:r>
            <w:r>
              <w:rPr>
                <w:b/>
                <w:bCs/>
                <w:sz w:val="20"/>
              </w:rPr>
              <w:t>f</w:t>
            </w:r>
            <w:r w:rsidRPr="00004791">
              <w:rPr>
                <w:b/>
                <w:bCs/>
                <w:sz w:val="20"/>
              </w:rPr>
              <w:t>)</w:t>
            </w:r>
            <w:r>
              <w:rPr>
                <w:b/>
                <w:bCs/>
                <w:sz w:val="20"/>
              </w:rPr>
              <w:t>+(b)*(g)</w:t>
            </w:r>
          </w:p>
        </w:tc>
        <w:tc>
          <w:tcPr>
            <w:tcW w:w="1620" w:type="dxa"/>
            <w:shd w:val="clear" w:color="auto" w:fill="D9D9D9" w:themeFill="background1" w:themeFillShade="D9"/>
          </w:tcPr>
          <w:p w:rsidRPr="00862D78" w:rsidR="006E1F35" w:rsidP="006E1F35" w:rsidRDefault="006E1F35" w14:paraId="62120CA1" w14:textId="3164422F">
            <w:pPr>
              <w:spacing w:after="0"/>
              <w:rPr>
                <w:b/>
                <w:bCs/>
                <w:sz w:val="20"/>
              </w:rPr>
            </w:pPr>
            <w:r w:rsidRPr="00B21B58">
              <w:rPr>
                <w:rFonts w:eastAsia="Calibri"/>
                <w:b/>
                <w:bCs/>
                <w:sz w:val="20"/>
              </w:rPr>
              <w:t>$</w:t>
            </w:r>
            <w:r w:rsidR="0029786C">
              <w:rPr>
                <w:rFonts w:eastAsia="Calibri"/>
                <w:b/>
                <w:bCs/>
                <w:sz w:val="20"/>
              </w:rPr>
              <w:t>8,237</w:t>
            </w:r>
          </w:p>
        </w:tc>
        <w:tc>
          <w:tcPr>
            <w:tcW w:w="1568" w:type="dxa"/>
            <w:shd w:val="clear" w:color="auto" w:fill="D9D9D9" w:themeFill="background1" w:themeFillShade="D9"/>
            <w:hideMark/>
          </w:tcPr>
          <w:p w:rsidRPr="00004791" w:rsidR="006E1F35" w:rsidP="006E1F35" w:rsidRDefault="006E1F35" w14:paraId="697B6DED" w14:textId="509AEF6D">
            <w:pPr>
              <w:spacing w:after="0"/>
              <w:rPr>
                <w:b/>
                <w:bCs/>
                <w:sz w:val="20"/>
              </w:rPr>
            </w:pPr>
            <w:r w:rsidRPr="00B21B58">
              <w:rPr>
                <w:rFonts w:eastAsia="Calibri"/>
                <w:b/>
                <w:bCs/>
                <w:sz w:val="20"/>
              </w:rPr>
              <w:t>$</w:t>
            </w:r>
            <w:r w:rsidR="0029786C">
              <w:rPr>
                <w:rFonts w:eastAsia="Calibri"/>
                <w:b/>
                <w:bCs/>
                <w:sz w:val="20"/>
              </w:rPr>
              <w:t>41,319</w:t>
            </w:r>
          </w:p>
        </w:tc>
      </w:tr>
    </w:tbl>
    <w:p w:rsidRPr="00CF1883" w:rsidR="00B05B18" w:rsidP="00CF1883" w:rsidRDefault="00B05B18" w14:paraId="1DE459FF" w14:textId="77777777"/>
    <w:p w:rsidR="0004680F" w:rsidP="00811F9E" w:rsidRDefault="0004680F" w14:paraId="715800AD" w14:textId="4ECE46E5">
      <w:pPr>
        <w:pStyle w:val="Heading4"/>
        <w:numPr>
          <w:ilvl w:val="3"/>
          <w:numId w:val="23"/>
        </w:numPr>
      </w:pPr>
      <w:r>
        <w:t>Burden for QCDR Self-Nomination</w:t>
      </w:r>
      <w:r w:rsidR="00B05B18">
        <w:rPr>
          <w:rStyle w:val="FootnoteReference"/>
        </w:rPr>
        <w:footnoteReference w:id="11"/>
      </w:r>
    </w:p>
    <w:p w:rsidR="008D7566" w:rsidP="00DE12EA" w:rsidRDefault="008D7566" w14:paraId="19707942" w14:textId="77777777">
      <w:pPr>
        <w:jc w:val="both"/>
        <w:rPr>
          <w:rFonts w:eastAsia="Calibri"/>
        </w:rPr>
      </w:pP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27E79FB3">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beginning in the 2020 MIPS performance period (83 FR 59898</w:t>
      </w:r>
      <w:r w:rsidRPr="00DB53F8" w:rsidR="00DB53F8">
        <w:rPr>
          <w:rFonts w:eastAsia="Calibri"/>
        </w:rPr>
        <w:t>).</w:t>
      </w:r>
    </w:p>
    <w:p w:rsidRPr="00DB53F8" w:rsidR="00DB53F8" w:rsidP="00730BEF" w:rsidRDefault="000E182D" w14:paraId="6DFA0B4B" w14:textId="0D04730C">
      <w:pPr>
        <w:rPr>
          <w:rFonts w:eastAsia="Calibri"/>
        </w:rPr>
      </w:pPr>
      <w:r w:rsidRPr="000E182D">
        <w:rPr>
          <w:rFonts w:eastAsia="Calibri"/>
        </w:rPr>
        <w:t>The burden associated with QCDR self-nomination will vary depending on the number of existing QCDRs that will elect to use the simplified self-nomination process in lieu of the full self-nomination process as described in the CY 2018 Quality Payment Program final rule (82 FR 53808 through 53813).  The OPP Self-Nomination Form is submitted electronically using a web-based tool</w:t>
      </w:r>
      <w:r w:rsidRPr="00DB53F8" w:rsidR="00DB53F8">
        <w:rPr>
          <w:rFonts w:eastAsia="Calibri"/>
        </w:rPr>
        <w:t xml:space="preserve">.  </w:t>
      </w:r>
    </w:p>
    <w:p w:rsidRPr="00DB53F8" w:rsidR="00DB53F8" w:rsidP="00730BEF" w:rsidRDefault="006522EE" w14:paraId="3412BD76" w14:textId="47F41098">
      <w:pPr>
        <w:rPr>
          <w:rFonts w:eastAsia="Calibri"/>
        </w:rPr>
      </w:pPr>
      <w:r>
        <w:rPr>
          <w:rFonts w:eastAsia="Calibri"/>
        </w:rPr>
        <w:t>In the CY 2020 PFS</w:t>
      </w:r>
      <w:r w:rsidRPr="006522EE">
        <w:rPr>
          <w:rFonts w:eastAsia="Calibri"/>
        </w:rPr>
        <w:t xml:space="preserve"> final rule, we adjusted the number of QCDRs self-nominating for approval to submit data from 200 to 76 based on the number of applications received during the CY 2019 self-nomination period for the 2020 MIPS performance period, a decrease of 124 from the currently approved estimate of 150 (83 FR 59997 through 59998).  Given this decrease, for our minimum burden estimate we will assume each of the 76 QCDRs will be approved for the 2020 MIPS performance period and will self-nominate using the simplified process during the CY 2020 nomination period.  This estimate reflects impacts of revisions to both the definition of a QCDR and minimum participation requirements for entities seeking approval as a QCDR which were previously finalized in the CY 2019 PFS final rule (83 FR 59895 through 59897) that may or may not have resulted in some entities seeking approval as a qualified registry rather than a QCDR.  We were unable to change our estimates in the CY 2019 PFS final rule to reflect these policies because we had neither the data to support a change nor any notifications of intent by previously approved QCDRs indicating they would no longer self-nominate as a QCDR (83 FR 59999).  As a result, we are making the necessary adjustments to our respondent estimates in this final rule.</w:t>
      </w:r>
      <w:r w:rsidR="00135E9B">
        <w:rPr>
          <w:rFonts w:eastAsia="Calibri"/>
        </w:rPr>
        <w:t xml:space="preserve">  </w:t>
      </w:r>
      <w:r w:rsidRPr="00DB53F8" w:rsidR="00DB53F8">
        <w:rPr>
          <w:rFonts w:eastAsia="Calibri"/>
        </w:rPr>
        <w:t xml:space="preserve">We further estimate that the 64 QCDRs approved to submit data in the 2019 MIPS performance period that would also qualify as QCDRs for the 2020 MIPS performance period will use the simplified self-nomination process.  </w:t>
      </w:r>
    </w:p>
    <w:p w:rsidRPr="00DB53F8" w:rsidR="00DB53F8" w:rsidP="00730BEF" w:rsidRDefault="001E2806" w14:paraId="4DFB178E" w14:textId="4C8FB170">
      <w:pPr>
        <w:rPr>
          <w:rFonts w:eastAsia="Calibri"/>
        </w:rPr>
      </w:pPr>
      <w:r w:rsidRPr="001E2806">
        <w:rPr>
          <w:rFonts w:eastAsia="Calibri"/>
        </w:rPr>
        <w:t>Based on previously finalized policies in the CY 2017 Quality Payment Program final rule (81 FR 77363 through 77364) and as further revised in the CY 2019 PFS final rule at § 414.1400(a)(2) (83 FR 60088), the current policy is that all third party intermediaries may submit data for any of the three MIPS performance categories quality (except for data on the CAHPS for MIPS survey); improvement activities; and Promoting Interoperability. In section III.K.3.g.(3)(a)(i) of th</w:t>
      </w:r>
      <w:r w:rsidR="00BF1701">
        <w:rPr>
          <w:rFonts w:eastAsia="Calibri"/>
        </w:rPr>
        <w:t>e CY 2020 PFS</w:t>
      </w:r>
      <w:r w:rsidRPr="001E2806">
        <w:rPr>
          <w:rFonts w:eastAsia="Calibri"/>
        </w:rPr>
        <w:t xml:space="preserve"> rule, we </w:t>
      </w:r>
      <w:r w:rsidR="00BF1701">
        <w:rPr>
          <w:rFonts w:eastAsia="Calibri"/>
        </w:rPr>
        <w:t>finalized</w:t>
      </w:r>
      <w:r w:rsidR="00C548D6">
        <w:rPr>
          <w:rFonts w:eastAsia="Calibri"/>
        </w:rPr>
        <w:t xml:space="preserve"> changes to </w:t>
      </w:r>
      <w:r w:rsidRPr="008E4D69" w:rsidR="008E4D69">
        <w:rPr>
          <w:rFonts w:eastAsia="Calibri"/>
        </w:rPr>
        <w:t>§ 414.1400(a)(2)</w:t>
      </w:r>
      <w:r w:rsidR="008E4D69">
        <w:rPr>
          <w:rFonts w:eastAsia="Calibri"/>
        </w:rPr>
        <w:t xml:space="preserve"> to state that</w:t>
      </w:r>
      <w:r w:rsidRPr="001E2806">
        <w:rPr>
          <w:rFonts w:eastAsia="Calibri"/>
        </w:rPr>
        <w:t xml:space="preserve">, beginning with the 2023 MIPS payment year QCDRs must be able to submit data for </w:t>
      </w:r>
      <w:r w:rsidR="008E4D69">
        <w:rPr>
          <w:rFonts w:eastAsia="Calibri"/>
        </w:rPr>
        <w:t xml:space="preserve">all of the MIPS performance categories identified in the regulation.  We are also </w:t>
      </w:r>
      <w:r w:rsidR="00D07173">
        <w:rPr>
          <w:rFonts w:eastAsia="Calibri"/>
        </w:rPr>
        <w:t>finalizing to amend</w:t>
      </w:r>
      <w:r w:rsidR="00AD2E87">
        <w:rPr>
          <w:rFonts w:eastAsia="Calibri"/>
        </w:rPr>
        <w:t xml:space="preserve"> </w:t>
      </w:r>
      <w:r w:rsidRPr="008D7636" w:rsidR="00AD2E87">
        <w:t>§ 414.1400(a)(2)(iii</w:t>
      </w:r>
      <w:r w:rsidR="00AD2E87">
        <w:t>) to state that</w:t>
      </w:r>
      <w:r w:rsidRPr="001E2806">
        <w:rPr>
          <w:rFonts w:eastAsia="Calibri"/>
        </w:rPr>
        <w:t xml:space="preserve"> a third party </w:t>
      </w:r>
      <w:r w:rsidR="00AD2E87">
        <w:rPr>
          <w:rFonts w:eastAsia="Calibri"/>
        </w:rPr>
        <w:t xml:space="preserve">intermediary </w:t>
      </w:r>
      <w:r w:rsidR="00B43F94">
        <w:rPr>
          <w:rFonts w:eastAsia="Calibri"/>
        </w:rPr>
        <w:t>may</w:t>
      </w:r>
      <w:r w:rsidRPr="001E2806">
        <w:rPr>
          <w:rFonts w:eastAsia="Calibri"/>
        </w:rPr>
        <w:t xml:space="preserve"> be excepted from this requirement if its MIPS eligible clinicians, groups or virtual groups fall under the reweighting policies at § 414.1380(c)(2)(i)(</w:t>
      </w:r>
      <w:r w:rsidRPr="008C024F">
        <w:rPr>
          <w:rFonts w:eastAsia="Calibri"/>
          <w:i/>
          <w:iCs/>
        </w:rPr>
        <w:t>A</w:t>
      </w:r>
      <w:r w:rsidRPr="001E2806">
        <w:rPr>
          <w:rFonts w:eastAsia="Calibri"/>
        </w:rPr>
        <w:t>)(</w:t>
      </w:r>
      <w:r w:rsidRPr="008C024F">
        <w:rPr>
          <w:rFonts w:eastAsia="Calibri"/>
          <w:i/>
          <w:iCs/>
        </w:rPr>
        <w:t>4</w:t>
      </w:r>
      <w:r w:rsidRPr="001E2806">
        <w:rPr>
          <w:rFonts w:eastAsia="Calibri"/>
        </w:rPr>
        <w:t>) or (5) or § 414.1380(c)(2)(i)(</w:t>
      </w:r>
      <w:r w:rsidRPr="008C024F">
        <w:rPr>
          <w:rFonts w:eastAsia="Calibri"/>
          <w:i/>
          <w:iCs/>
        </w:rPr>
        <w:t>C</w:t>
      </w:r>
      <w:r w:rsidRPr="001E2806">
        <w:rPr>
          <w:rFonts w:eastAsia="Calibri"/>
        </w:rPr>
        <w:t>)(</w:t>
      </w:r>
      <w:r w:rsidRPr="008C024F">
        <w:rPr>
          <w:rFonts w:eastAsia="Calibri"/>
          <w:i/>
          <w:iCs/>
        </w:rPr>
        <w:t>1</w:t>
      </w:r>
      <w:r w:rsidRPr="001E2806">
        <w:rPr>
          <w:rFonts w:eastAsia="Calibri"/>
        </w:rPr>
        <w:t>) through (</w:t>
      </w:r>
      <w:r w:rsidRPr="008C024F">
        <w:rPr>
          <w:rFonts w:eastAsia="Calibri"/>
          <w:i/>
          <w:iCs/>
        </w:rPr>
        <w:t>7</w:t>
      </w:r>
      <w:r w:rsidRPr="001E2806">
        <w:rPr>
          <w:rFonts w:eastAsia="Calibri"/>
        </w:rPr>
        <w:t>) or § 414.1380(c)(2)(i)(C)(</w:t>
      </w:r>
      <w:r w:rsidRPr="008C024F">
        <w:rPr>
          <w:rFonts w:eastAsia="Calibri"/>
          <w:i/>
          <w:iCs/>
        </w:rPr>
        <w:t>9</w:t>
      </w:r>
      <w:r w:rsidRPr="001E2806">
        <w:rPr>
          <w:rFonts w:eastAsia="Calibri"/>
        </w:rPr>
        <w:t xml:space="preserve">)).  As finalized in the CY 2018 Quality Payment Program final rule, QCDRs are required to provide feedback on all of the MIPS performance categories that the QCDR reports at least 4 times a year (82 FR 53812).  In section III.K.3.g.(3)(a)(iii) we </w:t>
      </w:r>
      <w:r w:rsidR="00BF1701">
        <w:rPr>
          <w:rFonts w:eastAsia="Calibri"/>
        </w:rPr>
        <w:t>finalized</w:t>
      </w:r>
      <w:r w:rsidRPr="001E2806">
        <w:rPr>
          <w:rFonts w:eastAsia="Calibri"/>
        </w:rPr>
        <w:t>, beginning with the 2023 MIPS payment year, to require that QCDRs provide the following as a part of the performance feedback given at least 4 times a year: feedback to their clinicians and groups on how they compare to other clinicians who have submitted data on a given measure (MIPS quality measure and/or QCDR measure) within the QCDR.  We also understand that QCDRs can only provide feedback on data they have collected on their clinicians and groups, and realize the comparison would be limited to that data and not reflect the larger sample of those that have submitted on the measure for MIPS, which the QCDR does not have access to.  Further, we also</w:t>
      </w:r>
      <w:r w:rsidR="00BF1701">
        <w:rPr>
          <w:rFonts w:eastAsia="Calibri"/>
        </w:rPr>
        <w:t xml:space="preserve"> finalized</w:t>
      </w:r>
      <w:r w:rsidRPr="001E2806">
        <w:rPr>
          <w:rFonts w:eastAsia="Calibri"/>
        </w:rPr>
        <w:t xml:space="preserve">, beginning with the 2023 MIPS payment year, to require QCDRs to attest during the self-nomination process that they can provide performance feedback at least 4 times a year, and if not, provide sufficient rationale as to why they do not believe they will be able to meet this requirement.  We do not believe these </w:t>
      </w:r>
      <w:r w:rsidR="00BF1701">
        <w:rPr>
          <w:rFonts w:eastAsia="Calibri"/>
        </w:rPr>
        <w:t>requirements</w:t>
      </w:r>
      <w:r w:rsidRPr="001E2806">
        <w:rPr>
          <w:rFonts w:eastAsia="Calibri"/>
        </w:rPr>
        <w:t xml:space="preserve"> create enough additional burden for QCDRs to elect to discontinue participation in the Quality Payment Program because we are not requiring QCDRs to provide performance feedback to their clinicians and groups at a greater frequency than what has previously been required and because QCDRs will only be required to provide feedback using data they are already collecting.  Therefore, we </w:t>
      </w:r>
      <w:r w:rsidR="00BF1701">
        <w:rPr>
          <w:rFonts w:eastAsia="Calibri"/>
        </w:rPr>
        <w:t>did not adjust</w:t>
      </w:r>
      <w:r w:rsidRPr="001E2806">
        <w:rPr>
          <w:rFonts w:eastAsia="Calibri"/>
        </w:rPr>
        <w:t xml:space="preserve"> our estimates for the number of QCDRs that will self-nominate in the 2021 performance period or future years as a result of these finalized policies; if reliable information becomes available indicating this assumption is incorrect, we will adjust our assumptions and respondent estimates at that time.  As part of the self-nomination process, QCDRs are already required to attest to the MIPS quality measures, performance categories, improvement activities, and Promoting Interoperability measures and objectives supported and will not be required to provide performance feedback to CMS.  Therefore, we anticipate no additional steps being added to the self-nomination process as a result of these finalized policies and assume there will be no impact on the time required to complete either the simplified or full self-nomination process</w:t>
      </w:r>
      <w:r w:rsidR="00076EB7">
        <w:rPr>
          <w:rFonts w:eastAsia="Calibri"/>
        </w:rPr>
        <w:t>.</w:t>
      </w:r>
    </w:p>
    <w:p w:rsidR="00DB53F8" w:rsidP="00730BEF" w:rsidRDefault="001800F0" w14:paraId="34C38B90" w14:textId="326BF2A9">
      <w:pPr>
        <w:rPr>
          <w:rFonts w:eastAsia="Calibri"/>
        </w:rPr>
      </w:pPr>
      <w:bookmarkStart w:name="_Hlk9580770" w:id="4"/>
      <w:r w:rsidRPr="001800F0">
        <w:rPr>
          <w:rFonts w:eastAsia="Calibri"/>
        </w:rPr>
        <w:t>We estimate that the self-nomination process for QCDRs to submit on behalf of MIPS eligible clinicians or groups for MIPS will involve approximately 3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However, for the simplified self-nomination process, we estimate 0.5 hours per QCDR to submit this information</w:t>
      </w:r>
      <w:r w:rsidRPr="00424D3E" w:rsidR="00424D3E">
        <w:rPr>
          <w:rFonts w:eastAsia="Calibri"/>
        </w:rPr>
        <w:t xml:space="preserve">.  </w:t>
      </w:r>
      <w:bookmarkEnd w:id="4"/>
      <w:r w:rsidRPr="00DB53F8" w:rsidR="00DB53F8">
        <w:rPr>
          <w:rFonts w:eastAsia="Calibri"/>
        </w:rPr>
        <w:t xml:space="preserve"> </w:t>
      </w:r>
    </w:p>
    <w:p w:rsidRPr="00DB53F8" w:rsidR="00A37DA3" w:rsidP="00730BEF" w:rsidRDefault="00A37DA3" w14:paraId="7248F9DC" w14:textId="7EE78E3A">
      <w:pPr>
        <w:rPr>
          <w:rFonts w:eastAsia="Calibri"/>
        </w:rPr>
      </w:pPr>
      <w:r w:rsidRPr="00A37DA3">
        <w:rPr>
          <w:rFonts w:eastAsia="Calibri"/>
        </w:rPr>
        <w:t>We also finaliz</w:t>
      </w:r>
      <w:r>
        <w:rPr>
          <w:rFonts w:eastAsia="Calibri"/>
        </w:rPr>
        <w:t>ed</w:t>
      </w:r>
      <w:r w:rsidRPr="00A37DA3">
        <w:rPr>
          <w:rFonts w:eastAsia="Calibri"/>
        </w:rPr>
        <w:t xml:space="preserve"> in section III.K.3.g.(2) </w:t>
      </w:r>
      <w:r w:rsidR="00C3586C">
        <w:rPr>
          <w:rFonts w:eastAsia="Calibri"/>
        </w:rPr>
        <w:t xml:space="preserve">of the CY 2020 PFS final rule </w:t>
      </w:r>
      <w:r w:rsidRPr="00A37DA3">
        <w:rPr>
          <w:rFonts w:eastAsia="Calibri"/>
        </w:rPr>
        <w:t xml:space="preserve">and at § 414.1400(a)(4) to establish that a condition of approval for </w:t>
      </w:r>
      <w:r>
        <w:rPr>
          <w:rFonts w:eastAsia="Calibri"/>
        </w:rPr>
        <w:t xml:space="preserve">a </w:t>
      </w:r>
      <w:r w:rsidRPr="00A37DA3">
        <w:rPr>
          <w:rFonts w:eastAsia="Calibri"/>
        </w:rPr>
        <w:t>third party intermediar</w:t>
      </w:r>
      <w:r>
        <w:rPr>
          <w:rFonts w:eastAsia="Calibri"/>
        </w:rPr>
        <w:t>y</w:t>
      </w:r>
      <w:r w:rsidRPr="00A37DA3">
        <w:rPr>
          <w:rFonts w:eastAsia="Calibri"/>
        </w:rPr>
        <w:t xml:space="preserve"> </w:t>
      </w:r>
      <w:r>
        <w:rPr>
          <w:rFonts w:eastAsia="Calibri"/>
        </w:rPr>
        <w:t xml:space="preserve">is </w:t>
      </w:r>
      <w:r w:rsidRPr="00A37DA3">
        <w:rPr>
          <w:rFonts w:eastAsia="Calibri"/>
        </w:rPr>
        <w:t>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Because of the uncertain, but low frequency (less than 10 per year historically) with which third party intermediaries have elected to discontinue services during a performance period</w:t>
      </w:r>
      <w:r>
        <w:rPr>
          <w:rFonts w:eastAsia="Calibri"/>
        </w:rPr>
        <w:t xml:space="preserve"> combined with the fact that only third party intermediaries who elect to discontinue services </w:t>
      </w:r>
      <w:r w:rsidR="00C3586C">
        <w:rPr>
          <w:rFonts w:eastAsia="Calibri"/>
        </w:rPr>
        <w:t>will be required to develop a transition plan</w:t>
      </w:r>
      <w:r w:rsidRPr="00A37DA3">
        <w:rPr>
          <w:rFonts w:eastAsia="Calibri"/>
        </w:rPr>
        <w:t>, we are unable to estimate the total burden associated with development of CMS approved transition plans.  However, we anticipate the time involved in developing a transition plan and disseminating it to contracted MIPS eligible clinicians is likely to be no more than 10 hours.</w:t>
      </w:r>
    </w:p>
    <w:p w:rsidR="00827C49" w:rsidP="00730BEF" w:rsidRDefault="00AF10FF" w14:paraId="68098877" w14:textId="7BE65F14">
      <w:pPr>
        <w:rPr>
          <w:rFonts w:eastAsia="Calibri"/>
        </w:rPr>
      </w:pPr>
      <w:r w:rsidRPr="00AF10FF">
        <w:rPr>
          <w:rFonts w:eastAsia="Calibri"/>
        </w:rPr>
        <w:t xml:space="preserve">QCDRs </w:t>
      </w:r>
      <w:r w:rsidR="00306AA5">
        <w:rPr>
          <w:rFonts w:eastAsia="Calibri"/>
        </w:rPr>
        <w:t xml:space="preserve">must </w:t>
      </w:r>
      <w:r w:rsidRPr="00AF10FF">
        <w:rPr>
          <w:rFonts w:eastAsia="Calibri"/>
        </w:rPr>
        <w:t>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p>
    <w:p w:rsidR="004B4A8B" w:rsidP="00730BEF" w:rsidRDefault="00B62828" w14:paraId="50299CD2" w14:textId="69B238D4">
      <w:pPr>
        <w:rPr>
          <w:rFonts w:eastAsia="Calibri"/>
        </w:rPr>
      </w:pPr>
      <w:r w:rsidRPr="00B62828">
        <w:rPr>
          <w:rFonts w:eastAsia="Calibri"/>
        </w:rPr>
        <w:t>As discussed in section III.K.3.g.(3)(c)(i)(B)(cc)</w:t>
      </w:r>
      <w:r>
        <w:rPr>
          <w:rFonts w:eastAsia="Calibri"/>
        </w:rPr>
        <w:t xml:space="preserve"> of the CY 2020 PFS final rule</w:t>
      </w:r>
      <w:r w:rsidRPr="00B62828">
        <w:rPr>
          <w:rFonts w:eastAsia="Calibri"/>
        </w:rPr>
        <w:t>, we finaliz</w:t>
      </w:r>
      <w:r>
        <w:rPr>
          <w:rFonts w:eastAsia="Calibri"/>
        </w:rPr>
        <w:t>ed</w:t>
      </w:r>
      <w:r w:rsidRPr="00B62828">
        <w:rPr>
          <w:rFonts w:eastAsia="Calibri"/>
        </w:rPr>
        <w:t xml:space="preserve"> that in order for a QCDR measure to be considered for use in the program beginning with the 2021 performance period and future years, all QCDR measures submitted for self-nomination must be fully developed with completed testing results at the clinician level, as defined by the CMS Blueprint for the CMS Measures Management System, as used in the testing of MIPS quality measures prior to the submission of those measures to the Call for Measures.  Beginning with the 2021 performance period and future years, we </w:t>
      </w:r>
      <w:r>
        <w:rPr>
          <w:rFonts w:eastAsia="Calibri"/>
        </w:rPr>
        <w:t>finalized</w:t>
      </w:r>
      <w:r w:rsidRPr="00B62828">
        <w:rPr>
          <w:rFonts w:eastAsia="Calibri"/>
        </w:rPr>
        <w:t xml:space="preserve"> in section III.K.3.g.(3)(c)(i)(B)(dd) to also require QCDRs to collect data on the potential QCDR measure, appropriate to the measure type, as defined in the CMS Blueprint for the CMS Measures Management System, prior to self-nomination.  We estimate the time necessary to submit measure testing data as part of the self-nomination process will average approximately 0.5 hours per measure, understanding that this estimate may be either high or low depending on the type of measure and the quantity of data being submitted</w:t>
      </w:r>
      <w:r w:rsidR="009D42E3">
        <w:rPr>
          <w:rFonts w:eastAsia="Calibri"/>
        </w:rPr>
        <w:t xml:space="preserve">.  </w:t>
      </w:r>
    </w:p>
    <w:p w:rsidR="004B4A8B" w:rsidP="00730BEF" w:rsidRDefault="00825296" w14:paraId="14AB1155" w14:textId="72B68C6E">
      <w:pPr>
        <w:rPr>
          <w:rFonts w:eastAsia="Calibri"/>
        </w:rPr>
      </w:pPr>
      <w:r w:rsidRPr="00825296">
        <w:rPr>
          <w:rFonts w:eastAsia="Calibri"/>
        </w:rPr>
        <w:t>In section III.K.3.g.(3)(c)(i)(A)(bb) of th</w:t>
      </w:r>
      <w:r>
        <w:rPr>
          <w:rFonts w:eastAsia="Calibri"/>
        </w:rPr>
        <w:t>e CY 2020 PFS final rule</w:t>
      </w:r>
      <w:r w:rsidRPr="00825296">
        <w:rPr>
          <w:rFonts w:eastAsia="Calibri"/>
        </w:rPr>
        <w:t xml:space="preserve">, we </w:t>
      </w:r>
      <w:r>
        <w:rPr>
          <w:rFonts w:eastAsia="Calibri"/>
        </w:rPr>
        <w:t>finalized</w:t>
      </w:r>
      <w:r w:rsidRPr="00825296">
        <w:rPr>
          <w:rFonts w:eastAsia="Calibri"/>
        </w:rPr>
        <w:t xml:space="preserve"> to amend § 414.1400 to state that CMS may consider the extent to which a QCDR measure is available to MIPS eligible clinicians reporting through QCDRs other than the QCDR measure owner for purposes of MIPS.  If CMS determines that a QCDR measure is not available to MIPS eligible clinicians, groups, and virtual groups reporting through other QCDRs, CMS may not approve the measure.  Because the choice to license a QCDR measure is an elective business decision made by individual QCDRs and we lack insight into both the specific terms and frequency of agreements made between entities, we are not accounting for QCDR measure licensing costs as part of our burden estimate.  However, if information regarding the number of licensing agreements and the approximate cost per agreement becomes available, we may adjust our assumptions and burden estimates at that time</w:t>
      </w:r>
      <w:r w:rsidR="004B4A8B">
        <w:rPr>
          <w:rFonts w:eastAsia="Calibri"/>
        </w:rPr>
        <w:t>.</w:t>
      </w:r>
    </w:p>
    <w:p w:rsidR="005F74EC" w:rsidP="00730BEF" w:rsidRDefault="0071709C" w14:paraId="3EB214CC" w14:textId="1D87B700">
      <w:pPr>
        <w:rPr>
          <w:rFonts w:eastAsia="Calibri"/>
        </w:rPr>
      </w:pPr>
      <w:r w:rsidRPr="0071709C">
        <w:rPr>
          <w:rFonts w:eastAsia="Calibri"/>
        </w:rPr>
        <w:t>In section III.K.3.g.(3)(c)(i)(B)(ee) of th</w:t>
      </w:r>
      <w:r>
        <w:rPr>
          <w:rFonts w:eastAsia="Calibri"/>
        </w:rPr>
        <w:t>e CY 2020 PFS final rule</w:t>
      </w:r>
      <w:r w:rsidRPr="0071709C">
        <w:rPr>
          <w:rFonts w:eastAsia="Calibri"/>
        </w:rPr>
        <w:t xml:space="preserve">, we </w:t>
      </w:r>
      <w:r>
        <w:rPr>
          <w:rFonts w:eastAsia="Calibri"/>
        </w:rPr>
        <w:t>finalized</w:t>
      </w:r>
      <w:r w:rsidRPr="0071709C">
        <w:rPr>
          <w:rFonts w:eastAsia="Calibri"/>
        </w:rPr>
        <w:t>, beginning with the 2020 performance period, that after the self-nomination period closes each year, we will review newly self-nominated and previously approved QCDR measures based on considerations as described in the CY 2019 PFS final rule (83 FR 59900 through 59902).  In instances in which multiple, similar QCDR measures exist that warrant approval, we may provisionally approve the individual QCDR measures for 1 year with the condition that QCDRs address certain areas of duplication with other approved QCDR measures in order to be considered for the program in subsequent years.  The QCDR could do so by harmonizing its measure with, or significantly differentiating its measure from, other similar QCDR measures. QCDR measure harmonization may require two or more QCDRs to work collaboratively to develop one cohesive QCDR measure that is representative of their similar yet, individual measures. We are unable to account for measure harmonization costs as part of our burden estimate, as the process and outcomes of measure harmonization will likely vary substantially depending on a number of factors, including: extent of duplication with other measures, number of QCDRs involved in harmonizing toward a single measure, and number of measures being harmonized among the same QCDRs.  We intend to identify only those QCDR measures which are duplicative to such an extent as to assume harmonization will not be overly burdensome, however, because the harmonization process will occur between QCDRs without our involvement, we are unable to predict or quantify the associated effort</w:t>
      </w:r>
      <w:r w:rsidR="005F74EC">
        <w:rPr>
          <w:rFonts w:eastAsia="Calibri"/>
        </w:rPr>
        <w:t>.</w:t>
      </w:r>
    </w:p>
    <w:p w:rsidRPr="000E6875" w:rsidR="009B3C1A" w:rsidP="00730BEF" w:rsidRDefault="009A3E54" w14:paraId="4F9DA978" w14:textId="0D5EA0D3">
      <w:pPr>
        <w:rPr>
          <w:rFonts w:eastAsia="Calibri"/>
        </w:rPr>
      </w:pPr>
      <w:r w:rsidRPr="009A3E54">
        <w:t>As discussed in section III.K.3.g.(3)(c)(i)(B)(bb) of th</w:t>
      </w:r>
      <w:r>
        <w:t>e CY 2020 PFS</w:t>
      </w:r>
      <w:r w:rsidRPr="009A3E54">
        <w:t xml:space="preserve"> final rule, beginning with the 2021 performance period and future years, we </w:t>
      </w:r>
      <w:r>
        <w:t>finalized</w:t>
      </w:r>
      <w:r w:rsidRPr="009A3E54">
        <w:t xml:space="preserve"> that QCDRs </w:t>
      </w:r>
      <w:r w:rsidR="00325FF4">
        <w:t>are required to</w:t>
      </w:r>
      <w:r w:rsidRPr="009A3E54">
        <w:t xml:space="preserve"> link their QCDR measures as feasible to </w:t>
      </w:r>
      <w:r w:rsidR="00325FF4">
        <w:t xml:space="preserve">at least </w:t>
      </w:r>
      <w:r w:rsidR="0082319A">
        <w:t xml:space="preserve">one of </w:t>
      </w:r>
      <w:r w:rsidRPr="009A3E54">
        <w:t>the following, at the time of self-nomination: (a) cost measures (as found in section III.K.3.c.(2) of th</w:t>
      </w:r>
      <w:r w:rsidR="006A7ED9">
        <w:t>e CY 2020 PFS</w:t>
      </w:r>
      <w:r w:rsidRPr="009A3E54">
        <w:t xml:space="preserve"> final rule); (b) improvement activities (as found in Appendix 2: Improvement Activities Tables); or (c) CMS developed MIPS Value Pathways (as described in section III.K.3.a. of th</w:t>
      </w:r>
      <w:r w:rsidR="006A7ED9">
        <w:t>e CY 2020 PFS</w:t>
      </w:r>
      <w:r w:rsidRPr="009A3E54">
        <w:t xml:space="preserve"> final rule).  We estimate that a QCDR will spend an additional 1 hour performing these activities per measure, on average</w:t>
      </w:r>
      <w:r w:rsidRPr="000E6875" w:rsidR="009B3C1A">
        <w:t>.</w:t>
      </w:r>
    </w:p>
    <w:p w:rsidRPr="00DB53F8" w:rsidR="00DB53F8" w:rsidP="00730BEF" w:rsidRDefault="00F72C04" w14:paraId="4CCDD925" w14:textId="54B05DF1">
      <w:pPr>
        <w:rPr>
          <w:rFonts w:eastAsia="Calibri"/>
        </w:rPr>
      </w:pPr>
      <w:r w:rsidRPr="00F72C04">
        <w:t>We a</w:t>
      </w:r>
      <w:r>
        <w:t>lso</w:t>
      </w:r>
      <w:r w:rsidRPr="00F72C04">
        <w:t xml:space="preserve"> finaliz</w:t>
      </w:r>
      <w:r>
        <w:t>ed</w:t>
      </w:r>
      <w:r w:rsidRPr="00F72C04">
        <w:t xml:space="preserve"> to formalize factors we would take into consideration for approving and rejecting QCDR measures for the MIPS program beginning with the 2022 MIPS payment year (2020 performance period).  With regard to approving QCDR measures, we finali</w:t>
      </w:r>
      <w:r>
        <w:t>zed</w:t>
      </w:r>
      <w:r w:rsidRPr="00F72C04">
        <w:t xml:space="preserve"> the following:  (a) 2-year QCDR measure approval process, and (b) participation plan for existing QCDR measures that have failed to reach benchmarking thresholds.  As discussed in section III.K.3.g.(3)(c)(ii)(B) of th</w:t>
      </w:r>
      <w:r>
        <w:t>e CY 2020 PFS final</w:t>
      </w:r>
      <w:r w:rsidRPr="00F72C04">
        <w:t xml:space="preserve"> rule, we finali</w:t>
      </w:r>
      <w:r>
        <w:t>zed</w:t>
      </w:r>
      <w:r w:rsidRPr="00F72C04">
        <w:t xml:space="preserve"> to implement, beginning with the 2021 performance period, 2-year QCDR measure approvals (at our discretion) for QCDR measures that attain approval status by meeting the QCDR measure considerations and requirements described in section III.K.3.g.(3)(c).  The 2-year approvals will be subject to the following conditions whereby the multi-year approval will no longer apply if the QCDR measure is identified as: topped out; duplicative of a new, more robust measure; reflects an outdated clinical guideline; requires measure harmonization, or if the QCDR self-nominating the measure is no longer in good standing.  We believe this could result in reduced burden for QCDRs as they would not necessarily be required to submit every measure for approval annually.  However, because we are unable to predict which previously approved QCDR measures will be removed or retained in future years, we are likewise unable to predict the total number of measures that will be submitted for approval and the resulting impact on future burden.  We anticipate that the number of QCDR measures submitted in the 2021 performance period will reflect the impact of this policy; at that time we will update our assumptions and burden estimates accordingly</w:t>
      </w:r>
      <w:r w:rsidR="007601E7">
        <w:rPr>
          <w:rFonts w:eastAsia="Calibri"/>
        </w:rPr>
        <w:t xml:space="preserve">.  </w:t>
      </w:r>
    </w:p>
    <w:p w:rsidRPr="00CB1BF3" w:rsidR="00CB1BF3" w:rsidP="00730BEF" w:rsidRDefault="00D46D11" w14:paraId="30762240" w14:textId="03B69010">
      <w:pPr>
        <w:rPr>
          <w:rFonts w:eastAsia="Calibri"/>
        </w:rPr>
      </w:pPr>
      <w:r w:rsidRPr="00D46D11">
        <w:rPr>
          <w:rFonts w:eastAsia="Calibri"/>
        </w:rPr>
        <w:t>We estimate that on average, each QCDR will submit information for 2 QCDR measures, for a total burden of 2 hours per QCDR (1 hr per measure x 2 measures).  Based on the number of measures nominated during the CY 2019 nomination period for the 2020 MIPS performance period (790, or approximately 10.4 measures per QCDR) as well as an analysis of currently approved QCDR measures which indicates less than 10 percent of current measures have completing testing, we believe each QCDR is likely to submit 1 previously approved QCDR measure for approval during the CY 2020 nomination period.  We also believe the finalized policy requiring measure testing will result in additional measures undergoing testing than in previous years and therefore estimate each QCDR will submit 1 additional measure for approval during the CY 2020 nomination period, for a total of 2 measures per QCDR.  Finally, we believe the finalized changes in requirements for QCDR measure submission and for QCDRs to harmonize measures we identify as duplicative discussed earlier in this section will result in a reduction in the number of QCDR measures submitted for approval in future years.   However, we are unable to quantify the impact these changes will have on the number of measures QCDRs will submit for approval beyond the impacts previously discussed.  As information becomes available in future years, we will revisit our assumptions to better reflect the impact of these requirements on QCDRs and the quantity of measures being submitted for consideration annually.  When combined with our previously stated assumption regarding our inability to predict which QCDR measures will maintain approval in future years, we believe the estimate of 2 measures per QCDR to be appropriate</w:t>
      </w:r>
      <w:r w:rsidRPr="00CB1BF3" w:rsidR="00CB1BF3">
        <w:rPr>
          <w:rFonts w:eastAsia="Calibri"/>
        </w:rPr>
        <w:t>.</w:t>
      </w:r>
    </w:p>
    <w:p w:rsidR="00E43EF0" w:rsidP="00730BEF" w:rsidRDefault="008E5C40" w14:paraId="758A0168" w14:textId="64980371">
      <w:pPr>
        <w:rPr>
          <w:rFonts w:eastAsia="Calibri"/>
        </w:rPr>
      </w:pPr>
      <w:r w:rsidRPr="008E5C40">
        <w:rPr>
          <w:rFonts w:eastAsia="Calibri"/>
        </w:rPr>
        <w:t>Beginning with the 2021 performance period, we finaliz</w:t>
      </w:r>
      <w:r>
        <w:rPr>
          <w:rFonts w:eastAsia="Calibri"/>
        </w:rPr>
        <w:t>ed</w:t>
      </w:r>
      <w:r w:rsidRPr="008E5C40">
        <w:rPr>
          <w:rFonts w:eastAsia="Calibri"/>
        </w:rPr>
        <w:t xml:space="preserve"> in section III.K.3.g.(3)(c)(iii) of </w:t>
      </w:r>
      <w:r>
        <w:rPr>
          <w:rFonts w:eastAsia="Calibri"/>
        </w:rPr>
        <w:t>the CY 2020 PFS final</w:t>
      </w:r>
      <w:r w:rsidRPr="008E5C40">
        <w:rPr>
          <w:rFonts w:eastAsia="Calibri"/>
        </w:rPr>
        <w:t xml:space="preserve"> rule that in instances where an existing QCDR measure has been in MIPS for 2 years, and has failed to reach benchmarking thresholds due to low adoption, where a QCDR believes the low-reported QCDR measure is still important and relevant to a specialist’s practice, that the QCDR may develop and submit to a QCDR measure participation plan, to be submitted as part of their self-nomination.  Because we are unable to predict the frequency with which existing QCDR measures will meet the finalized criteria for allowing QCDRs to submit a measure participation plan or the likelihood of QCDRs electing to submit a plan, we are unable to estimate the total associated burden.  However, we anticipate the time involved in developing a measure participation plan is likely to average between 1 and 2 hours, depending on the QCDR and the level of detail they choose to include.  In future performance periods we may reassess availability of the number of QCDR measure participation plans submitted by QCDRs and estimate the associated burden, if possible.  In aggregate, we estimate a QCDR will require 2.5 hours per QCDR measure, an increase of 1.5 hours from the currently approved estimate of 1 hour (83 FR 59999).  As discussed earlier in this section, we estimate each QCDR will submit 2 QCDR measures for approval, on average.  Therefore, we estimate each QCDR will require 5 hours (2 measures x 2.5 hr per measure) to submit QCDR measures for approval, independent of the selection of the simplified or full self-nomination process</w:t>
      </w:r>
      <w:r w:rsidRPr="00325E37" w:rsidR="00325E37">
        <w:rPr>
          <w:rFonts w:eastAsia="Calibri"/>
        </w:rPr>
        <w:t>.</w:t>
      </w:r>
    </w:p>
    <w:p w:rsidR="00C3586C" w:rsidP="00730BEF" w:rsidRDefault="00C3586C" w14:paraId="36C8F253" w14:textId="41CA83AD">
      <w:pPr>
        <w:rPr>
          <w:rFonts w:eastAsia="Calibri"/>
        </w:rPr>
      </w:pPr>
      <w:r w:rsidRPr="00C3586C">
        <w:rPr>
          <w:rFonts w:eastAsia="Calibri"/>
        </w:rPr>
        <w:t>We finaliz</w:t>
      </w:r>
      <w:r>
        <w:rPr>
          <w:rFonts w:eastAsia="Calibri"/>
        </w:rPr>
        <w:t>ed</w:t>
      </w:r>
      <w:r w:rsidRPr="00C3586C">
        <w:rPr>
          <w:rFonts w:eastAsia="Calibri"/>
        </w:rPr>
        <w:t xml:space="preserve"> in section III.K.3.g.3(c)(i)(A)(bb)(BB)</w:t>
      </w:r>
      <w:r>
        <w:rPr>
          <w:rFonts w:eastAsia="Calibri"/>
        </w:rPr>
        <w:t xml:space="preserve"> of the CY 2020 PFS final rule</w:t>
      </w:r>
      <w:r w:rsidRPr="00C3586C">
        <w:rPr>
          <w:rFonts w:eastAsia="Calibri"/>
        </w:rPr>
        <w:t>, to amend § 414.1400 to add § 414.1400(b)(3)(iv)(I) to state that we would give greater consideration to measures for which QCDRs: (a) conducted an environmental scan of existing QCDR measures; MIPS quality measures; quality measures retired from the legacy Physician Quality Reporting System (PQRS) program; and (b) utilized the CMS Quality Measure Development Plan Annual Report and the Blueprint for the CMS Measures Management System to identify measurement gaps prior to measure development.  We also finaliz</w:t>
      </w:r>
      <w:r>
        <w:rPr>
          <w:rFonts w:eastAsia="Calibri"/>
        </w:rPr>
        <w:t xml:space="preserve">ed </w:t>
      </w:r>
      <w:r w:rsidRPr="00C3586C">
        <w:rPr>
          <w:rFonts w:eastAsia="Calibri"/>
        </w:rPr>
        <w:t>in section III.K.3.g.3(c)(i)(A)(bb)(CC)</w:t>
      </w:r>
      <w:r>
        <w:rPr>
          <w:rFonts w:eastAsia="Calibri"/>
        </w:rPr>
        <w:t>of the CY 2020 PFS final rule</w:t>
      </w:r>
      <w:r w:rsidRPr="00C3586C">
        <w:rPr>
          <w:rFonts w:eastAsia="Calibri"/>
        </w:rPr>
        <w:t xml:space="preserve"> and § 414.1400 to add paragraph (b)(3)(iv)(J), to state that, beginning with the 2020 performance period, we place greater preference on QCDR measures that meet case minimum and reporting volumes required for benchmarking after being in the program for 2 consecutive CY performance periods.  Those that do not meet this requirement, may not continue to be approved.  Lastly, we finaliz</w:t>
      </w:r>
      <w:r>
        <w:rPr>
          <w:rFonts w:eastAsia="Calibri"/>
        </w:rPr>
        <w:t>ed</w:t>
      </w:r>
      <w:r w:rsidRPr="00C3586C">
        <w:rPr>
          <w:rFonts w:eastAsia="Calibri"/>
        </w:rPr>
        <w:t xml:space="preserve"> in section III.K.3.g.3(c)(i)(B)(aa)</w:t>
      </w:r>
      <w:r>
        <w:rPr>
          <w:rFonts w:eastAsia="Calibri"/>
        </w:rPr>
        <w:t xml:space="preserve"> of the CY 2020 PFS final rule</w:t>
      </w:r>
      <w:r w:rsidRPr="00C3586C">
        <w:rPr>
          <w:rFonts w:eastAsia="Calibri"/>
        </w:rPr>
        <w:t>, beginning with the 2020 performance period, to change both of the below listed considerations into requirements and add § 414.1400(b)(3)(v) to include the following for QCDR measure requirements for approval: measures that are beyond the measure concept phase of development; and measures that address significant variation in performance.  Because these proposals do not impact the amount of information QCDRs are required to submit for the nomination of a QCDR measure, we are not finalizing any additional changes to our burden estimate as result of these policies.  We also do not believe these policies are likely to result in any additional change in the number of measures submitted per QCDR beyond the impacts previously discussed.</w:t>
      </w:r>
    </w:p>
    <w:p w:rsidRPr="00DA2CFA" w:rsidR="00DA2CFA" w:rsidP="00730BEF" w:rsidRDefault="008649FB" w14:paraId="094AF83B" w14:textId="542C557F">
      <w:pPr>
        <w:rPr>
          <w:rFonts w:eastAsia="Calibri"/>
        </w:rPr>
      </w:pPr>
      <w:r w:rsidRPr="008649FB">
        <w:rPr>
          <w:rFonts w:eastAsia="Calibri"/>
        </w:rPr>
        <w:t>In the CY 2019 PFS final rule, the burden associated with self-nomination of a QCDR was estimated to range from a minimum of 9.5 hours (0.5 hours to submit information for simplified self-nomination process and 9 hours for submission of QCDR measures) to a maximum of 12 hours (3 hours for the full self-nomination process and 9 hours for the submission of QCDR measures) (83 FR 59999).  For th</w:t>
      </w:r>
      <w:r>
        <w:rPr>
          <w:rFonts w:eastAsia="Calibri"/>
        </w:rPr>
        <w:t>e CY 2020 PFS final</w:t>
      </w:r>
      <w:r w:rsidRPr="008649FB">
        <w:rPr>
          <w:rFonts w:eastAsia="Calibri"/>
        </w:rPr>
        <w:t xml:space="preserve"> rule, we </w:t>
      </w:r>
      <w:r>
        <w:rPr>
          <w:rFonts w:eastAsia="Calibri"/>
        </w:rPr>
        <w:t>finalized</w:t>
      </w:r>
      <w:r w:rsidRPr="008649FB">
        <w:rPr>
          <w:rFonts w:eastAsia="Calibri"/>
        </w:rPr>
        <w:t xml:space="preserve"> to increase the burden associated with self-nomination to a minimum of 5.5 hours (0.5 hours to submit information for the simplified self-nomination process and 5 hours for the submission of QCDR measures) to a maximum of 8 hours (3 hours to submit information for the full self-nomination process and 5 hours for the submission of QCDR measures) to account for our revised estimate of the average number of QCDR measures submitted for consideration per QCDR, as well as the revised estimate of burden per QCDR measure</w:t>
      </w:r>
      <w:r w:rsidRPr="00DA2CFA" w:rsidR="00DA2CFA">
        <w:rPr>
          <w:rFonts w:eastAsia="Calibri"/>
        </w:rPr>
        <w:t>.</w:t>
      </w:r>
    </w:p>
    <w:p w:rsidRPr="006302F1" w:rsidR="006302F1" w:rsidP="00730BEF" w:rsidRDefault="006302F1" w14:paraId="376F3082" w14:textId="2DF64D85">
      <w:pPr>
        <w:rPr>
          <w:rFonts w:eastAsia="Calibri"/>
        </w:rPr>
      </w:pPr>
      <w:r w:rsidRPr="006302F1">
        <w:rPr>
          <w:rFonts w:eastAsia="Calibri"/>
        </w:rPr>
        <w:t xml:space="preserve">We assume that the staff involved in the QCDR self-nomination process will continue to be computer systems analysts or their equivalent, who have an average labor rate of $90.02/hr.  </w:t>
      </w:r>
      <w:r w:rsidR="00671900">
        <w:rPr>
          <w:rFonts w:eastAsia="Calibri"/>
        </w:rPr>
        <w:t>Because our estimate of</w:t>
      </w:r>
      <w:r w:rsidRPr="006302F1">
        <w:rPr>
          <w:rFonts w:eastAsia="Calibri"/>
        </w:rPr>
        <w:t xml:space="preserve"> the time per QCDR associated with the self-nomination process ranges from a </w:t>
      </w:r>
      <w:r w:rsidRPr="00687543" w:rsidR="00687543">
        <w:rPr>
          <w:rFonts w:eastAsia="Calibri"/>
        </w:rPr>
        <w:t xml:space="preserve">minimum of 5.5 hours to a maximum of 8 hours, we estimate that the annual burden will range from 418 hours (76 QCDRs x 5.5 hr) to 608 hours (76 QCDRs x 8 hr) at a cost ranging from $37,628 (418 hr x $90.02/hr) and $54,732 (608 hr x $90.02/hr), respectively </w:t>
      </w:r>
      <w:r w:rsidRPr="006302F1">
        <w:rPr>
          <w:rFonts w:eastAsia="Calibri"/>
        </w:rPr>
        <w:t>(see Table</w:t>
      </w:r>
      <w:r>
        <w:rPr>
          <w:rFonts w:eastAsia="Calibri"/>
        </w:rPr>
        <w:t xml:space="preserve"> 4</w:t>
      </w:r>
      <w:r w:rsidRPr="006302F1">
        <w:rPr>
          <w:rFonts w:eastAsia="Calibri"/>
        </w:rPr>
        <w:t xml:space="preserve">).  </w:t>
      </w:r>
    </w:p>
    <w:p w:rsidRPr="00E74114" w:rsidR="00E74114" w:rsidP="00730BEF" w:rsidRDefault="001C4C7C" w14:paraId="38A3A143" w14:textId="62506759">
      <w:pPr>
        <w:rPr>
          <w:rFonts w:eastAsia="Calibri"/>
        </w:rPr>
      </w:pPr>
      <w:r w:rsidRPr="001C4C7C">
        <w:rPr>
          <w:rFonts w:eastAsia="Calibri"/>
        </w:rPr>
        <w:t>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As stated in section III.K.3.g.(3)(a)(i)</w:t>
      </w:r>
      <w:r>
        <w:rPr>
          <w:rFonts w:eastAsia="Calibri"/>
        </w:rPr>
        <w:t xml:space="preserve"> of the CY 2020 PFS final rule</w:t>
      </w:r>
      <w:r w:rsidRPr="001C4C7C">
        <w:rPr>
          <w:rFonts w:eastAsia="Calibri"/>
        </w:rPr>
        <w:t>, based on our review of existing 2019 QCDRs through the 2019 QCDR Qualified Posting, approximately 92 QCDRs, or about 72 percent of the QCDRs currently participating in the program are able to submit data for these three performance categories.  In addition, through our review of previous qualified postings for the 2018 and 2017 MIPS performance periods, we have observed that in 2018, 73 percent (approximately 110 QCDRs) and in 2017, 73 percent (approximately 83 QCDRs) have been able to submit data for all three of the quality, Promoting Interoperability, and improvement activity performance categories.  Given this, we believe it is reasonable that all QCDRs have the capacity to submit data for the improvement activities and Promoting Interoperability performance categories and are not making any further changes to our burden estimates.  Therefore, we believe the 608 hour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26CB3566">
      <w:pPr>
        <w:spacing w:after="0"/>
        <w:jc w:val="center"/>
        <w:rPr>
          <w:b/>
          <w:bCs/>
        </w:rPr>
      </w:pPr>
      <w:r>
        <w:rPr>
          <w:b/>
          <w:bCs/>
        </w:rPr>
        <w:t>TABLE 4</w:t>
      </w:r>
      <w:r w:rsidRPr="00732012">
        <w:rPr>
          <w:b/>
          <w:bCs/>
        </w:rPr>
        <w:t>: Estimated Burden for QCDR Self-Nomination</w:t>
      </w:r>
    </w:p>
    <w:tbl>
      <w:tblPr>
        <w:tblW w:w="106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0"/>
        <w:gridCol w:w="1440"/>
        <w:gridCol w:w="1388"/>
      </w:tblGrid>
      <w:tr w:rsidRPr="00C47150" w:rsidR="00B05B18" w:rsidTr="00743AF8" w14:paraId="0A5EC646" w14:textId="77777777">
        <w:trPr>
          <w:trHeight w:val="540"/>
          <w:tblHeader/>
        </w:trPr>
        <w:tc>
          <w:tcPr>
            <w:tcW w:w="782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440" w:type="dxa"/>
          </w:tcPr>
          <w:p w:rsidRPr="007C52BE" w:rsidR="00B05B18" w:rsidP="00743AF8" w:rsidRDefault="00B05B18" w14:paraId="0780215E" w14:textId="77777777">
            <w:pPr>
              <w:spacing w:after="0"/>
              <w:rPr>
                <w:b/>
                <w:bCs/>
                <w:sz w:val="20"/>
                <w:szCs w:val="20"/>
              </w:rPr>
            </w:pPr>
            <w:r>
              <w:rPr>
                <w:b/>
                <w:bCs/>
                <w:sz w:val="20"/>
                <w:szCs w:val="20"/>
              </w:rPr>
              <w:t>Minimum Burden</w:t>
            </w:r>
          </w:p>
        </w:tc>
        <w:tc>
          <w:tcPr>
            <w:tcW w:w="1388" w:type="dxa"/>
            <w:shd w:val="clear" w:color="auto" w:fill="auto"/>
            <w:vAlign w:val="center"/>
          </w:tcPr>
          <w:p w:rsidRPr="007C52BE" w:rsidR="00B05B18" w:rsidP="00743AF8" w:rsidRDefault="00B05B18" w14:paraId="598CD1F0" w14:textId="77777777">
            <w:pPr>
              <w:spacing w:after="0"/>
              <w:rPr>
                <w:b/>
                <w:bCs/>
                <w:sz w:val="20"/>
                <w:szCs w:val="20"/>
              </w:rPr>
            </w:pPr>
            <w:r>
              <w:rPr>
                <w:b/>
                <w:bCs/>
                <w:sz w:val="20"/>
                <w:szCs w:val="20"/>
              </w:rPr>
              <w:t xml:space="preserve">Maximum </w:t>
            </w:r>
            <w:r w:rsidRPr="007C52BE">
              <w:rPr>
                <w:b/>
                <w:bCs/>
                <w:sz w:val="20"/>
                <w:szCs w:val="20"/>
              </w:rPr>
              <w:t>Burden</w:t>
            </w:r>
          </w:p>
        </w:tc>
      </w:tr>
      <w:tr w:rsidRPr="00C47150" w:rsidR="009668CC" w:rsidTr="00743AF8" w14:paraId="7BA1ADDF" w14:textId="77777777">
        <w:trPr>
          <w:trHeight w:val="268"/>
        </w:trPr>
        <w:tc>
          <w:tcPr>
            <w:tcW w:w="782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440" w:type="dxa"/>
          </w:tcPr>
          <w:p w:rsidR="009668CC" w:rsidP="009668CC" w:rsidRDefault="001C4C7C" w14:paraId="38FD6B58" w14:textId="6F98C0A8">
            <w:pPr>
              <w:spacing w:after="0"/>
              <w:rPr>
                <w:sz w:val="20"/>
                <w:szCs w:val="20"/>
              </w:rPr>
            </w:pPr>
            <w:r>
              <w:rPr>
                <w:rFonts w:eastAsia="Calibri"/>
                <w:sz w:val="20"/>
                <w:szCs w:val="20"/>
              </w:rPr>
              <w:t>76</w:t>
            </w:r>
          </w:p>
        </w:tc>
        <w:tc>
          <w:tcPr>
            <w:tcW w:w="1388"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743AF8" w14:paraId="029539CB" w14:textId="77777777">
        <w:trPr>
          <w:trHeight w:val="268"/>
        </w:trPr>
        <w:tc>
          <w:tcPr>
            <w:tcW w:w="782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440" w:type="dxa"/>
          </w:tcPr>
          <w:p w:rsidR="009668CC" w:rsidP="009668CC" w:rsidRDefault="001C4C7C" w14:paraId="5D58E7F0" w14:textId="43F28F57">
            <w:pPr>
              <w:spacing w:after="0"/>
              <w:rPr>
                <w:sz w:val="20"/>
                <w:szCs w:val="20"/>
              </w:rPr>
            </w:pPr>
            <w:r>
              <w:rPr>
                <w:rFonts w:eastAsia="Calibri"/>
                <w:sz w:val="20"/>
                <w:szCs w:val="20"/>
              </w:rPr>
              <w:t>0</w:t>
            </w:r>
          </w:p>
        </w:tc>
        <w:tc>
          <w:tcPr>
            <w:tcW w:w="1388" w:type="dxa"/>
            <w:shd w:val="clear" w:color="auto" w:fill="auto"/>
          </w:tcPr>
          <w:p w:rsidRPr="007C52BE" w:rsidR="009668CC" w:rsidP="009668CC" w:rsidRDefault="001C4C7C" w14:paraId="36C6C58B" w14:textId="486C0E30">
            <w:pPr>
              <w:spacing w:after="0"/>
              <w:rPr>
                <w:sz w:val="20"/>
                <w:szCs w:val="20"/>
              </w:rPr>
            </w:pPr>
            <w:r>
              <w:rPr>
                <w:rFonts w:eastAsia="Calibri"/>
                <w:sz w:val="20"/>
                <w:szCs w:val="20"/>
              </w:rPr>
              <w:t>76</w:t>
            </w:r>
          </w:p>
        </w:tc>
      </w:tr>
      <w:tr w:rsidRPr="00C47150" w:rsidR="00127A77" w:rsidTr="00127A77" w14:paraId="4F125F86" w14:textId="77777777">
        <w:trPr>
          <w:trHeight w:val="233"/>
        </w:trPr>
        <w:tc>
          <w:tcPr>
            <w:tcW w:w="7820" w:type="dxa"/>
            <w:shd w:val="clear" w:color="auto" w:fill="D9D9D9" w:themeFill="background1" w:themeFillShade="D9"/>
          </w:tcPr>
          <w:p w:rsidRPr="00127A77" w:rsidR="00127A77" w:rsidP="009668CC" w:rsidRDefault="00127A77" w14:paraId="5D9F27BF" w14:textId="75479AF6">
            <w:pPr>
              <w:spacing w:after="0"/>
              <w:rPr>
                <w:b/>
                <w:bCs/>
                <w:sz w:val="20"/>
                <w:szCs w:val="20"/>
              </w:rPr>
            </w:pPr>
            <w:r w:rsidRPr="00127A77">
              <w:rPr>
                <w:b/>
                <w:bCs/>
                <w:sz w:val="20"/>
                <w:szCs w:val="20"/>
              </w:rPr>
              <w:t>Total Applications</w:t>
            </w:r>
          </w:p>
        </w:tc>
        <w:tc>
          <w:tcPr>
            <w:tcW w:w="1440" w:type="dxa"/>
            <w:shd w:val="clear" w:color="auto" w:fill="D9D9D9" w:themeFill="background1" w:themeFillShade="D9"/>
          </w:tcPr>
          <w:p w:rsidRPr="00127A77" w:rsidR="00127A77" w:rsidP="009668CC" w:rsidRDefault="00127A77" w14:paraId="3DC4A8F2" w14:textId="3A906A71">
            <w:pPr>
              <w:spacing w:after="0"/>
              <w:rPr>
                <w:rFonts w:eastAsia="Calibri"/>
                <w:b/>
                <w:bCs/>
                <w:sz w:val="20"/>
                <w:szCs w:val="20"/>
              </w:rPr>
            </w:pPr>
            <w:r w:rsidRPr="00127A77">
              <w:rPr>
                <w:rFonts w:eastAsia="Calibri"/>
                <w:b/>
                <w:bCs/>
                <w:sz w:val="20"/>
                <w:szCs w:val="20"/>
              </w:rPr>
              <w:t>76</w:t>
            </w:r>
          </w:p>
        </w:tc>
        <w:tc>
          <w:tcPr>
            <w:tcW w:w="1388" w:type="dxa"/>
            <w:shd w:val="clear" w:color="auto" w:fill="D9D9D9" w:themeFill="background1" w:themeFillShade="D9"/>
          </w:tcPr>
          <w:p w:rsidRPr="00127A77" w:rsidR="00127A77" w:rsidP="009668CC" w:rsidRDefault="00127A77" w14:paraId="3C922E98" w14:textId="108C7C0C">
            <w:pPr>
              <w:spacing w:after="0"/>
              <w:rPr>
                <w:rFonts w:eastAsia="Calibri"/>
                <w:b/>
                <w:bCs/>
                <w:sz w:val="20"/>
                <w:szCs w:val="20"/>
              </w:rPr>
            </w:pPr>
            <w:r w:rsidRPr="00127A77">
              <w:rPr>
                <w:rFonts w:eastAsia="Calibri"/>
                <w:b/>
                <w:bCs/>
                <w:sz w:val="20"/>
                <w:szCs w:val="20"/>
              </w:rPr>
              <w:t>76</w:t>
            </w:r>
          </w:p>
        </w:tc>
      </w:tr>
      <w:tr w:rsidRPr="00C47150" w:rsidR="009668CC" w:rsidTr="00743AF8" w14:paraId="075CD4E7" w14:textId="77777777">
        <w:trPr>
          <w:trHeight w:val="233"/>
        </w:trPr>
        <w:tc>
          <w:tcPr>
            <w:tcW w:w="7820" w:type="dxa"/>
            <w:shd w:val="clear" w:color="auto" w:fill="auto"/>
          </w:tcPr>
          <w:p w:rsidRPr="007C52BE" w:rsidR="009668CC" w:rsidP="009668CC" w:rsidRDefault="009668CC" w14:paraId="31D6E17C" w14:textId="77777777">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440" w:type="dxa"/>
          </w:tcPr>
          <w:p w:rsidR="009668CC" w:rsidP="009668CC" w:rsidRDefault="005E5277" w14:paraId="1B95297E" w14:textId="04ACA57D">
            <w:pPr>
              <w:spacing w:after="0"/>
              <w:rPr>
                <w:sz w:val="20"/>
                <w:szCs w:val="20"/>
              </w:rPr>
            </w:pPr>
            <w:r>
              <w:rPr>
                <w:rFonts w:eastAsia="Calibri"/>
                <w:sz w:val="20"/>
                <w:szCs w:val="20"/>
              </w:rPr>
              <w:t>5.5</w:t>
            </w:r>
          </w:p>
        </w:tc>
        <w:tc>
          <w:tcPr>
            <w:tcW w:w="1388" w:type="dxa"/>
            <w:shd w:val="clear" w:color="auto" w:fill="auto"/>
          </w:tcPr>
          <w:p w:rsidR="009668CC" w:rsidP="009668CC" w:rsidRDefault="005E5277" w14:paraId="44659047" w14:textId="52CD29A2">
            <w:pPr>
              <w:spacing w:after="0"/>
              <w:rPr>
                <w:sz w:val="20"/>
                <w:szCs w:val="20"/>
              </w:rPr>
            </w:pPr>
            <w:r>
              <w:rPr>
                <w:rFonts w:eastAsia="Calibri"/>
                <w:sz w:val="20"/>
                <w:szCs w:val="20"/>
              </w:rPr>
              <w:t>5.5</w:t>
            </w:r>
          </w:p>
        </w:tc>
      </w:tr>
      <w:tr w:rsidRPr="00C47150" w:rsidR="009668CC" w:rsidTr="00743AF8" w14:paraId="3205F8C0" w14:textId="77777777">
        <w:trPr>
          <w:trHeight w:val="233"/>
        </w:trPr>
        <w:tc>
          <w:tcPr>
            <w:tcW w:w="7820" w:type="dxa"/>
            <w:shd w:val="clear" w:color="auto" w:fill="auto"/>
            <w:hideMark/>
          </w:tcPr>
          <w:p w:rsidRPr="007C52BE" w:rsidR="009668CC" w:rsidP="009668CC" w:rsidRDefault="009668CC" w14:paraId="0F6064FB" w14:textId="77777777">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440" w:type="dxa"/>
          </w:tcPr>
          <w:p w:rsidR="009668CC" w:rsidP="009668CC" w:rsidRDefault="005E5277" w14:paraId="000EBA78" w14:textId="0BB2A97E">
            <w:pPr>
              <w:spacing w:after="0"/>
              <w:rPr>
                <w:sz w:val="20"/>
                <w:szCs w:val="20"/>
              </w:rPr>
            </w:pPr>
            <w:r>
              <w:rPr>
                <w:rFonts w:eastAsia="Calibri"/>
                <w:sz w:val="20"/>
                <w:szCs w:val="20"/>
              </w:rPr>
              <w:t>8</w:t>
            </w:r>
          </w:p>
        </w:tc>
        <w:tc>
          <w:tcPr>
            <w:tcW w:w="1388" w:type="dxa"/>
            <w:shd w:val="clear" w:color="auto" w:fill="auto"/>
            <w:hideMark/>
          </w:tcPr>
          <w:p w:rsidRPr="007C52BE" w:rsidR="009668CC" w:rsidP="009668CC" w:rsidRDefault="005E5277" w14:paraId="5014336F" w14:textId="55205F3F">
            <w:pPr>
              <w:spacing w:after="0"/>
              <w:rPr>
                <w:sz w:val="20"/>
                <w:szCs w:val="20"/>
              </w:rPr>
            </w:pPr>
            <w:r>
              <w:rPr>
                <w:rFonts w:eastAsia="Calibri"/>
                <w:sz w:val="20"/>
                <w:szCs w:val="20"/>
              </w:rPr>
              <w:t>8</w:t>
            </w:r>
          </w:p>
        </w:tc>
      </w:tr>
      <w:tr w:rsidRPr="00C47150" w:rsidR="009668CC" w:rsidTr="00743AF8" w14:paraId="0BAEDE9A" w14:textId="77777777">
        <w:trPr>
          <w:trHeight w:val="260"/>
        </w:trPr>
        <w:tc>
          <w:tcPr>
            <w:tcW w:w="7820" w:type="dxa"/>
            <w:shd w:val="clear" w:color="auto" w:fill="D9D9D9" w:themeFill="background1" w:themeFillShade="D9"/>
            <w:hideMark/>
          </w:tcPr>
          <w:p w:rsidRPr="007C52BE" w:rsidR="009668CC" w:rsidP="009668CC" w:rsidRDefault="009668CC" w14:paraId="2A24B38B" w14:textId="086DB9DF">
            <w:pPr>
              <w:spacing w:after="0"/>
              <w:rPr>
                <w:b/>
                <w:bCs/>
                <w:sz w:val="20"/>
                <w:szCs w:val="20"/>
              </w:rPr>
            </w:pPr>
            <w:r w:rsidRPr="007C52BE">
              <w:rPr>
                <w:b/>
                <w:bCs/>
                <w:sz w:val="20"/>
                <w:szCs w:val="20"/>
              </w:rPr>
              <w:t>Total Annual Hours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 xml:space="preserve"> + (b)*(d)</w:t>
            </w:r>
          </w:p>
        </w:tc>
        <w:tc>
          <w:tcPr>
            <w:tcW w:w="1440" w:type="dxa"/>
            <w:shd w:val="clear" w:color="auto" w:fill="D9D9D9" w:themeFill="background1" w:themeFillShade="D9"/>
          </w:tcPr>
          <w:p w:rsidR="009668CC" w:rsidP="009668CC" w:rsidRDefault="005E5277" w14:paraId="5D08B482" w14:textId="7CF2903B">
            <w:pPr>
              <w:spacing w:after="0"/>
              <w:rPr>
                <w:b/>
                <w:bCs/>
                <w:sz w:val="20"/>
                <w:szCs w:val="20"/>
              </w:rPr>
            </w:pPr>
            <w:r>
              <w:rPr>
                <w:rFonts w:eastAsia="Calibri"/>
                <w:b/>
                <w:bCs/>
                <w:sz w:val="20"/>
                <w:szCs w:val="20"/>
              </w:rPr>
              <w:t>418</w:t>
            </w:r>
          </w:p>
        </w:tc>
        <w:tc>
          <w:tcPr>
            <w:tcW w:w="1388" w:type="dxa"/>
            <w:shd w:val="clear" w:color="auto" w:fill="D9D9D9" w:themeFill="background1" w:themeFillShade="D9"/>
            <w:hideMark/>
          </w:tcPr>
          <w:p w:rsidRPr="007C52BE" w:rsidR="009668CC" w:rsidP="009668CC" w:rsidRDefault="005E5277" w14:paraId="3201D756" w14:textId="699DE904">
            <w:pPr>
              <w:spacing w:after="0"/>
              <w:rPr>
                <w:b/>
                <w:bCs/>
                <w:sz w:val="20"/>
                <w:szCs w:val="20"/>
              </w:rPr>
            </w:pPr>
            <w:r>
              <w:rPr>
                <w:rFonts w:eastAsia="Calibri"/>
                <w:b/>
                <w:bCs/>
                <w:sz w:val="20"/>
                <w:szCs w:val="20"/>
              </w:rPr>
              <w:t>608</w:t>
            </w:r>
          </w:p>
        </w:tc>
      </w:tr>
      <w:tr w:rsidRPr="00C47150" w:rsidR="004F6DB7" w:rsidTr="00743AF8" w14:paraId="48CC5BF2" w14:textId="77777777">
        <w:trPr>
          <w:trHeight w:val="440"/>
        </w:trPr>
        <w:tc>
          <w:tcPr>
            <w:tcW w:w="7820" w:type="dxa"/>
            <w:shd w:val="clear" w:color="auto" w:fill="auto"/>
          </w:tcPr>
          <w:p w:rsidRPr="007C52BE" w:rsidR="004F6DB7" w:rsidP="004F6DB7" w:rsidRDefault="004F6DB7" w14:paraId="4E9E840D" w14:textId="0845A1F3">
            <w:pPr>
              <w:spacing w:after="0"/>
              <w:rPr>
                <w:sz w:val="20"/>
                <w:szCs w:val="20"/>
              </w:rPr>
            </w:pPr>
            <w:r w:rsidRPr="007C52BE">
              <w:rPr>
                <w:sz w:val="20"/>
                <w:szCs w:val="20"/>
              </w:rPr>
              <w:t xml:space="preserve">Cost Per </w:t>
            </w:r>
            <w:r>
              <w:rPr>
                <w:sz w:val="20"/>
                <w:szCs w:val="20"/>
              </w:rPr>
              <w:t xml:space="preserve">Simplified Process Per </w:t>
            </w:r>
            <w:r w:rsidRPr="007C52BE">
              <w:rPr>
                <w:sz w:val="20"/>
                <w:szCs w:val="20"/>
              </w:rPr>
              <w:t>QCDR (@ computer systems analys</w:t>
            </w:r>
            <w:r>
              <w:rPr>
                <w:sz w:val="20"/>
                <w:szCs w:val="20"/>
              </w:rPr>
              <w:t>t’s labor rate of $</w:t>
            </w:r>
            <w:r w:rsidR="003F03F2">
              <w:rPr>
                <w:sz w:val="20"/>
                <w:szCs w:val="20"/>
              </w:rPr>
              <w:t>90.02</w:t>
            </w:r>
            <w:r>
              <w:rPr>
                <w:sz w:val="20"/>
                <w:szCs w:val="20"/>
              </w:rPr>
              <w:t>/hr.) (f</w:t>
            </w:r>
            <w:r w:rsidRPr="007C52BE">
              <w:rPr>
                <w:sz w:val="20"/>
                <w:szCs w:val="20"/>
              </w:rPr>
              <w:t>)</w:t>
            </w:r>
          </w:p>
        </w:tc>
        <w:tc>
          <w:tcPr>
            <w:tcW w:w="1440" w:type="dxa"/>
          </w:tcPr>
          <w:p w:rsidRPr="007C52BE" w:rsidR="004F6DB7" w:rsidP="004F6DB7" w:rsidRDefault="005E5277" w14:paraId="323CB2DA" w14:textId="4855F9DB">
            <w:pPr>
              <w:spacing w:after="0"/>
              <w:rPr>
                <w:sz w:val="20"/>
                <w:szCs w:val="20"/>
              </w:rPr>
            </w:pPr>
            <w:r>
              <w:rPr>
                <w:rFonts w:eastAsia="Calibri"/>
                <w:sz w:val="20"/>
                <w:szCs w:val="20"/>
              </w:rPr>
              <w:t>$495.11</w:t>
            </w:r>
          </w:p>
        </w:tc>
        <w:tc>
          <w:tcPr>
            <w:tcW w:w="1388" w:type="dxa"/>
            <w:shd w:val="clear" w:color="auto" w:fill="auto"/>
          </w:tcPr>
          <w:p w:rsidRPr="007C52BE" w:rsidR="004F6DB7" w:rsidP="004F6DB7" w:rsidRDefault="005E5277" w14:paraId="5DA61DA6" w14:textId="6E0170EC">
            <w:pPr>
              <w:spacing w:after="0"/>
              <w:rPr>
                <w:sz w:val="20"/>
                <w:szCs w:val="20"/>
              </w:rPr>
            </w:pPr>
            <w:r>
              <w:rPr>
                <w:rFonts w:eastAsia="Calibri"/>
                <w:sz w:val="20"/>
                <w:szCs w:val="20"/>
              </w:rPr>
              <w:t>$495.11</w:t>
            </w:r>
          </w:p>
        </w:tc>
      </w:tr>
      <w:tr w:rsidRPr="00C47150" w:rsidR="004F6DB7" w:rsidTr="00743AF8" w14:paraId="3F317A0B" w14:textId="77777777">
        <w:trPr>
          <w:trHeight w:val="440"/>
        </w:trPr>
        <w:tc>
          <w:tcPr>
            <w:tcW w:w="7820" w:type="dxa"/>
            <w:shd w:val="clear" w:color="auto" w:fill="auto"/>
            <w:hideMark/>
          </w:tcPr>
          <w:p w:rsidRPr="007C52BE" w:rsidR="004F6DB7" w:rsidP="004F6DB7" w:rsidRDefault="004F6DB7" w14:paraId="62F0294E" w14:textId="106F86A8">
            <w:pPr>
              <w:spacing w:after="0"/>
              <w:rPr>
                <w:sz w:val="20"/>
                <w:szCs w:val="20"/>
              </w:rPr>
            </w:pPr>
            <w:r w:rsidRPr="007C52BE">
              <w:rPr>
                <w:sz w:val="20"/>
                <w:szCs w:val="20"/>
              </w:rPr>
              <w:t xml:space="preserve">Cost Per </w:t>
            </w:r>
            <w:r>
              <w:rPr>
                <w:sz w:val="20"/>
                <w:szCs w:val="20"/>
              </w:rPr>
              <w:t xml:space="preserve">Full Process Per </w:t>
            </w:r>
            <w:r w:rsidRPr="007C52BE">
              <w:rPr>
                <w:sz w:val="20"/>
                <w:szCs w:val="20"/>
              </w:rPr>
              <w:t>QCDR (@ computer systems analyst’s labor rate of $</w:t>
            </w:r>
            <w:r w:rsidR="003F03F2">
              <w:rPr>
                <w:sz w:val="20"/>
                <w:szCs w:val="20"/>
              </w:rPr>
              <w:t>90.02</w:t>
            </w:r>
            <w:r w:rsidRPr="007C52BE">
              <w:rPr>
                <w:sz w:val="20"/>
                <w:szCs w:val="20"/>
              </w:rPr>
              <w:t>/hr.) (</w:t>
            </w:r>
            <w:r>
              <w:rPr>
                <w:sz w:val="20"/>
                <w:szCs w:val="20"/>
              </w:rPr>
              <w:t>g</w:t>
            </w:r>
            <w:r w:rsidRPr="007C52BE">
              <w:rPr>
                <w:sz w:val="20"/>
                <w:szCs w:val="20"/>
              </w:rPr>
              <w:t>)</w:t>
            </w:r>
          </w:p>
        </w:tc>
        <w:tc>
          <w:tcPr>
            <w:tcW w:w="1440" w:type="dxa"/>
          </w:tcPr>
          <w:p w:rsidRPr="007C52BE" w:rsidR="004F6DB7" w:rsidP="004F6DB7" w:rsidRDefault="004F6DB7" w14:paraId="326D7FBC" w14:textId="617A93CA">
            <w:pPr>
              <w:spacing w:after="0"/>
              <w:rPr>
                <w:sz w:val="20"/>
                <w:szCs w:val="20"/>
              </w:rPr>
            </w:pPr>
            <w:r w:rsidRPr="009C4D33">
              <w:rPr>
                <w:rFonts w:eastAsia="Calibri"/>
                <w:sz w:val="20"/>
                <w:szCs w:val="20"/>
              </w:rPr>
              <w:t>$</w:t>
            </w:r>
            <w:r w:rsidR="005E5277">
              <w:rPr>
                <w:rFonts w:eastAsia="Calibri"/>
                <w:sz w:val="20"/>
                <w:szCs w:val="20"/>
              </w:rPr>
              <w:t>720.16</w:t>
            </w:r>
          </w:p>
        </w:tc>
        <w:tc>
          <w:tcPr>
            <w:tcW w:w="1388" w:type="dxa"/>
            <w:shd w:val="clear" w:color="auto" w:fill="auto"/>
            <w:hideMark/>
          </w:tcPr>
          <w:p w:rsidRPr="007C52BE" w:rsidR="004F6DB7" w:rsidP="004F6DB7" w:rsidRDefault="004F6DB7" w14:paraId="2DCA2671" w14:textId="2F5DD4C6">
            <w:pPr>
              <w:spacing w:after="0"/>
              <w:rPr>
                <w:sz w:val="20"/>
                <w:szCs w:val="20"/>
              </w:rPr>
            </w:pPr>
            <w:r w:rsidRPr="009C4D33">
              <w:rPr>
                <w:rFonts w:eastAsia="Calibri"/>
                <w:sz w:val="20"/>
                <w:szCs w:val="20"/>
              </w:rPr>
              <w:t>$</w:t>
            </w:r>
            <w:r w:rsidR="005E5277">
              <w:rPr>
                <w:rFonts w:eastAsia="Calibri"/>
                <w:sz w:val="20"/>
                <w:szCs w:val="20"/>
              </w:rPr>
              <w:t>720.16</w:t>
            </w:r>
          </w:p>
        </w:tc>
      </w:tr>
      <w:tr w:rsidRPr="00C47150" w:rsidR="009668CC" w:rsidTr="00743AF8" w14:paraId="622255C6" w14:textId="77777777">
        <w:trPr>
          <w:trHeight w:val="233"/>
        </w:trPr>
        <w:tc>
          <w:tcPr>
            <w:tcW w:w="7820" w:type="dxa"/>
            <w:shd w:val="clear" w:color="auto" w:fill="D9D9D9" w:themeFill="background1" w:themeFillShade="D9"/>
            <w:hideMark/>
          </w:tcPr>
          <w:p w:rsidRPr="007C52BE" w:rsidR="009668CC" w:rsidP="009668CC" w:rsidRDefault="009668CC" w14:paraId="6823CC4A" w14:textId="6903F5AF">
            <w:pPr>
              <w:spacing w:after="0"/>
              <w:rPr>
                <w:b/>
                <w:bCs/>
                <w:sz w:val="20"/>
                <w:szCs w:val="20"/>
              </w:rPr>
            </w:pPr>
            <w:r w:rsidRPr="007C52BE">
              <w:rPr>
                <w:b/>
                <w:bCs/>
                <w:sz w:val="20"/>
                <w:szCs w:val="20"/>
              </w:rPr>
              <w:t>Total Annual Cost (</w:t>
            </w:r>
            <w:r>
              <w:rPr>
                <w:b/>
                <w:bCs/>
                <w:sz w:val="20"/>
                <w:szCs w:val="20"/>
              </w:rPr>
              <w:t>h</w:t>
            </w:r>
            <w:r w:rsidRPr="007C52BE">
              <w:rPr>
                <w:b/>
                <w:bCs/>
                <w:sz w:val="20"/>
                <w:szCs w:val="20"/>
              </w:rPr>
              <w:t>) = (a)*(</w:t>
            </w:r>
            <w:r>
              <w:rPr>
                <w:b/>
                <w:bCs/>
                <w:sz w:val="20"/>
                <w:szCs w:val="20"/>
              </w:rPr>
              <w:t>f</w:t>
            </w:r>
            <w:r w:rsidRPr="007C52BE">
              <w:rPr>
                <w:b/>
                <w:bCs/>
                <w:sz w:val="20"/>
                <w:szCs w:val="20"/>
              </w:rPr>
              <w:t>)</w:t>
            </w:r>
            <w:r>
              <w:rPr>
                <w:b/>
                <w:bCs/>
                <w:sz w:val="20"/>
                <w:szCs w:val="20"/>
              </w:rPr>
              <w:t>+(b)*(g)</w:t>
            </w:r>
          </w:p>
        </w:tc>
        <w:tc>
          <w:tcPr>
            <w:tcW w:w="1440" w:type="dxa"/>
            <w:shd w:val="clear" w:color="auto" w:fill="D9D9D9" w:themeFill="background1" w:themeFillShade="D9"/>
          </w:tcPr>
          <w:p w:rsidRPr="007C52BE" w:rsidR="009668CC" w:rsidP="009668CC" w:rsidRDefault="009668CC" w14:paraId="406119FC" w14:textId="2F2F14F4">
            <w:pPr>
              <w:spacing w:after="0"/>
              <w:rPr>
                <w:b/>
                <w:bCs/>
                <w:sz w:val="20"/>
                <w:szCs w:val="20"/>
              </w:rPr>
            </w:pPr>
            <w:r w:rsidRPr="00050D29">
              <w:rPr>
                <w:rFonts w:eastAsia="Calibri"/>
                <w:b/>
                <w:bCs/>
                <w:sz w:val="20"/>
                <w:szCs w:val="20"/>
              </w:rPr>
              <w:t>$</w:t>
            </w:r>
            <w:r w:rsidR="005E5277">
              <w:rPr>
                <w:rFonts w:eastAsia="Calibri"/>
                <w:b/>
                <w:bCs/>
                <w:sz w:val="20"/>
                <w:szCs w:val="20"/>
              </w:rPr>
              <w:t>37,628</w:t>
            </w:r>
          </w:p>
        </w:tc>
        <w:tc>
          <w:tcPr>
            <w:tcW w:w="1388" w:type="dxa"/>
            <w:shd w:val="clear" w:color="auto" w:fill="D9D9D9" w:themeFill="background1" w:themeFillShade="D9"/>
            <w:hideMark/>
          </w:tcPr>
          <w:p w:rsidRPr="007C52BE" w:rsidR="009668CC" w:rsidP="009668CC" w:rsidRDefault="009668CC" w14:paraId="682EAFFC" w14:textId="531B0083">
            <w:pPr>
              <w:spacing w:after="0"/>
              <w:rPr>
                <w:b/>
                <w:bCs/>
                <w:sz w:val="20"/>
                <w:szCs w:val="20"/>
              </w:rPr>
            </w:pPr>
            <w:r w:rsidRPr="00050D29">
              <w:rPr>
                <w:rFonts w:eastAsia="Calibri"/>
                <w:b/>
                <w:bCs/>
                <w:sz w:val="20"/>
                <w:szCs w:val="20"/>
              </w:rPr>
              <w:t>$</w:t>
            </w:r>
            <w:r w:rsidR="005E5277">
              <w:rPr>
                <w:rFonts w:eastAsia="Calibri"/>
                <w:b/>
                <w:bCs/>
                <w:sz w:val="20"/>
                <w:szCs w:val="20"/>
              </w:rPr>
              <w:t>54,732</w:t>
            </w:r>
          </w:p>
        </w:tc>
      </w:tr>
    </w:tbl>
    <w:p w:rsidRPr="00B05B18" w:rsidR="00B05B18" w:rsidP="00B05B18" w:rsidRDefault="00B05B18" w14:paraId="6FB24F07" w14:textId="77777777"/>
    <w:p w:rsidRPr="00B05B18" w:rsidR="00B05B18" w:rsidP="0095356F" w:rsidRDefault="00B05B18" w14:paraId="50273D17" w14:textId="38A64CA3">
      <w:pPr>
        <w:pStyle w:val="Heading3"/>
        <w:numPr>
          <w:ilvl w:val="0"/>
          <w:numId w:val="32"/>
        </w:numPr>
      </w:pPr>
      <w:r w:rsidRPr="00B05B18">
        <w:t>Burden Estimate for the Quality Performance Category</w:t>
      </w:r>
    </w:p>
    <w:p w:rsidRPr="00617569" w:rsidR="00617569" w:rsidP="00730BEF" w:rsidRDefault="00617569" w14:paraId="7E2D58A0" w14:textId="75E2E598">
      <w:pPr>
        <w:rPr>
          <w:rFonts w:eastAsia="Calibri"/>
        </w:rPr>
      </w:pPr>
      <w:r w:rsidRPr="00617569">
        <w:rPr>
          <w:rFonts w:eastAsia="Calibri"/>
        </w:rPr>
        <w:t xml:space="preserve">Under our current policies, two groups of clinicians will submit quality data under MIPS: </w:t>
      </w:r>
      <w:r w:rsidR="002917D5">
        <w:rPr>
          <w:rFonts w:eastAsia="Calibri"/>
        </w:rPr>
        <w:t xml:space="preserve"> (1) </w:t>
      </w:r>
      <w:r w:rsidRPr="00617569">
        <w:rPr>
          <w:rFonts w:eastAsia="Calibri"/>
        </w:rPr>
        <w:t>those who submit as MIPS eligible clinicians</w:t>
      </w:r>
      <w:r w:rsidR="002917D5">
        <w:rPr>
          <w:rFonts w:eastAsia="Calibri"/>
        </w:rPr>
        <w:t>;</w:t>
      </w:r>
      <w:r w:rsidRPr="00617569">
        <w:rPr>
          <w:rFonts w:eastAsia="Calibri"/>
        </w:rPr>
        <w:t xml:space="preserve"> and </w:t>
      </w:r>
      <w:r w:rsidR="002917D5">
        <w:rPr>
          <w:rFonts w:eastAsia="Calibri"/>
        </w:rPr>
        <w:t xml:space="preserve">(2) </w:t>
      </w:r>
      <w:r w:rsidRPr="00617569">
        <w:rPr>
          <w:rFonts w:eastAsia="Calibri"/>
        </w:rPr>
        <w:t>other eligible clinicians who opt</w:t>
      </w:r>
      <w:r w:rsidR="002917D5">
        <w:rPr>
          <w:rFonts w:eastAsia="Calibri"/>
        </w:rPr>
        <w:t>-in</w:t>
      </w:r>
      <w:r w:rsidRPr="00617569">
        <w:rPr>
          <w:rFonts w:eastAsia="Calibri"/>
        </w:rPr>
        <w:t xml:space="preserve"> to submit data voluntarily but will not be subject to MIPS payment adjustments.</w:t>
      </w:r>
      <w:r w:rsidR="002B04A2">
        <w:rPr>
          <w:rFonts w:eastAsia="Calibri"/>
        </w:rPr>
        <w:t xml:space="preserve">  </w:t>
      </w:r>
      <w:r w:rsidRPr="002B04A2" w:rsidR="002B04A2">
        <w:rPr>
          <w:rFonts w:eastAsia="Calibri"/>
        </w:rPr>
        <w:t>Clinicians are ineligible for MIPS if they are newly enrolled to Medicare; are QPs; are partial QPs who elect to not participate in MIPS; are not one of the clinician types included in the definition for MIPS eligible clinician; or do not exceed the low-volume threshold as an individual or as a group</w:t>
      </w:r>
    </w:p>
    <w:p w:rsidRPr="00617569" w:rsidR="00617569" w:rsidP="00730BEF" w:rsidRDefault="00CD3A3C" w14:paraId="2CADF926" w14:textId="4092CF4E">
      <w:pPr>
        <w:rPr>
          <w:rFonts w:eastAsia="Calibri"/>
        </w:rPr>
      </w:pPr>
      <w:r w:rsidRPr="00CD3A3C">
        <w:rPr>
          <w:rFonts w:eastAsia="Calibri"/>
        </w:rPr>
        <w:t>To determine which QPs should be excluded from MIPS, we used the QP List for the 2019 predictive file that contains current participation in Advanced APMs as of January 15, 2019, that could be connected into our respondent data and are the best estimate of future expected QPs.  From this data, we calculated the QP determinations as described in the Qualifying APM Participant definition at § 414.1305 for the 2020 QP performance period. We assumed that all partial QPs will participate in MIPS data collections. Due to data limitations, we could not identify specific clinicians who have not yet enrolled in APMs, but who may become QPs in the future 2020 Medicare QP Performance Period (and therefore will no longer need to submit data to MIPS); hence, our model may underestimate or overestimate the number of respondents</w:t>
      </w:r>
      <w:r w:rsidRPr="00617569" w:rsidR="00617569">
        <w:rPr>
          <w:rFonts w:eastAsia="Calibri"/>
        </w:rPr>
        <w:t xml:space="preserve">. </w:t>
      </w:r>
    </w:p>
    <w:p w:rsidR="00691861" w:rsidP="00730BEF" w:rsidRDefault="00247FD9" w14:paraId="5E17ABED" w14:textId="7B5CA40E">
      <w:pPr>
        <w:rPr>
          <w:rFonts w:eastAsia="Calibri"/>
        </w:rPr>
      </w:pPr>
      <w:r w:rsidRPr="00247FD9">
        <w:rPr>
          <w:rFonts w:eastAsia="Calibri"/>
        </w:rPr>
        <w:t>Using participation data from the 2018 MIPS performance period combined with the estimate of QPs for the 2020 performance period, we estimate a total of 780,605 clinicians will submit quality data as individuals or groups in the 2020 MIPS performance period, a decrease of 183,641 clinicians when compared to our estimate of 964,246 clinicians in the CY 2019 PFS final rule (83 FR 60002</w:t>
      </w:r>
      <w:r w:rsidRPr="00691861" w:rsidR="00691861">
        <w:rPr>
          <w:rFonts w:eastAsia="Calibri"/>
        </w:rPr>
        <w:t xml:space="preserve">).  </w:t>
      </w:r>
    </w:p>
    <w:p w:rsidRPr="00617569" w:rsidR="00617569" w:rsidP="00730BEF" w:rsidRDefault="009A3D63" w14:paraId="7A09389E" w14:textId="00F8346F">
      <w:pPr>
        <w:rPr>
          <w:rFonts w:eastAsia="Calibri"/>
        </w:rPr>
      </w:pPr>
      <w:r w:rsidRPr="009A3D63">
        <w:rPr>
          <w:rFonts w:eastAsia="Calibri"/>
        </w:rPr>
        <w:t>In the CY 2017 Quality Payment Program final rule, we assumed that any clinician that submits quality data codes to us for the Medicare Part B claims collection type is intending to do so for the Quality Payment Program to ensure that we fully accounted for any burden that may have resulted from our policies (81 FR 77501 through 77504); we continued using this assumption in both the CY 2018 Quality Payment Program final rule and the CY 2019 PFS final rule.  In the CY 2019 PFS final rule, we finalized limiting the Medicare Part B claims collection type to small practices beginning with the 2021 MIPS payment year and allowing clinicians in small practices to report Medicare Part B claims as a group or as individuals (83 FR 59752).  However, we also elected to continue using the assumption that all clinicians (except QPs) who submitted data via the Medicare Part B claims collection type in the 2018 MIPS performance period would continue to do so for MIPS to avoid overstating the impact of the change as we lacked the data to accurately estimate both the number of clinicians who would be impacted by the finalized policies and the potential behavioral response of those clinicians who would be required to switch to another collection type (83 FR 60001).  For th</w:t>
      </w:r>
      <w:r>
        <w:rPr>
          <w:rFonts w:eastAsia="Calibri"/>
        </w:rPr>
        <w:t>e CY 2020 PFS</w:t>
      </w:r>
      <w:r w:rsidRPr="009A3D63">
        <w:rPr>
          <w:rFonts w:eastAsia="Calibri"/>
        </w:rPr>
        <w:t xml:space="preserve"> final rule, beginning with the 2020 MIPS performance period, we assume only clinicians in small practices who submitted quality data via Medicare Part B claims in the 2018 MIPS performance period will continue to do so for the 2020 MIPS performance period.  Further, we assume that clinicians in other practices (not small practices) who meet at least one of the following criteria will not need to find an alternate collection type for submitting quality performance category data for the Quality Payment Program for the 2020 MIPS performance period: (1) facility-based; (2) submitted quality data via Medicare Part B claims and at least one other collection type; or (3) were previously scored as part of a group.  Finally, we assume clinicians in other practices (not small practices) who meet all of the following criteria will submit via the MIPS CQM collection type for the 2020 MIPS performance period because the Medicare Part B claims collection type will no longer be available as an option for collecting and reporting quality data:  (1) scored as individuals; (2) not facility-based; and (3) submitted quality data only via the Medicare Part B claims collection type in the 2018 MIPS performance period.  Because we do not have data to accurately predict what collection type each affected clinician would use to collect and report quality data, we assume that the affected clinicians will select the MIPS CQM collection type because, when compared to Medicare Part B claims, we believe this is the next most accessible and least burdensome alternative.  Our assumptions result in a 103,103 decrease in the estimated number of clinicians who will submit quality data via Medicare Part B claims and a 12,931 increase in the number of clinicians who will submit via the QCDR/MIPS CQM collection type, as shown in Table</w:t>
      </w:r>
      <w:r>
        <w:rPr>
          <w:rFonts w:eastAsia="Calibri"/>
        </w:rPr>
        <w:t xml:space="preserve"> </w:t>
      </w:r>
      <w:r w:rsidRPr="00617569" w:rsidR="00617569">
        <w:rPr>
          <w:rFonts w:eastAsia="Calibri"/>
        </w:rPr>
        <w:t xml:space="preserve">5.  </w:t>
      </w:r>
    </w:p>
    <w:p w:rsidRPr="00617569" w:rsidR="00617569" w:rsidP="00730BEF" w:rsidRDefault="00151638" w14:paraId="4ECDED79" w14:textId="1E8F2746">
      <w:pPr>
        <w:rPr>
          <w:rFonts w:eastAsia="Calibri"/>
        </w:rPr>
      </w:pPr>
      <w:r w:rsidRPr="00151638">
        <w:rPr>
          <w:rFonts w:eastAsia="Calibri"/>
        </w:rPr>
        <w:t xml:space="preserve">We assume that 100 percent of APM Entities in MIPS APMs will submit quality data to CMS as required under their models.  Consistent with assumptions used in the CY 2019 PFS final rule (83 FR 60000 through 60001), we include all quality data voluntarily submitted by MIPS APM participants made at the individual or TIN-level in our respondent estimates.  Therefore, we are not </w:t>
      </w:r>
      <w:r w:rsidR="003B2B8B">
        <w:rPr>
          <w:rFonts w:eastAsia="Calibri"/>
        </w:rPr>
        <w:t>mak</w:t>
      </w:r>
      <w:r w:rsidRPr="00151638">
        <w:rPr>
          <w:rFonts w:eastAsia="Calibri"/>
        </w:rPr>
        <w:t>ing any adjustments to our respondent estimates as a result of the policies discussed in section III.K.3.c.(5)(c)(i)(A) of th</w:t>
      </w:r>
      <w:r>
        <w:rPr>
          <w:rFonts w:eastAsia="Calibri"/>
        </w:rPr>
        <w:t>e</w:t>
      </w:r>
      <w:r w:rsidRPr="00151638">
        <w:rPr>
          <w:rFonts w:eastAsia="Calibri"/>
        </w:rPr>
        <w:t xml:space="preserve"> </w:t>
      </w:r>
      <w:r>
        <w:rPr>
          <w:rFonts w:eastAsia="Calibri"/>
        </w:rPr>
        <w:t xml:space="preserve">CY 2020 PFS </w:t>
      </w:r>
      <w:r w:rsidRPr="00151638">
        <w:rPr>
          <w:rFonts w:eastAsia="Calibri"/>
        </w:rPr>
        <w:t>final rule, which allows MIPS eligible clinicians participating in MIPS APMs to elect to report MIPS quality measures at either the individual or TIN-level under the APM scoring standard beginning in the 2020 MIPS performance period.  To estimate who will be a MIPS APM participant in the 2020 MIPS performance period, we used the latest QP List for the first snapshot data of the 2019 QP performance period. This file was selected to better reflect the expected increase in the number of MIPS APMs in future years compared to previous APM eligibility files.  If a MIPS eligible clinician is determined to not be scored as a MIPS APM, then their reporting assumption is based on their reporting for the CY 2018 MIPS performance period.  For clinicians who participated in an APM in 2018, were not in an APM in 2019, and did not report MIPS quality data in 2018, we assume they will elect to report to MIPS via the MIPS CQM collection type, similar to our previously stated assumption regarding clinicians who are required to use an alternate reporting option</w:t>
      </w:r>
      <w:r w:rsidRPr="009C4D33" w:rsidR="00EC6457">
        <w:rPr>
          <w:rFonts w:eastAsia="Calibri"/>
        </w:rPr>
        <w:t>.</w:t>
      </w:r>
    </w:p>
    <w:p w:rsidRPr="00617569" w:rsidR="00617569" w:rsidP="00730BEF" w:rsidRDefault="00C90360" w14:paraId="4D1C2056" w14:textId="79E664A9">
      <w:pPr>
        <w:rPr>
          <w:rFonts w:eastAsia="Calibri"/>
        </w:rPr>
      </w:pPr>
      <w:r w:rsidRPr="009C4D33">
        <w:rPr>
          <w:rFonts w:eastAsia="Calibri"/>
        </w:rPr>
        <w:t xml:space="preserve">Our burden estimates for the quality performance category do not include the burden for the quality data that APM Entities submit to fulfill the requirements of their </w:t>
      </w:r>
      <w:r>
        <w:rPr>
          <w:rFonts w:eastAsia="Calibri"/>
        </w:rPr>
        <w:t>APMs</w:t>
      </w:r>
      <w:r w:rsidRPr="009C4D33">
        <w:rPr>
          <w:rFonts w:eastAsia="Calibri"/>
        </w:rPr>
        <w:t xml:space="preserve">.  The burden is excluded as sections 1899(e) and 1115A(d)(3) of the Act </w:t>
      </w:r>
      <w:bookmarkStart w:name="_Hlk528061163" w:id="5"/>
      <w:r w:rsidRPr="009C4D33">
        <w:rPr>
          <w:rFonts w:eastAsia="Calibri"/>
        </w:rPr>
        <w:t>(42 U</w:t>
      </w:r>
      <w:r>
        <w:rPr>
          <w:rFonts w:eastAsia="Calibri"/>
        </w:rPr>
        <w:t>.</w:t>
      </w:r>
      <w:r w:rsidRPr="009C4D33">
        <w:rPr>
          <w:rFonts w:eastAsia="Calibri"/>
        </w:rPr>
        <w:t>S</w:t>
      </w:r>
      <w:r>
        <w:rPr>
          <w:rFonts w:eastAsia="Calibri"/>
        </w:rPr>
        <w:t>.</w:t>
      </w:r>
      <w:r w:rsidRPr="009C4D33">
        <w:rPr>
          <w:rFonts w:eastAsia="Calibri"/>
        </w:rPr>
        <w:t>C</w:t>
      </w:r>
      <w:r>
        <w:rPr>
          <w:rFonts w:eastAsia="Calibri"/>
        </w:rPr>
        <w:t>.</w:t>
      </w:r>
      <w:r w:rsidRPr="009C4D33">
        <w:rPr>
          <w:rFonts w:eastAsia="Calibri"/>
        </w:rPr>
        <w:t xml:space="preserve"> 1395jjj(e) and 1315a(d)(3), respectively) </w:t>
      </w:r>
      <w:bookmarkEnd w:id="5"/>
      <w:r w:rsidRPr="009C4D33">
        <w:rPr>
          <w:rFonts w:eastAsia="Calibri"/>
        </w:rPr>
        <w:t xml:space="preserve">state </w:t>
      </w:r>
      <w:r>
        <w:rPr>
          <w:rFonts w:eastAsia="Calibri"/>
        </w:rPr>
        <w:t xml:space="preserve">that </w:t>
      </w:r>
      <w:r w:rsidRPr="009C4D33">
        <w:rPr>
          <w:rFonts w:eastAsia="Calibri"/>
        </w:rPr>
        <w:t>the Shared Savings Program and the testing, evaluation, and expansion of Innovation Center models tested under section 1115A of the Act (or section 3021 of the Affordable Care Act) are not subject to the PRA</w:t>
      </w:r>
      <w:r w:rsidRPr="00617569" w:rsidR="00617569">
        <w:rPr>
          <w:rFonts w:eastAsia="Calibri"/>
        </w:rPr>
        <w:t xml:space="preserve">.   Tables 5, 6, and 7 explain our revised estimates of the number of organizations (including groups, virtual groups, and individual MIPS eligible clinicians) submitting data on behalf of clinicians segregated by collection type. </w:t>
      </w:r>
    </w:p>
    <w:p w:rsidRPr="00617569" w:rsidR="00617569" w:rsidP="00730BEF" w:rsidRDefault="00617569" w14:paraId="4B1153DD" w14:textId="65125472">
      <w:pPr>
        <w:rPr>
          <w:rFonts w:eastAsia="Calibri"/>
        </w:rPr>
      </w:pPr>
      <w:r w:rsidRPr="00617569">
        <w:rPr>
          <w:rFonts w:eastAsia="Calibri"/>
        </w:rPr>
        <w:t>Table 5 provides our estimated counts of clinicians that will submit quality performance category data as MIPS individual clinicians or groups in the 2020 MIPS performance period based on data from the 201</w:t>
      </w:r>
      <w:r w:rsidR="006561B8">
        <w:rPr>
          <w:rFonts w:eastAsia="Calibri"/>
        </w:rPr>
        <w:t>8</w:t>
      </w:r>
      <w:r w:rsidRPr="00617569">
        <w:rPr>
          <w:rFonts w:eastAsia="Calibri"/>
        </w:rPr>
        <w:t xml:space="preserve"> MIPS performance period.</w:t>
      </w:r>
    </w:p>
    <w:p w:rsidRPr="00617569" w:rsidR="00617569" w:rsidP="00730BEF" w:rsidRDefault="00617569" w14:paraId="72CB3034" w14:textId="77777777">
      <w:pPr>
        <w:rPr>
          <w:rFonts w:eastAsia="Calibri"/>
        </w:rPr>
      </w:pPr>
      <w:r w:rsidRPr="00617569">
        <w:rPr>
          <w:rFonts w:eastAsia="Calibri"/>
        </w:rPr>
        <w:t xml:space="preserve">For the 2020 MIPS performance period, respondents will have the option to submit quality performance category data via Medicare Part B claims, direct, and log in and upload submission types, and CMS Web Interface.  We estimate the burden for collecting data via collection type: claims, QCDR and MIPS CQMs, eCQMs, and the CMS Web Interface.  We believe that, while estimating burden by submission type may be better aligned with the way clinicians participate with the Quality Payment Program, it is more important to reduce confusion and enable greater transparency by maintain consistency with previous rulemaking. </w:t>
      </w:r>
    </w:p>
    <w:p w:rsidRPr="00617569" w:rsidR="00617569" w:rsidP="00730BEF" w:rsidRDefault="00617569" w14:paraId="780542CF" w14:textId="3F225728">
      <w:pPr>
        <w:rPr>
          <w:rFonts w:eastAsia="Calibri"/>
        </w:rPr>
      </w:pPr>
      <w:r w:rsidRPr="00617569">
        <w:rPr>
          <w:rFonts w:eastAsia="Calibri"/>
        </w:rPr>
        <w:t xml:space="preserve">Table 5 </w:t>
      </w:r>
      <w:r w:rsidRPr="00E5087C" w:rsidR="00E5087C">
        <w:rPr>
          <w:rFonts w:eastAsia="Calibri"/>
        </w:rPr>
        <w:t xml:space="preserve">shows that in the 2020 MIPS performance period, an estimated 94,846 clinicians will submit data as individuals for the Medicare Part B claims collection type; 391,430 clinicians will submit data as individuals or as part of groups for the MIPS CQM or QCDR collection types; 247,856 clinicians will submit data as individuals or as part of groups via eCQM collection types; and 46,473 clinicians will submit as part of groups via the CMS Web Interface.  </w:t>
      </w:r>
    </w:p>
    <w:p w:rsidRPr="00292878" w:rsidR="004F199C" w:rsidP="00730BEF" w:rsidRDefault="00617569" w14:paraId="5385B32B" w14:textId="5E7F7484">
      <w:r w:rsidRPr="00617569">
        <w:rPr>
          <w:rFonts w:eastAsia="Calibri"/>
        </w:rPr>
        <w:t>Table 5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when clinicians elect to submit as part of a group, we also separately estimate the expected number of clinicians to submit as individuals or part of groups.</w:t>
      </w:r>
      <w:r w:rsidRPr="00292878" w:rsidR="00743AF8">
        <w:t xml:space="preserve"> </w:t>
      </w:r>
    </w:p>
    <w:p w:rsidRPr="00292878" w:rsidR="004F199C" w:rsidP="004F199C" w:rsidRDefault="004F199C" w14:paraId="2229F3D3" w14:textId="4DB3A738">
      <w:pPr>
        <w:keepNext/>
        <w:spacing w:after="0"/>
        <w:jc w:val="center"/>
        <w:rPr>
          <w:b/>
          <w:bCs/>
        </w:rPr>
      </w:pPr>
      <w:r w:rsidRPr="00292878">
        <w:rPr>
          <w:b/>
          <w:bCs/>
        </w:rPr>
        <w:t>TABLE 5:  Estimated Number of Clinicians Submitting Quality Performance Category Data by Collection Type</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2"/>
        <w:gridCol w:w="1273"/>
        <w:gridCol w:w="1440"/>
        <w:gridCol w:w="1350"/>
        <w:gridCol w:w="1440"/>
        <w:gridCol w:w="1350"/>
      </w:tblGrid>
      <w:tr w:rsidRPr="00292878" w:rsidR="004F199C" w:rsidTr="009064EF" w14:paraId="6FEBD168" w14:textId="77777777">
        <w:trPr>
          <w:trHeight w:val="540"/>
          <w:tblHeader/>
        </w:trPr>
        <w:tc>
          <w:tcPr>
            <w:tcW w:w="2592" w:type="dxa"/>
            <w:shd w:val="clear" w:color="auto" w:fill="auto"/>
            <w:vAlign w:val="center"/>
            <w:hideMark/>
          </w:tcPr>
          <w:p w:rsidRPr="00292878" w:rsidR="004F199C" w:rsidP="004F199C" w:rsidRDefault="004F199C" w14:paraId="3E7BAB1C" w14:textId="66DFC313">
            <w:pPr>
              <w:keepNext/>
              <w:spacing w:after="0"/>
              <w:jc w:val="center"/>
              <w:rPr>
                <w:b/>
              </w:rPr>
            </w:pPr>
            <w:bookmarkStart w:name="_Hlk515452638" w:id="6"/>
            <w:r w:rsidRPr="00292878">
              <w:rPr>
                <w:b/>
                <w:sz w:val="20"/>
              </w:rPr>
              <w:t>Data Description</w:t>
            </w:r>
          </w:p>
        </w:tc>
        <w:tc>
          <w:tcPr>
            <w:tcW w:w="1273" w:type="dxa"/>
            <w:shd w:val="clear" w:color="auto" w:fill="auto"/>
            <w:vAlign w:val="center"/>
            <w:hideMark/>
          </w:tcPr>
          <w:p w:rsidRPr="00292878" w:rsidR="004F199C" w:rsidP="004F199C" w:rsidRDefault="004F199C" w14:paraId="296039A0" w14:textId="77777777">
            <w:pPr>
              <w:keepNext/>
              <w:spacing w:after="0"/>
              <w:ind w:left="14"/>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6B8F6A8A" w14:textId="43FFCB01">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77F731E8"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61428232"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F89AE2D" w14:textId="77777777">
            <w:pPr>
              <w:keepNext/>
              <w:spacing w:after="0"/>
              <w:ind w:left="14"/>
              <w:jc w:val="center"/>
              <w:rPr>
                <w:b/>
                <w:bCs/>
                <w:sz w:val="20"/>
                <w:szCs w:val="20"/>
              </w:rPr>
            </w:pPr>
            <w:r w:rsidRPr="00292878">
              <w:rPr>
                <w:b/>
                <w:bCs/>
                <w:sz w:val="20"/>
                <w:szCs w:val="20"/>
              </w:rPr>
              <w:t>Total</w:t>
            </w:r>
          </w:p>
        </w:tc>
      </w:tr>
      <w:tr w:rsidRPr="00292878" w:rsidR="00CF402A" w:rsidTr="009064EF" w14:paraId="67379FD5" w14:textId="77777777">
        <w:trPr>
          <w:trHeight w:val="845"/>
        </w:trPr>
        <w:tc>
          <w:tcPr>
            <w:tcW w:w="2592" w:type="dxa"/>
            <w:tcBorders>
              <w:top w:val="single" w:color="auto" w:sz="4" w:space="0"/>
              <w:left w:val="single" w:color="auto" w:sz="4" w:space="0"/>
              <w:bottom w:val="single" w:color="auto" w:sz="4" w:space="0"/>
              <w:right w:val="single" w:color="auto" w:sz="4" w:space="0"/>
            </w:tcBorders>
            <w:shd w:val="clear" w:color="auto" w:fill="auto"/>
            <w:hideMark/>
          </w:tcPr>
          <w:p w:rsidRPr="00405EF6" w:rsidR="00CF402A" w:rsidP="00CF402A" w:rsidRDefault="00CF402A" w14:paraId="44CD738C" w14:textId="2CF37B70">
            <w:pPr>
              <w:keepNext/>
              <w:spacing w:after="0"/>
              <w:rPr>
                <w:sz w:val="20"/>
                <w:szCs w:val="20"/>
              </w:rPr>
            </w:pPr>
            <w:r w:rsidRPr="00405EF6">
              <w:rPr>
                <w:sz w:val="20"/>
                <w:szCs w:val="20"/>
              </w:rPr>
              <w:t>Number of clinicians to collect data by collection type (as individual clinicians or groups) in 2020 MIPS performance period (excludes QPs) (a)</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18D6A9F0" w14:textId="48FCB705">
            <w:pPr>
              <w:keepNext/>
              <w:spacing w:after="0"/>
              <w:jc w:val="center"/>
              <w:rPr>
                <w:sz w:val="20"/>
                <w:szCs w:val="20"/>
              </w:rPr>
            </w:pPr>
            <w:r w:rsidRPr="00CF402A">
              <w:rPr>
                <w:sz w:val="20"/>
                <w:szCs w:val="20"/>
              </w:rPr>
              <w:t>94,846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7E421B20" w14:textId="5EE2FC3C">
            <w:pPr>
              <w:keepNext/>
              <w:spacing w:after="0"/>
              <w:jc w:val="center"/>
              <w:rPr>
                <w:sz w:val="20"/>
                <w:szCs w:val="20"/>
              </w:rPr>
            </w:pPr>
            <w:r w:rsidRPr="00CF402A">
              <w:rPr>
                <w:sz w:val="20"/>
                <w:szCs w:val="20"/>
              </w:rPr>
              <w:t>391,430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49178AA4" w14:textId="4BCE8D05">
            <w:pPr>
              <w:keepNext/>
              <w:spacing w:after="0"/>
              <w:jc w:val="center"/>
              <w:rPr>
                <w:sz w:val="20"/>
                <w:szCs w:val="20"/>
              </w:rPr>
            </w:pPr>
            <w:r w:rsidRPr="00CF402A">
              <w:rPr>
                <w:sz w:val="20"/>
                <w:szCs w:val="20"/>
              </w:rPr>
              <w:t>247,856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272EA4B3" w14:textId="2A5185DC">
            <w:pPr>
              <w:keepNext/>
              <w:spacing w:after="0"/>
              <w:jc w:val="center"/>
              <w:rPr>
                <w:sz w:val="20"/>
                <w:szCs w:val="20"/>
              </w:rPr>
            </w:pPr>
            <w:r w:rsidRPr="00CF402A">
              <w:rPr>
                <w:sz w:val="20"/>
                <w:szCs w:val="20"/>
              </w:rPr>
              <w:t>46,473</w:t>
            </w:r>
          </w:p>
        </w:tc>
        <w:tc>
          <w:tcPr>
            <w:tcW w:w="1350" w:type="dxa"/>
            <w:tcBorders>
              <w:top w:val="single" w:color="auto" w:sz="4" w:space="0"/>
              <w:left w:val="single" w:color="auto" w:sz="4" w:space="0"/>
              <w:bottom w:val="single" w:color="auto" w:sz="4" w:space="0"/>
              <w:right w:val="single" w:color="auto" w:sz="4" w:space="0"/>
            </w:tcBorders>
          </w:tcPr>
          <w:p w:rsidRPr="00CF402A" w:rsidR="00CF402A" w:rsidP="00CF402A" w:rsidRDefault="00CF402A" w14:paraId="437128D1" w14:textId="69DF7D57">
            <w:pPr>
              <w:keepNext/>
              <w:spacing w:after="0"/>
              <w:ind w:left="14"/>
              <w:jc w:val="center"/>
              <w:rPr>
                <w:sz w:val="20"/>
                <w:szCs w:val="20"/>
              </w:rPr>
            </w:pPr>
            <w:r w:rsidRPr="00CF402A">
              <w:rPr>
                <w:sz w:val="20"/>
                <w:szCs w:val="20"/>
              </w:rPr>
              <w:t>780,605</w:t>
            </w:r>
          </w:p>
        </w:tc>
      </w:tr>
      <w:tr w:rsidRPr="00292878" w:rsidR="00CF402A" w:rsidTr="009064EF" w14:paraId="49B1BAF0" w14:textId="77777777">
        <w:trPr>
          <w:trHeight w:val="845"/>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05EF6" w:rsidR="00CF402A" w:rsidDel="00C37C3D" w:rsidP="00CF402A" w:rsidRDefault="00CF402A" w14:paraId="5BFB9A46" w14:textId="4EE1FD87">
            <w:pPr>
              <w:keepNext/>
              <w:spacing w:after="0"/>
              <w:rPr>
                <w:sz w:val="20"/>
                <w:szCs w:val="20"/>
              </w:rPr>
            </w:pPr>
            <w:r w:rsidRPr="00405EF6">
              <w:rPr>
                <w:sz w:val="20"/>
                <w:szCs w:val="20"/>
              </w:rPr>
              <w:t>Number of clinicians to collect data by collection type (as individual clinicians or groups) in 2019 MIPS performance period (excludes QPs) (b)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5E5A5ED9" w14:textId="31801A7B">
            <w:pPr>
              <w:keepNext/>
              <w:spacing w:after="0"/>
              <w:jc w:val="center"/>
              <w:rPr>
                <w:sz w:val="20"/>
                <w:szCs w:val="20"/>
              </w:rPr>
            </w:pPr>
            <w:r w:rsidRPr="00CF402A">
              <w:rPr>
                <w:sz w:val="20"/>
                <w:szCs w:val="20"/>
              </w:rPr>
              <w:t>257,260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4BF5887E" w14:textId="6CB0297E">
            <w:pPr>
              <w:keepNext/>
              <w:spacing w:after="0"/>
              <w:jc w:val="center"/>
              <w:rPr>
                <w:sz w:val="20"/>
                <w:szCs w:val="20"/>
              </w:rPr>
            </w:pPr>
            <w:r w:rsidRPr="00CF402A">
              <w:rPr>
                <w:sz w:val="20"/>
                <w:szCs w:val="20"/>
              </w:rPr>
              <w:t>324,693</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25822590" w14:textId="2BA8833E">
            <w:pPr>
              <w:keepNext/>
              <w:spacing w:after="0"/>
              <w:jc w:val="center"/>
              <w:rPr>
                <w:sz w:val="20"/>
                <w:szCs w:val="20"/>
              </w:rPr>
            </w:pPr>
            <w:r w:rsidRPr="00CF402A">
              <w:rPr>
                <w:sz w:val="20"/>
                <w:szCs w:val="20"/>
              </w:rPr>
              <w:t>243,062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0CE7CC59" w14:textId="26C62481">
            <w:pPr>
              <w:keepNext/>
              <w:spacing w:after="0"/>
              <w:jc w:val="center"/>
              <w:rPr>
                <w:sz w:val="20"/>
                <w:szCs w:val="20"/>
              </w:rPr>
            </w:pPr>
            <w:r w:rsidRPr="00CF402A">
              <w:rPr>
                <w:sz w:val="20"/>
                <w:szCs w:val="20"/>
              </w:rPr>
              <w:t>139,231</w:t>
            </w:r>
          </w:p>
        </w:tc>
        <w:tc>
          <w:tcPr>
            <w:tcW w:w="1350" w:type="dxa"/>
            <w:tcBorders>
              <w:top w:val="single" w:color="auto" w:sz="4" w:space="0"/>
              <w:left w:val="single" w:color="auto" w:sz="4" w:space="0"/>
              <w:bottom w:val="single" w:color="auto" w:sz="4" w:space="0"/>
              <w:right w:val="single" w:color="auto" w:sz="4" w:space="0"/>
            </w:tcBorders>
          </w:tcPr>
          <w:p w:rsidRPr="00CF402A" w:rsidR="00CF402A" w:rsidP="00CF402A" w:rsidRDefault="00CF402A" w14:paraId="33972D4D" w14:textId="50C1DCDC">
            <w:pPr>
              <w:keepNext/>
              <w:spacing w:after="0"/>
              <w:ind w:left="14"/>
              <w:jc w:val="center"/>
              <w:rPr>
                <w:sz w:val="20"/>
                <w:szCs w:val="20"/>
              </w:rPr>
            </w:pPr>
            <w:r w:rsidRPr="00CF402A">
              <w:rPr>
                <w:sz w:val="20"/>
                <w:szCs w:val="20"/>
              </w:rPr>
              <w:t>964,246</w:t>
            </w:r>
          </w:p>
        </w:tc>
      </w:tr>
      <w:tr w:rsidRPr="006B4818" w:rsidR="00CF402A" w:rsidTr="009064EF" w14:paraId="2240F765" w14:textId="77777777">
        <w:trPr>
          <w:trHeight w:val="845"/>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05EF6" w:rsidR="00CF402A" w:rsidDel="00C37C3D" w:rsidP="00CF402A" w:rsidRDefault="00CF402A" w14:paraId="425D6C78" w14:textId="5F3D3A9D">
            <w:pPr>
              <w:keepNext/>
              <w:spacing w:after="0"/>
              <w:rPr>
                <w:sz w:val="20"/>
                <w:szCs w:val="20"/>
              </w:rPr>
            </w:pPr>
            <w:r w:rsidRPr="00405EF6">
              <w:rPr>
                <w:sz w:val="20"/>
                <w:szCs w:val="20"/>
              </w:rPr>
              <w:t>Difference (c)=(a)-(b)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151704EC" w14:textId="720C83CE">
            <w:pPr>
              <w:keepNext/>
              <w:spacing w:after="0"/>
              <w:jc w:val="center"/>
              <w:rPr>
                <w:sz w:val="20"/>
                <w:szCs w:val="20"/>
              </w:rPr>
            </w:pPr>
            <w:r w:rsidRPr="00CF402A">
              <w:rPr>
                <w:sz w:val="20"/>
                <w:szCs w:val="20"/>
              </w:rPr>
              <w:t>-162,414</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2F249698" w14:textId="7FE4CEEE">
            <w:pPr>
              <w:keepNext/>
              <w:spacing w:after="0"/>
              <w:jc w:val="center"/>
              <w:rPr>
                <w:sz w:val="20"/>
                <w:szCs w:val="20"/>
              </w:rPr>
            </w:pPr>
            <w:r w:rsidRPr="00CF402A">
              <w:rPr>
                <w:sz w:val="20"/>
                <w:szCs w:val="20"/>
              </w:rPr>
              <w:t>+66,737</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29B21C4A" w14:textId="3FFC525C">
            <w:pPr>
              <w:keepNext/>
              <w:spacing w:after="0"/>
              <w:jc w:val="center"/>
              <w:rPr>
                <w:sz w:val="20"/>
                <w:szCs w:val="20"/>
              </w:rPr>
            </w:pPr>
            <w:r w:rsidRPr="00CF402A">
              <w:rPr>
                <w:sz w:val="20"/>
                <w:szCs w:val="20"/>
              </w:rPr>
              <w:t>+4,794</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CF402A" w:rsidR="00CF402A" w:rsidP="00CF402A" w:rsidRDefault="00CF402A" w14:paraId="30F3F8E8" w14:textId="1DEF7A3E">
            <w:pPr>
              <w:keepNext/>
              <w:spacing w:after="0"/>
              <w:jc w:val="center"/>
              <w:rPr>
                <w:sz w:val="20"/>
                <w:szCs w:val="20"/>
              </w:rPr>
            </w:pPr>
            <w:r w:rsidRPr="00CF402A">
              <w:rPr>
                <w:sz w:val="20"/>
                <w:szCs w:val="20"/>
              </w:rPr>
              <w:t>-92,758</w:t>
            </w:r>
          </w:p>
        </w:tc>
        <w:tc>
          <w:tcPr>
            <w:tcW w:w="1350" w:type="dxa"/>
            <w:tcBorders>
              <w:top w:val="single" w:color="auto" w:sz="4" w:space="0"/>
              <w:left w:val="single" w:color="auto" w:sz="4" w:space="0"/>
              <w:bottom w:val="single" w:color="auto" w:sz="4" w:space="0"/>
              <w:right w:val="single" w:color="auto" w:sz="4" w:space="0"/>
            </w:tcBorders>
          </w:tcPr>
          <w:p w:rsidRPr="00CF402A" w:rsidR="00CF402A" w:rsidP="00CF402A" w:rsidRDefault="00CF402A" w14:paraId="1AA0B4B3" w14:textId="0E298FE2">
            <w:pPr>
              <w:keepNext/>
              <w:spacing w:after="0"/>
              <w:ind w:left="14"/>
              <w:jc w:val="center"/>
              <w:rPr>
                <w:sz w:val="20"/>
                <w:szCs w:val="20"/>
              </w:rPr>
            </w:pPr>
            <w:r w:rsidRPr="00CF402A">
              <w:rPr>
                <w:sz w:val="20"/>
                <w:szCs w:val="20"/>
              </w:rPr>
              <w:t>-183,641</w:t>
            </w:r>
          </w:p>
        </w:tc>
      </w:tr>
      <w:bookmarkEnd w:id="6"/>
    </w:tbl>
    <w:p w:rsidR="009064EF" w:rsidP="00FF6C71" w:rsidRDefault="009064EF" w14:paraId="47C0EA1C" w14:textId="77777777">
      <w:pPr>
        <w:jc w:val="both"/>
        <w:rPr>
          <w:sz w:val="20"/>
        </w:rPr>
      </w:pPr>
    </w:p>
    <w:p w:rsidRPr="00FF6C71" w:rsidR="00FF6C71" w:rsidP="00730BEF" w:rsidRDefault="00A05632" w14:paraId="001B9D0E" w14:textId="09D62B12">
      <w:pPr>
        <w:rPr>
          <w:rFonts w:eastAsia="Calibri"/>
        </w:rPr>
      </w:pPr>
      <w:r w:rsidRPr="00A05632">
        <w:rPr>
          <w:rFonts w:eastAsia="Calibri"/>
        </w:rPr>
        <w:t>In the CY 2018 Quality Payment Program final rule (82 FR 53625 through 53626), beginning with the 2019 MIPS performance period, we allowed MIPS eligible clinicians to submit data for multiple collection types for a single performance category.  Therefore, with the exception of clinicians not in small practices who previously submitted quality data via Medicare Part B claims, we captured the burden of any eligible clinician that may have historically collected via multiple collection types, as we assume they will continue to collect via multiple collection types and that our MIPS scoring methodology will take the highest score where the same measure is submitted via multiple collection types.  Hence, the estimated numbers of individual clinicians and groups to collect via the various collection types are not mutually exclusive and reflect the occurrence of individual clinicians or groups that collected data via multiple collection types during the 2018 MIPS performance period</w:t>
      </w:r>
      <w:r w:rsidRPr="00FF6C71" w:rsidR="00FF6C71">
        <w:rPr>
          <w:rFonts w:eastAsia="Calibri"/>
        </w:rPr>
        <w:t xml:space="preserve">.  </w:t>
      </w:r>
    </w:p>
    <w:p w:rsidRPr="00292878" w:rsidR="004F199C" w:rsidP="00730BEF" w:rsidRDefault="00FF6C71" w14:paraId="0998D3E1" w14:textId="0E7701B9">
      <w:r w:rsidRPr="00FF6C71">
        <w:rPr>
          <w:rFonts w:eastAsia="Calibri"/>
        </w:rPr>
        <w:t xml:space="preserve">Table 6 </w:t>
      </w:r>
      <w:r w:rsidRPr="00B26261" w:rsidR="00B26261">
        <w:rPr>
          <w:rFonts w:eastAsia="Calibri"/>
        </w:rPr>
        <w:t>uses methods similar to those described to estimate the number of clinicians that will submit data as individual clinicians via each collection type in the 2020 MIPS performance period.  We estimate that approximately 94,846 clinicians will submit data as individuals using the Medicare Part B claims collection type; approximately 100,269 clinicians will submit data as individuals using MIPS CQMs or QCDR collection types; and approximately 38,935 clinicians will submit data as individuals using eCQMs collection type</w:t>
      </w:r>
      <w:r w:rsidRPr="003428D4" w:rsidR="00FD19D7">
        <w:rPr>
          <w:rFonts w:eastAsia="Calibri"/>
        </w:rPr>
        <w:t xml:space="preserve">.  </w:t>
      </w:r>
    </w:p>
    <w:p w:rsidRPr="00292878" w:rsidR="004F199C" w:rsidP="004F199C" w:rsidRDefault="004F199C" w14:paraId="7584E1AE" w14:textId="3DE140A8">
      <w:pPr>
        <w:keepNext/>
        <w:spacing w:after="0"/>
        <w:jc w:val="center"/>
      </w:pPr>
      <w:r w:rsidRPr="00292878">
        <w:rPr>
          <w:b/>
          <w:bCs/>
        </w:rPr>
        <w:t xml:space="preserve">TABLE 6: Estimated Number of Clinicians Submitting Quality Performance </w:t>
      </w:r>
      <w:r w:rsidRPr="00292878">
        <w:rPr>
          <w:b/>
        </w:rPr>
        <w:br/>
      </w:r>
      <w:r w:rsidRPr="00292878">
        <w:rPr>
          <w:b/>
          <w:bCs/>
        </w:rPr>
        <w:t>Category Data as Individuals by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14"/>
        <w:gridCol w:w="990"/>
        <w:gridCol w:w="1361"/>
        <w:gridCol w:w="990"/>
        <w:gridCol w:w="1010"/>
        <w:gridCol w:w="985"/>
      </w:tblGrid>
      <w:tr w:rsidRPr="00292878" w:rsidR="004F199C" w:rsidTr="00FD0411" w14:paraId="73792C9F" w14:textId="77777777">
        <w:trPr>
          <w:trHeight w:val="765"/>
          <w:jc w:val="center"/>
        </w:trPr>
        <w:tc>
          <w:tcPr>
            <w:tcW w:w="4014" w:type="dxa"/>
            <w:shd w:val="clear" w:color="auto" w:fill="auto"/>
            <w:vAlign w:val="center"/>
            <w:hideMark/>
          </w:tcPr>
          <w:p w:rsidRPr="00292878" w:rsidR="004F199C" w:rsidP="004F199C" w:rsidRDefault="004F199C" w14:paraId="05D2C614" w14:textId="61CA7597">
            <w:pPr>
              <w:keepNext/>
              <w:spacing w:after="0"/>
              <w:jc w:val="center"/>
              <w:rPr>
                <w:b/>
                <w:sz w:val="20"/>
                <w:szCs w:val="20"/>
              </w:rPr>
            </w:pPr>
            <w:r w:rsidRPr="00292878">
              <w:rPr>
                <w:b/>
                <w:sz w:val="20"/>
                <w:szCs w:val="20"/>
              </w:rPr>
              <w:t>Data Description</w:t>
            </w:r>
          </w:p>
        </w:tc>
        <w:tc>
          <w:tcPr>
            <w:tcW w:w="990" w:type="dxa"/>
            <w:shd w:val="clear" w:color="auto" w:fill="auto"/>
            <w:vAlign w:val="center"/>
            <w:hideMark/>
          </w:tcPr>
          <w:p w:rsidRPr="00292878" w:rsidR="004F199C" w:rsidP="004F199C" w:rsidRDefault="004F199C" w14:paraId="0205961B" w14:textId="77777777">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rsidRPr="00292878" w:rsidR="004F199C" w:rsidP="004F199C" w:rsidRDefault="004F199C" w14:paraId="2B5C3D10" w14:textId="0C86B19A">
            <w:pPr>
              <w:keepNext/>
              <w:spacing w:after="0"/>
              <w:jc w:val="center"/>
              <w:rPr>
                <w:b/>
                <w:bCs/>
                <w:sz w:val="20"/>
                <w:szCs w:val="20"/>
              </w:rPr>
            </w:pPr>
            <w:r w:rsidRPr="00292878">
              <w:rPr>
                <w:b/>
                <w:bCs/>
                <w:sz w:val="20"/>
                <w:szCs w:val="20"/>
              </w:rPr>
              <w:t>QCDR/</w:t>
            </w:r>
            <w:r w:rsidR="00037FF8">
              <w:rPr>
                <w:b/>
                <w:bCs/>
                <w:sz w:val="20"/>
                <w:szCs w:val="20"/>
              </w:rPr>
              <w:t>MIPS CQM</w:t>
            </w:r>
          </w:p>
        </w:tc>
        <w:tc>
          <w:tcPr>
            <w:tcW w:w="990" w:type="dxa"/>
            <w:shd w:val="clear" w:color="auto" w:fill="auto"/>
            <w:vAlign w:val="center"/>
            <w:hideMark/>
          </w:tcPr>
          <w:p w:rsidRPr="00292878" w:rsidR="004F199C" w:rsidP="004F199C" w:rsidRDefault="004F199C" w14:paraId="0C9F4B96" w14:textId="77777777">
            <w:pPr>
              <w:keepNext/>
              <w:spacing w:after="0"/>
              <w:jc w:val="center"/>
              <w:rPr>
                <w:b/>
                <w:bCs/>
                <w:sz w:val="20"/>
                <w:szCs w:val="20"/>
              </w:rPr>
            </w:pPr>
            <w:r w:rsidRPr="00292878">
              <w:rPr>
                <w:b/>
                <w:bCs/>
                <w:sz w:val="20"/>
                <w:szCs w:val="20"/>
              </w:rPr>
              <w:t>eCQM</w:t>
            </w:r>
          </w:p>
        </w:tc>
        <w:tc>
          <w:tcPr>
            <w:tcW w:w="1010" w:type="dxa"/>
            <w:shd w:val="clear" w:color="auto" w:fill="auto"/>
            <w:vAlign w:val="center"/>
            <w:hideMark/>
          </w:tcPr>
          <w:p w:rsidRPr="00292878" w:rsidR="004F199C" w:rsidP="004F199C" w:rsidRDefault="004F199C" w14:paraId="56236985" w14:textId="77777777">
            <w:pPr>
              <w:keepNext/>
              <w:spacing w:after="0"/>
              <w:jc w:val="center"/>
              <w:rPr>
                <w:b/>
                <w:bCs/>
                <w:sz w:val="20"/>
                <w:szCs w:val="20"/>
              </w:rPr>
            </w:pPr>
            <w:r w:rsidRPr="00292878">
              <w:rPr>
                <w:b/>
                <w:bCs/>
                <w:sz w:val="20"/>
                <w:szCs w:val="20"/>
              </w:rPr>
              <w:t>CMS Web Interface</w:t>
            </w:r>
          </w:p>
        </w:tc>
        <w:tc>
          <w:tcPr>
            <w:tcW w:w="985" w:type="dxa"/>
            <w:vAlign w:val="center"/>
          </w:tcPr>
          <w:p w:rsidRPr="00292878" w:rsidR="004F199C" w:rsidP="004F199C" w:rsidRDefault="004F199C" w14:paraId="2793FDB7" w14:textId="77777777">
            <w:pPr>
              <w:keepNext/>
              <w:spacing w:after="0"/>
              <w:jc w:val="center"/>
              <w:rPr>
                <w:b/>
                <w:bCs/>
                <w:sz w:val="20"/>
                <w:szCs w:val="20"/>
              </w:rPr>
            </w:pPr>
            <w:r w:rsidRPr="00292878">
              <w:rPr>
                <w:b/>
                <w:bCs/>
                <w:sz w:val="20"/>
                <w:szCs w:val="20"/>
              </w:rPr>
              <w:t>Total</w:t>
            </w:r>
          </w:p>
        </w:tc>
      </w:tr>
      <w:tr w:rsidRPr="00292878" w:rsidR="00441062" w:rsidTr="00FD0411" w14:paraId="061391B8" w14:textId="77777777">
        <w:trPr>
          <w:trHeight w:val="718"/>
          <w:jc w:val="center"/>
        </w:trPr>
        <w:tc>
          <w:tcPr>
            <w:tcW w:w="4014" w:type="dxa"/>
            <w:tcBorders>
              <w:top w:val="single" w:color="auto" w:sz="4" w:space="0"/>
              <w:left w:val="single" w:color="auto" w:sz="4" w:space="0"/>
              <w:bottom w:val="single" w:color="auto" w:sz="4" w:space="0"/>
              <w:right w:val="single" w:color="auto" w:sz="4" w:space="0"/>
            </w:tcBorders>
            <w:shd w:val="clear" w:color="auto" w:fill="auto"/>
            <w:hideMark/>
          </w:tcPr>
          <w:p w:rsidRPr="004865D0" w:rsidR="00441062" w:rsidP="00441062" w:rsidRDefault="00441062" w14:paraId="0AB1B31F" w14:textId="061B7D52">
            <w:pPr>
              <w:keepNext/>
              <w:spacing w:after="0"/>
              <w:rPr>
                <w:sz w:val="20"/>
                <w:szCs w:val="20"/>
              </w:rPr>
            </w:pPr>
            <w:r w:rsidRPr="004865D0">
              <w:rPr>
                <w:sz w:val="20"/>
                <w:szCs w:val="20"/>
              </w:rPr>
              <w:t>Number of Clinicians to submit data as individuals in 2020 MIPS Performance Period (excludes QPs) (a)</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5E315A57" w14:textId="4A75DA4E">
            <w:pPr>
              <w:keepNext/>
              <w:spacing w:after="0"/>
              <w:jc w:val="center"/>
              <w:rPr>
                <w:sz w:val="20"/>
                <w:szCs w:val="20"/>
              </w:rPr>
            </w:pPr>
            <w:r w:rsidRPr="00441062">
              <w:rPr>
                <w:sz w:val="20"/>
                <w:szCs w:val="20"/>
              </w:rPr>
              <w:t>95,846</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2663B0A5" w14:textId="345E8E41">
            <w:pPr>
              <w:keepNext/>
              <w:spacing w:after="0"/>
              <w:jc w:val="center"/>
              <w:rPr>
                <w:sz w:val="20"/>
                <w:szCs w:val="20"/>
              </w:rPr>
            </w:pPr>
            <w:r w:rsidRPr="00441062">
              <w:rPr>
                <w:sz w:val="20"/>
                <w:szCs w:val="20"/>
              </w:rPr>
              <w:t>100,269</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597C7924" w14:textId="2C96E3E4">
            <w:pPr>
              <w:keepNext/>
              <w:spacing w:after="0"/>
              <w:jc w:val="center"/>
              <w:rPr>
                <w:sz w:val="20"/>
                <w:szCs w:val="20"/>
              </w:rPr>
            </w:pPr>
            <w:r w:rsidRPr="00441062">
              <w:rPr>
                <w:sz w:val="20"/>
                <w:szCs w:val="20"/>
              </w:rPr>
              <w:t>38,935</w:t>
            </w:r>
          </w:p>
        </w:tc>
        <w:tc>
          <w:tcPr>
            <w:tcW w:w="1010" w:type="dxa"/>
            <w:tcBorders>
              <w:top w:val="single" w:color="auto" w:sz="4" w:space="0"/>
              <w:left w:val="single" w:color="auto" w:sz="4" w:space="0"/>
              <w:bottom w:val="single" w:color="auto" w:sz="4" w:space="0"/>
              <w:right w:val="single" w:color="auto" w:sz="4" w:space="0"/>
            </w:tcBorders>
            <w:shd w:val="clear" w:color="auto" w:fill="auto"/>
            <w:noWrap/>
            <w:hideMark/>
          </w:tcPr>
          <w:p w:rsidRPr="00441062" w:rsidR="00441062" w:rsidP="00441062" w:rsidRDefault="00441062" w14:paraId="174033B2" w14:textId="38725CDC">
            <w:pPr>
              <w:keepNext/>
              <w:spacing w:after="0"/>
              <w:jc w:val="center"/>
              <w:rPr>
                <w:sz w:val="20"/>
                <w:szCs w:val="20"/>
              </w:rPr>
            </w:pPr>
            <w:r w:rsidRPr="00441062">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441062" w:rsidR="00441062" w:rsidP="00441062" w:rsidRDefault="00441062" w14:paraId="150BF06F" w14:textId="278341F1">
            <w:pPr>
              <w:keepNext/>
              <w:spacing w:after="0"/>
              <w:jc w:val="center"/>
              <w:rPr>
                <w:sz w:val="20"/>
                <w:szCs w:val="20"/>
              </w:rPr>
            </w:pPr>
            <w:r w:rsidRPr="00441062">
              <w:rPr>
                <w:sz w:val="20"/>
                <w:szCs w:val="20"/>
              </w:rPr>
              <w:t>234,050</w:t>
            </w:r>
          </w:p>
        </w:tc>
      </w:tr>
      <w:tr w:rsidRPr="00292878" w:rsidR="00441062" w:rsidTr="00FD0411" w14:paraId="3A10D0FF" w14:textId="77777777">
        <w:trPr>
          <w:trHeight w:val="718"/>
          <w:jc w:val="center"/>
        </w:trPr>
        <w:tc>
          <w:tcPr>
            <w:tcW w:w="4014" w:type="dxa"/>
            <w:tcBorders>
              <w:top w:val="single" w:color="auto" w:sz="4" w:space="0"/>
              <w:left w:val="single" w:color="auto" w:sz="4" w:space="0"/>
              <w:bottom w:val="single" w:color="auto" w:sz="4" w:space="0"/>
              <w:right w:val="single" w:color="auto" w:sz="4" w:space="0"/>
            </w:tcBorders>
            <w:shd w:val="clear" w:color="auto" w:fill="auto"/>
          </w:tcPr>
          <w:p w:rsidRPr="004865D0" w:rsidR="00441062" w:rsidP="00441062" w:rsidRDefault="00441062" w14:paraId="37C9E695" w14:textId="5D6F459A">
            <w:pPr>
              <w:keepNext/>
              <w:spacing w:after="0"/>
              <w:rPr>
                <w:sz w:val="20"/>
                <w:szCs w:val="20"/>
              </w:rPr>
            </w:pPr>
            <w:r w:rsidRPr="004865D0">
              <w:rPr>
                <w:sz w:val="20"/>
                <w:szCs w:val="20"/>
              </w:rPr>
              <w:t>Number of Clinicians to submit data as individuals in 2019 MIPS Performance Period (excludes QPs) (b)</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579FB872" w14:textId="2A084F9E">
            <w:pPr>
              <w:keepNext/>
              <w:spacing w:after="0"/>
              <w:jc w:val="center"/>
              <w:rPr>
                <w:sz w:val="20"/>
                <w:szCs w:val="20"/>
              </w:rPr>
            </w:pPr>
            <w:r w:rsidRPr="00441062">
              <w:rPr>
                <w:sz w:val="20"/>
                <w:szCs w:val="20"/>
              </w:rPr>
              <w:t>257,260</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2573D0D9" w14:textId="74E262FD">
            <w:pPr>
              <w:keepNext/>
              <w:spacing w:after="0"/>
              <w:jc w:val="center"/>
              <w:rPr>
                <w:sz w:val="20"/>
                <w:szCs w:val="20"/>
              </w:rPr>
            </w:pPr>
            <w:r w:rsidRPr="00441062">
              <w:rPr>
                <w:sz w:val="20"/>
                <w:szCs w:val="20"/>
              </w:rPr>
              <w:t>71,439</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671FC9BB" w14:textId="0ECA3C4A">
            <w:pPr>
              <w:keepNext/>
              <w:spacing w:after="0"/>
              <w:jc w:val="center"/>
              <w:rPr>
                <w:sz w:val="20"/>
                <w:szCs w:val="20"/>
              </w:rPr>
            </w:pPr>
            <w:r w:rsidRPr="00441062">
              <w:rPr>
                <w:sz w:val="20"/>
                <w:szCs w:val="20"/>
              </w:rPr>
              <w:t>47,557</w:t>
            </w:r>
          </w:p>
        </w:tc>
        <w:tc>
          <w:tcPr>
            <w:tcW w:w="101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498AEDEA" w14:textId="2A573304">
            <w:pPr>
              <w:keepNext/>
              <w:spacing w:after="0"/>
              <w:jc w:val="center"/>
              <w:rPr>
                <w:sz w:val="20"/>
                <w:szCs w:val="20"/>
              </w:rPr>
            </w:pPr>
            <w:r w:rsidRPr="00441062">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441062" w:rsidR="00441062" w:rsidP="00441062" w:rsidRDefault="00441062" w14:paraId="71D601D2" w14:textId="19D4A4CD">
            <w:pPr>
              <w:keepNext/>
              <w:spacing w:after="0"/>
              <w:jc w:val="center"/>
              <w:rPr>
                <w:sz w:val="20"/>
                <w:szCs w:val="20"/>
              </w:rPr>
            </w:pPr>
            <w:r w:rsidRPr="00441062">
              <w:rPr>
                <w:sz w:val="20"/>
                <w:szCs w:val="20"/>
              </w:rPr>
              <w:t>376,256</w:t>
            </w:r>
          </w:p>
        </w:tc>
      </w:tr>
      <w:tr w:rsidRPr="006B4818" w:rsidR="00441062" w:rsidTr="00FC7A11" w14:paraId="1F9BE284" w14:textId="77777777">
        <w:trPr>
          <w:trHeight w:val="1043"/>
          <w:jc w:val="center"/>
        </w:trPr>
        <w:tc>
          <w:tcPr>
            <w:tcW w:w="4014" w:type="dxa"/>
            <w:tcBorders>
              <w:top w:val="single" w:color="auto" w:sz="4" w:space="0"/>
              <w:left w:val="single" w:color="auto" w:sz="4" w:space="0"/>
              <w:bottom w:val="single" w:color="auto" w:sz="4" w:space="0"/>
              <w:right w:val="single" w:color="auto" w:sz="4" w:space="0"/>
            </w:tcBorders>
            <w:shd w:val="clear" w:color="auto" w:fill="auto"/>
          </w:tcPr>
          <w:p w:rsidRPr="004865D0" w:rsidR="00441062" w:rsidP="00441062" w:rsidRDefault="00441062" w14:paraId="322E9C48" w14:textId="167B1A47">
            <w:pPr>
              <w:keepNext/>
              <w:spacing w:after="0"/>
              <w:rPr>
                <w:sz w:val="20"/>
                <w:szCs w:val="20"/>
              </w:rPr>
            </w:pPr>
            <w:r w:rsidRPr="004865D0">
              <w:rPr>
                <w:sz w:val="20"/>
                <w:szCs w:val="20"/>
              </w:rPr>
              <w:t>Difference (c)=(a)-(b)</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412E413C" w14:textId="0E1850FC">
            <w:pPr>
              <w:keepNext/>
              <w:spacing w:after="0"/>
              <w:jc w:val="center"/>
              <w:rPr>
                <w:sz w:val="20"/>
                <w:szCs w:val="20"/>
              </w:rPr>
            </w:pPr>
            <w:r w:rsidRPr="00441062">
              <w:rPr>
                <w:sz w:val="20"/>
                <w:szCs w:val="20"/>
              </w:rPr>
              <w:t>-162,414</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268974CA" w14:textId="306CE93F">
            <w:pPr>
              <w:keepNext/>
              <w:spacing w:after="0"/>
              <w:jc w:val="center"/>
              <w:rPr>
                <w:sz w:val="20"/>
                <w:szCs w:val="20"/>
              </w:rPr>
            </w:pPr>
            <w:r w:rsidRPr="00441062">
              <w:rPr>
                <w:sz w:val="20"/>
                <w:szCs w:val="20"/>
              </w:rPr>
              <w:t>+28,830</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025222A2" w14:textId="042796DE">
            <w:pPr>
              <w:keepNext/>
              <w:spacing w:after="0"/>
              <w:jc w:val="center"/>
              <w:rPr>
                <w:sz w:val="20"/>
                <w:szCs w:val="20"/>
              </w:rPr>
            </w:pPr>
            <w:r w:rsidRPr="00441062">
              <w:rPr>
                <w:sz w:val="20"/>
                <w:szCs w:val="20"/>
              </w:rPr>
              <w:t>-8,622</w:t>
            </w:r>
          </w:p>
        </w:tc>
        <w:tc>
          <w:tcPr>
            <w:tcW w:w="1010" w:type="dxa"/>
            <w:tcBorders>
              <w:top w:val="single" w:color="auto" w:sz="4" w:space="0"/>
              <w:left w:val="single" w:color="auto" w:sz="4" w:space="0"/>
              <w:bottom w:val="single" w:color="auto" w:sz="4" w:space="0"/>
              <w:right w:val="single" w:color="auto" w:sz="4" w:space="0"/>
            </w:tcBorders>
            <w:shd w:val="clear" w:color="auto" w:fill="auto"/>
            <w:noWrap/>
          </w:tcPr>
          <w:p w:rsidRPr="00441062" w:rsidR="00441062" w:rsidP="00441062" w:rsidRDefault="00441062" w14:paraId="24074BA3" w14:textId="37081D09">
            <w:pPr>
              <w:keepNext/>
              <w:spacing w:after="0"/>
              <w:jc w:val="center"/>
              <w:rPr>
                <w:sz w:val="20"/>
                <w:szCs w:val="20"/>
              </w:rPr>
            </w:pPr>
            <w:r w:rsidRPr="00441062">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441062" w:rsidR="00441062" w:rsidP="00441062" w:rsidRDefault="00441062" w14:paraId="46ED7B31" w14:textId="5FB8D9AC">
            <w:pPr>
              <w:keepNext/>
              <w:spacing w:after="0"/>
              <w:jc w:val="center"/>
              <w:rPr>
                <w:sz w:val="20"/>
                <w:szCs w:val="20"/>
              </w:rPr>
            </w:pPr>
            <w:r w:rsidRPr="00441062">
              <w:rPr>
                <w:sz w:val="20"/>
                <w:szCs w:val="20"/>
              </w:rPr>
              <w:t>-142,206</w:t>
            </w:r>
          </w:p>
        </w:tc>
      </w:tr>
    </w:tbl>
    <w:p w:rsidRPr="00292878" w:rsidR="004F199C" w:rsidP="00292878" w:rsidRDefault="00292878" w14:paraId="12845CB6" w14:textId="11394741">
      <w:pPr>
        <w:ind w:firstLine="360"/>
        <w:rPr>
          <w:sz w:val="20"/>
          <w:highlight w:val="yellow"/>
        </w:rPr>
      </w:pPr>
      <w:r w:rsidRPr="00292878">
        <w:tab/>
      </w:r>
    </w:p>
    <w:p w:rsidR="006D311A" w:rsidP="00730BEF" w:rsidRDefault="00B3501B" w14:paraId="1A1A833C" w14:textId="1FED002E">
      <w:pPr>
        <w:keepNext/>
        <w:spacing w:after="0"/>
      </w:pPr>
      <w:r w:rsidRPr="00B3501B">
        <w:rPr>
          <w:rFonts w:eastAsia="Calibri"/>
        </w:rPr>
        <w:t>Consistent with the policy finalized in the CY 2018 Quality Payment Program final rule that for MIPS eligible clinicians who collect measures via Medicare Part B claims, MIPS CQM, eCQM, or QCDR collection types and submit more than the required number of measures (82 FR 53735 through 54736), we will score the clinician on the required measures with the highest assigned measure achievement points and thus, the same clinician may be counted as a respondent for more than one collection type</w:t>
      </w:r>
      <w:r w:rsidRPr="009C4D33" w:rsidR="005038D2">
        <w:rPr>
          <w:rFonts w:eastAsia="Calibri"/>
        </w:rPr>
        <w:t xml:space="preserve">.  </w:t>
      </w:r>
      <w:r w:rsidR="006D311A">
        <w:t>Therefore, our columns in Table 6 are not mutually exclusive.</w:t>
      </w:r>
    </w:p>
    <w:p w:rsidR="006D311A" w:rsidP="00730BEF" w:rsidRDefault="006D311A" w14:paraId="63C90E4B" w14:textId="77777777">
      <w:pPr>
        <w:keepNext/>
        <w:spacing w:after="0"/>
      </w:pPr>
    </w:p>
    <w:p w:rsidR="006D311A" w:rsidP="00730BEF" w:rsidRDefault="006D311A" w14:paraId="062961AD" w14:textId="62FA672B">
      <w:pPr>
        <w:keepNext/>
        <w:spacing w:after="0"/>
      </w:pPr>
      <w:r>
        <w:t xml:space="preserve">Table 7 </w:t>
      </w:r>
      <w:r w:rsidRPr="00F92A5E" w:rsidR="00F92A5E">
        <w:rPr>
          <w:rFonts w:eastAsia="Calibri"/>
        </w:rPr>
        <w:t>provides our estimated counts of groups or virtual groups that will submit quality data on behalf of clinicians for each collection type in the 2020 MIPS performance period and reflects our assumption that the formation of virtual groups will reduce burden.  With the previously discussed exceptions regarding groups who experienced a change in APM participation status between the 2018 and 2019 MIPS performance periods, we assume that groups that submitted quality data as groups in the 2018 MIPS performance period will continue to submit quality data either as groups or virtual groups for the same collection types as they did as a group or TIN within a virtual group for the 2020 MIPS performance period.  Specifically, we estimate that 10,949 groups and virtual groups will submit data for the QCDR or MIPS CQM collection types on behalf of 291,161 clinicians; 4,398 groups and virtual groups will submit for eCQM collection types on behalf of 208,921 eligible clinicians; and 104 groups will submit data via the CMS Web Interface on behalf of 46,473 clinicians</w:t>
      </w:r>
      <w:r>
        <w:t>.</w:t>
      </w:r>
      <w:r w:rsidR="00D778C9">
        <w:t xml:space="preserve"> </w:t>
      </w:r>
      <w:r w:rsidRPr="00D778C9" w:rsidR="00D778C9">
        <w:t>In the CY 2017 and CY 2018 Quality Payment Program final rules</w:t>
      </w:r>
      <w:r w:rsidR="00D778C9">
        <w:t xml:space="preserve"> and</w:t>
      </w:r>
      <w:r w:rsidRPr="00D778C9" w:rsidR="00D778C9">
        <w:t xml:space="preserve"> the CY 2019 PFS final rule, we were required to adjust our respondent estimates to account for MIPS eligible clinicians who we assumed would respond as participants in a virtual group.  Because we are now able to base our respondent estimates on data from the 2018 MIPS performance period, which was the first performance period in which clinicians could submit as participants in a virtual group, we are no longer making the adjustment for virtual group participation</w:t>
      </w:r>
    </w:p>
    <w:p w:rsidR="00FD19D7" w:rsidP="00D778C9" w:rsidRDefault="00FD19D7" w14:paraId="5410C7B5" w14:textId="77777777">
      <w:pPr>
        <w:keepNext/>
        <w:spacing w:after="0"/>
        <w:rPr>
          <w:rFonts w:eastAsia="Calibri"/>
        </w:rPr>
      </w:pPr>
    </w:p>
    <w:p w:rsidRPr="00292878" w:rsidR="004F199C" w:rsidP="001D69F5" w:rsidRDefault="004F199C" w14:paraId="2DC3FA91" w14:textId="47C050FF">
      <w:pPr>
        <w:keepNext/>
        <w:spacing w:after="0"/>
        <w:ind w:firstLine="720"/>
        <w:jc w:val="center"/>
      </w:pPr>
      <w:r w:rsidRPr="00292878">
        <w:rPr>
          <w:b/>
          <w:bCs/>
        </w:rPr>
        <w:t>TABLE 7: Estimated Number of Groups and Virtual Groups Submitting Quality Performance Category Data by Collection Type on Behalf of Clinicians</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5"/>
        <w:gridCol w:w="816"/>
        <w:gridCol w:w="1361"/>
        <w:gridCol w:w="905"/>
        <w:gridCol w:w="1165"/>
        <w:gridCol w:w="948"/>
      </w:tblGrid>
      <w:tr w:rsidRPr="00292878" w:rsidR="004F199C" w:rsidTr="00FD19D7" w14:paraId="34021060" w14:textId="77777777">
        <w:trPr>
          <w:trHeight w:val="540"/>
          <w:tblHeader/>
          <w:jc w:val="center"/>
        </w:trPr>
        <w:tc>
          <w:tcPr>
            <w:tcW w:w="4155" w:type="dxa"/>
            <w:shd w:val="clear" w:color="auto" w:fill="auto"/>
            <w:vAlign w:val="center"/>
            <w:hideMark/>
          </w:tcPr>
          <w:p w:rsidRPr="00292878" w:rsidR="004F199C" w:rsidP="004F199C" w:rsidRDefault="004F199C" w14:paraId="52706ADD" w14:textId="632A91B6">
            <w:pPr>
              <w:keepNext/>
              <w:spacing w:after="0"/>
              <w:jc w:val="center"/>
              <w:rPr>
                <w:b/>
                <w:sz w:val="20"/>
                <w:szCs w:val="20"/>
              </w:rPr>
            </w:pPr>
            <w:r w:rsidRPr="00292878">
              <w:rPr>
                <w:b/>
                <w:sz w:val="20"/>
                <w:szCs w:val="20"/>
              </w:rPr>
              <w:t>Data Description</w:t>
            </w:r>
          </w:p>
        </w:tc>
        <w:tc>
          <w:tcPr>
            <w:tcW w:w="816" w:type="dxa"/>
            <w:shd w:val="clear" w:color="auto" w:fill="auto"/>
            <w:vAlign w:val="center"/>
            <w:hideMark/>
          </w:tcPr>
          <w:p w:rsidRPr="00292878" w:rsidR="004F199C" w:rsidP="004F199C" w:rsidRDefault="004F199C" w14:paraId="3DC07721" w14:textId="77777777">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rsidRPr="00292878" w:rsidR="004F199C" w:rsidP="004F199C" w:rsidRDefault="004F199C" w14:paraId="1BA6F479" w14:textId="734BED3E">
            <w:pPr>
              <w:keepNext/>
              <w:spacing w:after="0"/>
              <w:jc w:val="center"/>
              <w:rPr>
                <w:b/>
                <w:bCs/>
                <w:sz w:val="20"/>
                <w:szCs w:val="20"/>
              </w:rPr>
            </w:pPr>
            <w:r w:rsidRPr="00292878">
              <w:rPr>
                <w:b/>
                <w:bCs/>
                <w:sz w:val="20"/>
                <w:szCs w:val="20"/>
              </w:rPr>
              <w:t>QCDR/</w:t>
            </w:r>
            <w:r w:rsidR="00037FF8">
              <w:rPr>
                <w:b/>
                <w:bCs/>
                <w:sz w:val="20"/>
                <w:szCs w:val="20"/>
              </w:rPr>
              <w:t>MIPS CQM</w:t>
            </w:r>
          </w:p>
        </w:tc>
        <w:tc>
          <w:tcPr>
            <w:tcW w:w="905" w:type="dxa"/>
            <w:shd w:val="clear" w:color="auto" w:fill="auto"/>
            <w:vAlign w:val="center"/>
            <w:hideMark/>
          </w:tcPr>
          <w:p w:rsidRPr="00292878" w:rsidR="004F199C" w:rsidP="004F199C" w:rsidRDefault="004F199C" w14:paraId="6EFD845F" w14:textId="77777777">
            <w:pPr>
              <w:keepNext/>
              <w:spacing w:after="0"/>
              <w:jc w:val="center"/>
              <w:rPr>
                <w:b/>
                <w:bCs/>
                <w:sz w:val="20"/>
                <w:szCs w:val="20"/>
              </w:rPr>
            </w:pPr>
            <w:r w:rsidRPr="00292878">
              <w:rPr>
                <w:b/>
                <w:bCs/>
                <w:sz w:val="20"/>
                <w:szCs w:val="20"/>
              </w:rPr>
              <w:t>eCQM</w:t>
            </w:r>
          </w:p>
        </w:tc>
        <w:tc>
          <w:tcPr>
            <w:tcW w:w="1165" w:type="dxa"/>
            <w:shd w:val="clear" w:color="auto" w:fill="auto"/>
            <w:vAlign w:val="center"/>
            <w:hideMark/>
          </w:tcPr>
          <w:p w:rsidRPr="00292878" w:rsidR="004F199C" w:rsidP="004F199C" w:rsidRDefault="004F199C" w14:paraId="0ECC161E" w14:textId="77777777">
            <w:pPr>
              <w:keepNext/>
              <w:spacing w:after="0"/>
              <w:jc w:val="center"/>
              <w:rPr>
                <w:b/>
                <w:bCs/>
                <w:sz w:val="20"/>
                <w:szCs w:val="20"/>
              </w:rPr>
            </w:pPr>
            <w:r w:rsidRPr="00292878">
              <w:rPr>
                <w:b/>
                <w:bCs/>
                <w:sz w:val="20"/>
                <w:szCs w:val="20"/>
              </w:rPr>
              <w:t>CMS Web Interface</w:t>
            </w:r>
          </w:p>
        </w:tc>
        <w:tc>
          <w:tcPr>
            <w:tcW w:w="948" w:type="dxa"/>
            <w:vAlign w:val="center"/>
          </w:tcPr>
          <w:p w:rsidRPr="00292878" w:rsidR="004F199C" w:rsidP="004F199C" w:rsidRDefault="004F199C" w14:paraId="46793C10" w14:textId="77777777">
            <w:pPr>
              <w:keepNext/>
              <w:spacing w:after="0"/>
              <w:jc w:val="center"/>
              <w:rPr>
                <w:b/>
                <w:bCs/>
                <w:sz w:val="20"/>
                <w:szCs w:val="20"/>
              </w:rPr>
            </w:pPr>
            <w:r w:rsidRPr="00292878">
              <w:rPr>
                <w:b/>
                <w:bCs/>
                <w:sz w:val="20"/>
                <w:szCs w:val="20"/>
              </w:rPr>
              <w:t>Total</w:t>
            </w:r>
          </w:p>
        </w:tc>
      </w:tr>
      <w:tr w:rsidRPr="00292878" w:rsidR="00374339" w:rsidTr="00FD19D7" w14:paraId="4B121922" w14:textId="77777777">
        <w:trPr>
          <w:trHeight w:val="755"/>
          <w:jc w:val="center"/>
        </w:trPr>
        <w:tc>
          <w:tcPr>
            <w:tcW w:w="4155" w:type="dxa"/>
            <w:shd w:val="clear" w:color="auto" w:fill="auto"/>
            <w:hideMark/>
          </w:tcPr>
          <w:p w:rsidRPr="00374339" w:rsidR="00374339" w:rsidP="00374339" w:rsidRDefault="00374339" w14:paraId="4E3AEF31" w14:textId="73B1A93C">
            <w:pPr>
              <w:keepNext/>
              <w:spacing w:after="0"/>
              <w:rPr>
                <w:sz w:val="20"/>
                <w:szCs w:val="20"/>
              </w:rPr>
            </w:pPr>
            <w:r w:rsidRPr="00374339">
              <w:rPr>
                <w:sz w:val="20"/>
                <w:szCs w:val="20"/>
              </w:rPr>
              <w:t>Number of groups to collect data by collection type (on behalf of clinicians) in 2020 MIPS performance period (excludes QPs) (a)</w:t>
            </w:r>
          </w:p>
        </w:tc>
        <w:tc>
          <w:tcPr>
            <w:tcW w:w="816" w:type="dxa"/>
            <w:shd w:val="clear" w:color="auto" w:fill="auto"/>
            <w:noWrap/>
            <w:hideMark/>
          </w:tcPr>
          <w:p w:rsidRPr="00374339" w:rsidR="00374339" w:rsidP="00374339" w:rsidRDefault="00374339" w14:paraId="45F70D1B" w14:textId="4D42E5D9">
            <w:pPr>
              <w:keepNext/>
              <w:spacing w:after="0"/>
              <w:jc w:val="center"/>
              <w:rPr>
                <w:sz w:val="20"/>
                <w:szCs w:val="20"/>
              </w:rPr>
            </w:pPr>
            <w:r w:rsidRPr="00374339">
              <w:rPr>
                <w:sz w:val="20"/>
                <w:szCs w:val="20"/>
              </w:rPr>
              <w:t>0</w:t>
            </w:r>
          </w:p>
        </w:tc>
        <w:tc>
          <w:tcPr>
            <w:tcW w:w="1361" w:type="dxa"/>
            <w:shd w:val="clear" w:color="auto" w:fill="auto"/>
            <w:noWrap/>
            <w:hideMark/>
          </w:tcPr>
          <w:p w:rsidRPr="00374339" w:rsidR="00374339" w:rsidP="00374339" w:rsidRDefault="00374339" w14:paraId="31BEAAA3" w14:textId="1D7D4A0D">
            <w:pPr>
              <w:keepNext/>
              <w:spacing w:after="0"/>
              <w:jc w:val="center"/>
              <w:rPr>
                <w:sz w:val="20"/>
                <w:szCs w:val="20"/>
              </w:rPr>
            </w:pPr>
            <w:r w:rsidRPr="00374339">
              <w:rPr>
                <w:sz w:val="20"/>
                <w:szCs w:val="20"/>
              </w:rPr>
              <w:t>10,949</w:t>
            </w:r>
          </w:p>
        </w:tc>
        <w:tc>
          <w:tcPr>
            <w:tcW w:w="905" w:type="dxa"/>
            <w:shd w:val="clear" w:color="auto" w:fill="auto"/>
            <w:noWrap/>
            <w:hideMark/>
          </w:tcPr>
          <w:p w:rsidRPr="00374339" w:rsidR="00374339" w:rsidP="00374339" w:rsidRDefault="00374339" w14:paraId="7AA50348" w14:textId="7ACC4A05">
            <w:pPr>
              <w:keepNext/>
              <w:spacing w:after="0"/>
              <w:jc w:val="center"/>
              <w:rPr>
                <w:sz w:val="20"/>
                <w:szCs w:val="20"/>
              </w:rPr>
            </w:pPr>
            <w:r w:rsidRPr="00374339">
              <w:rPr>
                <w:sz w:val="20"/>
                <w:szCs w:val="20"/>
              </w:rPr>
              <w:t>4,398</w:t>
            </w:r>
          </w:p>
        </w:tc>
        <w:tc>
          <w:tcPr>
            <w:tcW w:w="1165" w:type="dxa"/>
            <w:shd w:val="clear" w:color="auto" w:fill="auto"/>
            <w:noWrap/>
            <w:hideMark/>
          </w:tcPr>
          <w:p w:rsidRPr="00374339" w:rsidR="00374339" w:rsidP="00374339" w:rsidRDefault="00374339" w14:paraId="277BD9B8" w14:textId="6DE79C4D">
            <w:pPr>
              <w:keepNext/>
              <w:spacing w:after="0"/>
              <w:jc w:val="center"/>
              <w:rPr>
                <w:sz w:val="20"/>
                <w:szCs w:val="20"/>
              </w:rPr>
            </w:pPr>
            <w:r w:rsidRPr="00374339">
              <w:rPr>
                <w:sz w:val="20"/>
                <w:szCs w:val="20"/>
              </w:rPr>
              <w:t>104</w:t>
            </w:r>
          </w:p>
        </w:tc>
        <w:tc>
          <w:tcPr>
            <w:tcW w:w="948" w:type="dxa"/>
          </w:tcPr>
          <w:p w:rsidRPr="00374339" w:rsidR="00374339" w:rsidP="00374339" w:rsidRDefault="00374339" w14:paraId="555C255C" w14:textId="4196AF84">
            <w:pPr>
              <w:keepNext/>
              <w:spacing w:after="0"/>
              <w:jc w:val="center"/>
              <w:rPr>
                <w:sz w:val="20"/>
                <w:szCs w:val="20"/>
              </w:rPr>
            </w:pPr>
            <w:r w:rsidRPr="00374339">
              <w:rPr>
                <w:sz w:val="20"/>
                <w:szCs w:val="20"/>
              </w:rPr>
              <w:t>15,451</w:t>
            </w:r>
          </w:p>
        </w:tc>
      </w:tr>
      <w:tr w:rsidRPr="00292878" w:rsidR="00374339" w:rsidTr="00FD19D7" w14:paraId="02276BE8" w14:textId="77777777">
        <w:trPr>
          <w:trHeight w:val="980"/>
          <w:jc w:val="center"/>
        </w:trPr>
        <w:tc>
          <w:tcPr>
            <w:tcW w:w="4155" w:type="dxa"/>
            <w:shd w:val="clear" w:color="auto" w:fill="auto"/>
            <w:hideMark/>
          </w:tcPr>
          <w:p w:rsidRPr="00374339" w:rsidR="00374339" w:rsidP="00374339" w:rsidRDefault="00374339" w14:paraId="105AF79C" w14:textId="1C574DF7">
            <w:pPr>
              <w:keepNext/>
              <w:spacing w:after="0"/>
              <w:rPr>
                <w:sz w:val="20"/>
                <w:szCs w:val="20"/>
              </w:rPr>
            </w:pPr>
            <w:r w:rsidRPr="00374339">
              <w:rPr>
                <w:sz w:val="20"/>
                <w:szCs w:val="20"/>
              </w:rPr>
              <w:t>*Number of groups to collect data by collection type on behalf of clinicians in 2019 MIPS performance period (b)</w:t>
            </w:r>
          </w:p>
        </w:tc>
        <w:tc>
          <w:tcPr>
            <w:tcW w:w="816" w:type="dxa"/>
            <w:shd w:val="clear" w:color="auto" w:fill="auto"/>
            <w:noWrap/>
            <w:hideMark/>
          </w:tcPr>
          <w:p w:rsidRPr="00374339" w:rsidR="00374339" w:rsidP="00374339" w:rsidRDefault="00374339" w14:paraId="0CD9CF60" w14:textId="070B77E7">
            <w:pPr>
              <w:keepNext/>
              <w:spacing w:after="0"/>
              <w:jc w:val="center"/>
              <w:rPr>
                <w:sz w:val="20"/>
                <w:szCs w:val="20"/>
              </w:rPr>
            </w:pPr>
            <w:r w:rsidRPr="00374339">
              <w:rPr>
                <w:sz w:val="20"/>
                <w:szCs w:val="20"/>
              </w:rPr>
              <w:t>0</w:t>
            </w:r>
          </w:p>
        </w:tc>
        <w:tc>
          <w:tcPr>
            <w:tcW w:w="1361" w:type="dxa"/>
            <w:shd w:val="clear" w:color="auto" w:fill="auto"/>
            <w:noWrap/>
            <w:hideMark/>
          </w:tcPr>
          <w:p w:rsidRPr="00374339" w:rsidR="00374339" w:rsidP="00374339" w:rsidRDefault="00374339" w14:paraId="1AF55617" w14:textId="46848F03">
            <w:pPr>
              <w:keepNext/>
              <w:spacing w:after="0"/>
              <w:jc w:val="center"/>
              <w:rPr>
                <w:sz w:val="20"/>
                <w:szCs w:val="20"/>
              </w:rPr>
            </w:pPr>
            <w:r w:rsidRPr="00374339">
              <w:rPr>
                <w:sz w:val="20"/>
                <w:szCs w:val="20"/>
              </w:rPr>
              <w:t>10,542</w:t>
            </w:r>
          </w:p>
        </w:tc>
        <w:tc>
          <w:tcPr>
            <w:tcW w:w="905" w:type="dxa"/>
            <w:shd w:val="clear" w:color="auto" w:fill="auto"/>
            <w:noWrap/>
            <w:hideMark/>
          </w:tcPr>
          <w:p w:rsidRPr="00374339" w:rsidR="00374339" w:rsidP="00374339" w:rsidRDefault="00374339" w14:paraId="50F47D62" w14:textId="5786A184">
            <w:pPr>
              <w:keepNext/>
              <w:spacing w:after="0"/>
              <w:jc w:val="center"/>
              <w:rPr>
                <w:sz w:val="20"/>
                <w:szCs w:val="20"/>
              </w:rPr>
            </w:pPr>
            <w:r w:rsidRPr="00374339">
              <w:rPr>
                <w:sz w:val="20"/>
                <w:szCs w:val="20"/>
              </w:rPr>
              <w:t>4,304</w:t>
            </w:r>
          </w:p>
        </w:tc>
        <w:tc>
          <w:tcPr>
            <w:tcW w:w="1165" w:type="dxa"/>
            <w:shd w:val="clear" w:color="auto" w:fill="auto"/>
            <w:noWrap/>
            <w:hideMark/>
          </w:tcPr>
          <w:p w:rsidRPr="00374339" w:rsidR="00374339" w:rsidP="00374339" w:rsidRDefault="00374339" w14:paraId="4E7AE7F3" w14:textId="0CB929AF">
            <w:pPr>
              <w:keepNext/>
              <w:spacing w:after="0"/>
              <w:jc w:val="center"/>
              <w:rPr>
                <w:sz w:val="20"/>
                <w:szCs w:val="20"/>
              </w:rPr>
            </w:pPr>
            <w:r w:rsidRPr="00374339">
              <w:rPr>
                <w:sz w:val="20"/>
                <w:szCs w:val="20"/>
              </w:rPr>
              <w:t>286</w:t>
            </w:r>
          </w:p>
        </w:tc>
        <w:tc>
          <w:tcPr>
            <w:tcW w:w="948" w:type="dxa"/>
          </w:tcPr>
          <w:p w:rsidRPr="00374339" w:rsidR="00374339" w:rsidP="00374339" w:rsidRDefault="00374339" w14:paraId="5C213CD4" w14:textId="0A8AC5EB">
            <w:pPr>
              <w:keepNext/>
              <w:spacing w:after="0"/>
              <w:jc w:val="center"/>
              <w:rPr>
                <w:sz w:val="20"/>
                <w:szCs w:val="20"/>
              </w:rPr>
            </w:pPr>
            <w:r w:rsidRPr="00374339">
              <w:rPr>
                <w:sz w:val="20"/>
                <w:szCs w:val="20"/>
              </w:rPr>
              <w:t>15,132</w:t>
            </w:r>
          </w:p>
        </w:tc>
      </w:tr>
      <w:tr w:rsidRPr="00292878" w:rsidR="00374339" w:rsidTr="00FD19D7" w14:paraId="3F662172" w14:textId="77777777">
        <w:trPr>
          <w:trHeight w:val="710"/>
          <w:jc w:val="center"/>
        </w:trPr>
        <w:tc>
          <w:tcPr>
            <w:tcW w:w="4155" w:type="dxa"/>
            <w:shd w:val="clear" w:color="auto" w:fill="auto"/>
            <w:hideMark/>
          </w:tcPr>
          <w:p w:rsidRPr="00374339" w:rsidR="00374339" w:rsidP="00374339" w:rsidRDefault="00374339" w14:paraId="3D63636C" w14:textId="4FD08D52">
            <w:pPr>
              <w:keepNext/>
              <w:spacing w:after="0"/>
              <w:rPr>
                <w:sz w:val="20"/>
                <w:szCs w:val="20"/>
              </w:rPr>
            </w:pPr>
            <w:r w:rsidRPr="00374339">
              <w:rPr>
                <w:sz w:val="20"/>
                <w:szCs w:val="20"/>
              </w:rPr>
              <w:t>Difference (c)=(a)-(b)</w:t>
            </w:r>
          </w:p>
        </w:tc>
        <w:tc>
          <w:tcPr>
            <w:tcW w:w="816" w:type="dxa"/>
            <w:shd w:val="clear" w:color="auto" w:fill="auto"/>
            <w:noWrap/>
            <w:hideMark/>
          </w:tcPr>
          <w:p w:rsidRPr="00374339" w:rsidR="00374339" w:rsidP="00374339" w:rsidRDefault="00374339" w14:paraId="28E9EC4C" w14:textId="03BDC4C2">
            <w:pPr>
              <w:keepNext/>
              <w:spacing w:after="0"/>
              <w:jc w:val="center"/>
              <w:rPr>
                <w:sz w:val="20"/>
                <w:szCs w:val="20"/>
              </w:rPr>
            </w:pPr>
            <w:r w:rsidRPr="00374339">
              <w:rPr>
                <w:sz w:val="20"/>
                <w:szCs w:val="20"/>
              </w:rPr>
              <w:t>0</w:t>
            </w:r>
          </w:p>
        </w:tc>
        <w:tc>
          <w:tcPr>
            <w:tcW w:w="1361" w:type="dxa"/>
            <w:shd w:val="clear" w:color="auto" w:fill="auto"/>
            <w:noWrap/>
            <w:hideMark/>
          </w:tcPr>
          <w:p w:rsidRPr="00374339" w:rsidR="00374339" w:rsidP="00374339" w:rsidRDefault="00374339" w14:paraId="311AE3B8" w14:textId="74FDD867">
            <w:pPr>
              <w:keepNext/>
              <w:spacing w:after="0"/>
              <w:jc w:val="center"/>
              <w:rPr>
                <w:sz w:val="20"/>
                <w:szCs w:val="20"/>
              </w:rPr>
            </w:pPr>
            <w:r w:rsidRPr="00374339">
              <w:rPr>
                <w:sz w:val="20"/>
                <w:szCs w:val="20"/>
              </w:rPr>
              <w:t>+407</w:t>
            </w:r>
          </w:p>
        </w:tc>
        <w:tc>
          <w:tcPr>
            <w:tcW w:w="905" w:type="dxa"/>
            <w:shd w:val="clear" w:color="auto" w:fill="auto"/>
            <w:noWrap/>
            <w:hideMark/>
          </w:tcPr>
          <w:p w:rsidRPr="00374339" w:rsidR="00374339" w:rsidP="00374339" w:rsidRDefault="00374339" w14:paraId="6F9EE7F3" w14:textId="14C89DD4">
            <w:pPr>
              <w:keepNext/>
              <w:spacing w:after="0"/>
              <w:jc w:val="center"/>
              <w:rPr>
                <w:sz w:val="20"/>
                <w:szCs w:val="20"/>
              </w:rPr>
            </w:pPr>
            <w:r w:rsidRPr="00374339">
              <w:rPr>
                <w:sz w:val="20"/>
                <w:szCs w:val="20"/>
              </w:rPr>
              <w:t>+94</w:t>
            </w:r>
          </w:p>
        </w:tc>
        <w:tc>
          <w:tcPr>
            <w:tcW w:w="1165" w:type="dxa"/>
            <w:shd w:val="clear" w:color="auto" w:fill="auto"/>
            <w:noWrap/>
            <w:hideMark/>
          </w:tcPr>
          <w:p w:rsidRPr="00374339" w:rsidR="00374339" w:rsidP="00374339" w:rsidRDefault="00374339" w14:paraId="3E355AE0" w14:textId="28800289">
            <w:pPr>
              <w:keepNext/>
              <w:spacing w:after="0"/>
              <w:jc w:val="center"/>
              <w:rPr>
                <w:sz w:val="20"/>
                <w:szCs w:val="20"/>
              </w:rPr>
            </w:pPr>
            <w:r w:rsidRPr="00374339">
              <w:rPr>
                <w:sz w:val="20"/>
                <w:szCs w:val="20"/>
              </w:rPr>
              <w:t>-182</w:t>
            </w:r>
          </w:p>
        </w:tc>
        <w:tc>
          <w:tcPr>
            <w:tcW w:w="948" w:type="dxa"/>
          </w:tcPr>
          <w:p w:rsidRPr="00374339" w:rsidR="00374339" w:rsidP="00374339" w:rsidRDefault="00127A77" w14:paraId="1FEC181F" w14:textId="787F89CF">
            <w:pPr>
              <w:keepNext/>
              <w:spacing w:after="0"/>
              <w:jc w:val="center"/>
              <w:rPr>
                <w:sz w:val="20"/>
                <w:szCs w:val="20"/>
              </w:rPr>
            </w:pPr>
            <w:r>
              <w:rPr>
                <w:sz w:val="20"/>
                <w:szCs w:val="20"/>
              </w:rPr>
              <w:t>+</w:t>
            </w:r>
            <w:r w:rsidRPr="00374339" w:rsidR="00374339">
              <w:rPr>
                <w:sz w:val="20"/>
                <w:szCs w:val="20"/>
              </w:rPr>
              <w:t>319</w:t>
            </w:r>
          </w:p>
        </w:tc>
      </w:tr>
    </w:tbl>
    <w:p w:rsidR="009064EF" w:rsidP="002A73A9" w:rsidRDefault="009064EF" w14:paraId="11EB76CD" w14:textId="77777777">
      <w:pPr>
        <w:jc w:val="both"/>
        <w:rPr>
          <w:sz w:val="20"/>
        </w:rPr>
      </w:pPr>
    </w:p>
    <w:p w:rsidRPr="003428D4" w:rsidR="00FD19D7" w:rsidP="00730BEF" w:rsidRDefault="007116FC" w14:paraId="66171B01" w14:textId="6A345D07">
      <w:pPr>
        <w:rPr>
          <w:rFonts w:eastAsia="Calibri"/>
        </w:rPr>
      </w:pPr>
      <w:r w:rsidRPr="007116FC">
        <w:rPr>
          <w:rFonts w:eastAsia="Calibri"/>
        </w:rPr>
        <w:t xml:space="preserve">The burden associated with the submission of quality performance category data have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w:t>
      </w:r>
      <w:r w:rsidR="00F853E2">
        <w:rPr>
          <w:rFonts w:eastAsia="Calibri"/>
        </w:rPr>
        <w:t>/</w:t>
      </w:r>
      <w:r w:rsidRPr="007116FC">
        <w:rPr>
          <w:rFonts w:eastAsia="Calibri"/>
        </w:rPr>
        <w:t>clinicians submitting via the eCQM collection types may have quality measures automated as part of their EHR implementation</w:t>
      </w:r>
      <w:r w:rsidR="00FD19D7">
        <w:rPr>
          <w:rFonts w:eastAsia="Calibri"/>
        </w:rPr>
        <w:t>.</w:t>
      </w:r>
    </w:p>
    <w:p w:rsidRPr="00BC6589" w:rsidR="00BC6589" w:rsidRDefault="00AD36DE" w14:paraId="2D809C92" w14:textId="6F5E24EB">
      <w:pPr>
        <w:rPr>
          <w:rFonts w:eastAsia="Calibri"/>
        </w:rPr>
      </w:pPr>
      <w:r w:rsidRPr="00AD36DE">
        <w:rPr>
          <w:rFonts w:eastAsia="Calibri"/>
        </w:rPr>
        <w:t xml:space="preserve">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  </w:t>
      </w:r>
    </w:p>
    <w:p w:rsidR="00FD19D7" w:rsidP="00730BEF" w:rsidRDefault="00390704" w14:paraId="43CEF674" w14:textId="74E27634">
      <w:pPr>
        <w:rPr>
          <w:rFonts w:eastAsia="Calibri"/>
          <w:u w:val="single"/>
        </w:rPr>
      </w:pPr>
      <w:r w:rsidRPr="00390704">
        <w:rPr>
          <w:rFonts w:eastAsia="Calibri"/>
        </w:rPr>
        <w:t>As discussed in section III.K.3.c.(1)(c)(ii) of th</w:t>
      </w:r>
      <w:r>
        <w:rPr>
          <w:rFonts w:eastAsia="Calibri"/>
        </w:rPr>
        <w:t>e CY 2020 PFS final</w:t>
      </w:r>
      <w:r w:rsidRPr="00390704">
        <w:rPr>
          <w:rFonts w:eastAsia="Calibri"/>
        </w:rPr>
        <w:t xml:space="preserve"> rule, we </w:t>
      </w:r>
      <w:r>
        <w:rPr>
          <w:rFonts w:eastAsia="Calibri"/>
        </w:rPr>
        <w:t>finaliz</w:t>
      </w:r>
      <w:r w:rsidRPr="00390704">
        <w:rPr>
          <w:rFonts w:eastAsia="Calibri"/>
        </w:rPr>
        <w:t xml:space="preserve">ed to adopt a higher data completeness threshold (the percentage of eligible patients the clinician must check to see whether the measure applies to) for the 2020 MIPS performance period, such that MIPS eligible clinicians and groups submitting quality measure data on </w:t>
      </w:r>
      <w:r w:rsidR="004E1925">
        <w:rPr>
          <w:rFonts w:eastAsia="Calibri"/>
        </w:rPr>
        <w:t xml:space="preserve">Medicare Part B claims, </w:t>
      </w:r>
      <w:r w:rsidRPr="00390704">
        <w:rPr>
          <w:rFonts w:eastAsia="Calibri"/>
        </w:rPr>
        <w:t xml:space="preserve">QCDR measures, MIPS CQMs, and eCQMs must submit data on at least 70 percent of the MIPS eligible clinician or group’s patients that meet the denominator criteria, regardless of payer for the 2020 MIPS performance period.  We believe this </w:t>
      </w:r>
      <w:r w:rsidR="00F16BDB">
        <w:rPr>
          <w:rFonts w:eastAsia="Calibri"/>
        </w:rPr>
        <w:t>requirement</w:t>
      </w:r>
      <w:r w:rsidRPr="00390704" w:rsidR="00F16BDB">
        <w:rPr>
          <w:rFonts w:eastAsia="Calibri"/>
        </w:rPr>
        <w:t xml:space="preserve"> </w:t>
      </w:r>
      <w:r w:rsidRPr="00390704">
        <w:rPr>
          <w:rFonts w:eastAsia="Calibri"/>
        </w:rPr>
        <w:t>may increase administrative burden for some clinicians as it affects the amount of data they have to collect, but will have no impact on regulatory burden as it affects neither the number of quality measures they are required to report nor the amount of data they must report for each quality measure once results have been aggregated</w:t>
      </w:r>
      <w:r w:rsidR="0000068E">
        <w:rPr>
          <w:rFonts w:eastAsia="Calibri"/>
        </w:rPr>
        <w:t>.</w:t>
      </w:r>
    </w:p>
    <w:p w:rsidRPr="00B05B18" w:rsidR="00FD19D7" w:rsidP="00C351ED" w:rsidRDefault="00FD19D7" w14:paraId="7F9A24FB" w14:textId="77777777">
      <w:pPr>
        <w:ind w:firstLine="720"/>
      </w:pPr>
    </w:p>
    <w:p w:rsidR="00C351ED" w:rsidP="0095356F" w:rsidRDefault="00C351ED" w14:paraId="5B46B5A8" w14:textId="15287763">
      <w:pPr>
        <w:pStyle w:val="Heading4"/>
        <w:numPr>
          <w:ilvl w:val="0"/>
          <w:numId w:val="33"/>
        </w:numPr>
      </w:pPr>
      <w:r>
        <w:t xml:space="preserve">Burden </w:t>
      </w:r>
      <w:r w:rsidRPr="00B05B18">
        <w:t xml:space="preserve">for </w:t>
      </w:r>
      <w:r w:rsidR="006B4818">
        <w:t>Quality Payment Program Identity Management Application Process</w:t>
      </w:r>
    </w:p>
    <w:p w:rsidRPr="006B22A9" w:rsidR="006B22A9" w:rsidP="006B22A9" w:rsidRDefault="006B22A9" w14:paraId="12E32A07" w14:textId="77777777"/>
    <w:p w:rsidR="00FD19D7" w:rsidP="00730BEF" w:rsidRDefault="00FD19D7" w14:paraId="353B1117" w14:textId="2EDD9790">
      <w:pPr>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6B4818" w14:paraId="12E1517F" w14:textId="060C2DBB">
      <w:r w:rsidRPr="006B4818">
        <w:t xml:space="preserve">Based on </w:t>
      </w:r>
      <w:r w:rsidR="0025296A">
        <w:t xml:space="preserve">our assumption that </w:t>
      </w:r>
      <w:r w:rsidR="00FC5C99">
        <w:t xml:space="preserve">the number of </w:t>
      </w:r>
      <w:r w:rsidRPr="006B4818">
        <w:t xml:space="preserve">eligible clinicians, groups, or third-parties </w:t>
      </w:r>
      <w:r w:rsidR="00FC5C99">
        <w:t xml:space="preserve">that </w:t>
      </w:r>
      <w:r w:rsidRPr="006B4818">
        <w:t xml:space="preserve">will register for new accounts </w:t>
      </w:r>
      <w:r w:rsidR="00FC5C99">
        <w:t>will not change substantially from</w:t>
      </w:r>
      <w:r w:rsidRPr="006B4818">
        <w:t xml:space="preserve"> the 2019 MIPS performance</w:t>
      </w:r>
      <w:r w:rsidR="00FD19D7">
        <w:t xml:space="preserve"> period</w:t>
      </w:r>
      <w:r w:rsidR="00FC5C99">
        <w:t xml:space="preserve">, our estimate </w:t>
      </w:r>
      <w:r w:rsidR="00AA4D3F">
        <w:t>of 3,741 new TINs remains unchanged</w:t>
      </w:r>
      <w:r w:rsidR="00FD19D7">
        <w:t>.  As shown in Table 9</w:t>
      </w:r>
      <w:r w:rsidRPr="006B4818">
        <w:t xml:space="preserve"> it would take 1 hour at $</w:t>
      </w:r>
      <w:r w:rsidR="004B6DDE">
        <w:t>90.02</w:t>
      </w:r>
      <w:r w:rsidRPr="006B4818">
        <w:t xml:space="preserve">/hr for a computer systems analyst (or their equivalent) to obtain an account for the </w:t>
      </w:r>
      <w:r w:rsidR="004E1925">
        <w:t>HARP system</w:t>
      </w:r>
      <w:r w:rsidRPr="006B4818">
        <w:t>.  In aggregate we estimate an annual burden of 3,741 hours (3,741 registrations x 1 hr/registration) at a cost of $33</w:t>
      </w:r>
      <w:r w:rsidR="004B6DDE">
        <w:t>6,765</w:t>
      </w:r>
      <w:r w:rsidRPr="006B4818">
        <w:t xml:space="preserve"> (3,741 hr x $</w:t>
      </w:r>
      <w:r w:rsidR="004B6DDE">
        <w:t>90.02</w:t>
      </w:r>
      <w:r w:rsidRPr="006B4818">
        <w:t>/hr) or $</w:t>
      </w:r>
      <w:r w:rsidR="004B6DDE">
        <w:t>90.02</w:t>
      </w:r>
      <w:r w:rsidRPr="006B4818">
        <w:t xml:space="preserve"> per registration.</w:t>
      </w:r>
      <w:r w:rsidR="00C351ED">
        <w:t xml:space="preserve"> </w:t>
      </w:r>
    </w:p>
    <w:p w:rsidRPr="00732012" w:rsidR="00C351ED" w:rsidP="006B4818" w:rsidRDefault="00C351ED" w14:paraId="48EC091E" w14:textId="7EB4223D">
      <w:pPr>
        <w:spacing w:after="0"/>
        <w:jc w:val="center"/>
        <w:rPr>
          <w:b/>
          <w:bCs/>
        </w:rPr>
      </w:pPr>
      <w:r w:rsidRPr="00C47150">
        <w:rPr>
          <w:b/>
          <w:bCs/>
        </w:rPr>
        <w:t xml:space="preserve">TABLE </w:t>
      </w:r>
      <w:r w:rsidR="00FD19D7">
        <w:rPr>
          <w:b/>
          <w:bCs/>
        </w:rPr>
        <w:t>9</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C351ED" w14:paraId="3A9F9226" w14:textId="77777777">
        <w:trPr>
          <w:trHeight w:val="315"/>
        </w:trPr>
        <w:tc>
          <w:tcPr>
            <w:tcW w:w="8597" w:type="dxa"/>
            <w:shd w:val="clear" w:color="auto" w:fill="auto"/>
            <w:vAlign w:val="center"/>
            <w:hideMark/>
          </w:tcPr>
          <w:p w:rsidRPr="00C351ED" w:rsidR="00C351ED" w:rsidP="00C351ED" w:rsidRDefault="00C351ED" w14:paraId="2226A6BB" w14:textId="6889A0D7">
            <w:pPr>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C351ED" w:rsidRDefault="00C351ED" w14:paraId="3FD71DD0" w14:textId="77777777">
            <w:pPr>
              <w:spacing w:after="0"/>
              <w:jc w:val="center"/>
              <w:rPr>
                <w:b/>
                <w:bCs/>
                <w:sz w:val="20"/>
                <w:szCs w:val="20"/>
              </w:rPr>
            </w:pPr>
            <w:r w:rsidRPr="00732012">
              <w:rPr>
                <w:b/>
                <w:bCs/>
                <w:sz w:val="20"/>
                <w:szCs w:val="20"/>
              </w:rPr>
              <w:t>Burden Estimate</w:t>
            </w:r>
          </w:p>
        </w:tc>
      </w:tr>
      <w:tr w:rsidRPr="00732012" w:rsidR="00C351ED" w:rsidTr="00C351ED" w14:paraId="7A5825BF" w14:textId="77777777">
        <w:trPr>
          <w:trHeight w:val="188"/>
        </w:trPr>
        <w:tc>
          <w:tcPr>
            <w:tcW w:w="8597" w:type="dxa"/>
            <w:shd w:val="clear" w:color="auto" w:fill="auto"/>
            <w:hideMark/>
          </w:tcPr>
          <w:p w:rsidRPr="00732012" w:rsidR="00C351ED" w:rsidP="00C351ED" w:rsidRDefault="00C351ED" w14:paraId="16B690A0" w14:textId="70EA2AE6">
            <w:pPr>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C351ED" w:rsidRDefault="00C351ED" w14:paraId="74D71546" w14:textId="77777777">
            <w:pPr>
              <w:spacing w:after="0"/>
              <w:rPr>
                <w:sz w:val="20"/>
                <w:szCs w:val="20"/>
              </w:rPr>
            </w:pPr>
            <w:r w:rsidRPr="00732012">
              <w:rPr>
                <w:sz w:val="20"/>
                <w:szCs w:val="20"/>
              </w:rPr>
              <w:t>3,741</w:t>
            </w:r>
          </w:p>
        </w:tc>
      </w:tr>
      <w:tr w:rsidRPr="00732012" w:rsidR="00C351ED" w:rsidTr="00C351ED" w14:paraId="7F3BDBAD" w14:textId="77777777">
        <w:trPr>
          <w:trHeight w:val="215"/>
        </w:trPr>
        <w:tc>
          <w:tcPr>
            <w:tcW w:w="8597" w:type="dxa"/>
            <w:shd w:val="clear" w:color="auto" w:fill="auto"/>
            <w:hideMark/>
          </w:tcPr>
          <w:p w:rsidRPr="00732012" w:rsidR="00C351ED" w:rsidP="00C351ED" w:rsidRDefault="006B4818" w14:paraId="22AD1264" w14:textId="3E35EA56">
            <w:pPr>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C351ED" w:rsidRDefault="00C351ED" w14:paraId="64A73F7F" w14:textId="77777777">
            <w:pPr>
              <w:spacing w:after="0"/>
              <w:rPr>
                <w:sz w:val="20"/>
                <w:szCs w:val="20"/>
              </w:rPr>
            </w:pPr>
            <w:r w:rsidRPr="00732012">
              <w:rPr>
                <w:sz w:val="20"/>
                <w:szCs w:val="20"/>
              </w:rPr>
              <w:t>1</w:t>
            </w:r>
          </w:p>
        </w:tc>
      </w:tr>
      <w:tr w:rsidRPr="00732012" w:rsidR="00C351ED" w:rsidTr="00C351ED" w14:paraId="7D9F31CA" w14:textId="77777777">
        <w:trPr>
          <w:trHeight w:val="260"/>
        </w:trPr>
        <w:tc>
          <w:tcPr>
            <w:tcW w:w="8597" w:type="dxa"/>
            <w:shd w:val="clear" w:color="auto" w:fill="D9D9D9" w:themeFill="background1" w:themeFillShade="D9"/>
            <w:hideMark/>
          </w:tcPr>
          <w:p w:rsidRPr="00732012" w:rsidR="00C351ED" w:rsidP="00C351ED" w:rsidRDefault="006B4818" w14:paraId="3667754F" w14:textId="6E92F186">
            <w:pPr>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rsidRPr="00732012" w:rsidR="00C351ED" w:rsidP="00C351ED" w:rsidRDefault="00C351ED" w14:paraId="3A0C1C1C" w14:textId="77777777">
            <w:pPr>
              <w:spacing w:after="0"/>
              <w:rPr>
                <w:sz w:val="20"/>
                <w:szCs w:val="20"/>
              </w:rPr>
            </w:pPr>
            <w:r w:rsidRPr="00732012">
              <w:rPr>
                <w:sz w:val="20"/>
                <w:szCs w:val="20"/>
              </w:rPr>
              <w:t>3.741</w:t>
            </w:r>
          </w:p>
        </w:tc>
      </w:tr>
      <w:tr w:rsidRPr="00732012" w:rsidR="00C351ED" w:rsidTr="00C351ED" w14:paraId="6AC98AB3" w14:textId="77777777">
        <w:trPr>
          <w:trHeight w:val="314"/>
        </w:trPr>
        <w:tc>
          <w:tcPr>
            <w:tcW w:w="8597" w:type="dxa"/>
            <w:shd w:val="clear" w:color="auto" w:fill="auto"/>
            <w:hideMark/>
          </w:tcPr>
          <w:p w:rsidRPr="00732012" w:rsidR="00C351ED" w:rsidP="00C351ED" w:rsidRDefault="00C351ED" w14:paraId="5F46077F" w14:textId="476F17DF">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$89.18/hr.) (d)</w:t>
            </w:r>
          </w:p>
        </w:tc>
        <w:tc>
          <w:tcPr>
            <w:tcW w:w="1123" w:type="dxa"/>
            <w:shd w:val="clear" w:color="auto" w:fill="auto"/>
            <w:hideMark/>
          </w:tcPr>
          <w:p w:rsidRPr="00732012" w:rsidR="00C351ED" w:rsidP="00C351ED" w:rsidRDefault="00C351ED" w14:paraId="1C9A6962" w14:textId="25B26E3C">
            <w:pPr>
              <w:spacing w:after="0"/>
              <w:rPr>
                <w:sz w:val="20"/>
                <w:szCs w:val="20"/>
              </w:rPr>
            </w:pPr>
            <w:r w:rsidRPr="00732012">
              <w:rPr>
                <w:sz w:val="20"/>
                <w:szCs w:val="20"/>
              </w:rPr>
              <w:t>$</w:t>
            </w:r>
            <w:r w:rsidR="0091252A">
              <w:rPr>
                <w:sz w:val="20"/>
                <w:szCs w:val="20"/>
              </w:rPr>
              <w:t>90.02</w:t>
            </w:r>
          </w:p>
        </w:tc>
      </w:tr>
      <w:tr w:rsidRPr="00732012" w:rsidR="00C351ED" w:rsidTr="00C351ED" w14:paraId="6A5A5AF5" w14:textId="77777777">
        <w:trPr>
          <w:trHeight w:val="242"/>
        </w:trPr>
        <w:tc>
          <w:tcPr>
            <w:tcW w:w="8597" w:type="dxa"/>
            <w:shd w:val="clear" w:color="auto" w:fill="D9D9D9" w:themeFill="background1" w:themeFillShade="D9"/>
            <w:hideMark/>
          </w:tcPr>
          <w:p w:rsidRPr="00732012" w:rsidR="00C351ED" w:rsidP="00C351ED" w:rsidRDefault="00C351ED" w14:paraId="50DAD469" w14:textId="0042BBE6">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Pr="001B7241" w:rsidR="006B4818">
              <w:rPr>
                <w:sz w:val="20"/>
                <w:szCs w:val="20"/>
              </w:rPr>
              <w:t xml:space="preserve"> </w:t>
            </w:r>
            <w:r w:rsidRPr="00732012">
              <w:rPr>
                <w:sz w:val="20"/>
                <w:szCs w:val="20"/>
              </w:rPr>
              <w:t>(e) = (a)*(d)</w:t>
            </w:r>
          </w:p>
        </w:tc>
        <w:tc>
          <w:tcPr>
            <w:tcW w:w="1123" w:type="dxa"/>
            <w:shd w:val="clear" w:color="auto" w:fill="D9D9D9" w:themeFill="background1" w:themeFillShade="D9"/>
            <w:hideMark/>
          </w:tcPr>
          <w:p w:rsidRPr="00732012" w:rsidR="00C351ED" w:rsidP="00C351ED" w:rsidRDefault="00C351ED" w14:paraId="7613A2D2" w14:textId="3571713A">
            <w:pPr>
              <w:spacing w:after="0"/>
              <w:rPr>
                <w:sz w:val="20"/>
                <w:szCs w:val="20"/>
              </w:rPr>
            </w:pPr>
            <w:r w:rsidRPr="00732012">
              <w:rPr>
                <w:sz w:val="20"/>
                <w:szCs w:val="20"/>
              </w:rPr>
              <w:t>$33</w:t>
            </w:r>
            <w:r w:rsidR="004B6DDE">
              <w:rPr>
                <w:sz w:val="20"/>
                <w:szCs w:val="20"/>
              </w:rPr>
              <w:t>6</w:t>
            </w:r>
            <w:r w:rsidRPr="00732012">
              <w:rPr>
                <w:sz w:val="20"/>
                <w:szCs w:val="20"/>
              </w:rPr>
              <w:t>,</w:t>
            </w:r>
            <w:r w:rsidR="004B6DDE">
              <w:rPr>
                <w:sz w:val="20"/>
                <w:szCs w:val="20"/>
              </w:rPr>
              <w:t>765</w:t>
            </w:r>
          </w:p>
        </w:tc>
      </w:tr>
    </w:tbl>
    <w:p w:rsidR="00C351ED" w:rsidP="00C351ED" w:rsidRDefault="00C351ED" w14:paraId="6E9AA822" w14:textId="7EEA43D2">
      <w:pPr>
        <w:ind w:firstLine="720"/>
      </w:pPr>
    </w:p>
    <w:p w:rsidRPr="00C351ED" w:rsidR="00C351ED" w:rsidP="0095356F" w:rsidRDefault="00C351ED" w14:paraId="15B9103F" w14:textId="7BF766B7">
      <w:pPr>
        <w:pStyle w:val="Heading4"/>
        <w:numPr>
          <w:ilvl w:val="0"/>
          <w:numId w:val="33"/>
        </w:numPr>
      </w:pPr>
      <w:r>
        <w:t xml:space="preserve">Burden </w:t>
      </w:r>
      <w:r w:rsidRPr="00B05B18">
        <w:t xml:space="preserve">for </w:t>
      </w:r>
      <w:r>
        <w:t xml:space="preserve">Quality Data Submission by Clinicians: </w:t>
      </w:r>
      <w:r w:rsidR="00925739">
        <w:t xml:space="preserve">Medicare Part B </w:t>
      </w:r>
      <w:r>
        <w:t>Claims-Based Collection Type</w:t>
      </w:r>
    </w:p>
    <w:p w:rsidR="00C351ED" w:rsidP="00C351ED" w:rsidRDefault="00C351ED" w14:paraId="028821FD" w14:textId="77777777">
      <w:pPr>
        <w:ind w:firstLine="720"/>
      </w:pPr>
    </w:p>
    <w:p w:rsidRPr="00942FC4" w:rsidR="00942FC4" w:rsidP="00730BEF" w:rsidRDefault="00942FC4" w14:paraId="3210B6B5" w14:textId="68942B60">
      <w:pPr>
        <w:rPr>
          <w:rFonts w:eastAsia="Calibri"/>
        </w:rPr>
      </w:pPr>
      <w:r w:rsidRPr="00942FC4">
        <w:rPr>
          <w:rFonts w:eastAsia="Calibri"/>
        </w:rPr>
        <w:t xml:space="preserve">As noted in Table 5, </w:t>
      </w:r>
      <w:r w:rsidRPr="001B6F36" w:rsidR="001B6F36">
        <w:rPr>
          <w:rFonts w:eastAsia="Calibri"/>
        </w:rPr>
        <w:t>based on 2018 MIPS performance period data, we assume that 94,846 individual clinicians will collect and submit quality data via the Medicare Part B claims collection type.  Th</w:t>
      </w:r>
      <w:r w:rsidR="001B6F36">
        <w:rPr>
          <w:rFonts w:eastAsia="Calibri"/>
        </w:rPr>
        <w:t>e CY 2020 PFS final</w:t>
      </w:r>
      <w:r w:rsidRPr="001B6F36" w:rsidR="001B6F36">
        <w:rPr>
          <w:rFonts w:eastAsia="Calibri"/>
        </w:rPr>
        <w:t xml:space="preserve"> rule </w:t>
      </w:r>
      <w:r w:rsidR="001B6F36">
        <w:rPr>
          <w:rFonts w:eastAsia="Calibri"/>
        </w:rPr>
        <w:t>finalized</w:t>
      </w:r>
      <w:r w:rsidRPr="001B6F36" w:rsidR="001B6F36">
        <w:rPr>
          <w:rFonts w:eastAsia="Calibri"/>
        </w:rPr>
        <w:t xml:space="preserve"> to adjust the number of Medicare Part B claims respondents from 257,260 to 94,846 (a decrease of 162,414) based on more recent data and our updated methodology of accounting only for clinicians in small practices who submitted such claims data in the 2018 MIPS performance period rather than all clinicians who submitted quality data codes to us for the Medicare Part B claims collection type.  We continue to anticipate that the Medicare Part B claims submission process for MIPS is operationally similar to the way the claims submission process functioned under the PQRS.  Specifically, clinicians will need to gather the required information, select the appropriate QDCs, and include the appropriate QDCs on the Medicare Part B claims they submit for payment.  Clinicians will collect QDCs as additional (optional) line items on the CMS-1500 claim form or the electronic equivalent HIPAA transaction 837-P, approved by OMB under control number 0938-1197.  Th</w:t>
      </w:r>
      <w:r w:rsidR="001B6F36">
        <w:rPr>
          <w:rFonts w:eastAsia="Calibri"/>
        </w:rPr>
        <w:t>e CY 2020 PFS</w:t>
      </w:r>
      <w:r w:rsidRPr="001B6F36" w:rsidR="001B6F36">
        <w:rPr>
          <w:rFonts w:eastAsia="Calibri"/>
        </w:rPr>
        <w:t xml:space="preserve"> final rule’s provisions do not necessitate the revision of either form and we made no changes to the associated estimate of reporting burden</w:t>
      </w:r>
      <w:r w:rsidR="001B6F36">
        <w:rPr>
          <w:rFonts w:eastAsia="Calibri"/>
        </w:rPr>
        <w:t>.</w:t>
      </w:r>
    </w:p>
    <w:p w:rsidRPr="00942FC4" w:rsidR="00942FC4" w:rsidP="00730BEF" w:rsidRDefault="00942FC4" w14:paraId="5386FD25" w14:textId="1C431E2D">
      <w:pPr>
        <w:rPr>
          <w:rFonts w:eastAsia="Calibri"/>
        </w:rPr>
      </w:pPr>
      <w:r w:rsidRPr="00942FC4">
        <w:rPr>
          <w:rFonts w:eastAsia="Calibri"/>
        </w:rPr>
        <w:t xml:space="preserve">As shown in Table </w:t>
      </w:r>
      <w:r>
        <w:rPr>
          <w:rFonts w:eastAsia="Calibri"/>
        </w:rPr>
        <w:t>10</w:t>
      </w:r>
      <w:r w:rsidRPr="00942FC4">
        <w:rPr>
          <w:rFonts w:eastAsia="Calibri"/>
        </w:rPr>
        <w:t xml:space="preserve">, </w:t>
      </w:r>
      <w:r w:rsidRPr="005B4144" w:rsidR="005B4144">
        <w:rPr>
          <w:rFonts w:eastAsia="Calibri"/>
        </w:rPr>
        <w:t xml:space="preserve">consistent with our currently approved per respondent burden estimates, we estimate that the burden of quality data submission using Medicare Part B claims will range from 0.15 hours at a cost of $13.50 (0.15 hr x $90.02/hr) to 7.2 hours at a cost of $648.14 (7.2 hr x $90.02/hr) per respondent. The burden will involve becoming familiar with MIPS data submission requirements.  We believe that the start-up cost for a clinician’s practice to review measure specifications is 7 hours, consisting of 3 hours at $109.36/hr for a practice administrator, 1 hour at $202.86/hr for a clinician, 1 hour at $45.24/hr for an LPN/medical assistant, 1 hour at $90.02/hr for a computer systems analyst, and 1 hour at $38.00/hr for a billing clerk.  We are not </w:t>
      </w:r>
      <w:r w:rsidR="00F16BDB">
        <w:rPr>
          <w:rFonts w:eastAsia="Calibri"/>
        </w:rPr>
        <w:t>mak</w:t>
      </w:r>
      <w:r w:rsidRPr="005B4144" w:rsidR="005B4144">
        <w:rPr>
          <w:rFonts w:eastAsia="Calibri"/>
        </w:rPr>
        <w:t>ing revisions to our currently approved per response burden estimates.</w:t>
      </w:r>
    </w:p>
    <w:p w:rsidRPr="00942FC4" w:rsidR="00942FC4" w:rsidP="00730BEF" w:rsidRDefault="00942FC4" w14:paraId="7CAA5818" w14:textId="77777777">
      <w:pPr>
        <w:rPr>
          <w:rFonts w:eastAsia="Calibri"/>
        </w:rPr>
      </w:pPr>
      <w:r w:rsidRPr="00942FC4">
        <w:rPr>
          <w:rFonts w:eastAsia="Calibri"/>
        </w:rPr>
        <w:t xml:space="preserve">The estimate for reviewing and incorporating measure specifications for the claims collection type is higher than that of QCDRs/Registries or eCQM collection types due to the more manual, and therefore, more burdensome nature of Medicare Part B claims measures. </w:t>
      </w:r>
    </w:p>
    <w:p w:rsidR="000D0E7D" w:rsidP="00730BEF" w:rsidRDefault="0026613F" w14:paraId="26A9AC17" w14:textId="55F42553">
      <w:pPr>
        <w:rPr>
          <w:rFonts w:eastAsia="Calibri"/>
        </w:rPr>
      </w:pPr>
      <w:r w:rsidRPr="0026613F">
        <w:rPr>
          <w:rFonts w:eastAsia="Calibri"/>
        </w:rPr>
        <w:t>Considering both data submission and start-up requirements, the estimated time (per clinician) ranges from a minimum of 7.15 hours (0.15 hr + 7 hr) to a maximum of 14.2 hours (7.2 hr + 7 hr).  In this regard the total annual time ranges from 678,149 hours (7.15 hr x 94,846 clinicians) to 1,346,813 hours (14.2 hr x 94,846 clinicians).  The estimated annual cost (per clinician) ranges from $717.70 [(0.15 hr x $90.02/hr) + (3 hr x $109.36/hr) + (1 hr x $90.02/hr) + (1 hr x $45.24/hr) + (1 hr x $38.00/hr + (1 hr x $202.86/hr)] to a maximum of $1,352.34 [(7.2 hr x $90.02/hr) + (3 hr x $109.36/hr) + (1 hr x $90.02/hr) + (1 hr x $45.24/hr) + (1 hr x $38.00/hr + (1 hr x $202.86/hr)].  The total annual cost ranges from a minimum of $68,071,259 (94,846 clinicians x $717.70) to a maximum of $128,264,419 (94,846 clinicians x $1,352.34</w:t>
      </w:r>
      <w:r w:rsidRPr="000D0E7D" w:rsidR="000D0E7D">
        <w:rPr>
          <w:rFonts w:eastAsia="Calibri"/>
        </w:rPr>
        <w:t xml:space="preserve">).  </w:t>
      </w:r>
    </w:p>
    <w:p w:rsidRPr="00942FC4" w:rsidR="00942FC4" w:rsidP="00730BEF" w:rsidRDefault="00942FC4" w14:paraId="31175B28" w14:textId="5A8E784B">
      <w:pPr>
        <w:rPr>
          <w:rFonts w:eastAsia="Calibri"/>
        </w:rPr>
      </w:pPr>
      <w:r w:rsidRPr="00942FC4">
        <w:rPr>
          <w:rFonts w:eastAsia="Calibri"/>
        </w:rPr>
        <w:t xml:space="preserve">Table </w:t>
      </w:r>
      <w:r>
        <w:rPr>
          <w:rFonts w:eastAsia="Calibri"/>
        </w:rPr>
        <w:t>10</w:t>
      </w:r>
      <w:r w:rsidRPr="00942FC4">
        <w:rPr>
          <w:rFonts w:eastAsia="Calibri"/>
        </w:rPr>
        <w:t xml:space="preserve"> summarizes the range of total annual burden associated with clinicians submitting quality data via Medicare Part B claims.  </w:t>
      </w:r>
    </w:p>
    <w:p w:rsidRPr="00732012" w:rsidR="00C351ED" w:rsidP="00A43641" w:rsidRDefault="00C351ED" w14:paraId="4A56D872" w14:textId="1C2C5230">
      <w:pPr>
        <w:keepLines/>
        <w:spacing w:after="0"/>
        <w:jc w:val="center"/>
        <w:rPr>
          <w:b/>
          <w:bCs/>
        </w:rPr>
      </w:pPr>
      <w:r w:rsidRPr="00C47150">
        <w:rPr>
          <w:b/>
          <w:bCs/>
        </w:rPr>
        <w:t xml:space="preserve">TABLE </w:t>
      </w:r>
      <w:r w:rsidR="00B3371F">
        <w:rPr>
          <w:b/>
          <w:bCs/>
        </w:rPr>
        <w:t>10</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5"/>
        <w:gridCol w:w="2160"/>
        <w:gridCol w:w="1980"/>
        <w:gridCol w:w="1955"/>
      </w:tblGrid>
      <w:tr w:rsidRPr="00732012" w:rsidR="00C351ED" w:rsidTr="00C351ED" w14:paraId="654BD251" w14:textId="77777777">
        <w:trPr>
          <w:trHeight w:val="530"/>
          <w:tblHeader/>
          <w:jc w:val="center"/>
        </w:trPr>
        <w:tc>
          <w:tcPr>
            <w:tcW w:w="3685" w:type="dxa"/>
            <w:shd w:val="clear" w:color="auto" w:fill="auto"/>
            <w:vAlign w:val="center"/>
            <w:hideMark/>
          </w:tcPr>
          <w:p w:rsidRPr="00C351ED" w:rsidR="00C351ED" w:rsidP="00A43641" w:rsidRDefault="00C351ED" w14:paraId="00BA7BA3" w14:textId="69830F03">
            <w:pPr>
              <w:keepLines/>
              <w:spacing w:after="0"/>
              <w:rPr>
                <w:b/>
                <w:sz w:val="20"/>
                <w:szCs w:val="20"/>
              </w:rPr>
            </w:pPr>
            <w:r w:rsidRPr="00732012">
              <w:rPr>
                <w:sz w:val="20"/>
                <w:szCs w:val="20"/>
              </w:rPr>
              <w:t> </w:t>
            </w:r>
            <w:r w:rsidRPr="00C351ED">
              <w:rPr>
                <w:b/>
                <w:sz w:val="20"/>
                <w:szCs w:val="20"/>
              </w:rPr>
              <w:t>Burden and Respondent Descriptions</w:t>
            </w:r>
          </w:p>
        </w:tc>
        <w:tc>
          <w:tcPr>
            <w:tcW w:w="2160" w:type="dxa"/>
            <w:shd w:val="clear" w:color="auto" w:fill="auto"/>
            <w:vAlign w:val="center"/>
            <w:hideMark/>
          </w:tcPr>
          <w:p w:rsidRPr="00732012" w:rsidR="00C351ED" w:rsidP="00A43641" w:rsidRDefault="00C351ED" w14:paraId="0D25D71D" w14:textId="77777777">
            <w:pPr>
              <w:keepLines/>
              <w:spacing w:after="0"/>
              <w:rPr>
                <w:b/>
                <w:bCs/>
                <w:sz w:val="20"/>
                <w:szCs w:val="20"/>
              </w:rPr>
            </w:pPr>
            <w:r w:rsidRPr="00732012">
              <w:rPr>
                <w:b/>
                <w:bCs/>
                <w:sz w:val="20"/>
                <w:szCs w:val="20"/>
              </w:rPr>
              <w:t>Minimum Burden</w:t>
            </w:r>
          </w:p>
        </w:tc>
        <w:tc>
          <w:tcPr>
            <w:tcW w:w="1980" w:type="dxa"/>
            <w:shd w:val="clear" w:color="auto" w:fill="auto"/>
            <w:vAlign w:val="center"/>
            <w:hideMark/>
          </w:tcPr>
          <w:p w:rsidRPr="00732012" w:rsidR="00C351ED" w:rsidP="00A43641" w:rsidRDefault="00C351ED" w14:paraId="7FBA1E2B" w14:textId="77777777">
            <w:pPr>
              <w:keepLines/>
              <w:spacing w:after="0"/>
              <w:rPr>
                <w:b/>
                <w:bCs/>
                <w:sz w:val="20"/>
                <w:szCs w:val="20"/>
              </w:rPr>
            </w:pPr>
            <w:r w:rsidRPr="00732012">
              <w:rPr>
                <w:b/>
                <w:bCs/>
                <w:sz w:val="20"/>
                <w:szCs w:val="20"/>
              </w:rPr>
              <w:t>Median Burden</w:t>
            </w:r>
          </w:p>
        </w:tc>
        <w:tc>
          <w:tcPr>
            <w:tcW w:w="1955" w:type="dxa"/>
            <w:shd w:val="clear" w:color="auto" w:fill="auto"/>
            <w:vAlign w:val="center"/>
            <w:hideMark/>
          </w:tcPr>
          <w:p w:rsidRPr="00732012" w:rsidR="00C351ED" w:rsidP="00A43641" w:rsidRDefault="00C351ED" w14:paraId="22244A87" w14:textId="77777777">
            <w:pPr>
              <w:keepLines/>
              <w:spacing w:after="0"/>
              <w:rPr>
                <w:b/>
                <w:bCs/>
                <w:sz w:val="20"/>
                <w:szCs w:val="20"/>
              </w:rPr>
            </w:pPr>
            <w:r w:rsidRPr="00732012">
              <w:rPr>
                <w:b/>
                <w:bCs/>
                <w:sz w:val="20"/>
                <w:szCs w:val="20"/>
              </w:rPr>
              <w:t>Maximum Burden Estimate</w:t>
            </w:r>
          </w:p>
        </w:tc>
      </w:tr>
      <w:tr w:rsidRPr="00732012" w:rsidR="00E538DA" w:rsidTr="00C351ED" w14:paraId="1AA9F1F7" w14:textId="77777777">
        <w:trPr>
          <w:trHeight w:val="315"/>
          <w:jc w:val="center"/>
        </w:trPr>
        <w:tc>
          <w:tcPr>
            <w:tcW w:w="3685" w:type="dxa"/>
            <w:tcBorders>
              <w:top w:val="single" w:color="auto" w:sz="4" w:space="0"/>
              <w:left w:val="single" w:color="auto" w:sz="4" w:space="0"/>
              <w:bottom w:val="single" w:color="auto" w:sz="4" w:space="0"/>
              <w:right w:val="single" w:color="auto" w:sz="4" w:space="0"/>
            </w:tcBorders>
            <w:shd w:val="clear" w:color="auto" w:fill="auto"/>
            <w:hideMark/>
          </w:tcPr>
          <w:p w:rsidRPr="00732012" w:rsidR="00E538DA" w:rsidP="00A43641" w:rsidRDefault="00E538DA" w14:paraId="28D04CE3" w14:textId="77777777">
            <w:pPr>
              <w:keepLines/>
              <w:spacing w:after="0"/>
              <w:rPr>
                <w:sz w:val="20"/>
                <w:szCs w:val="20"/>
              </w:rPr>
            </w:pPr>
            <w:r w:rsidRPr="00732012">
              <w:rPr>
                <w:sz w:val="20"/>
                <w:szCs w:val="20"/>
              </w:rPr>
              <w:t># of Clinicians (a)</w:t>
            </w:r>
          </w:p>
        </w:tc>
        <w:tc>
          <w:tcPr>
            <w:tcW w:w="2160"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5A2263AD" w14:textId="140A5F5D">
            <w:pPr>
              <w:keepLines/>
              <w:spacing w:after="0"/>
              <w:rPr>
                <w:sz w:val="20"/>
                <w:szCs w:val="20"/>
              </w:rPr>
            </w:pPr>
            <w:r>
              <w:rPr>
                <w:sz w:val="20"/>
              </w:rPr>
              <w:t>94,846</w:t>
            </w:r>
          </w:p>
        </w:tc>
        <w:tc>
          <w:tcPr>
            <w:tcW w:w="1980"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7456BB10" w14:textId="556E6DFC">
            <w:pPr>
              <w:keepLines/>
              <w:spacing w:after="0"/>
              <w:rPr>
                <w:sz w:val="20"/>
                <w:szCs w:val="20"/>
              </w:rPr>
            </w:pPr>
            <w:r>
              <w:rPr>
                <w:sz w:val="20"/>
              </w:rPr>
              <w:t>94,846</w:t>
            </w:r>
          </w:p>
        </w:tc>
        <w:tc>
          <w:tcPr>
            <w:tcW w:w="1955"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3E533F23" w14:textId="1F581908">
            <w:pPr>
              <w:keepLines/>
              <w:spacing w:after="0"/>
              <w:rPr>
                <w:sz w:val="20"/>
                <w:szCs w:val="20"/>
              </w:rPr>
            </w:pPr>
            <w:r>
              <w:rPr>
                <w:sz w:val="20"/>
              </w:rPr>
              <w:t>94,846</w:t>
            </w:r>
          </w:p>
        </w:tc>
      </w:tr>
      <w:tr w:rsidRPr="00732012" w:rsidR="00B3371F" w:rsidTr="00C351ED" w14:paraId="36D8AB84" w14:textId="77777777">
        <w:trPr>
          <w:trHeight w:val="358"/>
          <w:jc w:val="center"/>
        </w:trPr>
        <w:tc>
          <w:tcPr>
            <w:tcW w:w="3685" w:type="dxa"/>
            <w:shd w:val="clear" w:color="auto" w:fill="auto"/>
            <w:hideMark/>
          </w:tcPr>
          <w:p w:rsidRPr="00732012" w:rsidR="00B3371F" w:rsidP="00514837" w:rsidRDefault="00B3371F" w14:paraId="04B458D1" w14:textId="65217394">
            <w:pPr>
              <w:keepLines/>
              <w:spacing w:after="0"/>
              <w:rPr>
                <w:sz w:val="20"/>
                <w:szCs w:val="20"/>
              </w:rPr>
            </w:pPr>
            <w:r w:rsidRPr="00732012">
              <w:rPr>
                <w:sz w:val="20"/>
                <w:szCs w:val="20"/>
              </w:rPr>
              <w:t>Hours Per Clinician to Submit Quality Data (b)</w:t>
            </w:r>
          </w:p>
        </w:tc>
        <w:tc>
          <w:tcPr>
            <w:tcW w:w="2160" w:type="dxa"/>
            <w:shd w:val="clear" w:color="auto" w:fill="auto"/>
            <w:hideMark/>
          </w:tcPr>
          <w:p w:rsidRPr="00732012" w:rsidR="00B3371F" w:rsidP="00514837" w:rsidRDefault="00B3371F" w14:paraId="15BFF35D" w14:textId="5DDDFCEB">
            <w:pPr>
              <w:keepLines/>
              <w:spacing w:after="0"/>
              <w:rPr>
                <w:sz w:val="20"/>
                <w:szCs w:val="20"/>
              </w:rPr>
            </w:pPr>
            <w:r w:rsidRPr="003428D4">
              <w:rPr>
                <w:rFonts w:eastAsia="Calibri"/>
                <w:sz w:val="20"/>
                <w:szCs w:val="20"/>
              </w:rPr>
              <w:t>0.15</w:t>
            </w:r>
          </w:p>
        </w:tc>
        <w:tc>
          <w:tcPr>
            <w:tcW w:w="1980" w:type="dxa"/>
            <w:shd w:val="clear" w:color="auto" w:fill="auto"/>
            <w:hideMark/>
          </w:tcPr>
          <w:p w:rsidRPr="00732012" w:rsidR="00B3371F" w:rsidP="00514837" w:rsidRDefault="00B3371F" w14:paraId="7FE7FB6A" w14:textId="39FD400E">
            <w:pPr>
              <w:keepLines/>
              <w:spacing w:after="0"/>
              <w:rPr>
                <w:sz w:val="20"/>
                <w:szCs w:val="20"/>
              </w:rPr>
            </w:pPr>
            <w:r w:rsidRPr="003428D4">
              <w:rPr>
                <w:rFonts w:eastAsia="Calibri"/>
                <w:sz w:val="20"/>
                <w:szCs w:val="20"/>
              </w:rPr>
              <w:t>1.05</w:t>
            </w:r>
          </w:p>
        </w:tc>
        <w:tc>
          <w:tcPr>
            <w:tcW w:w="1955" w:type="dxa"/>
            <w:shd w:val="clear" w:color="auto" w:fill="auto"/>
            <w:hideMark/>
          </w:tcPr>
          <w:p w:rsidRPr="00732012" w:rsidR="00B3371F" w:rsidP="00514837" w:rsidRDefault="00B3371F" w14:paraId="01A52066" w14:textId="66B8AA3E">
            <w:pPr>
              <w:keepLines/>
              <w:spacing w:after="0"/>
              <w:rPr>
                <w:sz w:val="20"/>
                <w:szCs w:val="20"/>
              </w:rPr>
            </w:pPr>
            <w:r w:rsidRPr="003428D4">
              <w:rPr>
                <w:rFonts w:eastAsia="Calibri"/>
                <w:sz w:val="20"/>
                <w:szCs w:val="20"/>
              </w:rPr>
              <w:t>7.2</w:t>
            </w:r>
          </w:p>
        </w:tc>
      </w:tr>
      <w:tr w:rsidRPr="00732012" w:rsidR="00B3371F" w:rsidTr="00C351ED" w14:paraId="2BC8F339" w14:textId="77777777">
        <w:trPr>
          <w:trHeight w:val="525"/>
          <w:jc w:val="center"/>
        </w:trPr>
        <w:tc>
          <w:tcPr>
            <w:tcW w:w="3685" w:type="dxa"/>
            <w:shd w:val="clear" w:color="auto" w:fill="auto"/>
            <w:hideMark/>
          </w:tcPr>
          <w:p w:rsidRPr="00732012" w:rsidR="00B3371F" w:rsidP="00514837" w:rsidRDefault="00B3371F" w14:paraId="3138C537" w14:textId="77777777">
            <w:pPr>
              <w:keepLines/>
              <w:spacing w:after="0"/>
              <w:rPr>
                <w:sz w:val="20"/>
                <w:szCs w:val="20"/>
              </w:rPr>
            </w:pPr>
            <w:r w:rsidRPr="00732012">
              <w:rPr>
                <w:sz w:val="20"/>
                <w:szCs w:val="20"/>
              </w:rPr>
              <w:t># of Hours Practice Administrator Review Measure Specifications (c)</w:t>
            </w:r>
          </w:p>
        </w:tc>
        <w:tc>
          <w:tcPr>
            <w:tcW w:w="2160" w:type="dxa"/>
            <w:shd w:val="clear" w:color="auto" w:fill="auto"/>
            <w:hideMark/>
          </w:tcPr>
          <w:p w:rsidRPr="00732012" w:rsidR="00B3371F" w:rsidP="00514837" w:rsidRDefault="00B3371F" w14:paraId="69F2A140" w14:textId="11F401CF">
            <w:pPr>
              <w:keepLines/>
              <w:spacing w:after="0"/>
              <w:rPr>
                <w:sz w:val="20"/>
                <w:szCs w:val="20"/>
              </w:rPr>
            </w:pPr>
            <w:r w:rsidRPr="003428D4">
              <w:rPr>
                <w:rFonts w:eastAsia="Calibri"/>
                <w:sz w:val="20"/>
                <w:szCs w:val="20"/>
              </w:rPr>
              <w:t>3</w:t>
            </w:r>
          </w:p>
        </w:tc>
        <w:tc>
          <w:tcPr>
            <w:tcW w:w="1980" w:type="dxa"/>
            <w:shd w:val="clear" w:color="auto" w:fill="auto"/>
            <w:hideMark/>
          </w:tcPr>
          <w:p w:rsidRPr="00732012" w:rsidR="00B3371F" w:rsidP="00514837" w:rsidRDefault="00B3371F" w14:paraId="1C20FF06" w14:textId="740EFAFE">
            <w:pPr>
              <w:keepLines/>
              <w:spacing w:after="0"/>
              <w:rPr>
                <w:sz w:val="20"/>
                <w:szCs w:val="20"/>
              </w:rPr>
            </w:pPr>
            <w:r w:rsidRPr="003428D4">
              <w:rPr>
                <w:rFonts w:eastAsia="Calibri"/>
                <w:sz w:val="20"/>
                <w:szCs w:val="20"/>
              </w:rPr>
              <w:t>3</w:t>
            </w:r>
          </w:p>
        </w:tc>
        <w:tc>
          <w:tcPr>
            <w:tcW w:w="1955" w:type="dxa"/>
            <w:shd w:val="clear" w:color="auto" w:fill="auto"/>
            <w:hideMark/>
          </w:tcPr>
          <w:p w:rsidRPr="00732012" w:rsidR="00B3371F" w:rsidP="00514837" w:rsidRDefault="00B3371F" w14:paraId="38E45CCD" w14:textId="40F0C713">
            <w:pPr>
              <w:keepLines/>
              <w:spacing w:after="0"/>
              <w:rPr>
                <w:sz w:val="20"/>
                <w:szCs w:val="20"/>
              </w:rPr>
            </w:pPr>
            <w:r w:rsidRPr="003428D4">
              <w:rPr>
                <w:rFonts w:eastAsia="Calibri"/>
                <w:sz w:val="20"/>
                <w:szCs w:val="20"/>
              </w:rPr>
              <w:t>3</w:t>
            </w:r>
          </w:p>
        </w:tc>
      </w:tr>
      <w:tr w:rsidRPr="00732012" w:rsidR="00B3371F" w:rsidTr="00C351ED" w14:paraId="507376EA" w14:textId="77777777">
        <w:trPr>
          <w:trHeight w:val="520"/>
          <w:jc w:val="center"/>
        </w:trPr>
        <w:tc>
          <w:tcPr>
            <w:tcW w:w="3685" w:type="dxa"/>
            <w:shd w:val="clear" w:color="auto" w:fill="auto"/>
            <w:hideMark/>
          </w:tcPr>
          <w:p w:rsidRPr="00732012" w:rsidR="00B3371F" w:rsidP="00514837" w:rsidRDefault="00B3371F" w14:paraId="5727A7E0" w14:textId="77777777">
            <w:pPr>
              <w:keepLines/>
              <w:spacing w:after="0"/>
              <w:rPr>
                <w:sz w:val="20"/>
                <w:szCs w:val="20"/>
              </w:rPr>
            </w:pPr>
            <w:r w:rsidRPr="00732012">
              <w:rPr>
                <w:sz w:val="20"/>
                <w:szCs w:val="20"/>
              </w:rPr>
              <w:t># of Hours Computer Systems Analyst Review Measure Specifications (d)</w:t>
            </w:r>
          </w:p>
        </w:tc>
        <w:tc>
          <w:tcPr>
            <w:tcW w:w="2160" w:type="dxa"/>
            <w:shd w:val="clear" w:color="auto" w:fill="auto"/>
            <w:hideMark/>
          </w:tcPr>
          <w:p w:rsidRPr="00732012" w:rsidR="00B3371F" w:rsidP="00514837" w:rsidRDefault="00B3371F" w14:paraId="276011DF" w14:textId="7FAD17C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B9A5528" w14:textId="68C70BEC">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5AC19B66" w14:textId="14A6E3FE">
            <w:pPr>
              <w:keepLines/>
              <w:spacing w:after="0"/>
              <w:rPr>
                <w:sz w:val="20"/>
                <w:szCs w:val="20"/>
              </w:rPr>
            </w:pPr>
            <w:r w:rsidRPr="003428D4">
              <w:rPr>
                <w:rFonts w:eastAsia="Calibri"/>
                <w:sz w:val="20"/>
                <w:szCs w:val="20"/>
              </w:rPr>
              <w:t>1</w:t>
            </w:r>
          </w:p>
        </w:tc>
      </w:tr>
      <w:tr w:rsidRPr="00732012" w:rsidR="00B3371F" w:rsidTr="00C351ED" w14:paraId="214A14BE" w14:textId="77777777">
        <w:trPr>
          <w:trHeight w:val="525"/>
          <w:jc w:val="center"/>
        </w:trPr>
        <w:tc>
          <w:tcPr>
            <w:tcW w:w="3685" w:type="dxa"/>
            <w:shd w:val="clear" w:color="auto" w:fill="auto"/>
            <w:hideMark/>
          </w:tcPr>
          <w:p w:rsidRPr="00732012" w:rsidR="00B3371F" w:rsidP="00514837" w:rsidRDefault="00B3371F" w14:paraId="78A5C732" w14:textId="77777777">
            <w:pPr>
              <w:keepLines/>
              <w:spacing w:after="0"/>
              <w:rPr>
                <w:sz w:val="20"/>
                <w:szCs w:val="20"/>
              </w:rPr>
            </w:pPr>
            <w:r w:rsidRPr="00732012">
              <w:rPr>
                <w:sz w:val="20"/>
                <w:szCs w:val="20"/>
              </w:rPr>
              <w:t xml:space="preserve"> # of Hours LPN Review Measure Specifications (e)</w:t>
            </w:r>
          </w:p>
        </w:tc>
        <w:tc>
          <w:tcPr>
            <w:tcW w:w="2160" w:type="dxa"/>
            <w:shd w:val="clear" w:color="auto" w:fill="auto"/>
            <w:hideMark/>
          </w:tcPr>
          <w:p w:rsidRPr="00732012" w:rsidR="00B3371F" w:rsidP="00514837" w:rsidRDefault="00B3371F" w14:paraId="0AD7C15A" w14:textId="525EE490">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12215AA9" w14:textId="6BE2AB23">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249FCB61" w14:textId="4530D517">
            <w:pPr>
              <w:keepLines/>
              <w:spacing w:after="0"/>
              <w:rPr>
                <w:sz w:val="20"/>
                <w:szCs w:val="20"/>
              </w:rPr>
            </w:pPr>
            <w:r w:rsidRPr="003428D4">
              <w:rPr>
                <w:rFonts w:eastAsia="Calibri"/>
                <w:sz w:val="20"/>
                <w:szCs w:val="20"/>
              </w:rPr>
              <w:t>1</w:t>
            </w:r>
          </w:p>
        </w:tc>
      </w:tr>
      <w:tr w:rsidRPr="00732012" w:rsidR="00B3371F" w:rsidTr="00C351ED" w14:paraId="0681AC2D" w14:textId="77777777">
        <w:trPr>
          <w:trHeight w:val="525"/>
          <w:jc w:val="center"/>
        </w:trPr>
        <w:tc>
          <w:tcPr>
            <w:tcW w:w="3685" w:type="dxa"/>
            <w:shd w:val="clear" w:color="auto" w:fill="auto"/>
            <w:hideMark/>
          </w:tcPr>
          <w:p w:rsidRPr="00732012" w:rsidR="00B3371F" w:rsidP="00514837" w:rsidRDefault="00B3371F" w14:paraId="320A81F5" w14:textId="77777777">
            <w:pPr>
              <w:keepLines/>
              <w:spacing w:after="0"/>
              <w:rPr>
                <w:sz w:val="20"/>
                <w:szCs w:val="20"/>
              </w:rPr>
            </w:pPr>
            <w:r w:rsidRPr="00732012">
              <w:rPr>
                <w:sz w:val="20"/>
                <w:szCs w:val="20"/>
              </w:rPr>
              <w:t xml:space="preserve"> # of Hours Billing Clerk Review Measure Specifications (f)</w:t>
            </w:r>
          </w:p>
        </w:tc>
        <w:tc>
          <w:tcPr>
            <w:tcW w:w="2160" w:type="dxa"/>
            <w:shd w:val="clear" w:color="auto" w:fill="auto"/>
            <w:hideMark/>
          </w:tcPr>
          <w:p w:rsidRPr="00732012" w:rsidR="00B3371F" w:rsidP="00514837" w:rsidRDefault="00B3371F" w14:paraId="5828720A" w14:textId="2775A21D">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2ABC1E7" w14:textId="2C52B7DD">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323A6D59" w14:textId="32963BD6">
            <w:pPr>
              <w:keepLines/>
              <w:spacing w:after="0"/>
              <w:rPr>
                <w:sz w:val="20"/>
                <w:szCs w:val="20"/>
              </w:rPr>
            </w:pPr>
            <w:r w:rsidRPr="003428D4">
              <w:rPr>
                <w:rFonts w:eastAsia="Calibri"/>
                <w:sz w:val="20"/>
                <w:szCs w:val="20"/>
              </w:rPr>
              <w:t>1</w:t>
            </w:r>
          </w:p>
        </w:tc>
      </w:tr>
      <w:tr w:rsidRPr="00732012" w:rsidR="00B3371F" w:rsidTr="00C351ED" w14:paraId="289074F4" w14:textId="77777777">
        <w:trPr>
          <w:trHeight w:val="502"/>
          <w:jc w:val="center"/>
        </w:trPr>
        <w:tc>
          <w:tcPr>
            <w:tcW w:w="3685" w:type="dxa"/>
            <w:shd w:val="clear" w:color="auto" w:fill="auto"/>
            <w:hideMark/>
          </w:tcPr>
          <w:p w:rsidRPr="00732012" w:rsidR="00B3371F" w:rsidP="00514837" w:rsidRDefault="00B3371F" w14:paraId="37B700B5" w14:textId="77777777">
            <w:pPr>
              <w:keepLines/>
              <w:spacing w:after="0"/>
              <w:rPr>
                <w:sz w:val="20"/>
                <w:szCs w:val="20"/>
              </w:rPr>
            </w:pPr>
            <w:r w:rsidRPr="00732012">
              <w:rPr>
                <w:sz w:val="20"/>
                <w:szCs w:val="20"/>
              </w:rPr>
              <w:t># of Hours Clinician Review Measure Specifications (g)</w:t>
            </w:r>
          </w:p>
        </w:tc>
        <w:tc>
          <w:tcPr>
            <w:tcW w:w="2160" w:type="dxa"/>
            <w:shd w:val="clear" w:color="auto" w:fill="auto"/>
            <w:hideMark/>
          </w:tcPr>
          <w:p w:rsidRPr="00732012" w:rsidR="00B3371F" w:rsidP="00514837" w:rsidRDefault="00B3371F" w14:paraId="02A2E8BD" w14:textId="4933765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3EC74AFD" w14:textId="31F278A9">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7E94ABD1" w14:textId="608F8F06">
            <w:pPr>
              <w:keepLines/>
              <w:spacing w:after="0"/>
              <w:rPr>
                <w:sz w:val="20"/>
                <w:szCs w:val="20"/>
              </w:rPr>
            </w:pPr>
            <w:r w:rsidRPr="003428D4">
              <w:rPr>
                <w:rFonts w:eastAsia="Calibri"/>
                <w:sz w:val="20"/>
                <w:szCs w:val="20"/>
              </w:rPr>
              <w:t>1</w:t>
            </w:r>
          </w:p>
        </w:tc>
      </w:tr>
      <w:tr w:rsidRPr="00732012" w:rsidR="00B3371F" w:rsidTr="00C351ED" w14:paraId="3D37EF86" w14:textId="77777777">
        <w:trPr>
          <w:trHeight w:val="525"/>
          <w:jc w:val="center"/>
        </w:trPr>
        <w:tc>
          <w:tcPr>
            <w:tcW w:w="3685" w:type="dxa"/>
            <w:shd w:val="clear" w:color="auto" w:fill="auto"/>
            <w:hideMark/>
          </w:tcPr>
          <w:p w:rsidRPr="00732012" w:rsidR="00B3371F" w:rsidP="00514837" w:rsidRDefault="00B3371F" w14:paraId="48E36A37" w14:textId="77777777">
            <w:pPr>
              <w:keepLines/>
              <w:spacing w:after="0"/>
              <w:rPr>
                <w:sz w:val="20"/>
                <w:szCs w:val="20"/>
              </w:rPr>
            </w:pPr>
            <w:r w:rsidRPr="00732012">
              <w:rPr>
                <w:sz w:val="20"/>
                <w:szCs w:val="20"/>
              </w:rPr>
              <w:t>Annual Hours per Clinician (h) = (b)+(c)+(d)+(e)+(f)+(g)</w:t>
            </w:r>
          </w:p>
        </w:tc>
        <w:tc>
          <w:tcPr>
            <w:tcW w:w="2160" w:type="dxa"/>
            <w:shd w:val="clear" w:color="auto" w:fill="auto"/>
            <w:hideMark/>
          </w:tcPr>
          <w:p w:rsidRPr="00732012" w:rsidR="00B3371F" w:rsidP="00514837" w:rsidRDefault="00B3371F" w14:paraId="576E94F3" w14:textId="7BA22CC6">
            <w:pPr>
              <w:keepLines/>
              <w:spacing w:after="0"/>
              <w:rPr>
                <w:sz w:val="20"/>
                <w:szCs w:val="20"/>
              </w:rPr>
            </w:pPr>
            <w:r w:rsidRPr="003428D4">
              <w:rPr>
                <w:rFonts w:eastAsia="Calibri"/>
                <w:sz w:val="20"/>
                <w:szCs w:val="20"/>
              </w:rPr>
              <w:t>7.15</w:t>
            </w:r>
          </w:p>
        </w:tc>
        <w:tc>
          <w:tcPr>
            <w:tcW w:w="1980" w:type="dxa"/>
            <w:shd w:val="clear" w:color="auto" w:fill="auto"/>
            <w:hideMark/>
          </w:tcPr>
          <w:p w:rsidRPr="00732012" w:rsidR="00B3371F" w:rsidP="00514837" w:rsidRDefault="00B3371F" w14:paraId="4855075E" w14:textId="6E13874E">
            <w:pPr>
              <w:keepLines/>
              <w:spacing w:after="0"/>
              <w:rPr>
                <w:sz w:val="20"/>
                <w:szCs w:val="20"/>
              </w:rPr>
            </w:pPr>
            <w:r w:rsidRPr="003428D4">
              <w:rPr>
                <w:rFonts w:eastAsia="Calibri"/>
                <w:sz w:val="20"/>
                <w:szCs w:val="20"/>
              </w:rPr>
              <w:t>8.05</w:t>
            </w:r>
          </w:p>
        </w:tc>
        <w:tc>
          <w:tcPr>
            <w:tcW w:w="1955" w:type="dxa"/>
            <w:shd w:val="clear" w:color="auto" w:fill="auto"/>
            <w:hideMark/>
          </w:tcPr>
          <w:p w:rsidRPr="00732012" w:rsidR="00B3371F" w:rsidP="00514837" w:rsidRDefault="00B3371F" w14:paraId="010879DE" w14:textId="2D001D0D">
            <w:pPr>
              <w:keepLines/>
              <w:spacing w:after="0"/>
              <w:rPr>
                <w:sz w:val="20"/>
                <w:szCs w:val="20"/>
              </w:rPr>
            </w:pPr>
            <w:r w:rsidRPr="003428D4">
              <w:rPr>
                <w:rFonts w:eastAsia="Calibri"/>
                <w:sz w:val="20"/>
                <w:szCs w:val="20"/>
              </w:rPr>
              <w:t>14.2</w:t>
            </w:r>
          </w:p>
        </w:tc>
      </w:tr>
      <w:tr w:rsidRPr="00732012" w:rsidR="00804D97" w:rsidTr="00C351ED" w14:paraId="6D6A47A8" w14:textId="77777777">
        <w:trPr>
          <w:trHeight w:val="525"/>
          <w:jc w:val="center"/>
        </w:trPr>
        <w:tc>
          <w:tcPr>
            <w:tcW w:w="3685" w:type="dxa"/>
            <w:shd w:val="clear" w:color="auto" w:fill="E7E6E6" w:themeFill="background2"/>
            <w:hideMark/>
          </w:tcPr>
          <w:p w:rsidRPr="00732012" w:rsidR="00804D97" w:rsidP="00514837" w:rsidRDefault="00804D97" w14:paraId="25ECB229" w14:textId="695E44B2">
            <w:pPr>
              <w:keepLines/>
              <w:spacing w:after="0"/>
              <w:rPr>
                <w:b/>
                <w:bCs/>
                <w:sz w:val="20"/>
                <w:szCs w:val="20"/>
              </w:rPr>
            </w:pPr>
            <w:r w:rsidRPr="00732012">
              <w:rPr>
                <w:b/>
                <w:bCs/>
                <w:sz w:val="20"/>
                <w:szCs w:val="20"/>
              </w:rPr>
              <w:t>Total Annual Hours (i) = (a)*(h)</w:t>
            </w:r>
          </w:p>
        </w:tc>
        <w:tc>
          <w:tcPr>
            <w:tcW w:w="2160" w:type="dxa"/>
            <w:shd w:val="clear" w:color="auto" w:fill="E7E6E6" w:themeFill="background2"/>
          </w:tcPr>
          <w:p w:rsidRPr="00804D97" w:rsidR="00804D97" w:rsidP="00514837" w:rsidRDefault="00804D97" w14:paraId="047BA2F8" w14:textId="4038707A">
            <w:pPr>
              <w:keepLines/>
              <w:spacing w:after="0"/>
              <w:rPr>
                <w:b/>
                <w:bCs/>
                <w:sz w:val="20"/>
                <w:szCs w:val="20"/>
              </w:rPr>
            </w:pPr>
            <w:r w:rsidRPr="00804D97">
              <w:rPr>
                <w:b/>
                <w:bCs/>
                <w:sz w:val="20"/>
                <w:szCs w:val="20"/>
              </w:rPr>
              <w:t>678,149</w:t>
            </w:r>
          </w:p>
        </w:tc>
        <w:tc>
          <w:tcPr>
            <w:tcW w:w="1980" w:type="dxa"/>
            <w:shd w:val="clear" w:color="auto" w:fill="E7E6E6" w:themeFill="background2"/>
          </w:tcPr>
          <w:p w:rsidRPr="00804D97" w:rsidR="00804D97" w:rsidP="00514837" w:rsidRDefault="00804D97" w14:paraId="1627AFEE" w14:textId="3A127037">
            <w:pPr>
              <w:keepLines/>
              <w:spacing w:after="0"/>
              <w:rPr>
                <w:b/>
                <w:bCs/>
                <w:sz w:val="20"/>
                <w:szCs w:val="20"/>
              </w:rPr>
            </w:pPr>
            <w:r w:rsidRPr="00804D97">
              <w:rPr>
                <w:b/>
                <w:bCs/>
                <w:sz w:val="20"/>
                <w:szCs w:val="20"/>
              </w:rPr>
              <w:t>763,510</w:t>
            </w:r>
          </w:p>
        </w:tc>
        <w:tc>
          <w:tcPr>
            <w:tcW w:w="1955" w:type="dxa"/>
            <w:shd w:val="clear" w:color="auto" w:fill="E7E6E6" w:themeFill="background2"/>
          </w:tcPr>
          <w:p w:rsidRPr="00804D97" w:rsidR="00804D97" w:rsidP="00514837" w:rsidRDefault="00804D97" w14:paraId="0B94FAE8" w14:textId="585575DD">
            <w:pPr>
              <w:keepLines/>
              <w:spacing w:after="0"/>
              <w:rPr>
                <w:b/>
                <w:bCs/>
                <w:sz w:val="20"/>
                <w:szCs w:val="20"/>
              </w:rPr>
            </w:pPr>
            <w:r w:rsidRPr="00804D97">
              <w:rPr>
                <w:b/>
                <w:bCs/>
                <w:sz w:val="20"/>
                <w:szCs w:val="20"/>
              </w:rPr>
              <w:t>1,346,813</w:t>
            </w:r>
          </w:p>
        </w:tc>
      </w:tr>
      <w:tr w:rsidRPr="00732012" w:rsidR="00A9268D" w:rsidTr="00C351ED" w14:paraId="3637C460" w14:textId="77777777">
        <w:trPr>
          <w:trHeight w:val="520"/>
          <w:jc w:val="center"/>
        </w:trPr>
        <w:tc>
          <w:tcPr>
            <w:tcW w:w="3685" w:type="dxa"/>
            <w:shd w:val="clear" w:color="auto" w:fill="auto"/>
            <w:hideMark/>
          </w:tcPr>
          <w:p w:rsidRPr="00A9268D" w:rsidR="00A9268D" w:rsidP="00514837" w:rsidRDefault="00A9268D" w14:paraId="214BECC6" w14:textId="087735CD">
            <w:pPr>
              <w:keepLines/>
              <w:spacing w:after="0"/>
              <w:rPr>
                <w:sz w:val="20"/>
                <w:szCs w:val="20"/>
              </w:rPr>
            </w:pPr>
            <w:r w:rsidRPr="00A9268D">
              <w:rPr>
                <w:sz w:val="20"/>
                <w:szCs w:val="20"/>
              </w:rPr>
              <w:t>Cost to Submit Quality Data (@ computer systems analyst’s labor rate of $90.02/hr) (j)</w:t>
            </w:r>
          </w:p>
        </w:tc>
        <w:tc>
          <w:tcPr>
            <w:tcW w:w="2160" w:type="dxa"/>
            <w:shd w:val="clear" w:color="auto" w:fill="auto"/>
          </w:tcPr>
          <w:p w:rsidRPr="00893089" w:rsidR="00A9268D" w:rsidP="00514837" w:rsidRDefault="00A9268D" w14:paraId="78C71B67" w14:textId="172F8956">
            <w:pPr>
              <w:keepLines/>
              <w:spacing w:after="0"/>
              <w:rPr>
                <w:sz w:val="20"/>
                <w:szCs w:val="20"/>
              </w:rPr>
            </w:pPr>
            <w:r w:rsidRPr="00893089">
              <w:rPr>
                <w:sz w:val="20"/>
                <w:szCs w:val="20"/>
              </w:rPr>
              <w:t>$13.50</w:t>
            </w:r>
          </w:p>
        </w:tc>
        <w:tc>
          <w:tcPr>
            <w:tcW w:w="1980" w:type="dxa"/>
            <w:shd w:val="clear" w:color="auto" w:fill="auto"/>
          </w:tcPr>
          <w:p w:rsidRPr="00893089" w:rsidR="00A9268D" w:rsidP="00514837" w:rsidRDefault="00A9268D" w14:paraId="09733675" w14:textId="456E59A7">
            <w:pPr>
              <w:keepLines/>
              <w:spacing w:after="0"/>
              <w:rPr>
                <w:sz w:val="20"/>
                <w:szCs w:val="20"/>
              </w:rPr>
            </w:pPr>
            <w:r w:rsidRPr="00893089">
              <w:rPr>
                <w:sz w:val="20"/>
                <w:szCs w:val="20"/>
              </w:rPr>
              <w:t>$94.52</w:t>
            </w:r>
          </w:p>
        </w:tc>
        <w:tc>
          <w:tcPr>
            <w:tcW w:w="1955" w:type="dxa"/>
            <w:shd w:val="clear" w:color="auto" w:fill="auto"/>
          </w:tcPr>
          <w:p w:rsidRPr="00893089" w:rsidR="00A9268D" w:rsidP="00514837" w:rsidRDefault="00A9268D" w14:paraId="23FCD9AF" w14:textId="76A16EBF">
            <w:pPr>
              <w:keepLines/>
              <w:spacing w:after="0"/>
              <w:rPr>
                <w:sz w:val="20"/>
                <w:szCs w:val="20"/>
              </w:rPr>
            </w:pPr>
            <w:r w:rsidRPr="00893089">
              <w:rPr>
                <w:sz w:val="20"/>
                <w:szCs w:val="20"/>
              </w:rPr>
              <w:t>$648.14</w:t>
            </w:r>
          </w:p>
        </w:tc>
      </w:tr>
      <w:tr w:rsidRPr="00732012" w:rsidR="00A9268D" w:rsidTr="00C351ED" w14:paraId="77B72102" w14:textId="77777777">
        <w:trPr>
          <w:trHeight w:val="520"/>
          <w:jc w:val="center"/>
        </w:trPr>
        <w:tc>
          <w:tcPr>
            <w:tcW w:w="3685" w:type="dxa"/>
            <w:shd w:val="clear" w:color="auto" w:fill="auto"/>
            <w:hideMark/>
          </w:tcPr>
          <w:p w:rsidRPr="00A9268D" w:rsidR="00A9268D" w:rsidP="00514837" w:rsidRDefault="00A9268D" w14:paraId="14755A63" w14:textId="1F2DF0F8">
            <w:pPr>
              <w:keepLines/>
              <w:spacing w:after="0"/>
              <w:rPr>
                <w:sz w:val="20"/>
                <w:szCs w:val="20"/>
              </w:rPr>
            </w:pPr>
            <w:r w:rsidRPr="00A9268D">
              <w:rPr>
                <w:sz w:val="20"/>
                <w:szCs w:val="20"/>
              </w:rPr>
              <w:t>Cost to Review Measure Specifications (@ practice administrator's labor rate of $109.36/hr) (k)</w:t>
            </w:r>
          </w:p>
        </w:tc>
        <w:tc>
          <w:tcPr>
            <w:tcW w:w="2160" w:type="dxa"/>
            <w:shd w:val="clear" w:color="auto" w:fill="auto"/>
          </w:tcPr>
          <w:p w:rsidRPr="00893089" w:rsidR="00A9268D" w:rsidP="00514837" w:rsidRDefault="00A9268D" w14:paraId="751954B0" w14:textId="07A443B7">
            <w:pPr>
              <w:keepLines/>
              <w:spacing w:after="0"/>
              <w:rPr>
                <w:sz w:val="20"/>
                <w:szCs w:val="20"/>
              </w:rPr>
            </w:pPr>
            <w:r w:rsidRPr="00893089">
              <w:rPr>
                <w:sz w:val="20"/>
                <w:szCs w:val="20"/>
              </w:rPr>
              <w:t>$328.08</w:t>
            </w:r>
          </w:p>
        </w:tc>
        <w:tc>
          <w:tcPr>
            <w:tcW w:w="1980" w:type="dxa"/>
            <w:shd w:val="clear" w:color="auto" w:fill="auto"/>
          </w:tcPr>
          <w:p w:rsidRPr="00893089" w:rsidR="00A9268D" w:rsidP="00514837" w:rsidRDefault="00A9268D" w14:paraId="67D2E423" w14:textId="308EFE03">
            <w:pPr>
              <w:keepLines/>
              <w:spacing w:after="0"/>
              <w:rPr>
                <w:sz w:val="20"/>
                <w:szCs w:val="20"/>
              </w:rPr>
            </w:pPr>
            <w:r w:rsidRPr="00893089">
              <w:rPr>
                <w:sz w:val="20"/>
                <w:szCs w:val="20"/>
              </w:rPr>
              <w:t>$328.08</w:t>
            </w:r>
          </w:p>
        </w:tc>
        <w:tc>
          <w:tcPr>
            <w:tcW w:w="1955" w:type="dxa"/>
            <w:shd w:val="clear" w:color="auto" w:fill="auto"/>
          </w:tcPr>
          <w:p w:rsidRPr="00893089" w:rsidR="00A9268D" w:rsidP="00514837" w:rsidRDefault="00A9268D" w14:paraId="20870AD4" w14:textId="1AE4F3F9">
            <w:pPr>
              <w:keepLines/>
              <w:spacing w:after="0"/>
              <w:rPr>
                <w:sz w:val="20"/>
                <w:szCs w:val="20"/>
              </w:rPr>
            </w:pPr>
            <w:r w:rsidRPr="00893089">
              <w:rPr>
                <w:sz w:val="20"/>
                <w:szCs w:val="20"/>
              </w:rPr>
              <w:t>$328.08</w:t>
            </w:r>
          </w:p>
        </w:tc>
      </w:tr>
      <w:tr w:rsidRPr="00732012" w:rsidR="00A9268D" w:rsidTr="00C351ED" w14:paraId="470510B7" w14:textId="77777777">
        <w:trPr>
          <w:trHeight w:val="520"/>
          <w:jc w:val="center"/>
        </w:trPr>
        <w:tc>
          <w:tcPr>
            <w:tcW w:w="3685" w:type="dxa"/>
            <w:shd w:val="clear" w:color="auto" w:fill="auto"/>
            <w:hideMark/>
          </w:tcPr>
          <w:p w:rsidRPr="00A9268D" w:rsidR="00A9268D" w:rsidP="00514837" w:rsidRDefault="00A9268D" w14:paraId="477A3A32" w14:textId="59635F4B">
            <w:pPr>
              <w:keepLines/>
              <w:spacing w:after="0"/>
              <w:rPr>
                <w:sz w:val="20"/>
                <w:szCs w:val="20"/>
              </w:rPr>
            </w:pPr>
            <w:r w:rsidRPr="00A9268D">
              <w:rPr>
                <w:sz w:val="20"/>
                <w:szCs w:val="20"/>
              </w:rPr>
              <w:t>Cost to Review Measure Specifications (@ computer systems analyst’s labor rate of $90.02/hr) (l)</w:t>
            </w:r>
          </w:p>
        </w:tc>
        <w:tc>
          <w:tcPr>
            <w:tcW w:w="2160" w:type="dxa"/>
            <w:shd w:val="clear" w:color="auto" w:fill="auto"/>
          </w:tcPr>
          <w:p w:rsidRPr="00893089" w:rsidR="00A9268D" w:rsidP="00514837" w:rsidRDefault="00A9268D" w14:paraId="37175C5E" w14:textId="5DC0646C">
            <w:pPr>
              <w:keepLines/>
              <w:spacing w:after="0"/>
              <w:rPr>
                <w:sz w:val="20"/>
                <w:szCs w:val="20"/>
              </w:rPr>
            </w:pPr>
            <w:r w:rsidRPr="00893089">
              <w:rPr>
                <w:sz w:val="20"/>
                <w:szCs w:val="20"/>
              </w:rPr>
              <w:t>$90.02</w:t>
            </w:r>
          </w:p>
        </w:tc>
        <w:tc>
          <w:tcPr>
            <w:tcW w:w="1980" w:type="dxa"/>
            <w:shd w:val="clear" w:color="auto" w:fill="auto"/>
          </w:tcPr>
          <w:p w:rsidRPr="00893089" w:rsidR="00A9268D" w:rsidP="00514837" w:rsidRDefault="00A9268D" w14:paraId="163F5193" w14:textId="07D41C8F">
            <w:pPr>
              <w:keepLines/>
              <w:spacing w:after="0"/>
              <w:rPr>
                <w:sz w:val="20"/>
                <w:szCs w:val="20"/>
              </w:rPr>
            </w:pPr>
            <w:r w:rsidRPr="00893089">
              <w:rPr>
                <w:sz w:val="20"/>
                <w:szCs w:val="20"/>
              </w:rPr>
              <w:t>$90.02</w:t>
            </w:r>
          </w:p>
        </w:tc>
        <w:tc>
          <w:tcPr>
            <w:tcW w:w="1955" w:type="dxa"/>
            <w:shd w:val="clear" w:color="auto" w:fill="auto"/>
          </w:tcPr>
          <w:p w:rsidRPr="00893089" w:rsidR="00A9268D" w:rsidP="00514837" w:rsidRDefault="00A9268D" w14:paraId="16293C90" w14:textId="28DBA911">
            <w:pPr>
              <w:keepLines/>
              <w:spacing w:after="0"/>
              <w:rPr>
                <w:sz w:val="20"/>
                <w:szCs w:val="20"/>
              </w:rPr>
            </w:pPr>
            <w:r w:rsidRPr="00893089">
              <w:rPr>
                <w:sz w:val="20"/>
                <w:szCs w:val="20"/>
              </w:rPr>
              <w:t>$90.02</w:t>
            </w:r>
          </w:p>
        </w:tc>
      </w:tr>
      <w:tr w:rsidRPr="00732012" w:rsidR="00A9268D" w:rsidTr="00C351ED" w14:paraId="7C82E7FF" w14:textId="77777777">
        <w:trPr>
          <w:trHeight w:val="520"/>
          <w:jc w:val="center"/>
        </w:trPr>
        <w:tc>
          <w:tcPr>
            <w:tcW w:w="3685" w:type="dxa"/>
            <w:shd w:val="clear" w:color="auto" w:fill="auto"/>
            <w:hideMark/>
          </w:tcPr>
          <w:p w:rsidRPr="00A9268D" w:rsidR="00A9268D" w:rsidP="00514837" w:rsidRDefault="00A9268D" w14:paraId="285F235C" w14:textId="7745A2EA">
            <w:pPr>
              <w:keepLines/>
              <w:spacing w:after="0"/>
              <w:rPr>
                <w:sz w:val="20"/>
                <w:szCs w:val="20"/>
              </w:rPr>
            </w:pPr>
            <w:r w:rsidRPr="00A9268D">
              <w:rPr>
                <w:sz w:val="20"/>
                <w:szCs w:val="20"/>
              </w:rPr>
              <w:t>Cost to Review Measure Specifications (@ LPN's labor rate of $45.24/hr) (m)</w:t>
            </w:r>
          </w:p>
        </w:tc>
        <w:tc>
          <w:tcPr>
            <w:tcW w:w="2160" w:type="dxa"/>
            <w:shd w:val="clear" w:color="auto" w:fill="auto"/>
          </w:tcPr>
          <w:p w:rsidRPr="00893089" w:rsidR="00A9268D" w:rsidP="00514837" w:rsidRDefault="00A9268D" w14:paraId="64DC42F5" w14:textId="0BFB58B0">
            <w:pPr>
              <w:keepLines/>
              <w:spacing w:after="0"/>
              <w:rPr>
                <w:sz w:val="20"/>
                <w:szCs w:val="20"/>
              </w:rPr>
            </w:pPr>
            <w:r w:rsidRPr="00893089">
              <w:rPr>
                <w:sz w:val="20"/>
                <w:szCs w:val="20"/>
              </w:rPr>
              <w:t>$45.24</w:t>
            </w:r>
          </w:p>
        </w:tc>
        <w:tc>
          <w:tcPr>
            <w:tcW w:w="1980" w:type="dxa"/>
            <w:shd w:val="clear" w:color="auto" w:fill="auto"/>
          </w:tcPr>
          <w:p w:rsidRPr="00893089" w:rsidR="00A9268D" w:rsidP="00514837" w:rsidRDefault="00A9268D" w14:paraId="7101963B" w14:textId="637C89AE">
            <w:pPr>
              <w:keepLines/>
              <w:spacing w:after="0"/>
              <w:rPr>
                <w:sz w:val="20"/>
                <w:szCs w:val="20"/>
              </w:rPr>
            </w:pPr>
            <w:r w:rsidRPr="00893089">
              <w:rPr>
                <w:sz w:val="20"/>
                <w:szCs w:val="20"/>
              </w:rPr>
              <w:t>$45.24</w:t>
            </w:r>
          </w:p>
        </w:tc>
        <w:tc>
          <w:tcPr>
            <w:tcW w:w="1955" w:type="dxa"/>
            <w:shd w:val="clear" w:color="auto" w:fill="auto"/>
          </w:tcPr>
          <w:p w:rsidRPr="00893089" w:rsidR="00A9268D" w:rsidP="00514837" w:rsidRDefault="00A9268D" w14:paraId="64ED3E7B" w14:textId="0835C165">
            <w:pPr>
              <w:keepLines/>
              <w:spacing w:after="0"/>
              <w:rPr>
                <w:sz w:val="20"/>
                <w:szCs w:val="20"/>
              </w:rPr>
            </w:pPr>
            <w:r w:rsidRPr="00893089">
              <w:rPr>
                <w:sz w:val="20"/>
                <w:szCs w:val="20"/>
              </w:rPr>
              <w:t>$45.24</w:t>
            </w:r>
          </w:p>
        </w:tc>
      </w:tr>
      <w:tr w:rsidRPr="00732012" w:rsidR="00A9268D" w:rsidTr="00C351ED" w14:paraId="459D0BA8" w14:textId="77777777">
        <w:trPr>
          <w:trHeight w:val="520"/>
          <w:jc w:val="center"/>
        </w:trPr>
        <w:tc>
          <w:tcPr>
            <w:tcW w:w="3685" w:type="dxa"/>
            <w:shd w:val="clear" w:color="auto" w:fill="auto"/>
            <w:hideMark/>
          </w:tcPr>
          <w:p w:rsidRPr="00A9268D" w:rsidR="00A9268D" w:rsidP="00514837" w:rsidRDefault="00A9268D" w14:paraId="450B1061" w14:textId="094ED444">
            <w:pPr>
              <w:keepLines/>
              <w:spacing w:after="0"/>
              <w:rPr>
                <w:sz w:val="20"/>
                <w:szCs w:val="20"/>
              </w:rPr>
            </w:pPr>
            <w:r w:rsidRPr="00A9268D">
              <w:rPr>
                <w:sz w:val="20"/>
                <w:szCs w:val="20"/>
              </w:rPr>
              <w:t>Cost to Review Measure Specifications (@ billing clerk’s labor rate of $38.00/hr) (n)</w:t>
            </w:r>
          </w:p>
        </w:tc>
        <w:tc>
          <w:tcPr>
            <w:tcW w:w="2160" w:type="dxa"/>
            <w:shd w:val="clear" w:color="auto" w:fill="auto"/>
          </w:tcPr>
          <w:p w:rsidRPr="00893089" w:rsidR="00A9268D" w:rsidP="00514837" w:rsidRDefault="00A9268D" w14:paraId="5480450F" w14:textId="3460E46B">
            <w:pPr>
              <w:keepLines/>
              <w:spacing w:after="0"/>
              <w:rPr>
                <w:sz w:val="20"/>
                <w:szCs w:val="20"/>
              </w:rPr>
            </w:pPr>
            <w:r w:rsidRPr="00893089">
              <w:rPr>
                <w:sz w:val="20"/>
                <w:szCs w:val="20"/>
              </w:rPr>
              <w:t>$38.00</w:t>
            </w:r>
          </w:p>
        </w:tc>
        <w:tc>
          <w:tcPr>
            <w:tcW w:w="1980" w:type="dxa"/>
            <w:shd w:val="clear" w:color="auto" w:fill="auto"/>
          </w:tcPr>
          <w:p w:rsidRPr="00893089" w:rsidR="00A9268D" w:rsidP="00514837" w:rsidRDefault="00A9268D" w14:paraId="57E638E6" w14:textId="00CD4A7C">
            <w:pPr>
              <w:keepLines/>
              <w:spacing w:after="0"/>
              <w:rPr>
                <w:sz w:val="20"/>
                <w:szCs w:val="20"/>
              </w:rPr>
            </w:pPr>
            <w:r w:rsidRPr="00893089">
              <w:rPr>
                <w:sz w:val="20"/>
                <w:szCs w:val="20"/>
              </w:rPr>
              <w:t>$38.00</w:t>
            </w:r>
          </w:p>
        </w:tc>
        <w:tc>
          <w:tcPr>
            <w:tcW w:w="1955" w:type="dxa"/>
            <w:shd w:val="clear" w:color="auto" w:fill="auto"/>
          </w:tcPr>
          <w:p w:rsidRPr="00893089" w:rsidR="00A9268D" w:rsidP="00514837" w:rsidRDefault="00A9268D" w14:paraId="3621B156" w14:textId="0201DCB8">
            <w:pPr>
              <w:keepLines/>
              <w:spacing w:after="0"/>
              <w:rPr>
                <w:sz w:val="20"/>
                <w:szCs w:val="20"/>
              </w:rPr>
            </w:pPr>
            <w:r w:rsidRPr="00893089">
              <w:rPr>
                <w:sz w:val="20"/>
                <w:szCs w:val="20"/>
              </w:rPr>
              <w:t>$38.00</w:t>
            </w:r>
          </w:p>
        </w:tc>
      </w:tr>
      <w:tr w:rsidRPr="00732012" w:rsidR="00A9268D" w:rsidTr="00C351ED" w14:paraId="42CF337B" w14:textId="77777777">
        <w:trPr>
          <w:trHeight w:val="520"/>
          <w:jc w:val="center"/>
        </w:trPr>
        <w:tc>
          <w:tcPr>
            <w:tcW w:w="3685" w:type="dxa"/>
            <w:shd w:val="clear" w:color="auto" w:fill="auto"/>
            <w:hideMark/>
          </w:tcPr>
          <w:p w:rsidRPr="00A9268D" w:rsidR="00A9268D" w:rsidP="00514837" w:rsidRDefault="00A9268D" w14:paraId="34D4F696" w14:textId="05F29AE5">
            <w:pPr>
              <w:keepLines/>
              <w:spacing w:after="0"/>
              <w:rPr>
                <w:sz w:val="20"/>
                <w:szCs w:val="20"/>
              </w:rPr>
            </w:pPr>
            <w:r w:rsidRPr="00A9268D">
              <w:rPr>
                <w:sz w:val="20"/>
                <w:szCs w:val="20"/>
              </w:rPr>
              <w:t>Cost to Review Measure Specifications (@ physician’s labor rate of $202.86/hr) (o)</w:t>
            </w:r>
          </w:p>
        </w:tc>
        <w:tc>
          <w:tcPr>
            <w:tcW w:w="2160" w:type="dxa"/>
            <w:shd w:val="clear" w:color="auto" w:fill="auto"/>
          </w:tcPr>
          <w:p w:rsidRPr="00893089" w:rsidR="00A9268D" w:rsidP="00514837" w:rsidRDefault="00A9268D" w14:paraId="6904A810" w14:textId="07CFBEAF">
            <w:pPr>
              <w:keepLines/>
              <w:spacing w:after="0"/>
              <w:rPr>
                <w:sz w:val="20"/>
                <w:szCs w:val="20"/>
              </w:rPr>
            </w:pPr>
            <w:r w:rsidRPr="00893089">
              <w:rPr>
                <w:sz w:val="20"/>
                <w:szCs w:val="20"/>
              </w:rPr>
              <w:t>$202.86</w:t>
            </w:r>
          </w:p>
        </w:tc>
        <w:tc>
          <w:tcPr>
            <w:tcW w:w="1980" w:type="dxa"/>
            <w:shd w:val="clear" w:color="auto" w:fill="auto"/>
          </w:tcPr>
          <w:p w:rsidRPr="00893089" w:rsidR="00A9268D" w:rsidP="00514837" w:rsidRDefault="00A9268D" w14:paraId="72B06A44" w14:textId="05D6A7F7">
            <w:pPr>
              <w:keepLines/>
              <w:spacing w:after="0"/>
              <w:rPr>
                <w:sz w:val="20"/>
                <w:szCs w:val="20"/>
              </w:rPr>
            </w:pPr>
            <w:r w:rsidRPr="00893089">
              <w:rPr>
                <w:sz w:val="20"/>
                <w:szCs w:val="20"/>
              </w:rPr>
              <w:t>$202.86</w:t>
            </w:r>
          </w:p>
        </w:tc>
        <w:tc>
          <w:tcPr>
            <w:tcW w:w="1955" w:type="dxa"/>
            <w:shd w:val="clear" w:color="auto" w:fill="auto"/>
          </w:tcPr>
          <w:p w:rsidRPr="00893089" w:rsidR="00A9268D" w:rsidP="00514837" w:rsidRDefault="00A9268D" w14:paraId="74E9A797" w14:textId="0292FA6B">
            <w:pPr>
              <w:keepLines/>
              <w:spacing w:after="0"/>
              <w:rPr>
                <w:sz w:val="20"/>
                <w:szCs w:val="20"/>
              </w:rPr>
            </w:pPr>
            <w:r w:rsidRPr="00893089">
              <w:rPr>
                <w:sz w:val="20"/>
                <w:szCs w:val="20"/>
              </w:rPr>
              <w:t>$202.86</w:t>
            </w:r>
          </w:p>
        </w:tc>
      </w:tr>
      <w:tr w:rsidRPr="00732012" w:rsidR="00893089" w:rsidTr="00C351ED" w14:paraId="37ED80F3" w14:textId="77777777">
        <w:trPr>
          <w:trHeight w:val="525"/>
          <w:jc w:val="center"/>
        </w:trPr>
        <w:tc>
          <w:tcPr>
            <w:tcW w:w="3685" w:type="dxa"/>
            <w:shd w:val="clear" w:color="auto" w:fill="auto"/>
            <w:hideMark/>
          </w:tcPr>
          <w:p w:rsidRPr="00732012" w:rsidR="00893089" w:rsidP="00514837" w:rsidRDefault="00893089" w14:paraId="21F6D79E" w14:textId="77777777">
            <w:pPr>
              <w:keepLines/>
              <w:spacing w:after="0"/>
              <w:rPr>
                <w:sz w:val="20"/>
                <w:szCs w:val="20"/>
              </w:rPr>
            </w:pPr>
            <w:r w:rsidRPr="00732012">
              <w:rPr>
                <w:sz w:val="20"/>
                <w:szCs w:val="20"/>
              </w:rPr>
              <w:t>Total Annual Cost Per Clinician (p) = (j)+(k)+(l)+(m)+(n)+(o)</w:t>
            </w:r>
          </w:p>
        </w:tc>
        <w:tc>
          <w:tcPr>
            <w:tcW w:w="2160" w:type="dxa"/>
            <w:shd w:val="clear" w:color="auto" w:fill="auto"/>
          </w:tcPr>
          <w:p w:rsidRPr="00893089" w:rsidR="00893089" w:rsidP="00514837" w:rsidRDefault="00893089" w14:paraId="15BA8B63" w14:textId="436E2068">
            <w:pPr>
              <w:keepLines/>
              <w:spacing w:after="0"/>
              <w:rPr>
                <w:sz w:val="20"/>
                <w:szCs w:val="20"/>
              </w:rPr>
            </w:pPr>
            <w:r w:rsidRPr="00893089">
              <w:rPr>
                <w:sz w:val="20"/>
                <w:szCs w:val="20"/>
              </w:rPr>
              <w:t>$717.70</w:t>
            </w:r>
          </w:p>
        </w:tc>
        <w:tc>
          <w:tcPr>
            <w:tcW w:w="1980" w:type="dxa"/>
            <w:shd w:val="clear" w:color="auto" w:fill="auto"/>
          </w:tcPr>
          <w:p w:rsidRPr="00893089" w:rsidR="00893089" w:rsidP="00514837" w:rsidRDefault="00893089" w14:paraId="30821747" w14:textId="4CF8ADB3">
            <w:pPr>
              <w:keepLines/>
              <w:spacing w:after="0"/>
              <w:rPr>
                <w:sz w:val="20"/>
                <w:szCs w:val="20"/>
              </w:rPr>
            </w:pPr>
            <w:r w:rsidRPr="00893089">
              <w:rPr>
                <w:sz w:val="20"/>
                <w:szCs w:val="20"/>
              </w:rPr>
              <w:t>$798.72</w:t>
            </w:r>
          </w:p>
        </w:tc>
        <w:tc>
          <w:tcPr>
            <w:tcW w:w="1955" w:type="dxa"/>
            <w:shd w:val="clear" w:color="auto" w:fill="auto"/>
          </w:tcPr>
          <w:p w:rsidRPr="00893089" w:rsidR="00893089" w:rsidP="00514837" w:rsidRDefault="00893089" w14:paraId="09C3CF1F" w14:textId="7685A267">
            <w:pPr>
              <w:keepLines/>
              <w:spacing w:after="0"/>
              <w:rPr>
                <w:sz w:val="20"/>
                <w:szCs w:val="20"/>
              </w:rPr>
            </w:pPr>
            <w:r w:rsidRPr="00893089">
              <w:rPr>
                <w:sz w:val="20"/>
                <w:szCs w:val="20"/>
              </w:rPr>
              <w:t>$1,352.34</w:t>
            </w:r>
          </w:p>
        </w:tc>
      </w:tr>
      <w:tr w:rsidRPr="00732012" w:rsidR="00182CE8" w:rsidTr="00C351ED" w14:paraId="54D57C73" w14:textId="77777777">
        <w:trPr>
          <w:trHeight w:val="525"/>
          <w:jc w:val="center"/>
        </w:trPr>
        <w:tc>
          <w:tcPr>
            <w:tcW w:w="368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182CE8" w:rsidP="00514837" w:rsidRDefault="00182CE8" w14:paraId="2D78B5F5" w14:textId="47126E17">
            <w:pPr>
              <w:keepLines/>
              <w:spacing w:after="0"/>
              <w:rPr>
                <w:b/>
                <w:bCs/>
                <w:sz w:val="20"/>
                <w:szCs w:val="20"/>
              </w:rPr>
            </w:pPr>
            <w:r w:rsidRPr="00732012">
              <w:rPr>
                <w:b/>
                <w:bCs/>
                <w:sz w:val="20"/>
                <w:szCs w:val="20"/>
              </w:rPr>
              <w:t>Total Annual Cost (q) = (a)*(p)</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tcPr>
          <w:p w:rsidRPr="00732012" w:rsidR="00182CE8" w:rsidP="00514837" w:rsidRDefault="00182CE8" w14:paraId="0AE93D04" w14:textId="4A743C54">
            <w:pPr>
              <w:keepLines/>
              <w:spacing w:after="0"/>
              <w:rPr>
                <w:b/>
                <w:bCs/>
                <w:sz w:val="20"/>
                <w:szCs w:val="20"/>
              </w:rPr>
            </w:pPr>
            <w:r w:rsidRPr="00CC2BFB">
              <w:rPr>
                <w:rFonts w:eastAsia="Calibri"/>
                <w:b/>
                <w:bCs/>
                <w:sz w:val="20"/>
                <w:szCs w:val="20"/>
              </w:rPr>
              <w:t>$</w:t>
            </w:r>
            <w:r>
              <w:rPr>
                <w:rFonts w:eastAsia="Calibri"/>
                <w:b/>
                <w:bCs/>
                <w:sz w:val="20"/>
                <w:szCs w:val="20"/>
              </w:rPr>
              <w:t>68,071,259</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tcPr>
          <w:p w:rsidRPr="00732012" w:rsidR="00182CE8" w:rsidP="00514837" w:rsidRDefault="00182CE8" w14:paraId="30D68118" w14:textId="44141A65">
            <w:pPr>
              <w:keepLines/>
              <w:spacing w:after="0"/>
              <w:rPr>
                <w:b/>
                <w:bCs/>
                <w:sz w:val="20"/>
                <w:szCs w:val="20"/>
              </w:rPr>
            </w:pPr>
            <w:r w:rsidRPr="00CC2BFB">
              <w:rPr>
                <w:rFonts w:eastAsia="Calibri"/>
                <w:b/>
                <w:bCs/>
                <w:sz w:val="20"/>
                <w:szCs w:val="20"/>
              </w:rPr>
              <w:t>$</w:t>
            </w:r>
            <w:r>
              <w:rPr>
                <w:rFonts w:eastAsia="Calibri"/>
                <w:b/>
                <w:bCs/>
                <w:sz w:val="20"/>
                <w:szCs w:val="20"/>
              </w:rPr>
              <w:t>75,755,492</w:t>
            </w:r>
          </w:p>
        </w:tc>
        <w:tc>
          <w:tcPr>
            <w:tcW w:w="1955" w:type="dxa"/>
            <w:tcBorders>
              <w:top w:val="single" w:color="auto" w:sz="4" w:space="0"/>
              <w:left w:val="single" w:color="auto" w:sz="4" w:space="0"/>
              <w:bottom w:val="single" w:color="auto" w:sz="4" w:space="0"/>
              <w:right w:val="single" w:color="auto" w:sz="4" w:space="0"/>
            </w:tcBorders>
            <w:shd w:val="clear" w:color="auto" w:fill="E7E6E6" w:themeFill="background2"/>
          </w:tcPr>
          <w:p w:rsidRPr="00732012" w:rsidR="00182CE8" w:rsidP="00514837" w:rsidRDefault="00182CE8" w14:paraId="302349DD" w14:textId="4B18DB50">
            <w:pPr>
              <w:keepLines/>
              <w:spacing w:after="0"/>
              <w:rPr>
                <w:b/>
                <w:bCs/>
                <w:sz w:val="20"/>
                <w:szCs w:val="20"/>
              </w:rPr>
            </w:pPr>
            <w:r w:rsidRPr="00CC2BFB">
              <w:rPr>
                <w:rFonts w:eastAsia="Calibri"/>
                <w:b/>
                <w:bCs/>
                <w:sz w:val="20"/>
                <w:szCs w:val="20"/>
              </w:rPr>
              <w:t>$</w:t>
            </w:r>
            <w:r>
              <w:rPr>
                <w:rFonts w:eastAsia="Calibri"/>
                <w:b/>
                <w:bCs/>
                <w:sz w:val="20"/>
                <w:szCs w:val="20"/>
              </w:rPr>
              <w:t>128,264,419</w:t>
            </w:r>
          </w:p>
        </w:tc>
      </w:tr>
    </w:tbl>
    <w:p w:rsidR="00C351ED" w:rsidP="00334306" w:rsidRDefault="00C351ED" w14:paraId="7C38BE7B" w14:textId="221F1EF9">
      <w:pPr>
        <w:keepNext/>
        <w:keepLines/>
        <w:ind w:firstLine="720"/>
      </w:pPr>
      <w:r>
        <w:t xml:space="preserve">    </w:t>
      </w:r>
    </w:p>
    <w:p w:rsidR="00C351ED" w:rsidP="00334306" w:rsidRDefault="00C351ED" w14:paraId="59E52315" w14:textId="1F3B5C3A">
      <w:pPr>
        <w:pStyle w:val="Heading4"/>
        <w:numPr>
          <w:ilvl w:val="0"/>
          <w:numId w:val="33"/>
        </w:numPr>
      </w:pPr>
      <w:r>
        <w:t xml:space="preserve">Burden </w:t>
      </w:r>
      <w:r w:rsidRPr="00B05B18">
        <w:t xml:space="preserve">for </w:t>
      </w:r>
      <w:r>
        <w:t>Quality Data Submission by Individuals</w:t>
      </w:r>
      <w:r w:rsidR="001964ED">
        <w:t xml:space="preserve"> and</w:t>
      </w:r>
      <w:r>
        <w:t xml:space="preserve"> Groups: </w:t>
      </w:r>
      <w:r w:rsidR="00037FF8">
        <w:t>MIPS CQM</w:t>
      </w:r>
      <w:r>
        <w:t xml:space="preserve"> and QCDR Collection Types</w:t>
      </w:r>
    </w:p>
    <w:p w:rsidR="00C351ED" w:rsidP="00334306" w:rsidRDefault="00C351ED" w14:paraId="66F748FE" w14:textId="37E1FA16">
      <w:pPr>
        <w:keepNext/>
        <w:keepLines/>
      </w:pPr>
    </w:p>
    <w:p w:rsidRPr="00423A87" w:rsidR="00423A87" w:rsidP="00730BEF" w:rsidRDefault="00423A87" w14:paraId="51A7F991" w14:textId="55E96383">
      <w:pPr>
        <w:keepNext/>
        <w:keepLines/>
        <w:rPr>
          <w:rFonts w:eastAsia="Calibri"/>
        </w:rPr>
      </w:pPr>
      <w:r w:rsidRPr="00423A87">
        <w:rPr>
          <w:rFonts w:eastAsia="Calibri"/>
        </w:rPr>
        <w:t xml:space="preserve">As noted in Tables 5, 6, and 7, </w:t>
      </w:r>
      <w:r w:rsidRPr="009C4D33" w:rsidR="00A350F1">
        <w:rPr>
          <w:rFonts w:eastAsia="Calibri"/>
        </w:rPr>
        <w:t xml:space="preserve">and </w:t>
      </w:r>
      <w:r w:rsidRPr="00110E29" w:rsidR="00110E29">
        <w:rPr>
          <w:rFonts w:eastAsia="Calibri"/>
        </w:rPr>
        <w:t xml:space="preserve">based on 2018 MIPS performance period data, we assume that 391,430 clinicians will submit quality data as individuals or groups using MIPS CQM or QCDR collection types.  Of these, we expect 100,269 clinicians, as shown in Table </w:t>
      </w:r>
      <w:r w:rsidR="00110E29">
        <w:rPr>
          <w:rFonts w:eastAsia="Calibri"/>
        </w:rPr>
        <w:t>6, w</w:t>
      </w:r>
      <w:r w:rsidRPr="00110E29" w:rsidR="00110E29">
        <w:rPr>
          <w:rFonts w:eastAsia="Calibri"/>
        </w:rPr>
        <w:t xml:space="preserve">ill submit as individuals and 10,949 groups and virtual groups, as shown in Table </w:t>
      </w:r>
      <w:r w:rsidR="00110E29">
        <w:rPr>
          <w:rFonts w:eastAsia="Calibri"/>
        </w:rPr>
        <w:t>7</w:t>
      </w:r>
      <w:r w:rsidRPr="00110E29" w:rsidR="00110E29">
        <w:rPr>
          <w:rFonts w:eastAsia="Calibri"/>
        </w:rPr>
        <w:t xml:space="preserve">, are expected to submit on behalf of the remaining 291,161 clinicians.  As previously stated, we assume clinicians in other practices (not small practices) who meet all of the following criteria will submit via the MIPS CQM collection type for the 2020 MIPS performance period because the Medicare Part B claims collection type will no longer be available as an option for collecting and reporting quality data:  (1) scored as individuals; (2) not facility-based; and (3) submitted quality data only via the Medicare Part B claims collection type in the 2018 MIPS performance period.  As a result of this assumption and our use of more recent data, </w:t>
      </w:r>
      <w:r w:rsidR="003B2B8B">
        <w:rPr>
          <w:rFonts w:eastAsia="Calibri"/>
        </w:rPr>
        <w:t>we are</w:t>
      </w:r>
      <w:r w:rsidRPr="00110E29" w:rsidR="00110E29">
        <w:rPr>
          <w:rFonts w:eastAsia="Calibri"/>
        </w:rPr>
        <w:t xml:space="preserve"> adjust</w:t>
      </w:r>
      <w:r w:rsidR="003B2B8B">
        <w:rPr>
          <w:rFonts w:eastAsia="Calibri"/>
        </w:rPr>
        <w:t>ing</w:t>
      </w:r>
      <w:r w:rsidRPr="00110E29" w:rsidR="00110E29">
        <w:rPr>
          <w:rFonts w:eastAsia="Calibri"/>
        </w:rPr>
        <w:t xml:space="preserve"> the number of QCDR and MIPS CQM respondents from 81,981 to 111,218 (an increase of 29,237). Given that the number of measures required is the same for clinicians and groups, we expect the burden to be the same for each respondent collecting data via MIPS CQM or QCDR, whether the clinician is participating in MIPS as an individual or group</w:t>
      </w:r>
      <w:r w:rsidRPr="009C4D33" w:rsidR="00A350F1">
        <w:rPr>
          <w:rFonts w:eastAsia="Calibri"/>
        </w:rPr>
        <w:t>.</w:t>
      </w:r>
    </w:p>
    <w:p w:rsidRPr="00423A87" w:rsidR="00423A87" w:rsidP="00730BEF" w:rsidRDefault="00423A87" w14:paraId="341E156E" w14:textId="77777777">
      <w:pPr>
        <w:rPr>
          <w:rFonts w:eastAsia="Calibri"/>
        </w:rPr>
      </w:pPr>
      <w:r w:rsidRPr="00423A87">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rsidR="00350382" w:rsidP="00730BEF" w:rsidRDefault="00A9184D" w14:paraId="4CE15E62" w14:textId="21C59735">
      <w:pPr>
        <w:rPr>
          <w:rFonts w:eastAsia="Calibri"/>
        </w:rPr>
      </w:pPr>
      <w:r w:rsidRPr="00A9184D">
        <w:rPr>
          <w:rFonts w:eastAsia="Calibri"/>
        </w:rPr>
        <w:t>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collection requirements and, in some cases, specialty measure sets and QCDR measures.  Therefore, we believe that the burden for an individual clinician or group to review measure specifications and submit quality data total 9.083 hours at $872.37 per individual clinician or group.  This consists of 3 hours at $90.02/hr for a computer systems analyst (or their equivalent) to submit quality data along with 2 hours at $109.36/hr for a practice administrator, 1 hour at $90.02/hr for a computer systems analyst, 1 hour at $45.24/hr for a LPN/medical assistant, 1 hour at $38.00/hr for a billing clerk, and 1 hour at $202.86/hr for a clinician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per clinician or group (respondent) for a cost of $7.50 (0.083 hr x $90.02/hr for a computer systems analyst</w:t>
      </w:r>
      <w:r w:rsidRPr="00350382" w:rsidR="00350382">
        <w:rPr>
          <w:rFonts w:eastAsia="Calibri"/>
        </w:rPr>
        <w:t xml:space="preserve">).  </w:t>
      </w:r>
    </w:p>
    <w:p w:rsidR="00C351ED" w:rsidP="00730BEF" w:rsidRDefault="006741AF" w14:paraId="7343FD99" w14:textId="42EF8E4B">
      <w:pPr>
        <w:rPr>
          <w:rFonts w:eastAsia="Calibri"/>
        </w:rPr>
      </w:pPr>
      <w:r w:rsidRPr="00CC2BFB">
        <w:rPr>
          <w:rFonts w:eastAsia="Calibri"/>
        </w:rPr>
        <w:t>In aggregate, we estimate an annual burden of 1,0</w:t>
      </w:r>
      <w:r>
        <w:rPr>
          <w:rFonts w:eastAsia="Calibri"/>
        </w:rPr>
        <w:t>10,193</w:t>
      </w:r>
      <w:r w:rsidRPr="00CC2BFB">
        <w:rPr>
          <w:rFonts w:eastAsia="Calibri"/>
        </w:rPr>
        <w:t xml:space="preserve"> hours (9.083 hr/response x 11</w:t>
      </w:r>
      <w:r>
        <w:rPr>
          <w:rFonts w:eastAsia="Calibri"/>
        </w:rPr>
        <w:t>1,218</w:t>
      </w:r>
      <w:r w:rsidRPr="00CC2BFB">
        <w:rPr>
          <w:rFonts w:eastAsia="Calibri"/>
        </w:rPr>
        <w:t xml:space="preserve"> groups plus clinicians submitting as individuals) at a cost of $</w:t>
      </w:r>
      <w:r>
        <w:rPr>
          <w:rFonts w:eastAsia="Calibri"/>
        </w:rPr>
        <w:t>97,023,431</w:t>
      </w:r>
      <w:r w:rsidRPr="00CC2BFB">
        <w:rPr>
          <w:rFonts w:eastAsia="Calibri"/>
        </w:rPr>
        <w:t xml:space="preserve"> (11</w:t>
      </w:r>
      <w:r>
        <w:rPr>
          <w:rFonts w:eastAsia="Calibri"/>
        </w:rPr>
        <w:t>1,218</w:t>
      </w:r>
      <w:r w:rsidRPr="00CC2BFB">
        <w:rPr>
          <w:rFonts w:eastAsia="Calibri"/>
        </w:rPr>
        <w:t xml:space="preserve"> responses x $872.37/response</w:t>
      </w:r>
      <w:r w:rsidRPr="00254880" w:rsidR="00254880">
        <w:rPr>
          <w:rFonts w:eastAsia="Calibri"/>
        </w:rPr>
        <w:t xml:space="preserve">).  </w:t>
      </w:r>
      <w:r w:rsidRPr="00423A87" w:rsidR="00423A87">
        <w:rPr>
          <w:rFonts w:eastAsia="Calibri"/>
        </w:rPr>
        <w:t>Based on these assumptions, we have estimated in Table 1</w:t>
      </w:r>
      <w:r w:rsidR="00423A87">
        <w:rPr>
          <w:rFonts w:eastAsia="Calibri"/>
        </w:rPr>
        <w:t>1</w:t>
      </w:r>
      <w:r w:rsidRPr="00423A87" w:rsidR="00423A87">
        <w:rPr>
          <w:rFonts w:eastAsia="Calibri"/>
        </w:rPr>
        <w:t xml:space="preserve"> the burden for these submissions</w:t>
      </w:r>
      <w:r w:rsidRPr="003428D4" w:rsidR="000B240C">
        <w:rPr>
          <w:rFonts w:eastAsia="Calibri"/>
        </w:rPr>
        <w:t>.</w:t>
      </w:r>
    </w:p>
    <w:p w:rsidRPr="00C47150" w:rsidR="00C351ED" w:rsidP="00C351ED" w:rsidRDefault="00C351ED" w14:paraId="3F53AADF" w14:textId="17FC013B">
      <w:pPr>
        <w:spacing w:after="0"/>
        <w:jc w:val="center"/>
        <w:rPr>
          <w:b/>
        </w:rPr>
      </w:pPr>
      <w:r w:rsidRPr="00C47150">
        <w:rPr>
          <w:b/>
        </w:rPr>
        <w:t xml:space="preserve">TABLE </w:t>
      </w:r>
      <w:r w:rsidR="000B240C">
        <w:rPr>
          <w:b/>
        </w:rPr>
        <w:t>11</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Pr="00C47150">
        <w:rPr>
          <w:b/>
        </w:rPr>
        <w:t>/QCDR Collection Type</w:t>
      </w:r>
    </w:p>
    <w:tbl>
      <w:tblPr>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5"/>
        <w:gridCol w:w="1755"/>
      </w:tblGrid>
      <w:tr w:rsidRPr="00C47150" w:rsidR="00C351ED" w:rsidTr="00C351ED" w14:paraId="14827F76" w14:textId="77777777">
        <w:trPr>
          <w:trHeight w:val="467"/>
          <w:tblHeader/>
          <w:jc w:val="center"/>
        </w:trPr>
        <w:tc>
          <w:tcPr>
            <w:tcW w:w="5845" w:type="dxa"/>
            <w:shd w:val="clear" w:color="auto" w:fill="auto"/>
            <w:vAlign w:val="center"/>
            <w:hideMark/>
          </w:tcPr>
          <w:p w:rsidRPr="00C351ED" w:rsidR="00C351ED" w:rsidP="00C351ED" w:rsidRDefault="00C351ED" w14:paraId="07CF05E1" w14:textId="035601BB">
            <w:pPr>
              <w:spacing w:after="0"/>
              <w:rPr>
                <w:b/>
                <w:sz w:val="20"/>
                <w:szCs w:val="20"/>
              </w:rPr>
            </w:pPr>
            <w:r w:rsidRPr="001742C7">
              <w:rPr>
                <w:sz w:val="20"/>
                <w:szCs w:val="20"/>
              </w:rPr>
              <w:t> </w:t>
            </w:r>
            <w:r w:rsidRPr="00C351ED">
              <w:rPr>
                <w:b/>
                <w:sz w:val="20"/>
                <w:szCs w:val="20"/>
              </w:rPr>
              <w:t>Burden and Respondent Descriptions</w:t>
            </w:r>
          </w:p>
        </w:tc>
        <w:tc>
          <w:tcPr>
            <w:tcW w:w="1755" w:type="dxa"/>
            <w:shd w:val="clear" w:color="auto" w:fill="auto"/>
            <w:vAlign w:val="center"/>
            <w:hideMark/>
          </w:tcPr>
          <w:p w:rsidRPr="001742C7" w:rsidR="00C351ED" w:rsidP="00C351ED" w:rsidRDefault="00C351ED" w14:paraId="2C214C8D" w14:textId="77777777">
            <w:pPr>
              <w:spacing w:after="0"/>
              <w:jc w:val="center"/>
              <w:rPr>
                <w:b/>
                <w:sz w:val="20"/>
                <w:szCs w:val="20"/>
              </w:rPr>
            </w:pPr>
            <w:r w:rsidRPr="001742C7">
              <w:rPr>
                <w:b/>
                <w:sz w:val="20"/>
                <w:szCs w:val="20"/>
              </w:rPr>
              <w:t>Burden Estimate</w:t>
            </w:r>
          </w:p>
        </w:tc>
      </w:tr>
      <w:tr w:rsidRPr="00C47150" w:rsidR="00EC04A5" w:rsidTr="00E83C37" w14:paraId="7607FF30" w14:textId="77777777">
        <w:trPr>
          <w:trHeight w:val="31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6D609B38" w14:textId="77777777">
            <w:pPr>
              <w:spacing w:after="0"/>
              <w:rPr>
                <w:sz w:val="20"/>
                <w:szCs w:val="20"/>
              </w:rPr>
            </w:pPr>
            <w:r w:rsidRPr="00732012">
              <w:rPr>
                <w:sz w:val="20"/>
                <w:szCs w:val="20"/>
              </w:rPr>
              <w:t># of clinicians submitting as individuals (a)</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2E2FACE1" w14:textId="74AFE24E">
            <w:pPr>
              <w:spacing w:after="0"/>
              <w:rPr>
                <w:sz w:val="20"/>
                <w:szCs w:val="20"/>
              </w:rPr>
            </w:pPr>
            <w:r w:rsidRPr="00EC04A5">
              <w:rPr>
                <w:sz w:val="20"/>
                <w:szCs w:val="20"/>
              </w:rPr>
              <w:t>100,269</w:t>
            </w:r>
          </w:p>
        </w:tc>
      </w:tr>
      <w:tr w:rsidRPr="00C47150" w:rsidR="00EC04A5" w:rsidTr="00E83C37" w14:paraId="16B6B84E" w14:textId="77777777">
        <w:trPr>
          <w:trHeight w:val="52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2BD5D145" w14:textId="33964798">
            <w:pPr>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44CA0F38" w14:textId="32C46689">
            <w:pPr>
              <w:spacing w:after="0"/>
              <w:rPr>
                <w:sz w:val="20"/>
                <w:szCs w:val="20"/>
              </w:rPr>
            </w:pPr>
            <w:r w:rsidRPr="00EC04A5">
              <w:rPr>
                <w:sz w:val="20"/>
                <w:szCs w:val="20"/>
              </w:rPr>
              <w:t>10,949</w:t>
            </w:r>
          </w:p>
        </w:tc>
      </w:tr>
      <w:tr w:rsidRPr="00C47150" w:rsidR="00EC04A5" w:rsidTr="00E83C37" w14:paraId="793A2CC7" w14:textId="77777777">
        <w:trPr>
          <w:trHeight w:val="52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7AC93D75" w14:textId="274559ED">
            <w:pPr>
              <w:spacing w:after="0"/>
              <w:rPr>
                <w:sz w:val="20"/>
                <w:szCs w:val="20"/>
              </w:rPr>
            </w:pPr>
            <w:r w:rsidRPr="00732012">
              <w:rPr>
                <w:sz w:val="20"/>
                <w:szCs w:val="20"/>
              </w:rPr>
              <w:t xml:space="preserve"># of Respondents (groups </w:t>
            </w:r>
            <w:r>
              <w:rPr>
                <w:sz w:val="20"/>
                <w:szCs w:val="20"/>
              </w:rPr>
              <w:t>and</w:t>
            </w:r>
            <w:r w:rsidRPr="00732012">
              <w:rPr>
                <w:sz w:val="20"/>
                <w:szCs w:val="20"/>
              </w:rPr>
              <w:t xml:space="preserve"> clinicians submitting as individuals) (c)=(a)+(b)</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1547A964" w14:textId="606322E3">
            <w:pPr>
              <w:spacing w:after="0"/>
              <w:rPr>
                <w:sz w:val="20"/>
                <w:szCs w:val="20"/>
              </w:rPr>
            </w:pPr>
            <w:r w:rsidRPr="00EC04A5">
              <w:rPr>
                <w:sz w:val="20"/>
                <w:szCs w:val="20"/>
              </w:rPr>
              <w:t>111,218</w:t>
            </w:r>
          </w:p>
        </w:tc>
      </w:tr>
      <w:tr w:rsidRPr="00C47150" w:rsidR="000B240C" w:rsidTr="0015290C" w14:paraId="01C49441" w14:textId="77777777">
        <w:trPr>
          <w:trHeight w:val="350"/>
          <w:jc w:val="center"/>
        </w:trPr>
        <w:tc>
          <w:tcPr>
            <w:tcW w:w="5845" w:type="dxa"/>
            <w:shd w:val="clear" w:color="auto" w:fill="auto"/>
            <w:hideMark/>
          </w:tcPr>
          <w:p w:rsidRPr="001742C7" w:rsidR="000B240C" w:rsidP="000B240C" w:rsidRDefault="000B240C" w14:paraId="47D4CB20" w14:textId="77777777">
            <w:pPr>
              <w:spacing w:after="0"/>
              <w:rPr>
                <w:sz w:val="20"/>
                <w:szCs w:val="20"/>
              </w:rPr>
            </w:pPr>
            <w:r w:rsidRPr="00732012">
              <w:rPr>
                <w:sz w:val="20"/>
                <w:szCs w:val="20"/>
              </w:rPr>
              <w:t xml:space="preserve">Hours Per Respondent to Report Quality Data (d) </w:t>
            </w:r>
          </w:p>
        </w:tc>
        <w:tc>
          <w:tcPr>
            <w:tcW w:w="1755" w:type="dxa"/>
            <w:shd w:val="clear" w:color="auto" w:fill="auto"/>
            <w:vAlign w:val="center"/>
            <w:hideMark/>
          </w:tcPr>
          <w:p w:rsidRPr="001742C7" w:rsidR="000B240C" w:rsidP="000B240C" w:rsidRDefault="000B240C" w14:paraId="498155C7" w14:textId="07906B8A">
            <w:pPr>
              <w:spacing w:after="0"/>
              <w:rPr>
                <w:sz w:val="20"/>
                <w:szCs w:val="20"/>
              </w:rPr>
            </w:pPr>
            <w:r w:rsidRPr="003428D4">
              <w:rPr>
                <w:rFonts w:eastAsia="Calibri"/>
                <w:sz w:val="20"/>
                <w:szCs w:val="20"/>
              </w:rPr>
              <w:t>3</w:t>
            </w:r>
          </w:p>
        </w:tc>
      </w:tr>
      <w:tr w:rsidRPr="00C47150" w:rsidR="000B240C" w:rsidTr="0015290C" w14:paraId="119E679C" w14:textId="77777777">
        <w:trPr>
          <w:trHeight w:val="350"/>
          <w:jc w:val="center"/>
        </w:trPr>
        <w:tc>
          <w:tcPr>
            <w:tcW w:w="5845" w:type="dxa"/>
            <w:shd w:val="clear" w:color="auto" w:fill="auto"/>
            <w:hideMark/>
          </w:tcPr>
          <w:p w:rsidRPr="001742C7" w:rsidR="000B240C" w:rsidP="000B240C" w:rsidRDefault="000B240C" w14:paraId="6D7836BC" w14:textId="77777777">
            <w:pPr>
              <w:spacing w:after="0"/>
              <w:rPr>
                <w:sz w:val="20"/>
                <w:szCs w:val="20"/>
              </w:rPr>
            </w:pPr>
            <w:r w:rsidRPr="00732012">
              <w:rPr>
                <w:sz w:val="20"/>
                <w:szCs w:val="20"/>
              </w:rPr>
              <w:t># of Hours Practice Administrator Review Measure Specifications (e)</w:t>
            </w:r>
          </w:p>
        </w:tc>
        <w:tc>
          <w:tcPr>
            <w:tcW w:w="1755" w:type="dxa"/>
            <w:shd w:val="clear" w:color="auto" w:fill="auto"/>
            <w:vAlign w:val="center"/>
            <w:hideMark/>
          </w:tcPr>
          <w:p w:rsidRPr="001742C7" w:rsidR="000B240C" w:rsidP="000B240C" w:rsidRDefault="000B240C" w14:paraId="37D8C22F" w14:textId="4F6C4E13">
            <w:pPr>
              <w:spacing w:after="0"/>
              <w:rPr>
                <w:sz w:val="20"/>
                <w:szCs w:val="20"/>
              </w:rPr>
            </w:pPr>
            <w:r w:rsidRPr="003428D4">
              <w:rPr>
                <w:rFonts w:eastAsia="Calibri"/>
                <w:sz w:val="20"/>
                <w:szCs w:val="20"/>
              </w:rPr>
              <w:t>2</w:t>
            </w:r>
          </w:p>
        </w:tc>
      </w:tr>
      <w:tr w:rsidRPr="00C47150" w:rsidR="000B240C" w:rsidTr="0015290C" w14:paraId="19DE3DB2" w14:textId="77777777">
        <w:trPr>
          <w:trHeight w:val="525"/>
          <w:jc w:val="center"/>
        </w:trPr>
        <w:tc>
          <w:tcPr>
            <w:tcW w:w="5845" w:type="dxa"/>
            <w:shd w:val="clear" w:color="auto" w:fill="auto"/>
            <w:hideMark/>
          </w:tcPr>
          <w:p w:rsidRPr="001742C7" w:rsidR="000B240C" w:rsidP="000B240C" w:rsidRDefault="000B240C" w14:paraId="04F979AF" w14:textId="77777777">
            <w:pPr>
              <w:spacing w:after="0"/>
              <w:rPr>
                <w:sz w:val="20"/>
                <w:szCs w:val="20"/>
              </w:rPr>
            </w:pPr>
            <w:r w:rsidRPr="00732012">
              <w:rPr>
                <w:sz w:val="20"/>
                <w:szCs w:val="20"/>
              </w:rPr>
              <w:t># of Hours Computer Systems Analyst Review Measure Specifications (f)</w:t>
            </w:r>
          </w:p>
        </w:tc>
        <w:tc>
          <w:tcPr>
            <w:tcW w:w="1755" w:type="dxa"/>
            <w:shd w:val="clear" w:color="auto" w:fill="auto"/>
            <w:vAlign w:val="center"/>
            <w:hideMark/>
          </w:tcPr>
          <w:p w:rsidRPr="001742C7" w:rsidR="000B240C" w:rsidP="000B240C" w:rsidRDefault="000B240C" w14:paraId="71BDCFEA" w14:textId="4A74B557">
            <w:pPr>
              <w:spacing w:after="0"/>
              <w:rPr>
                <w:sz w:val="20"/>
                <w:szCs w:val="20"/>
              </w:rPr>
            </w:pPr>
            <w:r w:rsidRPr="003428D4">
              <w:rPr>
                <w:rFonts w:eastAsia="Calibri"/>
                <w:sz w:val="20"/>
                <w:szCs w:val="20"/>
              </w:rPr>
              <w:t>1</w:t>
            </w:r>
          </w:p>
        </w:tc>
      </w:tr>
      <w:tr w:rsidRPr="00C47150" w:rsidR="000B240C" w:rsidTr="0015290C" w14:paraId="1E617F2B" w14:textId="77777777">
        <w:trPr>
          <w:trHeight w:val="315"/>
          <w:jc w:val="center"/>
        </w:trPr>
        <w:tc>
          <w:tcPr>
            <w:tcW w:w="5845" w:type="dxa"/>
            <w:shd w:val="clear" w:color="auto" w:fill="auto"/>
            <w:hideMark/>
          </w:tcPr>
          <w:p w:rsidRPr="001742C7" w:rsidR="000B240C" w:rsidP="000B240C" w:rsidRDefault="000B240C" w14:paraId="7DF18889" w14:textId="77777777">
            <w:pPr>
              <w:spacing w:after="0"/>
              <w:rPr>
                <w:sz w:val="20"/>
                <w:szCs w:val="20"/>
              </w:rPr>
            </w:pPr>
            <w:r w:rsidRPr="00732012">
              <w:rPr>
                <w:sz w:val="20"/>
                <w:szCs w:val="20"/>
              </w:rPr>
              <w:t># of Hours LPN Review Measure Specifications (g)</w:t>
            </w:r>
          </w:p>
        </w:tc>
        <w:tc>
          <w:tcPr>
            <w:tcW w:w="1755" w:type="dxa"/>
            <w:shd w:val="clear" w:color="auto" w:fill="auto"/>
            <w:vAlign w:val="center"/>
            <w:hideMark/>
          </w:tcPr>
          <w:p w:rsidRPr="001742C7" w:rsidR="000B240C" w:rsidP="000B240C" w:rsidRDefault="000B240C" w14:paraId="360FFCC9" w14:textId="7332F556">
            <w:pPr>
              <w:spacing w:after="0"/>
              <w:rPr>
                <w:sz w:val="20"/>
                <w:szCs w:val="20"/>
              </w:rPr>
            </w:pPr>
            <w:r w:rsidRPr="003428D4">
              <w:rPr>
                <w:rFonts w:eastAsia="Calibri"/>
                <w:sz w:val="20"/>
                <w:szCs w:val="20"/>
              </w:rPr>
              <w:t>1</w:t>
            </w:r>
          </w:p>
        </w:tc>
      </w:tr>
      <w:tr w:rsidRPr="00C47150" w:rsidR="000B240C" w:rsidTr="0015290C" w14:paraId="748CE47C" w14:textId="77777777">
        <w:trPr>
          <w:trHeight w:val="305"/>
          <w:jc w:val="center"/>
        </w:trPr>
        <w:tc>
          <w:tcPr>
            <w:tcW w:w="5845" w:type="dxa"/>
            <w:shd w:val="clear" w:color="auto" w:fill="auto"/>
            <w:hideMark/>
          </w:tcPr>
          <w:p w:rsidRPr="001742C7" w:rsidR="000B240C" w:rsidP="000B240C" w:rsidRDefault="000B240C" w14:paraId="1D58476D" w14:textId="77777777">
            <w:pPr>
              <w:spacing w:after="0"/>
              <w:rPr>
                <w:sz w:val="20"/>
                <w:szCs w:val="20"/>
              </w:rPr>
            </w:pPr>
            <w:r w:rsidRPr="00732012">
              <w:rPr>
                <w:sz w:val="20"/>
                <w:szCs w:val="20"/>
              </w:rPr>
              <w:t># of Hours Billing Clerk Review Measure Specifications (h)</w:t>
            </w:r>
          </w:p>
        </w:tc>
        <w:tc>
          <w:tcPr>
            <w:tcW w:w="1755" w:type="dxa"/>
            <w:shd w:val="clear" w:color="auto" w:fill="auto"/>
            <w:vAlign w:val="center"/>
            <w:hideMark/>
          </w:tcPr>
          <w:p w:rsidRPr="001742C7" w:rsidR="000B240C" w:rsidP="000B240C" w:rsidRDefault="000B240C" w14:paraId="5EB8D9EB" w14:textId="26EFC89D">
            <w:pPr>
              <w:spacing w:after="0"/>
              <w:rPr>
                <w:sz w:val="20"/>
                <w:szCs w:val="20"/>
              </w:rPr>
            </w:pPr>
            <w:r w:rsidRPr="003428D4">
              <w:rPr>
                <w:rFonts w:eastAsia="Calibri"/>
                <w:sz w:val="20"/>
                <w:szCs w:val="20"/>
              </w:rPr>
              <w:t>1</w:t>
            </w:r>
          </w:p>
        </w:tc>
      </w:tr>
      <w:tr w:rsidRPr="00C47150" w:rsidR="000B240C" w:rsidTr="0015290C" w14:paraId="2B7195DD" w14:textId="77777777">
        <w:trPr>
          <w:trHeight w:val="350"/>
          <w:jc w:val="center"/>
        </w:trPr>
        <w:tc>
          <w:tcPr>
            <w:tcW w:w="5845" w:type="dxa"/>
            <w:shd w:val="clear" w:color="auto" w:fill="auto"/>
            <w:hideMark/>
          </w:tcPr>
          <w:p w:rsidRPr="001742C7" w:rsidR="000B240C" w:rsidP="000B240C" w:rsidRDefault="000B240C" w14:paraId="5C265A43" w14:textId="77777777">
            <w:pPr>
              <w:spacing w:after="0"/>
              <w:rPr>
                <w:sz w:val="20"/>
                <w:szCs w:val="20"/>
              </w:rPr>
            </w:pPr>
            <w:r w:rsidRPr="00732012">
              <w:rPr>
                <w:sz w:val="20"/>
                <w:szCs w:val="20"/>
              </w:rPr>
              <w:t># of Hours Clinician Review Measure Specifications (i)</w:t>
            </w:r>
          </w:p>
        </w:tc>
        <w:tc>
          <w:tcPr>
            <w:tcW w:w="1755" w:type="dxa"/>
            <w:shd w:val="clear" w:color="auto" w:fill="auto"/>
            <w:vAlign w:val="center"/>
            <w:hideMark/>
          </w:tcPr>
          <w:p w:rsidRPr="001742C7" w:rsidR="000B240C" w:rsidP="000B240C" w:rsidRDefault="000B240C" w14:paraId="4661A7DD" w14:textId="2AC896A2">
            <w:pPr>
              <w:spacing w:after="0"/>
              <w:rPr>
                <w:sz w:val="20"/>
                <w:szCs w:val="20"/>
              </w:rPr>
            </w:pPr>
            <w:r w:rsidRPr="003428D4">
              <w:rPr>
                <w:rFonts w:eastAsia="Calibri"/>
                <w:sz w:val="20"/>
                <w:szCs w:val="20"/>
              </w:rPr>
              <w:t>1</w:t>
            </w:r>
          </w:p>
        </w:tc>
      </w:tr>
      <w:tr w:rsidRPr="00C47150" w:rsidR="000B240C" w:rsidTr="0015290C" w14:paraId="2272F756" w14:textId="77777777">
        <w:trPr>
          <w:trHeight w:val="525"/>
          <w:jc w:val="center"/>
        </w:trPr>
        <w:tc>
          <w:tcPr>
            <w:tcW w:w="5845" w:type="dxa"/>
            <w:shd w:val="clear" w:color="auto" w:fill="auto"/>
            <w:hideMark/>
          </w:tcPr>
          <w:p w:rsidRPr="001742C7" w:rsidR="000B240C" w:rsidP="000B240C" w:rsidRDefault="000B240C" w14:paraId="3F8F0B30" w14:textId="77777777">
            <w:pPr>
              <w:spacing w:after="0"/>
              <w:rPr>
                <w:sz w:val="20"/>
                <w:szCs w:val="20"/>
              </w:rPr>
            </w:pPr>
            <w:r w:rsidRPr="00732012">
              <w:rPr>
                <w:sz w:val="20"/>
                <w:szCs w:val="20"/>
              </w:rPr>
              <w:t># of Hours Per Respondent to Authorize Qualified Registry to Report on Respondent's Behalf (j)</w:t>
            </w:r>
          </w:p>
        </w:tc>
        <w:tc>
          <w:tcPr>
            <w:tcW w:w="1755" w:type="dxa"/>
            <w:shd w:val="clear" w:color="auto" w:fill="auto"/>
            <w:vAlign w:val="center"/>
            <w:hideMark/>
          </w:tcPr>
          <w:p w:rsidRPr="001742C7" w:rsidR="000B240C" w:rsidP="000B240C" w:rsidRDefault="000B240C" w14:paraId="6DAD0A59" w14:textId="0DF6D3A5">
            <w:pPr>
              <w:spacing w:after="0"/>
              <w:rPr>
                <w:sz w:val="20"/>
                <w:szCs w:val="20"/>
              </w:rPr>
            </w:pPr>
            <w:r w:rsidRPr="003428D4">
              <w:rPr>
                <w:rFonts w:eastAsia="Calibri"/>
                <w:sz w:val="20"/>
                <w:szCs w:val="20"/>
              </w:rPr>
              <w:t>0.083</w:t>
            </w:r>
          </w:p>
        </w:tc>
      </w:tr>
      <w:tr w:rsidRPr="00C47150" w:rsidR="000B240C" w:rsidTr="0015290C" w14:paraId="530384EC" w14:textId="77777777">
        <w:trPr>
          <w:trHeight w:val="350"/>
          <w:jc w:val="center"/>
        </w:trPr>
        <w:tc>
          <w:tcPr>
            <w:tcW w:w="5845" w:type="dxa"/>
            <w:shd w:val="clear" w:color="auto" w:fill="D9D9D9" w:themeFill="background1" w:themeFillShade="D9"/>
            <w:hideMark/>
          </w:tcPr>
          <w:p w:rsidRPr="001742C7" w:rsidR="000B240C" w:rsidP="000B240C" w:rsidRDefault="000B240C" w14:paraId="2F877396" w14:textId="77777777">
            <w:pPr>
              <w:spacing w:after="0"/>
              <w:rPr>
                <w:sz w:val="20"/>
                <w:szCs w:val="20"/>
              </w:rPr>
            </w:pPr>
            <w:r w:rsidRPr="00732012">
              <w:rPr>
                <w:sz w:val="20"/>
                <w:szCs w:val="20"/>
              </w:rPr>
              <w:t>Annual Hours Per Respondent (k)= (d)+(e)+(f)+(g)+(h)+(i)+(j)</w:t>
            </w:r>
          </w:p>
        </w:tc>
        <w:tc>
          <w:tcPr>
            <w:tcW w:w="1755" w:type="dxa"/>
            <w:shd w:val="clear" w:color="auto" w:fill="D9D9D9" w:themeFill="background1" w:themeFillShade="D9"/>
            <w:vAlign w:val="center"/>
            <w:hideMark/>
          </w:tcPr>
          <w:p w:rsidRPr="001742C7" w:rsidR="000B240C" w:rsidP="000B240C" w:rsidRDefault="000B240C" w14:paraId="7A6A170F" w14:textId="26BD78C8">
            <w:pPr>
              <w:spacing w:after="0"/>
              <w:rPr>
                <w:sz w:val="20"/>
                <w:szCs w:val="20"/>
              </w:rPr>
            </w:pPr>
            <w:r w:rsidRPr="003428D4">
              <w:rPr>
                <w:rFonts w:eastAsia="Calibri"/>
                <w:sz w:val="20"/>
                <w:szCs w:val="20"/>
              </w:rPr>
              <w:t>9.083</w:t>
            </w:r>
          </w:p>
        </w:tc>
      </w:tr>
      <w:tr w:rsidRPr="00C47150" w:rsidR="000B240C" w:rsidTr="0015290C" w14:paraId="438A47F3" w14:textId="77777777">
        <w:trPr>
          <w:trHeight w:val="315"/>
          <w:jc w:val="center"/>
        </w:trPr>
        <w:tc>
          <w:tcPr>
            <w:tcW w:w="5845" w:type="dxa"/>
            <w:shd w:val="clear" w:color="auto" w:fill="D9D9D9" w:themeFill="background1" w:themeFillShade="D9"/>
            <w:hideMark/>
          </w:tcPr>
          <w:p w:rsidRPr="001742C7" w:rsidR="000B240C" w:rsidP="000B240C" w:rsidRDefault="000B240C" w14:paraId="490F2FEB" w14:textId="77777777">
            <w:pPr>
              <w:spacing w:after="0"/>
              <w:rPr>
                <w:sz w:val="20"/>
                <w:szCs w:val="20"/>
              </w:rPr>
            </w:pPr>
            <w:r w:rsidRPr="00732012">
              <w:rPr>
                <w:sz w:val="20"/>
                <w:szCs w:val="20"/>
              </w:rPr>
              <w:t>Total Annual Hours (l) = (c)*(k)</w:t>
            </w:r>
          </w:p>
        </w:tc>
        <w:tc>
          <w:tcPr>
            <w:tcW w:w="1755" w:type="dxa"/>
            <w:shd w:val="clear" w:color="auto" w:fill="D9D9D9" w:themeFill="background1" w:themeFillShade="D9"/>
            <w:vAlign w:val="center"/>
            <w:hideMark/>
          </w:tcPr>
          <w:p w:rsidRPr="001742C7" w:rsidR="000B240C" w:rsidP="000B240C" w:rsidRDefault="00254880" w14:paraId="66AE3092" w14:textId="64E4FA04">
            <w:pPr>
              <w:spacing w:after="0"/>
              <w:rPr>
                <w:sz w:val="20"/>
                <w:szCs w:val="20"/>
              </w:rPr>
            </w:pPr>
            <w:r>
              <w:rPr>
                <w:sz w:val="20"/>
                <w:szCs w:val="20"/>
              </w:rPr>
              <w:t>1,</w:t>
            </w:r>
            <w:r w:rsidR="0058018E">
              <w:rPr>
                <w:sz w:val="20"/>
                <w:szCs w:val="20"/>
              </w:rPr>
              <w:t>010,193</w:t>
            </w:r>
          </w:p>
        </w:tc>
      </w:tr>
      <w:tr w:rsidRPr="00C47150" w:rsidR="004D7608" w:rsidTr="00C414F4" w14:paraId="7C7C68AA" w14:textId="77777777">
        <w:trPr>
          <w:trHeight w:val="436"/>
          <w:jc w:val="center"/>
        </w:trPr>
        <w:tc>
          <w:tcPr>
            <w:tcW w:w="5845" w:type="dxa"/>
            <w:vMerge w:val="restart"/>
            <w:shd w:val="clear" w:color="auto" w:fill="auto"/>
            <w:hideMark/>
          </w:tcPr>
          <w:p w:rsidRPr="004D7608" w:rsidR="004D7608" w:rsidP="004D7608" w:rsidRDefault="004D7608" w14:paraId="6B862AF4" w14:textId="77777777">
            <w:pPr>
              <w:spacing w:after="0"/>
              <w:rPr>
                <w:sz w:val="20"/>
                <w:szCs w:val="20"/>
              </w:rPr>
            </w:pPr>
            <w:r w:rsidRPr="004D7608">
              <w:rPr>
                <w:sz w:val="20"/>
                <w:szCs w:val="20"/>
              </w:rPr>
              <w:t>Cost Per Respondent to Submit Quality Data (@ computer systems analyst’s labor rate of $90.02/hr) (m)</w:t>
            </w:r>
          </w:p>
          <w:p w:rsidRPr="004D7608" w:rsidR="004D7608" w:rsidP="004D7608" w:rsidRDefault="004D7608" w14:paraId="2AF7193C" w14:textId="152ACAAE">
            <w:pPr>
              <w:spacing w:after="0"/>
              <w:rPr>
                <w:sz w:val="20"/>
                <w:szCs w:val="20"/>
              </w:rPr>
            </w:pPr>
            <w:r w:rsidRPr="004D7608">
              <w:rPr>
                <w:sz w:val="20"/>
                <w:szCs w:val="20"/>
              </w:rPr>
              <w:t>Cost to Review Measure Specifications (@ practice administrator's labor rate of $109.36/hr) (n)</w:t>
            </w:r>
          </w:p>
        </w:tc>
        <w:tc>
          <w:tcPr>
            <w:tcW w:w="1755" w:type="dxa"/>
            <w:vMerge w:val="restart"/>
            <w:shd w:val="clear" w:color="auto" w:fill="auto"/>
            <w:hideMark/>
          </w:tcPr>
          <w:p w:rsidRPr="004D7608" w:rsidR="004D7608" w:rsidP="004D7608" w:rsidRDefault="004D7608" w14:paraId="25503A21" w14:textId="77777777">
            <w:pPr>
              <w:spacing w:after="0"/>
              <w:rPr>
                <w:sz w:val="20"/>
                <w:szCs w:val="20"/>
              </w:rPr>
            </w:pPr>
            <w:r w:rsidRPr="004D7608">
              <w:rPr>
                <w:sz w:val="20"/>
                <w:szCs w:val="20"/>
              </w:rPr>
              <w:t>$270.06</w:t>
            </w:r>
          </w:p>
          <w:p w:rsidRPr="004D7608" w:rsidR="004D7608" w:rsidP="004D7608" w:rsidRDefault="004D7608" w14:paraId="648FD21C" w14:textId="11D2C780">
            <w:pPr>
              <w:spacing w:after="0"/>
              <w:rPr>
                <w:sz w:val="20"/>
                <w:szCs w:val="20"/>
              </w:rPr>
            </w:pPr>
            <w:r w:rsidRPr="004D7608">
              <w:rPr>
                <w:sz w:val="20"/>
                <w:szCs w:val="20"/>
              </w:rPr>
              <w:t xml:space="preserve">$218.72 </w:t>
            </w:r>
          </w:p>
        </w:tc>
      </w:tr>
      <w:tr w:rsidRPr="00C47150" w:rsidR="004D7608" w:rsidTr="00C414F4" w14:paraId="25832405" w14:textId="77777777">
        <w:trPr>
          <w:trHeight w:val="436"/>
          <w:jc w:val="center"/>
        </w:trPr>
        <w:tc>
          <w:tcPr>
            <w:tcW w:w="5845" w:type="dxa"/>
            <w:vMerge/>
            <w:hideMark/>
          </w:tcPr>
          <w:p w:rsidRPr="004D7608" w:rsidR="004D7608" w:rsidP="004D7608" w:rsidRDefault="004D7608" w14:paraId="4BC8428F" w14:textId="77777777">
            <w:pPr>
              <w:spacing w:after="0"/>
              <w:rPr>
                <w:sz w:val="20"/>
                <w:szCs w:val="20"/>
              </w:rPr>
            </w:pPr>
          </w:p>
        </w:tc>
        <w:tc>
          <w:tcPr>
            <w:tcW w:w="1755" w:type="dxa"/>
            <w:vMerge/>
            <w:hideMark/>
          </w:tcPr>
          <w:p w:rsidRPr="004D7608" w:rsidR="004D7608" w:rsidP="004D7608" w:rsidRDefault="004D7608" w14:paraId="5CAE4B14" w14:textId="77777777">
            <w:pPr>
              <w:spacing w:after="0"/>
              <w:rPr>
                <w:sz w:val="20"/>
                <w:szCs w:val="20"/>
              </w:rPr>
            </w:pPr>
          </w:p>
        </w:tc>
      </w:tr>
      <w:tr w:rsidRPr="00C47150" w:rsidR="004D7608" w:rsidTr="00C414F4" w14:paraId="2B389C5E" w14:textId="77777777">
        <w:trPr>
          <w:trHeight w:val="525"/>
          <w:jc w:val="center"/>
        </w:trPr>
        <w:tc>
          <w:tcPr>
            <w:tcW w:w="5845" w:type="dxa"/>
            <w:shd w:val="clear" w:color="auto" w:fill="auto"/>
            <w:hideMark/>
          </w:tcPr>
          <w:p w:rsidRPr="004D7608" w:rsidR="004D7608" w:rsidP="004D7608" w:rsidRDefault="004D7608" w14:paraId="3309A0EB" w14:textId="495EF8E9">
            <w:pPr>
              <w:spacing w:after="0"/>
              <w:rPr>
                <w:sz w:val="20"/>
                <w:szCs w:val="20"/>
              </w:rPr>
            </w:pPr>
            <w:r w:rsidRPr="004D7608">
              <w:rPr>
                <w:sz w:val="20"/>
                <w:szCs w:val="20"/>
              </w:rPr>
              <w:t>Cost Computer System’s Analyst Review Measure Specifications (@ computer systems analyst’s labor rate of $90.02/hr) (o)</w:t>
            </w:r>
          </w:p>
        </w:tc>
        <w:tc>
          <w:tcPr>
            <w:tcW w:w="1755" w:type="dxa"/>
            <w:shd w:val="clear" w:color="auto" w:fill="auto"/>
            <w:hideMark/>
          </w:tcPr>
          <w:p w:rsidRPr="004D7608" w:rsidR="004D7608" w:rsidP="004D7608" w:rsidRDefault="004D7608" w14:paraId="136F2DB1" w14:textId="520100D1">
            <w:pPr>
              <w:spacing w:after="0"/>
              <w:rPr>
                <w:sz w:val="20"/>
                <w:szCs w:val="20"/>
              </w:rPr>
            </w:pPr>
            <w:r w:rsidRPr="004D7608">
              <w:rPr>
                <w:sz w:val="20"/>
                <w:szCs w:val="20"/>
              </w:rPr>
              <w:t xml:space="preserve">$90.02 </w:t>
            </w:r>
          </w:p>
        </w:tc>
      </w:tr>
      <w:tr w:rsidRPr="00C47150" w:rsidR="004D7608" w:rsidTr="00C414F4" w14:paraId="5520AB71" w14:textId="77777777">
        <w:trPr>
          <w:trHeight w:val="602"/>
          <w:jc w:val="center"/>
        </w:trPr>
        <w:tc>
          <w:tcPr>
            <w:tcW w:w="5845" w:type="dxa"/>
            <w:shd w:val="clear" w:color="auto" w:fill="auto"/>
            <w:hideMark/>
          </w:tcPr>
          <w:p w:rsidRPr="004D7608" w:rsidR="004D7608" w:rsidP="004D7608" w:rsidRDefault="004D7608" w14:paraId="35D39D69" w14:textId="26A343EC">
            <w:pPr>
              <w:spacing w:after="0"/>
              <w:rPr>
                <w:sz w:val="20"/>
                <w:szCs w:val="20"/>
              </w:rPr>
            </w:pPr>
            <w:r w:rsidRPr="004D7608">
              <w:rPr>
                <w:sz w:val="20"/>
                <w:szCs w:val="20"/>
              </w:rPr>
              <w:t>Cost LPN Review Measure Specifications (@ LPN's labor rate of $45.24/hr) (p)</w:t>
            </w:r>
          </w:p>
        </w:tc>
        <w:tc>
          <w:tcPr>
            <w:tcW w:w="1755" w:type="dxa"/>
            <w:shd w:val="clear" w:color="auto" w:fill="auto"/>
            <w:hideMark/>
          </w:tcPr>
          <w:p w:rsidRPr="004D7608" w:rsidR="004D7608" w:rsidP="004D7608" w:rsidRDefault="004D7608" w14:paraId="124AA821" w14:textId="7D63A6FF">
            <w:pPr>
              <w:spacing w:after="0"/>
              <w:rPr>
                <w:sz w:val="20"/>
                <w:szCs w:val="20"/>
              </w:rPr>
            </w:pPr>
            <w:r w:rsidRPr="004D7608">
              <w:rPr>
                <w:sz w:val="20"/>
                <w:szCs w:val="20"/>
              </w:rPr>
              <w:t xml:space="preserve">$45.24 </w:t>
            </w:r>
          </w:p>
        </w:tc>
      </w:tr>
      <w:tr w:rsidRPr="00C47150" w:rsidR="004D7608" w:rsidTr="00C414F4" w14:paraId="3B5E2173" w14:textId="77777777">
        <w:trPr>
          <w:trHeight w:val="525"/>
          <w:jc w:val="center"/>
        </w:trPr>
        <w:tc>
          <w:tcPr>
            <w:tcW w:w="5845" w:type="dxa"/>
            <w:shd w:val="clear" w:color="auto" w:fill="auto"/>
            <w:hideMark/>
          </w:tcPr>
          <w:p w:rsidRPr="004D7608" w:rsidR="004D7608" w:rsidP="004D7608" w:rsidRDefault="004D7608" w14:paraId="615DE364" w14:textId="74CAE6F5">
            <w:pPr>
              <w:spacing w:after="0"/>
              <w:rPr>
                <w:sz w:val="20"/>
                <w:szCs w:val="20"/>
              </w:rPr>
            </w:pPr>
            <w:r w:rsidRPr="004D7608">
              <w:rPr>
                <w:sz w:val="20"/>
                <w:szCs w:val="20"/>
              </w:rPr>
              <w:t>Cost Billing Clerk Review Measure Specifications (@ clerk’s labor rate of $38.00/hr) (q)</w:t>
            </w:r>
          </w:p>
        </w:tc>
        <w:tc>
          <w:tcPr>
            <w:tcW w:w="1755" w:type="dxa"/>
            <w:shd w:val="clear" w:color="auto" w:fill="auto"/>
            <w:hideMark/>
          </w:tcPr>
          <w:p w:rsidRPr="004D7608" w:rsidR="004D7608" w:rsidP="004D7608" w:rsidRDefault="004D7608" w14:paraId="69E96F42" w14:textId="74376D58">
            <w:pPr>
              <w:spacing w:after="0"/>
              <w:rPr>
                <w:sz w:val="20"/>
                <w:szCs w:val="20"/>
              </w:rPr>
            </w:pPr>
            <w:r w:rsidRPr="004D7608">
              <w:rPr>
                <w:sz w:val="20"/>
                <w:szCs w:val="20"/>
              </w:rPr>
              <w:t xml:space="preserve">$38.00 </w:t>
            </w:r>
          </w:p>
        </w:tc>
      </w:tr>
      <w:tr w:rsidRPr="00C47150" w:rsidR="004D7608" w:rsidTr="00C414F4" w14:paraId="009764B3" w14:textId="77777777">
        <w:trPr>
          <w:trHeight w:val="525"/>
          <w:jc w:val="center"/>
        </w:trPr>
        <w:tc>
          <w:tcPr>
            <w:tcW w:w="5845" w:type="dxa"/>
            <w:shd w:val="clear" w:color="auto" w:fill="auto"/>
            <w:hideMark/>
          </w:tcPr>
          <w:p w:rsidRPr="004D7608" w:rsidR="004D7608" w:rsidP="004D7608" w:rsidRDefault="004D7608" w14:paraId="253616E4" w14:textId="55FEFFEF">
            <w:pPr>
              <w:spacing w:after="0"/>
              <w:rPr>
                <w:sz w:val="20"/>
                <w:szCs w:val="20"/>
              </w:rPr>
            </w:pPr>
            <w:r w:rsidRPr="004D7608">
              <w:rPr>
                <w:sz w:val="20"/>
                <w:szCs w:val="20"/>
              </w:rPr>
              <w:t>Cost Clinician Review Measure Specifications (@ physician’s labor rate of $202.86/hr) (r)</w:t>
            </w:r>
          </w:p>
        </w:tc>
        <w:tc>
          <w:tcPr>
            <w:tcW w:w="1755" w:type="dxa"/>
            <w:shd w:val="clear" w:color="auto" w:fill="auto"/>
            <w:hideMark/>
          </w:tcPr>
          <w:p w:rsidRPr="004D7608" w:rsidR="004D7608" w:rsidP="004D7608" w:rsidRDefault="004D7608" w14:paraId="2718E1B3" w14:textId="3D86648F">
            <w:pPr>
              <w:spacing w:after="0"/>
              <w:rPr>
                <w:sz w:val="20"/>
                <w:szCs w:val="20"/>
              </w:rPr>
            </w:pPr>
            <w:r w:rsidRPr="004D7608">
              <w:rPr>
                <w:sz w:val="20"/>
                <w:szCs w:val="20"/>
              </w:rPr>
              <w:t xml:space="preserve">$202.86 </w:t>
            </w:r>
          </w:p>
        </w:tc>
      </w:tr>
      <w:tr w:rsidRPr="00C47150" w:rsidR="004D7608" w:rsidTr="00C414F4" w14:paraId="6A402A68" w14:textId="77777777">
        <w:trPr>
          <w:trHeight w:val="525"/>
          <w:jc w:val="center"/>
        </w:trPr>
        <w:tc>
          <w:tcPr>
            <w:tcW w:w="5845" w:type="dxa"/>
            <w:shd w:val="clear" w:color="auto" w:fill="auto"/>
            <w:hideMark/>
          </w:tcPr>
          <w:p w:rsidRPr="004D7608" w:rsidR="004D7608" w:rsidP="004D7608" w:rsidRDefault="004D7608" w14:paraId="4AFEE43E" w14:textId="300E3FB8">
            <w:pPr>
              <w:spacing w:after="0"/>
              <w:rPr>
                <w:sz w:val="20"/>
                <w:szCs w:val="20"/>
              </w:rPr>
            </w:pPr>
            <w:r w:rsidRPr="004D7608">
              <w:rPr>
                <w:sz w:val="20"/>
                <w:szCs w:val="20"/>
              </w:rPr>
              <w:t>Cost for Respondent to Authorize Qualified Registry/QCDR to Report on Respondent's Behalf (@ computer systems analyst’s labor rate of $90.02/hr) (s)</w:t>
            </w:r>
          </w:p>
        </w:tc>
        <w:tc>
          <w:tcPr>
            <w:tcW w:w="1755" w:type="dxa"/>
            <w:shd w:val="clear" w:color="auto" w:fill="auto"/>
            <w:hideMark/>
          </w:tcPr>
          <w:p w:rsidRPr="004D7608" w:rsidR="004D7608" w:rsidP="004D7608" w:rsidRDefault="004D7608" w14:paraId="2F8707BA" w14:textId="37FB707B">
            <w:pPr>
              <w:spacing w:after="0"/>
              <w:rPr>
                <w:sz w:val="20"/>
                <w:szCs w:val="20"/>
              </w:rPr>
            </w:pPr>
            <w:r w:rsidRPr="004D7608">
              <w:rPr>
                <w:sz w:val="20"/>
                <w:szCs w:val="20"/>
              </w:rPr>
              <w:t xml:space="preserve">$7.50 </w:t>
            </w:r>
          </w:p>
        </w:tc>
      </w:tr>
      <w:tr w:rsidRPr="00C47150" w:rsidR="004D7608" w:rsidTr="00C414F4" w14:paraId="74FAE34A" w14:textId="77777777">
        <w:trPr>
          <w:trHeight w:val="525"/>
          <w:jc w:val="center"/>
        </w:trPr>
        <w:tc>
          <w:tcPr>
            <w:tcW w:w="5845" w:type="dxa"/>
            <w:shd w:val="clear" w:color="auto" w:fill="auto"/>
            <w:hideMark/>
          </w:tcPr>
          <w:p w:rsidRPr="004D7608" w:rsidR="004D7608" w:rsidP="004D7608" w:rsidRDefault="004D7608" w14:paraId="3AA7CEB1" w14:textId="410F556E">
            <w:pPr>
              <w:spacing w:after="0"/>
              <w:rPr>
                <w:sz w:val="20"/>
                <w:szCs w:val="20"/>
              </w:rPr>
            </w:pPr>
            <w:r w:rsidRPr="004D7608">
              <w:rPr>
                <w:sz w:val="20"/>
                <w:szCs w:val="20"/>
              </w:rPr>
              <w:t>Total Annual Cost Per Respondent (t) = (m)+(n)+(o)+(p)+(q)+(r)+(s)</w:t>
            </w:r>
          </w:p>
        </w:tc>
        <w:tc>
          <w:tcPr>
            <w:tcW w:w="1755" w:type="dxa"/>
            <w:shd w:val="clear" w:color="auto" w:fill="auto"/>
            <w:hideMark/>
          </w:tcPr>
          <w:p w:rsidRPr="004D7608" w:rsidR="004D7608" w:rsidP="004D7608" w:rsidRDefault="004D7608" w14:paraId="52B14041" w14:textId="1ECC6436">
            <w:pPr>
              <w:spacing w:after="0"/>
              <w:rPr>
                <w:sz w:val="20"/>
                <w:szCs w:val="20"/>
              </w:rPr>
            </w:pPr>
            <w:r w:rsidRPr="004D7608">
              <w:rPr>
                <w:sz w:val="20"/>
                <w:szCs w:val="20"/>
              </w:rPr>
              <w:t xml:space="preserve">$872.37 </w:t>
            </w:r>
          </w:p>
        </w:tc>
      </w:tr>
      <w:tr w:rsidRPr="00C47150" w:rsidR="004D7608" w:rsidTr="00C414F4" w14:paraId="251B90E8" w14:textId="77777777">
        <w:trPr>
          <w:trHeight w:val="296"/>
          <w:jc w:val="center"/>
        </w:trPr>
        <w:tc>
          <w:tcPr>
            <w:tcW w:w="5845" w:type="dxa"/>
            <w:shd w:val="clear" w:color="auto" w:fill="auto"/>
            <w:hideMark/>
          </w:tcPr>
          <w:p w:rsidRPr="004D7608" w:rsidR="004D7608" w:rsidP="004D7608" w:rsidRDefault="004D7608" w14:paraId="57EE7A61" w14:textId="39C6799B">
            <w:pPr>
              <w:spacing w:after="0"/>
              <w:rPr>
                <w:sz w:val="20"/>
                <w:szCs w:val="20"/>
              </w:rPr>
            </w:pPr>
            <w:r w:rsidRPr="004D7608">
              <w:rPr>
                <w:sz w:val="20"/>
                <w:szCs w:val="20"/>
              </w:rPr>
              <w:t>Cost Per Respondent to Submit Quality Data (@ computer systems analyst’s labor rate of $90.02/hr) (m)</w:t>
            </w:r>
          </w:p>
        </w:tc>
        <w:tc>
          <w:tcPr>
            <w:tcW w:w="1755" w:type="dxa"/>
            <w:shd w:val="clear" w:color="auto" w:fill="auto"/>
            <w:hideMark/>
          </w:tcPr>
          <w:p w:rsidRPr="004D7608" w:rsidR="004D7608" w:rsidP="004D7608" w:rsidRDefault="004D7608" w14:paraId="72D9B5AD" w14:textId="7ABD8617">
            <w:pPr>
              <w:spacing w:after="0"/>
              <w:rPr>
                <w:sz w:val="20"/>
                <w:szCs w:val="20"/>
              </w:rPr>
            </w:pPr>
            <w:r w:rsidRPr="004D7608">
              <w:rPr>
                <w:sz w:val="20"/>
                <w:szCs w:val="20"/>
              </w:rPr>
              <w:t>$270.06</w:t>
            </w:r>
          </w:p>
        </w:tc>
      </w:tr>
      <w:tr w:rsidRPr="00C47150" w:rsidR="000B240C" w:rsidTr="0015290C" w14:paraId="19FFBEC3" w14:textId="77777777">
        <w:trPr>
          <w:trHeight w:val="315"/>
          <w:jc w:val="center"/>
        </w:trPr>
        <w:tc>
          <w:tcPr>
            <w:tcW w:w="5845" w:type="dxa"/>
            <w:shd w:val="clear" w:color="auto" w:fill="D9D9D9" w:themeFill="background1" w:themeFillShade="D9"/>
            <w:hideMark/>
          </w:tcPr>
          <w:p w:rsidRPr="001742C7" w:rsidR="000B240C" w:rsidP="000B240C" w:rsidRDefault="000B240C" w14:paraId="2D92CCDB" w14:textId="77777777">
            <w:pPr>
              <w:spacing w:after="0"/>
              <w:rPr>
                <w:sz w:val="20"/>
                <w:szCs w:val="20"/>
              </w:rPr>
            </w:pPr>
            <w:r w:rsidRPr="00732012">
              <w:rPr>
                <w:sz w:val="20"/>
                <w:szCs w:val="20"/>
              </w:rPr>
              <w:t>Total Annual Cost (u) = (c)*(t)</w:t>
            </w:r>
          </w:p>
        </w:tc>
        <w:tc>
          <w:tcPr>
            <w:tcW w:w="1755" w:type="dxa"/>
            <w:shd w:val="clear" w:color="auto" w:fill="D9D9D9" w:themeFill="background1" w:themeFillShade="D9"/>
            <w:vAlign w:val="center"/>
            <w:hideMark/>
          </w:tcPr>
          <w:p w:rsidRPr="001742C7" w:rsidR="000B240C" w:rsidP="000B240C" w:rsidRDefault="000B240C" w14:paraId="73C9A65A" w14:textId="1FFB4E27">
            <w:pPr>
              <w:spacing w:after="0"/>
              <w:rPr>
                <w:sz w:val="20"/>
                <w:szCs w:val="20"/>
              </w:rPr>
            </w:pPr>
            <w:r w:rsidRPr="00EF17E0">
              <w:rPr>
                <w:rFonts w:eastAsia="Calibri"/>
                <w:sz w:val="20"/>
                <w:szCs w:val="20"/>
              </w:rPr>
              <w:t>$</w:t>
            </w:r>
            <w:r w:rsidR="0058018E">
              <w:rPr>
                <w:rFonts w:eastAsia="Calibri"/>
                <w:sz w:val="20"/>
                <w:szCs w:val="20"/>
              </w:rPr>
              <w:t>97,023,431</w:t>
            </w:r>
          </w:p>
        </w:tc>
      </w:tr>
    </w:tbl>
    <w:p w:rsidRPr="00C351ED" w:rsidR="00C351ED" w:rsidP="00C351ED" w:rsidRDefault="00C351ED" w14:paraId="6B995C2F" w14:textId="77777777">
      <w:pPr>
        <w:ind w:firstLine="360"/>
      </w:pPr>
    </w:p>
    <w:p w:rsidR="00C351ED" w:rsidP="0095356F" w:rsidRDefault="00C351ED" w14:paraId="0ABDA63C" w14:textId="17BE5E1D">
      <w:pPr>
        <w:pStyle w:val="Heading4"/>
        <w:numPr>
          <w:ilvl w:val="0"/>
          <w:numId w:val="33"/>
        </w:numPr>
      </w:pPr>
      <w:r>
        <w:t xml:space="preserve">Burden </w:t>
      </w:r>
      <w:r w:rsidRPr="00B05B18">
        <w:t xml:space="preserve">for </w:t>
      </w:r>
      <w:r>
        <w:t>Quality Data Submission by Clinicians</w:t>
      </w:r>
      <w:r w:rsidR="001964ED">
        <w:t xml:space="preserve"> and</w:t>
      </w:r>
      <w:r>
        <w:t xml:space="preserve"> Groups: eCQM Collection Type</w:t>
      </w:r>
    </w:p>
    <w:p w:rsidR="00C351ED" w:rsidP="00C351ED" w:rsidRDefault="00C351ED" w14:paraId="1EF3F5C6" w14:textId="3614F249">
      <w:pPr>
        <w:ind w:firstLine="720"/>
      </w:pPr>
    </w:p>
    <w:p w:rsidRPr="00597766" w:rsidR="00597766" w:rsidP="00730BEF" w:rsidRDefault="00597766" w14:paraId="6122C363" w14:textId="31896BEF">
      <w:pPr>
        <w:rPr>
          <w:rFonts w:eastAsia="Calibri"/>
        </w:rPr>
      </w:pPr>
      <w:r w:rsidRPr="00597766">
        <w:rPr>
          <w:rFonts w:eastAsia="Calibri"/>
        </w:rPr>
        <w:t xml:space="preserve">As noted in Tables 5, 6, and 7, </w:t>
      </w:r>
      <w:r w:rsidRPr="00377E40" w:rsidR="00377E40">
        <w:rPr>
          <w:rFonts w:eastAsia="Calibri"/>
        </w:rPr>
        <w:t>based on 2018 MIPS performance period data, we assume that 254,469 clinicians will elect to use the eCQM collection type; 38,935 clinicians are expected to submit eCQMs as individuals; and 4,398 groups and virtual groups are expected to submit eCQMs on behalf of the remaining 208,921 clinicians.  This rule finalizes to adjust the number of eCQM respondents from 51,861 to 43,333 (a decrease of 8,528) based on more recent data</w:t>
      </w:r>
      <w:r w:rsidRPr="00C40280" w:rsidR="00C40280">
        <w:rPr>
          <w:rFonts w:eastAsia="Calibri"/>
        </w:rPr>
        <w:t>.  We expect the burden to be the same for each respondent using the eCQM collection type, whether the clinician is participating in MIPS as an individual or group.</w:t>
      </w:r>
    </w:p>
    <w:p w:rsidRPr="0015124B" w:rsidR="0015124B" w:rsidP="00730BEF" w:rsidRDefault="0015124B"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Pr="00597766" w:rsidR="00597766" w:rsidP="00730BEF" w:rsidRDefault="0015124B" w14:paraId="7BB59BA9" w14:textId="3D752087">
      <w:pPr>
        <w:rPr>
          <w:rFonts w:eastAsia="Calibri"/>
        </w:rPr>
      </w:pPr>
      <w:r w:rsidRPr="0015124B">
        <w:rPr>
          <w:rFonts w:eastAsia="Calibri"/>
        </w:rPr>
        <w:t>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the CMS-designated clinical data warehouse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CMS-designated clinical data warehouse</w:t>
      </w:r>
      <w:r w:rsidRPr="00597766" w:rsidR="00597766">
        <w:rPr>
          <w:rFonts w:eastAsia="Calibri"/>
        </w:rPr>
        <w:t xml:space="preserve">.  </w:t>
      </w:r>
    </w:p>
    <w:p w:rsidRPr="00BC2347" w:rsidR="00BC2347" w:rsidP="00730BEF" w:rsidRDefault="004F1BA0" w14:paraId="17817310" w14:textId="7581EF20">
      <w:pPr>
        <w:rPr>
          <w:rFonts w:eastAsia="Calibri"/>
        </w:rPr>
      </w:pPr>
      <w:r w:rsidRPr="00CC2BFB">
        <w:rPr>
          <w:rFonts w:eastAsia="Calibri"/>
        </w:rPr>
        <w:t xml:space="preserve">We estimate that it will take no more than 2 hours at $90.02/hr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we estimate 2 hours at $109.36/hr for a practice administrator, 1 hour at $202.86/hr for a clinician, 1 hour at $90.02/hr for a computer systems analyst, 1 hour at $45.24/hr for a</w:t>
      </w:r>
      <w:r>
        <w:rPr>
          <w:rFonts w:eastAsia="Calibri"/>
        </w:rPr>
        <w:t>n</w:t>
      </w:r>
      <w:r w:rsidRPr="00CC2BFB">
        <w:rPr>
          <w:rFonts w:eastAsia="Calibri"/>
        </w:rPr>
        <w:t xml:space="preserve"> LPN/medical assistant, and 1 hour at $38.00/hr for a billing clerk</w:t>
      </w:r>
      <w:r w:rsidRPr="00BC2347" w:rsidR="00BC2347">
        <w:rPr>
          <w:rFonts w:eastAsia="Calibri"/>
        </w:rPr>
        <w:t xml:space="preserve">.  </w:t>
      </w:r>
    </w:p>
    <w:p w:rsidR="001C31BF" w:rsidP="00730BEF" w:rsidRDefault="00AA237B" w14:paraId="0CFCCB9B" w14:textId="085E20BA">
      <w:pPr>
        <w:rPr>
          <w:rFonts w:eastAsia="Calibri"/>
        </w:rPr>
      </w:pPr>
      <w:r w:rsidRPr="00CC2BFB">
        <w:rPr>
          <w:rFonts w:eastAsia="Calibri"/>
        </w:rPr>
        <w:t xml:space="preserve">In aggregate we estimate an annual burden of </w:t>
      </w:r>
      <w:r>
        <w:rPr>
          <w:rFonts w:eastAsia="Calibri"/>
        </w:rPr>
        <w:t>346,664</w:t>
      </w:r>
      <w:r w:rsidRPr="00CC2BFB">
        <w:rPr>
          <w:rFonts w:eastAsia="Calibri"/>
        </w:rPr>
        <w:t xml:space="preserve"> hours (8 hr x </w:t>
      </w:r>
      <w:r>
        <w:rPr>
          <w:rFonts w:eastAsia="Calibri"/>
        </w:rPr>
        <w:t>43,333</w:t>
      </w:r>
      <w:r w:rsidRPr="00CC2BFB">
        <w:rPr>
          <w:rFonts w:eastAsia="Calibri"/>
        </w:rPr>
        <w:t xml:space="preserve"> groups and clinicians submitting as individuals) at a cost of $</w:t>
      </w:r>
      <w:r>
        <w:rPr>
          <w:rFonts w:eastAsia="Calibri"/>
        </w:rPr>
        <w:t>33,577,875</w:t>
      </w:r>
      <w:r w:rsidRPr="00CC2BFB">
        <w:rPr>
          <w:rFonts w:eastAsia="Calibri"/>
        </w:rPr>
        <w:t xml:space="preserve"> (</w:t>
      </w:r>
      <w:r>
        <w:rPr>
          <w:rFonts w:eastAsia="Calibri"/>
        </w:rPr>
        <w:t>43,333</w:t>
      </w:r>
      <w:r w:rsidRPr="00CC2BFB">
        <w:rPr>
          <w:rFonts w:eastAsia="Calibri"/>
        </w:rPr>
        <w:t xml:space="preserve"> responses x $774.88/response</w:t>
      </w:r>
      <w:r w:rsidRPr="00BC2347" w:rsidR="00BC2347">
        <w:rPr>
          <w:rFonts w:eastAsia="Calibri"/>
        </w:rPr>
        <w:t xml:space="preserve">). </w:t>
      </w:r>
      <w:r w:rsidRPr="00597766" w:rsidR="00597766">
        <w:rPr>
          <w:rFonts w:eastAsia="Calibri"/>
        </w:rPr>
        <w:t xml:space="preserve"> Based on these assumptions, we have estimated in Table 1</w:t>
      </w:r>
      <w:r w:rsidR="00597766">
        <w:rPr>
          <w:rFonts w:eastAsia="Calibri"/>
        </w:rPr>
        <w:t>2</w:t>
      </w:r>
      <w:r w:rsidRPr="00597766" w:rsidR="00597766">
        <w:rPr>
          <w:rFonts w:eastAsia="Calibri"/>
        </w:rPr>
        <w:t xml:space="preserve"> the burden for these submissions</w:t>
      </w:r>
      <w:r w:rsidRPr="004B0E03" w:rsidR="001C31BF">
        <w:rPr>
          <w:rFonts w:eastAsia="Calibri"/>
        </w:rPr>
        <w:t>.</w:t>
      </w:r>
    </w:p>
    <w:p w:rsidRPr="00C47150" w:rsidR="00C351ED" w:rsidP="00334306" w:rsidRDefault="00C351ED" w14:paraId="5AD8D160" w14:textId="11E28954">
      <w:pPr>
        <w:keepNext/>
        <w:keepLines/>
        <w:spacing w:after="0"/>
        <w:jc w:val="center"/>
        <w:rPr>
          <w:b/>
        </w:rPr>
      </w:pPr>
      <w:r w:rsidRPr="00C47150">
        <w:rPr>
          <w:b/>
        </w:rPr>
        <w:t xml:space="preserve">TABLE </w:t>
      </w:r>
      <w:r>
        <w:rPr>
          <w:b/>
        </w:rPr>
        <w:t>1</w:t>
      </w:r>
      <w:r w:rsidR="001C31BF">
        <w:rPr>
          <w:b/>
        </w:rPr>
        <w:t>2</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9"/>
        <w:gridCol w:w="2166"/>
      </w:tblGrid>
      <w:tr w:rsidRPr="00C47150" w:rsidR="00C351ED" w:rsidTr="00FC7A11" w14:paraId="5D805747" w14:textId="77777777">
        <w:trPr>
          <w:cantSplit/>
          <w:trHeight w:val="315"/>
          <w:tblHeader/>
          <w:jc w:val="center"/>
        </w:trPr>
        <w:tc>
          <w:tcPr>
            <w:tcW w:w="6239" w:type="dxa"/>
            <w:shd w:val="clear" w:color="auto" w:fill="auto"/>
            <w:vAlign w:val="center"/>
            <w:hideMark/>
          </w:tcPr>
          <w:p w:rsidRPr="00C351ED" w:rsidR="00C351ED" w:rsidP="00334306" w:rsidRDefault="00C351ED" w14:paraId="00783F55" w14:textId="6B39AEAD">
            <w:pPr>
              <w:keepNext/>
              <w:keepLines/>
              <w:spacing w:after="0"/>
              <w:rPr>
                <w:b/>
                <w:sz w:val="20"/>
                <w:szCs w:val="20"/>
              </w:rPr>
            </w:pPr>
            <w:r w:rsidRPr="00C351ED">
              <w:rPr>
                <w:b/>
                <w:sz w:val="20"/>
                <w:szCs w:val="20"/>
              </w:rPr>
              <w:t>Burden and Respondent Descriptions </w:t>
            </w:r>
          </w:p>
        </w:tc>
        <w:tc>
          <w:tcPr>
            <w:tcW w:w="2166" w:type="dxa"/>
            <w:shd w:val="clear" w:color="auto" w:fill="auto"/>
            <w:noWrap/>
            <w:vAlign w:val="center"/>
            <w:hideMark/>
          </w:tcPr>
          <w:p w:rsidRPr="001742C7" w:rsidR="00C351ED" w:rsidP="00334306" w:rsidRDefault="00C351ED" w14:paraId="20224366" w14:textId="77777777">
            <w:pPr>
              <w:keepNext/>
              <w:keepLines/>
              <w:spacing w:after="0"/>
              <w:jc w:val="center"/>
              <w:rPr>
                <w:sz w:val="20"/>
                <w:szCs w:val="20"/>
              </w:rPr>
            </w:pPr>
            <w:r w:rsidRPr="00732012">
              <w:rPr>
                <w:b/>
                <w:sz w:val="20"/>
                <w:szCs w:val="20"/>
              </w:rPr>
              <w:t>Burden estimate</w:t>
            </w:r>
          </w:p>
        </w:tc>
      </w:tr>
      <w:tr w:rsidRPr="00C47150" w:rsidR="008973CF" w:rsidTr="00A37DA3" w14:paraId="6827D5AD" w14:textId="77777777">
        <w:trPr>
          <w:trHeight w:val="296"/>
          <w:jc w:val="center"/>
        </w:trPr>
        <w:tc>
          <w:tcPr>
            <w:tcW w:w="6239" w:type="dxa"/>
            <w:shd w:val="clear" w:color="auto" w:fill="auto"/>
            <w:hideMark/>
          </w:tcPr>
          <w:p w:rsidRPr="001742C7" w:rsidR="008973CF" w:rsidP="008973CF" w:rsidRDefault="008973CF" w14:paraId="1FA11F1E" w14:textId="77777777">
            <w:pPr>
              <w:keepNext/>
              <w:keepLines/>
              <w:spacing w:after="0"/>
              <w:rPr>
                <w:sz w:val="20"/>
                <w:szCs w:val="20"/>
              </w:rPr>
            </w:pPr>
            <w:r w:rsidRPr="00732012">
              <w:rPr>
                <w:sz w:val="20"/>
                <w:szCs w:val="20"/>
              </w:rPr>
              <w:t># of clinicians submitting as individuals (a)</w:t>
            </w:r>
          </w:p>
        </w:tc>
        <w:tc>
          <w:tcPr>
            <w:tcW w:w="2166" w:type="dxa"/>
            <w:shd w:val="clear" w:color="auto" w:fill="FFFFFF" w:themeFill="background1"/>
            <w:vAlign w:val="center"/>
            <w:hideMark/>
          </w:tcPr>
          <w:p w:rsidRPr="005C1813" w:rsidR="008973CF" w:rsidP="008973CF" w:rsidRDefault="008973CF" w14:paraId="0333754E" w14:textId="7DA10499">
            <w:pPr>
              <w:keepNext/>
              <w:keepLines/>
              <w:spacing w:after="0"/>
              <w:rPr>
                <w:sz w:val="20"/>
                <w:szCs w:val="20"/>
              </w:rPr>
            </w:pPr>
            <w:r>
              <w:rPr>
                <w:rFonts w:eastAsia="Calibri"/>
                <w:sz w:val="20"/>
                <w:szCs w:val="20"/>
              </w:rPr>
              <w:t>38,935</w:t>
            </w:r>
          </w:p>
        </w:tc>
      </w:tr>
      <w:tr w:rsidRPr="00C47150" w:rsidR="008973CF" w:rsidTr="00A37DA3" w14:paraId="4A626300" w14:textId="77777777">
        <w:trPr>
          <w:trHeight w:val="525"/>
          <w:jc w:val="center"/>
        </w:trPr>
        <w:tc>
          <w:tcPr>
            <w:tcW w:w="6239" w:type="dxa"/>
            <w:shd w:val="clear" w:color="auto" w:fill="auto"/>
            <w:hideMark/>
          </w:tcPr>
          <w:p w:rsidRPr="001742C7" w:rsidR="008973CF" w:rsidP="008973CF" w:rsidRDefault="008973CF"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166" w:type="dxa"/>
            <w:shd w:val="clear" w:color="auto" w:fill="auto"/>
            <w:noWrap/>
            <w:vAlign w:val="center"/>
            <w:hideMark/>
          </w:tcPr>
          <w:p w:rsidRPr="005C1813" w:rsidR="008973CF" w:rsidP="008973CF" w:rsidRDefault="008973CF" w14:paraId="54B54D46" w14:textId="4A929B87">
            <w:pPr>
              <w:keepNext/>
              <w:keepLines/>
              <w:spacing w:after="0"/>
              <w:rPr>
                <w:sz w:val="20"/>
                <w:szCs w:val="20"/>
              </w:rPr>
            </w:pPr>
            <w:r w:rsidRPr="00CC2BFB">
              <w:rPr>
                <w:rFonts w:eastAsia="Calibri"/>
                <w:sz w:val="20"/>
                <w:szCs w:val="20"/>
              </w:rPr>
              <w:t>4,</w:t>
            </w:r>
            <w:r>
              <w:rPr>
                <w:rFonts w:eastAsia="Calibri"/>
                <w:sz w:val="20"/>
                <w:szCs w:val="20"/>
              </w:rPr>
              <w:t>398</w:t>
            </w:r>
          </w:p>
        </w:tc>
      </w:tr>
      <w:tr w:rsidRPr="00C47150" w:rsidR="008973CF" w:rsidTr="00A37DA3" w14:paraId="363407A4" w14:textId="77777777">
        <w:trPr>
          <w:trHeight w:val="525"/>
          <w:jc w:val="center"/>
        </w:trPr>
        <w:tc>
          <w:tcPr>
            <w:tcW w:w="6239" w:type="dxa"/>
            <w:shd w:val="clear" w:color="auto" w:fill="auto"/>
            <w:hideMark/>
          </w:tcPr>
          <w:p w:rsidRPr="001742C7" w:rsidR="008973CF" w:rsidP="008973CF" w:rsidRDefault="008973CF" w14:paraId="3B7CD868" w14:textId="30D15E68">
            <w:pPr>
              <w:spacing w:after="0"/>
              <w:rPr>
                <w:sz w:val="20"/>
                <w:szCs w:val="20"/>
              </w:rPr>
            </w:pPr>
            <w:r w:rsidRPr="00732012">
              <w:rPr>
                <w:sz w:val="20"/>
                <w:szCs w:val="20"/>
              </w:rPr>
              <w:t># of Respondents (groups and clinicians submitting as individuals) (c)=(a)+(b)</w:t>
            </w:r>
          </w:p>
        </w:tc>
        <w:tc>
          <w:tcPr>
            <w:tcW w:w="2166" w:type="dxa"/>
            <w:shd w:val="clear" w:color="auto" w:fill="auto"/>
            <w:vAlign w:val="center"/>
            <w:hideMark/>
          </w:tcPr>
          <w:p w:rsidRPr="005C1813" w:rsidR="008973CF" w:rsidP="008973CF" w:rsidRDefault="008973CF" w14:paraId="3F86ECB7" w14:textId="507BA6D4">
            <w:pPr>
              <w:spacing w:after="0"/>
              <w:rPr>
                <w:sz w:val="20"/>
                <w:szCs w:val="20"/>
              </w:rPr>
            </w:pPr>
            <w:r>
              <w:rPr>
                <w:rFonts w:eastAsia="Calibri"/>
                <w:sz w:val="20"/>
                <w:szCs w:val="20"/>
              </w:rPr>
              <w:t>43,333</w:t>
            </w:r>
          </w:p>
        </w:tc>
      </w:tr>
      <w:tr w:rsidRPr="00C47150" w:rsidR="001C31BF" w:rsidTr="0015290C" w14:paraId="32C19599" w14:textId="77777777">
        <w:trPr>
          <w:trHeight w:val="359"/>
          <w:jc w:val="center"/>
        </w:trPr>
        <w:tc>
          <w:tcPr>
            <w:tcW w:w="6239" w:type="dxa"/>
            <w:shd w:val="clear" w:color="auto" w:fill="auto"/>
            <w:hideMark/>
          </w:tcPr>
          <w:p w:rsidRPr="001742C7" w:rsidR="001C31BF" w:rsidP="001C31BF" w:rsidRDefault="001C31BF" w14:paraId="0515EC48" w14:textId="77777777">
            <w:pPr>
              <w:spacing w:after="0"/>
              <w:rPr>
                <w:sz w:val="20"/>
                <w:szCs w:val="20"/>
              </w:rPr>
            </w:pPr>
            <w:r w:rsidRPr="00732012">
              <w:rPr>
                <w:sz w:val="20"/>
                <w:szCs w:val="20"/>
              </w:rPr>
              <w:t xml:space="preserve">Hours Per Respondent to Submit MIPS Quality Data File to CMS (d) </w:t>
            </w:r>
          </w:p>
        </w:tc>
        <w:tc>
          <w:tcPr>
            <w:tcW w:w="2166" w:type="dxa"/>
            <w:shd w:val="clear" w:color="auto" w:fill="auto"/>
            <w:vAlign w:val="center"/>
            <w:hideMark/>
          </w:tcPr>
          <w:p w:rsidRPr="001742C7" w:rsidR="001C31BF" w:rsidP="001C31BF" w:rsidRDefault="001C31BF" w14:paraId="3516477F" w14:textId="030E9B23">
            <w:pPr>
              <w:spacing w:after="0"/>
              <w:rPr>
                <w:sz w:val="20"/>
                <w:szCs w:val="20"/>
              </w:rPr>
            </w:pPr>
            <w:r w:rsidRPr="003428D4">
              <w:rPr>
                <w:rFonts w:eastAsia="Calibri"/>
                <w:sz w:val="20"/>
                <w:szCs w:val="20"/>
              </w:rPr>
              <w:t>2</w:t>
            </w:r>
          </w:p>
        </w:tc>
      </w:tr>
      <w:tr w:rsidRPr="00C47150" w:rsidR="001C31BF" w:rsidTr="0015290C" w14:paraId="68252D38" w14:textId="77777777">
        <w:trPr>
          <w:trHeight w:val="350"/>
          <w:jc w:val="center"/>
        </w:trPr>
        <w:tc>
          <w:tcPr>
            <w:tcW w:w="6239" w:type="dxa"/>
            <w:shd w:val="clear" w:color="auto" w:fill="auto"/>
            <w:hideMark/>
          </w:tcPr>
          <w:p w:rsidRPr="001742C7" w:rsidR="001C31BF" w:rsidP="001C31BF" w:rsidRDefault="001C31BF" w14:paraId="4794ECD7" w14:textId="77777777">
            <w:pPr>
              <w:spacing w:after="0"/>
              <w:rPr>
                <w:sz w:val="20"/>
                <w:szCs w:val="20"/>
              </w:rPr>
            </w:pPr>
            <w:r w:rsidRPr="00732012">
              <w:rPr>
                <w:sz w:val="20"/>
                <w:szCs w:val="20"/>
              </w:rPr>
              <w:t># of Hours Practice Administrator Review Measure Specifications (e)</w:t>
            </w:r>
          </w:p>
        </w:tc>
        <w:tc>
          <w:tcPr>
            <w:tcW w:w="2166" w:type="dxa"/>
            <w:shd w:val="clear" w:color="auto" w:fill="auto"/>
            <w:vAlign w:val="center"/>
            <w:hideMark/>
          </w:tcPr>
          <w:p w:rsidRPr="001742C7" w:rsidR="001C31BF" w:rsidP="001C31BF" w:rsidRDefault="001C31BF" w14:paraId="374EE147" w14:textId="6C2160DB">
            <w:pPr>
              <w:spacing w:after="0"/>
              <w:rPr>
                <w:sz w:val="20"/>
                <w:szCs w:val="20"/>
              </w:rPr>
            </w:pPr>
            <w:r w:rsidRPr="003428D4">
              <w:rPr>
                <w:rFonts w:eastAsia="Calibri"/>
                <w:sz w:val="20"/>
                <w:szCs w:val="20"/>
              </w:rPr>
              <w:t>2</w:t>
            </w:r>
          </w:p>
        </w:tc>
      </w:tr>
      <w:tr w:rsidRPr="00C47150" w:rsidR="001C31BF" w:rsidTr="0015290C" w14:paraId="11DFDC9F" w14:textId="77777777">
        <w:trPr>
          <w:trHeight w:val="315"/>
          <w:jc w:val="center"/>
        </w:trPr>
        <w:tc>
          <w:tcPr>
            <w:tcW w:w="6239" w:type="dxa"/>
            <w:shd w:val="clear" w:color="auto" w:fill="auto"/>
            <w:hideMark/>
          </w:tcPr>
          <w:p w:rsidRPr="001742C7" w:rsidR="001C31BF" w:rsidP="001C31BF" w:rsidRDefault="001C31BF" w14:paraId="7544A1AB" w14:textId="77777777">
            <w:pPr>
              <w:spacing w:after="0"/>
              <w:rPr>
                <w:sz w:val="20"/>
                <w:szCs w:val="20"/>
              </w:rPr>
            </w:pPr>
            <w:r w:rsidRPr="00732012">
              <w:rPr>
                <w:sz w:val="20"/>
                <w:szCs w:val="20"/>
              </w:rPr>
              <w:t># of Hours Computer Systems Analyst Review Measure Specifications (f)</w:t>
            </w:r>
          </w:p>
        </w:tc>
        <w:tc>
          <w:tcPr>
            <w:tcW w:w="2166" w:type="dxa"/>
            <w:shd w:val="clear" w:color="auto" w:fill="auto"/>
            <w:vAlign w:val="center"/>
            <w:hideMark/>
          </w:tcPr>
          <w:p w:rsidRPr="001742C7" w:rsidR="001C31BF" w:rsidP="001C31BF" w:rsidRDefault="001C31BF" w14:paraId="64FB25A3" w14:textId="6F0C587D">
            <w:pPr>
              <w:spacing w:after="0"/>
              <w:rPr>
                <w:sz w:val="20"/>
                <w:szCs w:val="20"/>
              </w:rPr>
            </w:pPr>
            <w:r w:rsidRPr="003428D4">
              <w:rPr>
                <w:rFonts w:eastAsia="Calibri"/>
                <w:sz w:val="20"/>
                <w:szCs w:val="20"/>
              </w:rPr>
              <w:t>1</w:t>
            </w:r>
          </w:p>
        </w:tc>
      </w:tr>
      <w:tr w:rsidRPr="00C47150" w:rsidR="001C31BF" w:rsidTr="0015290C" w14:paraId="1C59A6D3" w14:textId="77777777">
        <w:trPr>
          <w:trHeight w:val="296"/>
          <w:jc w:val="center"/>
        </w:trPr>
        <w:tc>
          <w:tcPr>
            <w:tcW w:w="6239" w:type="dxa"/>
            <w:shd w:val="clear" w:color="auto" w:fill="auto"/>
            <w:hideMark/>
          </w:tcPr>
          <w:p w:rsidRPr="001742C7" w:rsidR="001C31BF" w:rsidP="001C31BF" w:rsidRDefault="001C31BF" w14:paraId="541F83A5" w14:textId="77777777">
            <w:pPr>
              <w:spacing w:after="0"/>
              <w:rPr>
                <w:sz w:val="20"/>
                <w:szCs w:val="20"/>
              </w:rPr>
            </w:pPr>
            <w:r w:rsidRPr="00732012">
              <w:rPr>
                <w:sz w:val="20"/>
                <w:szCs w:val="20"/>
              </w:rPr>
              <w:t># of Hours LPN Review Measure Specifications (g)</w:t>
            </w:r>
          </w:p>
        </w:tc>
        <w:tc>
          <w:tcPr>
            <w:tcW w:w="2166" w:type="dxa"/>
            <w:shd w:val="clear" w:color="auto" w:fill="auto"/>
            <w:vAlign w:val="center"/>
            <w:hideMark/>
          </w:tcPr>
          <w:p w:rsidRPr="001742C7" w:rsidR="001C31BF" w:rsidP="001C31BF" w:rsidRDefault="001C31BF" w14:paraId="580A4082" w14:textId="1D8728DB">
            <w:pPr>
              <w:spacing w:after="0"/>
              <w:rPr>
                <w:sz w:val="20"/>
                <w:szCs w:val="20"/>
              </w:rPr>
            </w:pPr>
            <w:r w:rsidRPr="003428D4">
              <w:rPr>
                <w:rFonts w:eastAsia="Calibri"/>
                <w:sz w:val="20"/>
                <w:szCs w:val="20"/>
              </w:rPr>
              <w:t>1</w:t>
            </w:r>
          </w:p>
        </w:tc>
      </w:tr>
      <w:tr w:rsidRPr="00C47150" w:rsidR="001C31BF" w:rsidTr="0015290C" w14:paraId="170BACFE" w14:textId="77777777">
        <w:trPr>
          <w:trHeight w:val="350"/>
          <w:jc w:val="center"/>
        </w:trPr>
        <w:tc>
          <w:tcPr>
            <w:tcW w:w="6239" w:type="dxa"/>
            <w:shd w:val="clear" w:color="auto" w:fill="auto"/>
            <w:hideMark/>
          </w:tcPr>
          <w:p w:rsidRPr="001742C7" w:rsidR="001C31BF" w:rsidP="001C31BF" w:rsidRDefault="001C31BF" w14:paraId="3661C033" w14:textId="77777777">
            <w:pPr>
              <w:spacing w:after="0"/>
              <w:rPr>
                <w:sz w:val="20"/>
                <w:szCs w:val="20"/>
              </w:rPr>
            </w:pPr>
            <w:r w:rsidRPr="00732012">
              <w:rPr>
                <w:sz w:val="20"/>
                <w:szCs w:val="20"/>
              </w:rPr>
              <w:t># of Hours Billing Clerk Review Measure Specifications (h)</w:t>
            </w:r>
          </w:p>
        </w:tc>
        <w:tc>
          <w:tcPr>
            <w:tcW w:w="2166" w:type="dxa"/>
            <w:shd w:val="clear" w:color="auto" w:fill="auto"/>
            <w:vAlign w:val="center"/>
            <w:hideMark/>
          </w:tcPr>
          <w:p w:rsidRPr="001742C7" w:rsidR="001C31BF" w:rsidP="001C31BF" w:rsidRDefault="001C31BF" w14:paraId="5F172C4F" w14:textId="0E4EE92D">
            <w:pPr>
              <w:spacing w:after="0"/>
              <w:rPr>
                <w:sz w:val="20"/>
                <w:szCs w:val="20"/>
              </w:rPr>
            </w:pPr>
            <w:r w:rsidRPr="003428D4">
              <w:rPr>
                <w:rFonts w:eastAsia="Calibri"/>
                <w:sz w:val="20"/>
                <w:szCs w:val="20"/>
              </w:rPr>
              <w:t>1</w:t>
            </w:r>
          </w:p>
        </w:tc>
      </w:tr>
      <w:tr w:rsidRPr="00C47150" w:rsidR="001C31BF" w:rsidTr="0015290C" w14:paraId="29BB4B84" w14:textId="77777777">
        <w:trPr>
          <w:trHeight w:val="260"/>
          <w:jc w:val="center"/>
        </w:trPr>
        <w:tc>
          <w:tcPr>
            <w:tcW w:w="6239" w:type="dxa"/>
            <w:shd w:val="clear" w:color="auto" w:fill="auto"/>
            <w:hideMark/>
          </w:tcPr>
          <w:p w:rsidRPr="001742C7" w:rsidR="001C31BF" w:rsidP="001C31BF" w:rsidRDefault="001C31BF" w14:paraId="35F83B08" w14:textId="77777777">
            <w:pPr>
              <w:spacing w:after="0"/>
              <w:rPr>
                <w:sz w:val="20"/>
                <w:szCs w:val="20"/>
              </w:rPr>
            </w:pPr>
            <w:r w:rsidRPr="00732012">
              <w:rPr>
                <w:sz w:val="20"/>
                <w:szCs w:val="20"/>
              </w:rPr>
              <w:t># of Hours Clinicians Review Measure Specifications (i)</w:t>
            </w:r>
          </w:p>
        </w:tc>
        <w:tc>
          <w:tcPr>
            <w:tcW w:w="2166" w:type="dxa"/>
            <w:shd w:val="clear" w:color="auto" w:fill="auto"/>
            <w:vAlign w:val="center"/>
            <w:hideMark/>
          </w:tcPr>
          <w:p w:rsidRPr="001742C7" w:rsidR="001C31BF" w:rsidP="001C31BF" w:rsidRDefault="001C31BF" w14:paraId="0EFD6293" w14:textId="278F5EC0">
            <w:pPr>
              <w:spacing w:after="0"/>
              <w:rPr>
                <w:sz w:val="20"/>
                <w:szCs w:val="20"/>
              </w:rPr>
            </w:pPr>
            <w:r w:rsidRPr="003428D4">
              <w:rPr>
                <w:rFonts w:eastAsia="Calibri"/>
                <w:sz w:val="20"/>
                <w:szCs w:val="20"/>
              </w:rPr>
              <w:t>1</w:t>
            </w:r>
          </w:p>
        </w:tc>
      </w:tr>
      <w:tr w:rsidRPr="00C47150" w:rsidR="001C31BF" w:rsidTr="008C0B7F" w14:paraId="665582A6" w14:textId="77777777">
        <w:trPr>
          <w:trHeight w:val="315"/>
          <w:jc w:val="center"/>
        </w:trPr>
        <w:tc>
          <w:tcPr>
            <w:tcW w:w="6239" w:type="dxa"/>
            <w:shd w:val="clear" w:color="auto" w:fill="FFFFFF" w:themeFill="background1"/>
            <w:hideMark/>
          </w:tcPr>
          <w:p w:rsidRPr="008C0B7F" w:rsidR="001C31BF" w:rsidP="001C31BF" w:rsidRDefault="001C31BF"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166" w:type="dxa"/>
            <w:shd w:val="clear" w:color="auto" w:fill="FFFFFF" w:themeFill="background1"/>
            <w:vAlign w:val="center"/>
            <w:hideMark/>
          </w:tcPr>
          <w:p w:rsidRPr="008C0B7F" w:rsidR="001C31BF" w:rsidP="001C31BF" w:rsidRDefault="001C31BF" w14:paraId="48119A33" w14:textId="2EB3BBF9">
            <w:pPr>
              <w:spacing w:after="0"/>
              <w:rPr>
                <w:bCs/>
                <w:sz w:val="20"/>
                <w:szCs w:val="20"/>
              </w:rPr>
            </w:pPr>
            <w:r w:rsidRPr="008C0B7F">
              <w:rPr>
                <w:rFonts w:eastAsia="Calibri"/>
                <w:bCs/>
                <w:sz w:val="20"/>
                <w:szCs w:val="20"/>
              </w:rPr>
              <w:t>8</w:t>
            </w:r>
          </w:p>
        </w:tc>
      </w:tr>
      <w:tr w:rsidRPr="00C47150" w:rsidR="001C31BF" w:rsidTr="008C0B7F" w14:paraId="3FD84EFD" w14:textId="77777777">
        <w:trPr>
          <w:trHeight w:val="296"/>
          <w:jc w:val="center"/>
        </w:trPr>
        <w:tc>
          <w:tcPr>
            <w:tcW w:w="6239" w:type="dxa"/>
            <w:shd w:val="clear" w:color="auto" w:fill="E7E6E6" w:themeFill="background2"/>
            <w:hideMark/>
          </w:tcPr>
          <w:p w:rsidRPr="008C0B7F" w:rsidR="001C31BF" w:rsidP="001C31BF" w:rsidRDefault="001C31BF" w14:paraId="7981F843" w14:textId="77777777">
            <w:pPr>
              <w:spacing w:after="0"/>
              <w:rPr>
                <w:b/>
                <w:bCs/>
                <w:sz w:val="20"/>
                <w:szCs w:val="20"/>
                <w:highlight w:val="lightGray"/>
              </w:rPr>
            </w:pPr>
            <w:r w:rsidRPr="008C0B7F">
              <w:rPr>
                <w:b/>
                <w:bCs/>
                <w:sz w:val="20"/>
                <w:szCs w:val="20"/>
                <w:highlight w:val="lightGray"/>
              </w:rPr>
              <w:t>Total Annual Hours (k)=(c)*(j)</w:t>
            </w:r>
          </w:p>
        </w:tc>
        <w:tc>
          <w:tcPr>
            <w:tcW w:w="2166" w:type="dxa"/>
            <w:shd w:val="clear" w:color="auto" w:fill="E7E6E6" w:themeFill="background2"/>
            <w:vAlign w:val="center"/>
            <w:hideMark/>
          </w:tcPr>
          <w:p w:rsidRPr="008C0B7F" w:rsidR="001C31BF" w:rsidP="001C31BF" w:rsidRDefault="008973CF" w14:paraId="0A1E1A01" w14:textId="5275A4B4">
            <w:pPr>
              <w:spacing w:after="0"/>
              <w:rPr>
                <w:b/>
                <w:bCs/>
                <w:sz w:val="20"/>
                <w:szCs w:val="20"/>
                <w:highlight w:val="lightGray"/>
              </w:rPr>
            </w:pPr>
            <w:r>
              <w:rPr>
                <w:b/>
                <w:bCs/>
                <w:sz w:val="20"/>
                <w:szCs w:val="20"/>
                <w:highlight w:val="lightGray"/>
              </w:rPr>
              <w:t>346,664</w:t>
            </w:r>
          </w:p>
        </w:tc>
      </w:tr>
      <w:tr w:rsidRPr="00C47150" w:rsidR="000A4A41" w:rsidTr="00C414F4" w14:paraId="3160D751" w14:textId="77777777">
        <w:trPr>
          <w:trHeight w:val="525"/>
          <w:jc w:val="center"/>
        </w:trPr>
        <w:tc>
          <w:tcPr>
            <w:tcW w:w="6239" w:type="dxa"/>
            <w:shd w:val="clear" w:color="auto" w:fill="auto"/>
            <w:hideMark/>
          </w:tcPr>
          <w:p w:rsidRPr="000A4A41" w:rsidR="000A4A41" w:rsidP="000A4A41" w:rsidRDefault="000A4A41" w14:paraId="685B0358" w14:textId="2D659AB2">
            <w:pPr>
              <w:spacing w:after="0"/>
              <w:rPr>
                <w:sz w:val="20"/>
                <w:szCs w:val="20"/>
              </w:rPr>
            </w:pPr>
            <w:r w:rsidRPr="000A4A41">
              <w:rPr>
                <w:sz w:val="20"/>
                <w:szCs w:val="20"/>
              </w:rPr>
              <w:t>Cost Per Respondent to Submit Quality Data (@ computer systems analyst’s labor rate of $90.02/hr) (l)</w:t>
            </w:r>
          </w:p>
        </w:tc>
        <w:tc>
          <w:tcPr>
            <w:tcW w:w="2166" w:type="dxa"/>
            <w:shd w:val="clear" w:color="auto" w:fill="auto"/>
            <w:hideMark/>
          </w:tcPr>
          <w:p w:rsidRPr="000A4A41" w:rsidR="000A4A41" w:rsidP="000A4A41" w:rsidRDefault="000A4A41" w14:paraId="069C3318" w14:textId="631A0712">
            <w:pPr>
              <w:spacing w:after="0"/>
              <w:rPr>
                <w:sz w:val="20"/>
                <w:szCs w:val="20"/>
              </w:rPr>
            </w:pPr>
            <w:r w:rsidRPr="000A4A41">
              <w:rPr>
                <w:sz w:val="20"/>
                <w:szCs w:val="20"/>
              </w:rPr>
              <w:t>$180.04</w:t>
            </w:r>
          </w:p>
        </w:tc>
      </w:tr>
      <w:tr w:rsidRPr="00C47150" w:rsidR="000A4A41" w:rsidTr="00C414F4" w14:paraId="11ABA6BB" w14:textId="77777777">
        <w:trPr>
          <w:trHeight w:val="525"/>
          <w:jc w:val="center"/>
        </w:trPr>
        <w:tc>
          <w:tcPr>
            <w:tcW w:w="6239" w:type="dxa"/>
            <w:shd w:val="clear" w:color="auto" w:fill="auto"/>
            <w:hideMark/>
          </w:tcPr>
          <w:p w:rsidRPr="000A4A41" w:rsidR="000A4A41" w:rsidP="000A4A41" w:rsidRDefault="000A4A41" w14:paraId="6B310FB8" w14:textId="7E96B0BC">
            <w:pPr>
              <w:spacing w:after="0"/>
              <w:rPr>
                <w:sz w:val="20"/>
                <w:szCs w:val="20"/>
              </w:rPr>
            </w:pPr>
            <w:r w:rsidRPr="000A4A41">
              <w:rPr>
                <w:sz w:val="20"/>
                <w:szCs w:val="20"/>
              </w:rPr>
              <w:t>Cost to Review Measure Specifications (@ practice administrator's labor rate of $109.36/hr) (m)</w:t>
            </w:r>
          </w:p>
        </w:tc>
        <w:tc>
          <w:tcPr>
            <w:tcW w:w="2166" w:type="dxa"/>
            <w:shd w:val="clear" w:color="auto" w:fill="auto"/>
            <w:noWrap/>
            <w:hideMark/>
          </w:tcPr>
          <w:p w:rsidRPr="000A4A41" w:rsidR="000A4A41" w:rsidP="000A4A41" w:rsidRDefault="000A4A41" w14:paraId="5435091E" w14:textId="081CC06D">
            <w:pPr>
              <w:spacing w:after="0"/>
              <w:rPr>
                <w:sz w:val="20"/>
                <w:szCs w:val="20"/>
              </w:rPr>
            </w:pPr>
            <w:r w:rsidRPr="000A4A41">
              <w:rPr>
                <w:sz w:val="20"/>
                <w:szCs w:val="20"/>
              </w:rPr>
              <w:t>$218.72</w:t>
            </w:r>
          </w:p>
        </w:tc>
      </w:tr>
      <w:tr w:rsidRPr="00C47150" w:rsidR="000A4A41" w:rsidTr="00C414F4" w14:paraId="2C4F90A0" w14:textId="77777777">
        <w:trPr>
          <w:trHeight w:val="525"/>
          <w:jc w:val="center"/>
        </w:trPr>
        <w:tc>
          <w:tcPr>
            <w:tcW w:w="6239" w:type="dxa"/>
            <w:shd w:val="clear" w:color="auto" w:fill="auto"/>
            <w:hideMark/>
          </w:tcPr>
          <w:p w:rsidRPr="000A4A41" w:rsidR="000A4A41" w:rsidP="000A4A41" w:rsidRDefault="000A4A41" w14:paraId="01281DD1" w14:textId="1BDD343C">
            <w:pPr>
              <w:spacing w:after="0"/>
              <w:rPr>
                <w:sz w:val="20"/>
                <w:szCs w:val="20"/>
              </w:rPr>
            </w:pPr>
            <w:r w:rsidRPr="000A4A41">
              <w:rPr>
                <w:sz w:val="20"/>
                <w:szCs w:val="20"/>
              </w:rPr>
              <w:t>Cost to Review Measure Specifications (@ computer systems analyst’s labor rate of $90.02/hr) (n)</w:t>
            </w:r>
          </w:p>
        </w:tc>
        <w:tc>
          <w:tcPr>
            <w:tcW w:w="2166" w:type="dxa"/>
            <w:shd w:val="clear" w:color="auto" w:fill="auto"/>
            <w:noWrap/>
            <w:hideMark/>
          </w:tcPr>
          <w:p w:rsidRPr="000A4A41" w:rsidR="000A4A41" w:rsidP="000A4A41" w:rsidRDefault="000A4A41" w14:paraId="7B0C9225" w14:textId="257BB9AC">
            <w:pPr>
              <w:spacing w:after="0"/>
              <w:rPr>
                <w:sz w:val="20"/>
                <w:szCs w:val="20"/>
              </w:rPr>
            </w:pPr>
            <w:r w:rsidRPr="000A4A41">
              <w:rPr>
                <w:sz w:val="20"/>
                <w:szCs w:val="20"/>
              </w:rPr>
              <w:t>$90.02</w:t>
            </w:r>
          </w:p>
        </w:tc>
      </w:tr>
      <w:tr w:rsidRPr="00C47150" w:rsidR="000A4A41" w:rsidTr="00C414F4" w14:paraId="6D05C566" w14:textId="77777777">
        <w:trPr>
          <w:trHeight w:val="525"/>
          <w:jc w:val="center"/>
        </w:trPr>
        <w:tc>
          <w:tcPr>
            <w:tcW w:w="6239" w:type="dxa"/>
            <w:shd w:val="clear" w:color="auto" w:fill="auto"/>
            <w:hideMark/>
          </w:tcPr>
          <w:p w:rsidRPr="000A4A41" w:rsidR="000A4A41" w:rsidP="000A4A41" w:rsidRDefault="000A4A41" w14:paraId="036C20D2" w14:textId="003EA6F8">
            <w:pPr>
              <w:spacing w:after="0"/>
              <w:rPr>
                <w:sz w:val="20"/>
                <w:szCs w:val="20"/>
              </w:rPr>
            </w:pPr>
            <w:r w:rsidRPr="000A4A41">
              <w:rPr>
                <w:sz w:val="20"/>
                <w:szCs w:val="20"/>
              </w:rPr>
              <w:t>Cost to Review Measure Specifications (@ LPN's labor rate of $45.24/hr) (o)</w:t>
            </w:r>
          </w:p>
        </w:tc>
        <w:tc>
          <w:tcPr>
            <w:tcW w:w="2166" w:type="dxa"/>
            <w:shd w:val="clear" w:color="auto" w:fill="auto"/>
            <w:noWrap/>
            <w:hideMark/>
          </w:tcPr>
          <w:p w:rsidRPr="000A4A41" w:rsidR="000A4A41" w:rsidP="000A4A41" w:rsidRDefault="000A4A41" w14:paraId="6633D1D5" w14:textId="2B7F37BC">
            <w:pPr>
              <w:spacing w:after="0"/>
              <w:rPr>
                <w:sz w:val="20"/>
                <w:szCs w:val="20"/>
              </w:rPr>
            </w:pPr>
            <w:r w:rsidRPr="000A4A41">
              <w:rPr>
                <w:sz w:val="20"/>
                <w:szCs w:val="20"/>
              </w:rPr>
              <w:t>$45.24</w:t>
            </w:r>
          </w:p>
        </w:tc>
      </w:tr>
      <w:tr w:rsidRPr="00C47150" w:rsidR="000A4A41" w:rsidTr="00C414F4" w14:paraId="3B036A58" w14:textId="77777777">
        <w:trPr>
          <w:trHeight w:val="525"/>
          <w:jc w:val="center"/>
        </w:trPr>
        <w:tc>
          <w:tcPr>
            <w:tcW w:w="6239" w:type="dxa"/>
            <w:shd w:val="clear" w:color="auto" w:fill="auto"/>
            <w:hideMark/>
          </w:tcPr>
          <w:p w:rsidRPr="000A4A41" w:rsidR="000A4A41" w:rsidP="000A4A41" w:rsidRDefault="000A4A41" w14:paraId="1172BEE9" w14:textId="2B09F102">
            <w:pPr>
              <w:spacing w:after="0"/>
              <w:rPr>
                <w:sz w:val="20"/>
                <w:szCs w:val="20"/>
              </w:rPr>
            </w:pPr>
            <w:r w:rsidRPr="000A4A41">
              <w:rPr>
                <w:sz w:val="20"/>
                <w:szCs w:val="20"/>
              </w:rPr>
              <w:t>Cost to Review Measure Specifications (@ clerk’s labor rate of $38.00/hr) (p)</w:t>
            </w:r>
          </w:p>
        </w:tc>
        <w:tc>
          <w:tcPr>
            <w:tcW w:w="2166" w:type="dxa"/>
            <w:shd w:val="clear" w:color="auto" w:fill="auto"/>
            <w:noWrap/>
            <w:hideMark/>
          </w:tcPr>
          <w:p w:rsidRPr="000A4A41" w:rsidR="000A4A41" w:rsidP="000A4A41" w:rsidRDefault="000A4A41" w14:paraId="7A12B700" w14:textId="5342D39B">
            <w:pPr>
              <w:spacing w:after="0"/>
              <w:rPr>
                <w:sz w:val="20"/>
                <w:szCs w:val="20"/>
              </w:rPr>
            </w:pPr>
            <w:r w:rsidRPr="000A4A41">
              <w:rPr>
                <w:sz w:val="20"/>
                <w:szCs w:val="20"/>
              </w:rPr>
              <w:t>$38.00</w:t>
            </w:r>
          </w:p>
        </w:tc>
      </w:tr>
      <w:tr w:rsidRPr="00C47150" w:rsidR="000A4A41" w:rsidTr="00C414F4" w14:paraId="27D599C7" w14:textId="77777777">
        <w:trPr>
          <w:trHeight w:val="525"/>
          <w:jc w:val="center"/>
        </w:trPr>
        <w:tc>
          <w:tcPr>
            <w:tcW w:w="6239" w:type="dxa"/>
            <w:shd w:val="clear" w:color="auto" w:fill="auto"/>
            <w:hideMark/>
          </w:tcPr>
          <w:p w:rsidRPr="000A4A41" w:rsidR="000A4A41" w:rsidP="000A4A41" w:rsidRDefault="000A4A41" w14:paraId="0D1388D0" w14:textId="758F6506">
            <w:pPr>
              <w:spacing w:after="0"/>
              <w:rPr>
                <w:sz w:val="20"/>
                <w:szCs w:val="20"/>
              </w:rPr>
            </w:pPr>
            <w:r w:rsidRPr="000A4A41">
              <w:rPr>
                <w:sz w:val="20"/>
                <w:szCs w:val="20"/>
              </w:rPr>
              <w:t>Cost to D21Review Measure Specifications (@ physician’s labor rate of $202.86/hr) (q)</w:t>
            </w:r>
          </w:p>
        </w:tc>
        <w:tc>
          <w:tcPr>
            <w:tcW w:w="2166" w:type="dxa"/>
            <w:shd w:val="clear" w:color="auto" w:fill="auto"/>
            <w:noWrap/>
            <w:hideMark/>
          </w:tcPr>
          <w:p w:rsidRPr="000A4A41" w:rsidR="000A4A41" w:rsidP="000A4A41" w:rsidRDefault="000A4A41" w14:paraId="41745B0B" w14:textId="04652882">
            <w:pPr>
              <w:spacing w:after="0"/>
              <w:rPr>
                <w:sz w:val="20"/>
                <w:szCs w:val="20"/>
              </w:rPr>
            </w:pPr>
            <w:r w:rsidRPr="000A4A41">
              <w:rPr>
                <w:sz w:val="20"/>
                <w:szCs w:val="20"/>
              </w:rPr>
              <w:t>$202.86</w:t>
            </w:r>
          </w:p>
        </w:tc>
      </w:tr>
      <w:tr w:rsidRPr="00C47150" w:rsidR="000A4A41" w:rsidTr="00C414F4" w14:paraId="18D7F363" w14:textId="77777777">
        <w:trPr>
          <w:trHeight w:val="315"/>
          <w:jc w:val="center"/>
        </w:trPr>
        <w:tc>
          <w:tcPr>
            <w:tcW w:w="6239" w:type="dxa"/>
            <w:shd w:val="clear" w:color="auto" w:fill="auto"/>
            <w:hideMark/>
          </w:tcPr>
          <w:p w:rsidRPr="000A4A41" w:rsidR="000A4A41" w:rsidP="000A4A41" w:rsidRDefault="000A4A41" w14:paraId="48792688" w14:textId="382AB758">
            <w:pPr>
              <w:spacing w:after="0"/>
              <w:rPr>
                <w:sz w:val="20"/>
                <w:szCs w:val="20"/>
              </w:rPr>
            </w:pPr>
            <w:r w:rsidRPr="000A4A41">
              <w:rPr>
                <w:sz w:val="20"/>
                <w:szCs w:val="20"/>
              </w:rPr>
              <w:t>Total Cost Per Respondent (r)=(l)+(m)+(n)+(o)+(p)+(q)</w:t>
            </w:r>
          </w:p>
        </w:tc>
        <w:tc>
          <w:tcPr>
            <w:tcW w:w="2166" w:type="dxa"/>
            <w:shd w:val="clear" w:color="auto" w:fill="auto"/>
            <w:noWrap/>
            <w:hideMark/>
          </w:tcPr>
          <w:p w:rsidRPr="000A4A41" w:rsidR="000A4A41" w:rsidP="000A4A41" w:rsidRDefault="000A4A41" w14:paraId="6AC814EF" w14:textId="7E2B58E4">
            <w:pPr>
              <w:spacing w:after="0"/>
              <w:rPr>
                <w:sz w:val="20"/>
                <w:szCs w:val="20"/>
              </w:rPr>
            </w:pPr>
            <w:r w:rsidRPr="000A4A41">
              <w:rPr>
                <w:sz w:val="20"/>
                <w:szCs w:val="20"/>
              </w:rPr>
              <w:t>$774.88</w:t>
            </w:r>
          </w:p>
        </w:tc>
      </w:tr>
      <w:tr w:rsidRPr="00C47150" w:rsidR="001C31BF" w:rsidTr="005C1813" w14:paraId="5F4C4579" w14:textId="77777777">
        <w:trPr>
          <w:trHeight w:val="315"/>
          <w:jc w:val="center"/>
        </w:trPr>
        <w:tc>
          <w:tcPr>
            <w:tcW w:w="6239" w:type="dxa"/>
            <w:shd w:val="clear" w:color="auto" w:fill="D9D9D9" w:themeFill="background1" w:themeFillShade="D9"/>
          </w:tcPr>
          <w:p w:rsidRPr="005C1813" w:rsidR="001C31BF" w:rsidP="001C31BF" w:rsidRDefault="001C31BF" w14:paraId="2FA0D96F" w14:textId="77777777">
            <w:pPr>
              <w:spacing w:after="0"/>
              <w:rPr>
                <w:b/>
                <w:sz w:val="20"/>
                <w:szCs w:val="20"/>
              </w:rPr>
            </w:pPr>
            <w:r w:rsidRPr="005C1813">
              <w:rPr>
                <w:b/>
                <w:sz w:val="20"/>
                <w:szCs w:val="20"/>
              </w:rPr>
              <w:t>Total Annual Cost (s) = (c)*(r)</w:t>
            </w:r>
          </w:p>
        </w:tc>
        <w:tc>
          <w:tcPr>
            <w:tcW w:w="2166" w:type="dxa"/>
            <w:shd w:val="clear" w:color="auto" w:fill="D9D9D9" w:themeFill="background1" w:themeFillShade="D9"/>
            <w:noWrap/>
            <w:vAlign w:val="center"/>
          </w:tcPr>
          <w:p w:rsidRPr="005C1813" w:rsidR="001C31BF" w:rsidP="001C31BF" w:rsidRDefault="001C31BF" w14:paraId="48C24134" w14:textId="31382A27">
            <w:pPr>
              <w:spacing w:after="0"/>
              <w:rPr>
                <w:b/>
                <w:sz w:val="20"/>
                <w:szCs w:val="20"/>
              </w:rPr>
            </w:pPr>
            <w:r w:rsidRPr="005C1813">
              <w:rPr>
                <w:rFonts w:eastAsia="Calibri"/>
                <w:b/>
                <w:sz w:val="20"/>
                <w:szCs w:val="20"/>
              </w:rPr>
              <w:t>$</w:t>
            </w:r>
            <w:r w:rsidR="008973CF">
              <w:rPr>
                <w:rFonts w:eastAsia="Calibri"/>
                <w:b/>
                <w:sz w:val="20"/>
                <w:szCs w:val="20"/>
              </w:rPr>
              <w:t>33,577,875</w:t>
            </w:r>
          </w:p>
        </w:tc>
      </w:tr>
    </w:tbl>
    <w:p w:rsidR="00C351ED" w:rsidP="00C351ED" w:rsidRDefault="00C351ED" w14:paraId="01D1AA40" w14:textId="3168371E">
      <w:pPr>
        <w:ind w:firstLine="720"/>
      </w:pPr>
    </w:p>
    <w:p w:rsidR="00C351ED" w:rsidP="0095356F" w:rsidRDefault="00C351ED" w14:paraId="37602DB3" w14:textId="175DDD04">
      <w:pPr>
        <w:pStyle w:val="Heading4"/>
        <w:numPr>
          <w:ilvl w:val="0"/>
          <w:numId w:val="33"/>
        </w:numPr>
      </w:pPr>
      <w:r>
        <w:t xml:space="preserve">Burden </w:t>
      </w:r>
      <w:r w:rsidRPr="00B05B18">
        <w:t xml:space="preserve">for </w:t>
      </w:r>
      <w:r>
        <w:t>Quality Data Submission by CMS Web Interface</w:t>
      </w:r>
    </w:p>
    <w:p w:rsidR="00C351ED" w:rsidP="00C351ED" w:rsidRDefault="00C351ED" w14:paraId="06174D5F" w14:textId="0BE4B5D7">
      <w:pPr>
        <w:ind w:firstLine="720"/>
      </w:pPr>
    </w:p>
    <w:p w:rsidRPr="003D1D2F" w:rsidR="003D1D2F" w:rsidP="00730BEF" w:rsidRDefault="00D71937" w14:paraId="6F678701" w14:textId="74F82C5E">
      <w:pPr>
        <w:rPr>
          <w:rFonts w:eastAsia="Calibri"/>
        </w:rPr>
      </w:pPr>
      <w:r w:rsidRPr="00CC2BFB">
        <w:rPr>
          <w:rFonts w:eastAsia="Calibri"/>
        </w:rPr>
        <w:t xml:space="preserve">We assume that 104 groups will submit quality data via the CMS Web Interface based on the number of groups who completed 100 percent of reporting quality data via the Web Interface in the 2018 MIPS performance period.  This is a decrease of 182 groups from the currently approved number of 286 groups provided in the CY 2019 PFS final rule (83 FR 60007) due to receipt of more current data.  We estimate that </w:t>
      </w:r>
      <w:r w:rsidRPr="00F90569">
        <w:rPr>
          <w:rFonts w:eastAsia="Calibri"/>
        </w:rPr>
        <w:t>4</w:t>
      </w:r>
      <w:r>
        <w:rPr>
          <w:rFonts w:eastAsia="Calibri"/>
        </w:rPr>
        <w:t>6,473</w:t>
      </w:r>
      <w:r w:rsidRPr="002179EF">
        <w:rPr>
          <w:rFonts w:eastAsia="Calibri"/>
        </w:rPr>
        <w:t xml:space="preserve"> clinicians will submit as part of groups via this method, a decrease of </w:t>
      </w:r>
      <w:r w:rsidRPr="00F90569">
        <w:rPr>
          <w:rFonts w:eastAsia="Calibri"/>
        </w:rPr>
        <w:t>9</w:t>
      </w:r>
      <w:r>
        <w:rPr>
          <w:rFonts w:eastAsia="Calibri"/>
        </w:rPr>
        <w:t>2,758</w:t>
      </w:r>
      <w:r w:rsidRPr="002179EF">
        <w:rPr>
          <w:rFonts w:eastAsia="Calibri"/>
        </w:rPr>
        <w:t xml:space="preserve"> from our currently approved estimate of 139,231</w:t>
      </w:r>
      <w:r w:rsidRPr="00CC2BFB">
        <w:rPr>
          <w:rFonts w:eastAsia="Calibri"/>
        </w:rPr>
        <w:t xml:space="preserve"> clinicians</w:t>
      </w:r>
      <w:r w:rsidRPr="003D1D2F" w:rsidR="003D1D2F">
        <w:rPr>
          <w:rFonts w:eastAsia="Calibri"/>
        </w:rPr>
        <w:t xml:space="preserve">.   </w:t>
      </w:r>
    </w:p>
    <w:p w:rsidRPr="003D1D2F" w:rsidR="003D1D2F" w:rsidP="00730BEF" w:rsidRDefault="008306EB" w14:paraId="71B325E0" w14:textId="4E4A91DB">
      <w:pPr>
        <w:rPr>
          <w:rFonts w:eastAsia="Calibri"/>
        </w:rPr>
      </w:pPr>
      <w:bookmarkStart w:name="_Hlk8211691" w:id="7"/>
      <w:r w:rsidRPr="00CC2BFB">
        <w:rPr>
          <w:rFonts w:eastAsia="Calibri"/>
        </w:rPr>
        <w:t xml:space="preserve">The burden associated with the group submission requirements is the time and effort associated with submitting data on a sample of the organization’s beneficiaries that is prepopulated in the CMS Web Interface.  Our burden estimate for submission includes the time (61.67 hours) needed for each group to populate data fields in the web interface with information on approximately 248 eligible assigned Medicare beneficiaries and submit the data (we will partially pre-populate the CMS Web Interface with claims data from their Medicare Part A and B beneficiaries).  </w:t>
      </w:r>
      <w:bookmarkStart w:name="_Hlk8211645" w:id="8"/>
      <w:r w:rsidRPr="00CC2BFB">
        <w:rPr>
          <w:rFonts w:eastAsia="Calibri"/>
        </w:rPr>
        <w:t xml:space="preserve">The patient data either can be manually entered, uploaded into the CMS Web Interface via a standard file format, which can be populated by CEHRT, or submitted directly.  </w:t>
      </w:r>
      <w:bookmarkEnd w:id="8"/>
      <w:r w:rsidRPr="00CC2BFB">
        <w:rPr>
          <w:rFonts w:eastAsia="Calibri"/>
        </w:rPr>
        <w:t xml:space="preserve">Each group must provide data on 248 eligible assigned Medicare beneficiaries (or all eligible assigned Medicare beneficiaries if the pool of eligible assigned beneficiaries is less than 248) for each measure.  </w:t>
      </w:r>
      <w:bookmarkEnd w:id="7"/>
      <w:r w:rsidRPr="00CC2BFB">
        <w:rPr>
          <w:rFonts w:eastAsia="Calibri"/>
        </w:rPr>
        <w:t>In aggregate, we estimate an annual burden of 6,414 hours (104 groups x 61.67 hr) at a cost of $577,359 (6,414 hr x $90.02/hr</w:t>
      </w:r>
      <w:r w:rsidRPr="008E1F57" w:rsidR="008E1F57">
        <w:rPr>
          <w:rFonts w:eastAsia="Calibri"/>
        </w:rPr>
        <w:t xml:space="preserve">).  </w:t>
      </w:r>
    </w:p>
    <w:p w:rsidR="002B6D53" w:rsidP="00730BEF" w:rsidRDefault="003D1D2F" w14:paraId="6020BF29" w14:textId="12E9848B">
      <w:r w:rsidRPr="003D1D2F">
        <w:rPr>
          <w:rFonts w:eastAsia="Calibri"/>
        </w:rPr>
        <w:t xml:space="preserve">Based on the assumptions discussed in this section, Table </w:t>
      </w:r>
      <w:r>
        <w:rPr>
          <w:rFonts w:eastAsia="Calibri"/>
        </w:rPr>
        <w:t>13</w:t>
      </w:r>
      <w:r w:rsidRPr="003D1D2F">
        <w:rPr>
          <w:rFonts w:eastAsia="Calibri"/>
        </w:rPr>
        <w:t xml:space="preserve"> summarizes the burden for groups submitting to MIPS via the CMS Web Interface</w:t>
      </w:r>
      <w:r w:rsidR="002B6D53">
        <w:t>.</w:t>
      </w:r>
    </w:p>
    <w:p w:rsidRPr="00C47150" w:rsidR="002B6D53" w:rsidP="00FC7A11" w:rsidRDefault="002B6D53" w14:paraId="682E1CF1" w14:textId="68B5091D">
      <w:pPr>
        <w:keepNext/>
        <w:keepLines/>
        <w:spacing w:after="0"/>
        <w:jc w:val="center"/>
        <w:rPr>
          <w:b/>
          <w:bCs/>
        </w:rPr>
      </w:pPr>
      <w:r w:rsidRPr="00C47150">
        <w:rPr>
          <w:b/>
          <w:bCs/>
        </w:rPr>
        <w:t xml:space="preserve">TABLE </w:t>
      </w:r>
      <w:r>
        <w:rPr>
          <w:b/>
          <w:bCs/>
        </w:rPr>
        <w:t>1</w:t>
      </w:r>
      <w:r w:rsidR="001C31BF">
        <w:rPr>
          <w:b/>
          <w:bCs/>
        </w:rPr>
        <w:t>3</w:t>
      </w:r>
      <w:r w:rsidRPr="00C47150">
        <w:rPr>
          <w:b/>
          <w:bCs/>
        </w:rPr>
        <w:t xml:space="preserve">: </w:t>
      </w:r>
      <w:r w:rsidR="001B3AA6">
        <w:rPr>
          <w:b/>
          <w:bCs/>
        </w:rPr>
        <w:t xml:space="preserve">Estimated </w:t>
      </w:r>
      <w:r w:rsidRPr="00C47150">
        <w:rPr>
          <w:b/>
          <w:bCs/>
        </w:rPr>
        <w:t>Burden for Quality Data Submission via the CMS Web Interface</w:t>
      </w:r>
    </w:p>
    <w:tbl>
      <w:tblPr>
        <w:tblW w:w="9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05"/>
        <w:gridCol w:w="2399"/>
      </w:tblGrid>
      <w:tr w:rsidRPr="00C47150" w:rsidR="002B6D53" w:rsidTr="002B6D53" w14:paraId="1BA951ED" w14:textId="77777777">
        <w:trPr>
          <w:trHeight w:val="315"/>
          <w:tblHeader/>
        </w:trPr>
        <w:tc>
          <w:tcPr>
            <w:tcW w:w="7105" w:type="dxa"/>
            <w:shd w:val="clear" w:color="auto" w:fill="auto"/>
            <w:vAlign w:val="center"/>
            <w:hideMark/>
          </w:tcPr>
          <w:p w:rsidRPr="00391C81" w:rsidR="002B6D53" w:rsidP="00FC7A11" w:rsidRDefault="002B6D53" w14:paraId="4C192BEE" w14:textId="1C8D65EB">
            <w:pPr>
              <w:keepNext/>
              <w:keepLines/>
              <w:spacing w:after="0"/>
              <w:rPr>
                <w:b/>
                <w:bCs/>
                <w:sz w:val="20"/>
                <w:szCs w:val="20"/>
              </w:rPr>
            </w:pPr>
            <w:r w:rsidRPr="00391C81">
              <w:rPr>
                <w:b/>
                <w:bCs/>
                <w:sz w:val="20"/>
                <w:szCs w:val="20"/>
              </w:rPr>
              <w:t> </w:t>
            </w:r>
            <w:r>
              <w:rPr>
                <w:b/>
                <w:bCs/>
                <w:sz w:val="20"/>
                <w:szCs w:val="20"/>
              </w:rPr>
              <w:t>Burden and Respondent Descriptions</w:t>
            </w:r>
          </w:p>
        </w:tc>
        <w:tc>
          <w:tcPr>
            <w:tcW w:w="2399" w:type="dxa"/>
            <w:shd w:val="clear" w:color="auto" w:fill="auto"/>
            <w:vAlign w:val="center"/>
            <w:hideMark/>
          </w:tcPr>
          <w:p w:rsidRPr="00391C81" w:rsidR="002B6D53" w:rsidP="00FC7A11" w:rsidRDefault="002B6D53" w14:paraId="7CB73641" w14:textId="77777777">
            <w:pPr>
              <w:keepNext/>
              <w:keepLines/>
              <w:spacing w:after="0"/>
              <w:jc w:val="center"/>
              <w:rPr>
                <w:b/>
                <w:bCs/>
                <w:sz w:val="20"/>
                <w:szCs w:val="20"/>
              </w:rPr>
            </w:pPr>
            <w:r w:rsidRPr="00391C81">
              <w:rPr>
                <w:b/>
                <w:bCs/>
                <w:sz w:val="20"/>
                <w:szCs w:val="20"/>
              </w:rPr>
              <w:t>Burden Estimate</w:t>
            </w:r>
          </w:p>
        </w:tc>
      </w:tr>
      <w:tr w:rsidRPr="00C47150" w:rsidR="001C31BF" w:rsidTr="0015290C" w14:paraId="64675DCE" w14:textId="77777777">
        <w:trPr>
          <w:trHeight w:val="295"/>
        </w:trPr>
        <w:tc>
          <w:tcPr>
            <w:tcW w:w="7105" w:type="dxa"/>
            <w:shd w:val="clear" w:color="auto" w:fill="auto"/>
            <w:hideMark/>
          </w:tcPr>
          <w:p w:rsidRPr="00391C81" w:rsidR="001C31BF" w:rsidP="001C31BF" w:rsidRDefault="001C31BF" w14:paraId="49B8C3BE" w14:textId="77777777">
            <w:pPr>
              <w:spacing w:after="0"/>
              <w:rPr>
                <w:sz w:val="20"/>
                <w:szCs w:val="20"/>
              </w:rPr>
            </w:pPr>
            <w:r w:rsidRPr="00732012">
              <w:rPr>
                <w:sz w:val="20"/>
                <w:szCs w:val="20"/>
              </w:rPr>
              <w:t># of Eligible Group Practices (a)</w:t>
            </w:r>
          </w:p>
        </w:tc>
        <w:tc>
          <w:tcPr>
            <w:tcW w:w="2399" w:type="dxa"/>
            <w:shd w:val="clear" w:color="auto" w:fill="auto"/>
            <w:vAlign w:val="center"/>
            <w:hideMark/>
          </w:tcPr>
          <w:p w:rsidRPr="00391C81" w:rsidR="001C31BF" w:rsidP="001C31BF" w:rsidRDefault="003D1D2F" w14:paraId="503A3746" w14:textId="15EEFAC7">
            <w:pPr>
              <w:spacing w:after="0"/>
              <w:rPr>
                <w:sz w:val="20"/>
                <w:szCs w:val="20"/>
              </w:rPr>
            </w:pPr>
            <w:r>
              <w:rPr>
                <w:sz w:val="20"/>
                <w:szCs w:val="20"/>
              </w:rPr>
              <w:t>104</w:t>
            </w:r>
          </w:p>
        </w:tc>
      </w:tr>
      <w:tr w:rsidRPr="00C47150" w:rsidR="001C31BF" w:rsidTr="0015290C" w14:paraId="0B3EFE41" w14:textId="77777777">
        <w:trPr>
          <w:trHeight w:val="250"/>
        </w:trPr>
        <w:tc>
          <w:tcPr>
            <w:tcW w:w="7105" w:type="dxa"/>
            <w:shd w:val="clear" w:color="auto" w:fill="auto"/>
            <w:hideMark/>
          </w:tcPr>
          <w:p w:rsidRPr="00391C81" w:rsidR="001C31BF" w:rsidP="001C31BF" w:rsidRDefault="001C31BF" w14:paraId="6C869ED2" w14:textId="77777777">
            <w:pPr>
              <w:spacing w:after="0"/>
              <w:rPr>
                <w:sz w:val="20"/>
                <w:szCs w:val="20"/>
              </w:rPr>
            </w:pPr>
            <w:r w:rsidRPr="00732012">
              <w:rPr>
                <w:sz w:val="20"/>
                <w:szCs w:val="20"/>
              </w:rPr>
              <w:t xml:space="preserve">Total Annual Hours Per Group to Submit (b) </w:t>
            </w:r>
          </w:p>
        </w:tc>
        <w:tc>
          <w:tcPr>
            <w:tcW w:w="2399" w:type="dxa"/>
            <w:shd w:val="clear" w:color="auto" w:fill="auto"/>
            <w:vAlign w:val="center"/>
            <w:hideMark/>
          </w:tcPr>
          <w:p w:rsidRPr="00391C81" w:rsidR="001C31BF" w:rsidP="001C31BF" w:rsidRDefault="001C31BF" w14:paraId="0387C937" w14:textId="73DDF45C">
            <w:pPr>
              <w:spacing w:after="0"/>
              <w:rPr>
                <w:sz w:val="20"/>
                <w:szCs w:val="20"/>
              </w:rPr>
            </w:pPr>
            <w:r>
              <w:rPr>
                <w:rFonts w:eastAsia="Calibri"/>
                <w:sz w:val="20"/>
                <w:szCs w:val="20"/>
              </w:rPr>
              <w:t>61.67</w:t>
            </w:r>
          </w:p>
        </w:tc>
      </w:tr>
      <w:tr w:rsidRPr="00C47150" w:rsidR="001C31BF" w:rsidTr="0015290C" w14:paraId="346308F9" w14:textId="77777777">
        <w:trPr>
          <w:trHeight w:val="315"/>
        </w:trPr>
        <w:tc>
          <w:tcPr>
            <w:tcW w:w="7105" w:type="dxa"/>
            <w:shd w:val="clear" w:color="auto" w:fill="D9D9D9" w:themeFill="background1" w:themeFillShade="D9"/>
            <w:hideMark/>
          </w:tcPr>
          <w:p w:rsidRPr="00391C81" w:rsidR="001C31BF" w:rsidP="001C31BF" w:rsidRDefault="001C31BF" w14:paraId="0AACAABB" w14:textId="77777777">
            <w:pPr>
              <w:spacing w:after="0"/>
              <w:rPr>
                <w:b/>
                <w:bCs/>
                <w:sz w:val="20"/>
                <w:szCs w:val="20"/>
              </w:rPr>
            </w:pPr>
            <w:r w:rsidRPr="00732012">
              <w:rPr>
                <w:b/>
                <w:bCs/>
                <w:sz w:val="20"/>
                <w:szCs w:val="20"/>
              </w:rPr>
              <w:t>Total Annual Hours (c) = (a)*(b)</w:t>
            </w:r>
          </w:p>
        </w:tc>
        <w:tc>
          <w:tcPr>
            <w:tcW w:w="2399" w:type="dxa"/>
            <w:shd w:val="clear" w:color="auto" w:fill="D9D9D9" w:themeFill="background1" w:themeFillShade="D9"/>
            <w:vAlign w:val="center"/>
            <w:hideMark/>
          </w:tcPr>
          <w:p w:rsidRPr="00E45DBE" w:rsidR="001C31BF" w:rsidP="001C31BF" w:rsidRDefault="00E45DBE" w14:paraId="1D1E745E" w14:textId="52B50993">
            <w:pPr>
              <w:spacing w:after="0"/>
              <w:rPr>
                <w:b/>
                <w:sz w:val="20"/>
                <w:szCs w:val="20"/>
              </w:rPr>
            </w:pPr>
            <w:r w:rsidRPr="00E45DBE">
              <w:rPr>
                <w:b/>
                <w:sz w:val="20"/>
                <w:szCs w:val="20"/>
              </w:rPr>
              <w:t>6,413</w:t>
            </w:r>
          </w:p>
        </w:tc>
      </w:tr>
      <w:tr w:rsidRPr="00C47150" w:rsidR="001C31BF" w:rsidTr="0015290C" w14:paraId="346F39BC" w14:textId="77777777">
        <w:trPr>
          <w:trHeight w:val="251"/>
        </w:trPr>
        <w:tc>
          <w:tcPr>
            <w:tcW w:w="7105" w:type="dxa"/>
            <w:shd w:val="clear" w:color="auto" w:fill="auto"/>
          </w:tcPr>
          <w:p w:rsidRPr="00391C81" w:rsidR="001C31BF" w:rsidP="001C31BF" w:rsidRDefault="001C31BF" w14:paraId="565C1598" w14:textId="35270534">
            <w:pPr>
              <w:spacing w:after="0"/>
              <w:rPr>
                <w:sz w:val="20"/>
                <w:szCs w:val="20"/>
              </w:rPr>
            </w:pPr>
            <w:r w:rsidRPr="00732012">
              <w:rPr>
                <w:sz w:val="20"/>
                <w:szCs w:val="20"/>
              </w:rPr>
              <w:t>Cost Per Group to Report (@ computer systems analyst’s labor rate of $</w:t>
            </w:r>
            <w:r w:rsidR="0082209C">
              <w:rPr>
                <w:sz w:val="20"/>
                <w:szCs w:val="20"/>
              </w:rPr>
              <w:t>90.02</w:t>
            </w:r>
            <w:r w:rsidRPr="00732012">
              <w:rPr>
                <w:sz w:val="20"/>
                <w:szCs w:val="20"/>
              </w:rPr>
              <w:t xml:space="preserve">/hr.) (d)  </w:t>
            </w:r>
          </w:p>
        </w:tc>
        <w:tc>
          <w:tcPr>
            <w:tcW w:w="2399" w:type="dxa"/>
            <w:shd w:val="clear" w:color="auto" w:fill="auto"/>
            <w:vAlign w:val="center"/>
          </w:tcPr>
          <w:p w:rsidRPr="00391C81" w:rsidR="001C31BF" w:rsidP="001C31BF" w:rsidRDefault="001C31BF" w14:paraId="25B53998" w14:textId="77F62A93">
            <w:pPr>
              <w:spacing w:after="0"/>
              <w:rPr>
                <w:sz w:val="20"/>
                <w:szCs w:val="20"/>
              </w:rPr>
            </w:pPr>
            <w:r w:rsidRPr="00626F78">
              <w:rPr>
                <w:rFonts w:eastAsia="Calibri"/>
                <w:sz w:val="20"/>
                <w:szCs w:val="20"/>
              </w:rPr>
              <w:t>$5,</w:t>
            </w:r>
            <w:r w:rsidR="008E1F57">
              <w:rPr>
                <w:rFonts w:eastAsia="Calibri"/>
                <w:sz w:val="20"/>
                <w:szCs w:val="20"/>
              </w:rPr>
              <w:t>551.53</w:t>
            </w:r>
            <w:r w:rsidRPr="00626F78">
              <w:rPr>
                <w:rFonts w:eastAsia="Calibri"/>
                <w:sz w:val="20"/>
                <w:szCs w:val="20"/>
              </w:rPr>
              <w:t xml:space="preserve"> </w:t>
            </w:r>
          </w:p>
        </w:tc>
      </w:tr>
      <w:tr w:rsidRPr="00C47150" w:rsidR="001C31BF" w:rsidTr="0015290C" w14:paraId="1B443540" w14:textId="77777777">
        <w:trPr>
          <w:trHeight w:val="315"/>
        </w:trPr>
        <w:tc>
          <w:tcPr>
            <w:tcW w:w="7105" w:type="dxa"/>
            <w:shd w:val="clear" w:color="auto" w:fill="D9D9D9" w:themeFill="background1" w:themeFillShade="D9"/>
            <w:hideMark/>
          </w:tcPr>
          <w:p w:rsidRPr="00391C81" w:rsidR="001C31BF" w:rsidP="001C31BF" w:rsidRDefault="001C31BF" w14:paraId="2A06C002" w14:textId="77777777">
            <w:pPr>
              <w:spacing w:after="0"/>
              <w:rPr>
                <w:b/>
                <w:bCs/>
                <w:sz w:val="20"/>
                <w:szCs w:val="20"/>
              </w:rPr>
            </w:pPr>
            <w:r w:rsidRPr="00732012">
              <w:rPr>
                <w:b/>
                <w:bCs/>
                <w:sz w:val="20"/>
                <w:szCs w:val="20"/>
              </w:rPr>
              <w:t>Total Annual Cost (e) = (a)*(d)</w:t>
            </w:r>
          </w:p>
        </w:tc>
        <w:tc>
          <w:tcPr>
            <w:tcW w:w="2399" w:type="dxa"/>
            <w:shd w:val="clear" w:color="auto" w:fill="D9D9D9" w:themeFill="background1" w:themeFillShade="D9"/>
            <w:vAlign w:val="center"/>
            <w:hideMark/>
          </w:tcPr>
          <w:p w:rsidRPr="00E45DBE" w:rsidR="001C31BF" w:rsidP="001C31BF" w:rsidRDefault="001C31BF" w14:paraId="6000D6FB" w14:textId="554C7A80">
            <w:pPr>
              <w:spacing w:after="0"/>
              <w:rPr>
                <w:b/>
                <w:sz w:val="20"/>
                <w:szCs w:val="20"/>
              </w:rPr>
            </w:pPr>
            <w:r w:rsidRPr="00E45DBE">
              <w:rPr>
                <w:rFonts w:eastAsia="Calibri"/>
                <w:b/>
                <w:sz w:val="20"/>
                <w:szCs w:val="20"/>
              </w:rPr>
              <w:t>$</w:t>
            </w:r>
            <w:r w:rsidRPr="00E45DBE" w:rsidR="00E45DBE">
              <w:rPr>
                <w:rFonts w:eastAsia="Calibri"/>
                <w:b/>
                <w:sz w:val="20"/>
                <w:szCs w:val="20"/>
              </w:rPr>
              <w:t>57</w:t>
            </w:r>
            <w:r w:rsidR="008E1F57">
              <w:rPr>
                <w:rFonts w:eastAsia="Calibri"/>
                <w:b/>
                <w:sz w:val="20"/>
                <w:szCs w:val="20"/>
              </w:rPr>
              <w:t>7,359</w:t>
            </w:r>
          </w:p>
        </w:tc>
      </w:tr>
    </w:tbl>
    <w:p w:rsidR="006B22A9" w:rsidP="0095356F" w:rsidRDefault="006B22A9" w14:paraId="2B6F0D02" w14:textId="77777777">
      <w:pPr>
        <w:pStyle w:val="Heading4"/>
        <w:numPr>
          <w:ilvl w:val="0"/>
          <w:numId w:val="0"/>
        </w:numPr>
        <w:ind w:left="2520"/>
      </w:pPr>
    </w:p>
    <w:p w:rsidR="002B6D53" w:rsidP="005F1F24" w:rsidRDefault="002B6D53" w14:paraId="2A51ACC6" w14:textId="26FBF83D">
      <w:pPr>
        <w:pStyle w:val="Heading4"/>
        <w:numPr>
          <w:ilvl w:val="0"/>
          <w:numId w:val="33"/>
        </w:numPr>
      </w:pPr>
      <w:r>
        <w:t>Burden for Group Registration for CMS Web I</w:t>
      </w:r>
      <w:r w:rsidR="006B22A9">
        <w:t>n</w:t>
      </w:r>
      <w:r>
        <w:t>terface</w:t>
      </w:r>
    </w:p>
    <w:p w:rsidR="006B22A9" w:rsidP="005F1F24" w:rsidRDefault="006B22A9" w14:paraId="31BC8C94" w14:textId="7DD529CB">
      <w:pPr>
        <w:keepNext/>
        <w:keepLines/>
      </w:pPr>
    </w:p>
    <w:p w:rsidR="00E25942" w:rsidP="005F1F24" w:rsidRDefault="00E25942" w14:paraId="5FB548A5" w14:textId="3B86AE52">
      <w:pPr>
        <w:keepNext/>
        <w:keepLines/>
      </w:pPr>
      <w:r>
        <w:t>Groups interested in participating in MIPS using the CMS Web Interface for the first time must complete an on-line registration process.  After first time registration, groups will only need to opt out if they are not going to continue to submit via the CMS Web Interface.  In Table 14, we estimate that the registration process for groups under MIPS involves approximately 0.25 hours at $</w:t>
      </w:r>
      <w:r w:rsidR="008E1F57">
        <w:t>90.02</w:t>
      </w:r>
      <w:r>
        <w:t xml:space="preserve">/hr for a computer systems analyst (or their equivalent) to register the group.    </w:t>
      </w:r>
    </w:p>
    <w:p w:rsidR="00011420" w:rsidP="00730BEF" w:rsidRDefault="00E25942" w14:paraId="2AE89886" w14:textId="77777777">
      <w:r>
        <w:t xml:space="preserve">In the CY 2020 PFS </w:t>
      </w:r>
      <w:r w:rsidR="00923B60">
        <w:t>final</w:t>
      </w:r>
      <w:r>
        <w:t xml:space="preserve"> rule, we have </w:t>
      </w:r>
      <w:r w:rsidR="00923B60">
        <w:t xml:space="preserve">adjusted </w:t>
      </w:r>
      <w:r w:rsidRPr="00923B60" w:rsidR="00923B60">
        <w:t xml:space="preserve">the number of respondents from 67 to 69 based on more recent data.  We assume that approximately 69 groups will elect to use the CMS Web Interface for the first time during the 2020 MIPS performance period based on the number of new registrations received during the CY 2019 registration period; an increase of 2 compared to the number of groups currently approved by OMB.  As shown in Table </w:t>
      </w:r>
      <w:r w:rsidR="00923B60">
        <w:t>14</w:t>
      </w:r>
      <w:r w:rsidRPr="00923B60" w:rsidR="00923B60">
        <w:t>, we estimate a burden of 17.25 hours (69 new registrations x 0.25 hr/registration) at a cost of $1,553 (17.255 hr x $90.02/hr</w:t>
      </w:r>
      <w:r w:rsidRPr="0082209C" w:rsidR="0082209C">
        <w:t xml:space="preserve">). </w:t>
      </w:r>
    </w:p>
    <w:p w:rsidRPr="00C47150" w:rsidR="006B22A9" w:rsidP="00334306" w:rsidRDefault="006B22A9" w14:paraId="72F39BF9" w14:textId="6BD56D89">
      <w:pPr>
        <w:keepNext/>
        <w:keepLines/>
        <w:spacing w:after="0"/>
        <w:jc w:val="center"/>
        <w:rPr>
          <w:b/>
          <w:bCs/>
        </w:rPr>
      </w:pPr>
      <w:r w:rsidRPr="00C47150">
        <w:rPr>
          <w:b/>
          <w:bCs/>
        </w:rPr>
        <w:t xml:space="preserve">TABLE </w:t>
      </w:r>
      <w:r w:rsidR="001C31BF">
        <w:rPr>
          <w:b/>
          <w:bCs/>
        </w:rPr>
        <w:t>14</w:t>
      </w:r>
      <w:r w:rsidRPr="00C47150">
        <w:rPr>
          <w:b/>
          <w:bCs/>
        </w:rPr>
        <w:t xml:space="preserve">: </w:t>
      </w:r>
      <w:r w:rsidR="001B3AA6">
        <w:rPr>
          <w:b/>
          <w:bCs/>
        </w:rPr>
        <w:t xml:space="preserve">Estimated </w:t>
      </w:r>
      <w:r w:rsidRPr="00732012">
        <w:rPr>
          <w:b/>
          <w:bCs/>
        </w:rPr>
        <w:t xml:space="preserve">Burden </w:t>
      </w:r>
      <w:r w:rsidRPr="00C47150">
        <w:rPr>
          <w:b/>
          <w:bCs/>
        </w:rPr>
        <w:t>for Group Registration for CMS Web Interface</w:t>
      </w:r>
    </w:p>
    <w:tbl>
      <w:tblPr>
        <w:tblW w:w="97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75"/>
        <w:gridCol w:w="1345"/>
      </w:tblGrid>
      <w:tr w:rsidRPr="00C47150" w:rsidR="006B22A9" w:rsidTr="006B22A9" w14:paraId="66EB6A45" w14:textId="77777777">
        <w:trPr>
          <w:trHeight w:val="315"/>
        </w:trPr>
        <w:tc>
          <w:tcPr>
            <w:tcW w:w="8375" w:type="dxa"/>
            <w:shd w:val="clear" w:color="auto" w:fill="auto"/>
            <w:vAlign w:val="center"/>
            <w:hideMark/>
          </w:tcPr>
          <w:p w:rsidRPr="00391C81" w:rsidR="006B22A9" w:rsidP="00334306" w:rsidRDefault="006B22A9" w14:paraId="06B389B6" w14:textId="4063D26B">
            <w:pPr>
              <w:keepNext/>
              <w:keepLines/>
              <w:spacing w:after="0"/>
              <w:rPr>
                <w:b/>
                <w:bCs/>
                <w:sz w:val="20"/>
                <w:szCs w:val="20"/>
              </w:rPr>
            </w:pPr>
            <w:r>
              <w:rPr>
                <w:b/>
                <w:bCs/>
                <w:sz w:val="20"/>
                <w:szCs w:val="20"/>
              </w:rPr>
              <w:t>Burden and Respondent Descriptions</w:t>
            </w:r>
          </w:p>
        </w:tc>
        <w:tc>
          <w:tcPr>
            <w:tcW w:w="1345" w:type="dxa"/>
            <w:shd w:val="clear" w:color="auto" w:fill="auto"/>
            <w:vAlign w:val="center"/>
            <w:hideMark/>
          </w:tcPr>
          <w:p w:rsidRPr="00391C81" w:rsidR="006B22A9" w:rsidP="00334306" w:rsidRDefault="006B22A9" w14:paraId="30B6AE1C" w14:textId="77777777">
            <w:pPr>
              <w:keepNext/>
              <w:keepLines/>
              <w:spacing w:after="0"/>
              <w:jc w:val="center"/>
              <w:rPr>
                <w:b/>
                <w:bCs/>
                <w:sz w:val="20"/>
                <w:szCs w:val="20"/>
              </w:rPr>
            </w:pPr>
            <w:r w:rsidRPr="00391C81">
              <w:rPr>
                <w:b/>
                <w:bCs/>
                <w:sz w:val="20"/>
                <w:szCs w:val="20"/>
              </w:rPr>
              <w:t>Burden</w:t>
            </w:r>
          </w:p>
          <w:p w:rsidRPr="00391C81" w:rsidR="006B22A9" w:rsidP="00334306" w:rsidRDefault="006B22A9" w14:paraId="6B423B57" w14:textId="77777777">
            <w:pPr>
              <w:keepNext/>
              <w:keepLines/>
              <w:spacing w:after="0"/>
              <w:jc w:val="center"/>
              <w:rPr>
                <w:b/>
                <w:bCs/>
                <w:sz w:val="20"/>
                <w:szCs w:val="20"/>
              </w:rPr>
            </w:pPr>
            <w:r w:rsidRPr="00391C81">
              <w:rPr>
                <w:b/>
                <w:bCs/>
                <w:sz w:val="20"/>
                <w:szCs w:val="20"/>
              </w:rPr>
              <w:t>Estimate</w:t>
            </w:r>
          </w:p>
        </w:tc>
      </w:tr>
      <w:tr w:rsidRPr="00C47150" w:rsidR="006B22A9" w:rsidTr="00A13C65" w14:paraId="0436F233" w14:textId="77777777">
        <w:trPr>
          <w:trHeight w:val="322"/>
        </w:trPr>
        <w:tc>
          <w:tcPr>
            <w:tcW w:w="8375" w:type="dxa"/>
            <w:shd w:val="clear" w:color="auto" w:fill="auto"/>
            <w:hideMark/>
          </w:tcPr>
          <w:p w:rsidRPr="00391C81" w:rsidR="006B22A9" w:rsidP="00334306" w:rsidRDefault="006B22A9" w14:paraId="7058C808" w14:textId="77777777">
            <w:pPr>
              <w:keepNext/>
              <w:keepLines/>
              <w:spacing w:after="0"/>
              <w:rPr>
                <w:sz w:val="20"/>
                <w:szCs w:val="20"/>
              </w:rPr>
            </w:pPr>
            <w:r w:rsidRPr="00732012">
              <w:rPr>
                <w:sz w:val="20"/>
                <w:szCs w:val="20"/>
              </w:rPr>
              <w:t>Number of New Groups Registering for CMS Web Interface (a)</w:t>
            </w:r>
          </w:p>
        </w:tc>
        <w:tc>
          <w:tcPr>
            <w:tcW w:w="1345" w:type="dxa"/>
            <w:shd w:val="clear" w:color="auto" w:fill="auto"/>
            <w:hideMark/>
          </w:tcPr>
          <w:p w:rsidRPr="00391C81" w:rsidR="006B22A9" w:rsidP="00334306" w:rsidRDefault="00923B60" w14:paraId="18FEDB7C" w14:textId="100B6589">
            <w:pPr>
              <w:keepNext/>
              <w:keepLines/>
              <w:spacing w:after="0"/>
              <w:rPr>
                <w:sz w:val="20"/>
                <w:szCs w:val="20"/>
              </w:rPr>
            </w:pPr>
            <w:r>
              <w:rPr>
                <w:sz w:val="20"/>
                <w:szCs w:val="20"/>
              </w:rPr>
              <w:t>69</w:t>
            </w:r>
          </w:p>
        </w:tc>
      </w:tr>
      <w:tr w:rsidRPr="00C47150" w:rsidR="006B22A9" w:rsidTr="00A13C65" w14:paraId="4531A967" w14:textId="77777777">
        <w:trPr>
          <w:trHeight w:val="268"/>
        </w:trPr>
        <w:tc>
          <w:tcPr>
            <w:tcW w:w="8375" w:type="dxa"/>
            <w:shd w:val="clear" w:color="auto" w:fill="auto"/>
            <w:hideMark/>
          </w:tcPr>
          <w:p w:rsidRPr="00391C81" w:rsidR="006B22A9" w:rsidP="00334306" w:rsidRDefault="006B22A9" w14:paraId="4AF65350" w14:textId="77777777">
            <w:pPr>
              <w:keepNext/>
              <w:keepLines/>
              <w:spacing w:after="0"/>
              <w:rPr>
                <w:sz w:val="20"/>
                <w:szCs w:val="20"/>
              </w:rPr>
            </w:pPr>
            <w:r w:rsidRPr="00732012">
              <w:rPr>
                <w:sz w:val="20"/>
                <w:szCs w:val="20"/>
              </w:rPr>
              <w:t>Annual Hours Per Group (b)</w:t>
            </w:r>
          </w:p>
        </w:tc>
        <w:tc>
          <w:tcPr>
            <w:tcW w:w="1345" w:type="dxa"/>
            <w:shd w:val="clear" w:color="auto" w:fill="auto"/>
            <w:hideMark/>
          </w:tcPr>
          <w:p w:rsidRPr="00391C81" w:rsidR="006B22A9" w:rsidP="00334306" w:rsidRDefault="006B22A9" w14:paraId="66E6F429" w14:textId="77777777">
            <w:pPr>
              <w:keepNext/>
              <w:keepLines/>
              <w:spacing w:after="0"/>
              <w:rPr>
                <w:sz w:val="20"/>
                <w:szCs w:val="20"/>
              </w:rPr>
            </w:pPr>
            <w:r w:rsidRPr="00732012">
              <w:rPr>
                <w:sz w:val="20"/>
                <w:szCs w:val="20"/>
              </w:rPr>
              <w:t>0.25</w:t>
            </w:r>
          </w:p>
        </w:tc>
      </w:tr>
      <w:tr w:rsidRPr="00C47150" w:rsidR="006B22A9" w:rsidTr="00A13C65" w14:paraId="0DC42B52" w14:textId="77777777">
        <w:trPr>
          <w:trHeight w:val="322"/>
        </w:trPr>
        <w:tc>
          <w:tcPr>
            <w:tcW w:w="8375" w:type="dxa"/>
            <w:shd w:val="clear" w:color="auto" w:fill="D9D9D9" w:themeFill="background1" w:themeFillShade="D9"/>
            <w:hideMark/>
          </w:tcPr>
          <w:p w:rsidRPr="00391C81" w:rsidR="006B22A9" w:rsidP="00334306" w:rsidRDefault="006B22A9" w14:paraId="1D3CAC76" w14:textId="77777777">
            <w:pPr>
              <w:keepNext/>
              <w:keepLines/>
              <w:spacing w:after="0"/>
              <w:rPr>
                <w:b/>
                <w:bCs/>
                <w:sz w:val="20"/>
                <w:szCs w:val="20"/>
              </w:rPr>
            </w:pPr>
            <w:r w:rsidRPr="00732012">
              <w:rPr>
                <w:b/>
                <w:bCs/>
                <w:sz w:val="20"/>
                <w:szCs w:val="20"/>
              </w:rPr>
              <w:t>Total Annual Hours (c) = (a)*(b)</w:t>
            </w:r>
          </w:p>
        </w:tc>
        <w:tc>
          <w:tcPr>
            <w:tcW w:w="1345" w:type="dxa"/>
            <w:shd w:val="clear" w:color="auto" w:fill="D9D9D9" w:themeFill="background1" w:themeFillShade="D9"/>
            <w:hideMark/>
          </w:tcPr>
          <w:p w:rsidRPr="00391C81" w:rsidR="006B22A9" w:rsidP="00334306" w:rsidRDefault="006B22A9" w14:paraId="3BB0EEC1" w14:textId="28D32B64">
            <w:pPr>
              <w:keepNext/>
              <w:keepLines/>
              <w:spacing w:after="0"/>
              <w:rPr>
                <w:b/>
                <w:bCs/>
                <w:sz w:val="20"/>
                <w:szCs w:val="20"/>
              </w:rPr>
            </w:pPr>
            <w:r w:rsidRPr="00732012">
              <w:rPr>
                <w:b/>
                <w:bCs/>
                <w:sz w:val="20"/>
                <w:szCs w:val="20"/>
              </w:rPr>
              <w:t>1</w:t>
            </w:r>
            <w:r w:rsidR="005E4F4E">
              <w:rPr>
                <w:b/>
                <w:bCs/>
                <w:sz w:val="20"/>
                <w:szCs w:val="20"/>
              </w:rPr>
              <w:t>7.25</w:t>
            </w:r>
          </w:p>
        </w:tc>
      </w:tr>
      <w:tr w:rsidRPr="00C47150" w:rsidR="006B22A9" w:rsidTr="006B22A9" w14:paraId="67C77A59" w14:textId="77777777">
        <w:trPr>
          <w:trHeight w:val="296"/>
        </w:trPr>
        <w:tc>
          <w:tcPr>
            <w:tcW w:w="8375" w:type="dxa"/>
            <w:shd w:val="clear" w:color="auto" w:fill="FFFFFF" w:themeFill="background1"/>
            <w:hideMark/>
          </w:tcPr>
          <w:p w:rsidRPr="00391C81" w:rsidR="006B22A9" w:rsidP="00A13C65" w:rsidRDefault="006B22A9" w14:paraId="39BEAE06" w14:textId="77777777">
            <w:pPr>
              <w:spacing w:after="0"/>
              <w:rPr>
                <w:sz w:val="20"/>
                <w:szCs w:val="20"/>
              </w:rPr>
            </w:pPr>
            <w:r w:rsidRPr="00732012">
              <w:rPr>
                <w:sz w:val="20"/>
                <w:szCs w:val="20"/>
              </w:rPr>
              <w:t>Labor Rate to Register for CMS Web Interface @ computer systems analyst’s labor rate) (d)</w:t>
            </w:r>
          </w:p>
        </w:tc>
        <w:tc>
          <w:tcPr>
            <w:tcW w:w="1345" w:type="dxa"/>
            <w:shd w:val="clear" w:color="auto" w:fill="auto"/>
            <w:hideMark/>
          </w:tcPr>
          <w:p w:rsidRPr="00391C81" w:rsidR="006B22A9" w:rsidP="00A13C65" w:rsidRDefault="006B22A9" w14:paraId="6326EFB9" w14:textId="017B70C4">
            <w:pPr>
              <w:spacing w:after="0"/>
              <w:rPr>
                <w:sz w:val="20"/>
                <w:szCs w:val="20"/>
              </w:rPr>
            </w:pPr>
            <w:r w:rsidRPr="00732012">
              <w:rPr>
                <w:sz w:val="20"/>
                <w:szCs w:val="20"/>
              </w:rPr>
              <w:t>$</w:t>
            </w:r>
            <w:r w:rsidR="0082209C">
              <w:rPr>
                <w:sz w:val="20"/>
                <w:szCs w:val="20"/>
              </w:rPr>
              <w:t>90.02</w:t>
            </w:r>
            <w:r w:rsidRPr="00732012">
              <w:rPr>
                <w:sz w:val="20"/>
                <w:szCs w:val="20"/>
              </w:rPr>
              <w:t>/hr</w:t>
            </w:r>
          </w:p>
        </w:tc>
      </w:tr>
      <w:tr w:rsidRPr="00C47150" w:rsidR="006B22A9" w:rsidTr="00A13C65" w14:paraId="4E7880C9" w14:textId="77777777">
        <w:trPr>
          <w:trHeight w:val="350"/>
        </w:trPr>
        <w:tc>
          <w:tcPr>
            <w:tcW w:w="8375" w:type="dxa"/>
            <w:shd w:val="clear" w:color="auto" w:fill="D9D9D9" w:themeFill="background1" w:themeFillShade="D9"/>
            <w:hideMark/>
          </w:tcPr>
          <w:p w:rsidRPr="00391C81" w:rsidR="006B22A9" w:rsidP="00A13C65" w:rsidRDefault="006B22A9" w14:paraId="6AADA8FB" w14:textId="3B64A01B">
            <w:pPr>
              <w:spacing w:after="0"/>
              <w:rPr>
                <w:b/>
                <w:bCs/>
                <w:sz w:val="20"/>
                <w:szCs w:val="20"/>
              </w:rPr>
            </w:pPr>
            <w:r w:rsidRPr="00732012">
              <w:rPr>
                <w:b/>
                <w:bCs/>
                <w:sz w:val="20"/>
                <w:szCs w:val="20"/>
              </w:rPr>
              <w:t>Total Annual Cost (e) = (</w:t>
            </w:r>
            <w:r w:rsidR="00CA4A50">
              <w:rPr>
                <w:b/>
                <w:bCs/>
                <w:sz w:val="20"/>
                <w:szCs w:val="20"/>
              </w:rPr>
              <w:t>c</w:t>
            </w:r>
            <w:r w:rsidRPr="00732012">
              <w:rPr>
                <w:b/>
                <w:bCs/>
                <w:sz w:val="20"/>
                <w:szCs w:val="20"/>
              </w:rPr>
              <w:t>)*(d)</w:t>
            </w:r>
          </w:p>
        </w:tc>
        <w:tc>
          <w:tcPr>
            <w:tcW w:w="1345" w:type="dxa"/>
            <w:shd w:val="clear" w:color="auto" w:fill="D9D9D9" w:themeFill="background1" w:themeFillShade="D9"/>
            <w:hideMark/>
          </w:tcPr>
          <w:p w:rsidRPr="00391C81" w:rsidR="006B22A9" w:rsidP="00A13C65" w:rsidRDefault="006B22A9" w14:paraId="2338A0AB" w14:textId="53CFDEA2">
            <w:pPr>
              <w:spacing w:after="0"/>
              <w:rPr>
                <w:b/>
                <w:bCs/>
                <w:sz w:val="20"/>
                <w:szCs w:val="20"/>
              </w:rPr>
            </w:pPr>
            <w:r w:rsidRPr="00732012">
              <w:rPr>
                <w:b/>
                <w:bCs/>
                <w:sz w:val="20"/>
                <w:szCs w:val="20"/>
              </w:rPr>
              <w:t>$1,</w:t>
            </w:r>
            <w:r w:rsidR="005E4F4E">
              <w:rPr>
                <w:b/>
                <w:bCs/>
                <w:sz w:val="20"/>
                <w:szCs w:val="20"/>
              </w:rPr>
              <w:t>553</w:t>
            </w:r>
          </w:p>
        </w:tc>
      </w:tr>
    </w:tbl>
    <w:p w:rsidR="006B22A9" w:rsidP="006B22A9" w:rsidRDefault="006B22A9" w14:paraId="2355C5BC" w14:textId="68814DAA">
      <w:pPr>
        <w:ind w:firstLine="360"/>
      </w:pPr>
    </w:p>
    <w:p w:rsidR="006B22A9" w:rsidP="0095356F" w:rsidRDefault="006B22A9" w14:paraId="438D6AB8" w14:textId="7B5DD7F7">
      <w:pPr>
        <w:pStyle w:val="Heading3"/>
        <w:numPr>
          <w:ilvl w:val="0"/>
          <w:numId w:val="32"/>
        </w:numPr>
      </w:pPr>
      <w:r w:rsidRPr="00B05B18">
        <w:t xml:space="preserve">Burden Estimate for the </w:t>
      </w:r>
      <w:r>
        <w:t>Nomination of Quality Measures</w:t>
      </w:r>
    </w:p>
    <w:p w:rsidR="004B1E43" w:rsidP="008479BC" w:rsidRDefault="008463EE" w14:paraId="1F83A640" w14:textId="71977CB0">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https://www.cms.gov/Medicare/Quality-Initiatives-Patient-Assessment-Instruments/QualityMeasures/Pre-Rule-Making.html. </w:t>
      </w:r>
    </w:p>
    <w:p w:rsidR="00D868C6" w:rsidP="00730BEF" w:rsidRDefault="008B656F" w14:paraId="2CEF29AE" w14:textId="4ABA8B06">
      <w:r w:rsidRPr="00CC2BFB">
        <w:rPr>
          <w:rFonts w:eastAsia="Calibri"/>
        </w:rPr>
        <w:t xml:space="preserve">To identify and submit a quality measure, eligible clinician organizations and other relevant stakeholders use a one-page online form that requests information on background, a gap analysis which includes evidence for the measure, reliability, validity, endorsement and a summary which includes how the proposed measure relates to the Quality Payment Program and the rationale for the measure.  In addition, proposed measures must be accompanied by a completed Peer Review Journal Article form.  As discussed in </w:t>
      </w:r>
      <w:r w:rsidRPr="00C55D4F">
        <w:rPr>
          <w:rFonts w:eastAsia="Calibri"/>
        </w:rPr>
        <w:t>section III.K.3.c.(1)(d)(i) of</w:t>
      </w:r>
      <w:r w:rsidRPr="00CC2BFB">
        <w:rPr>
          <w:rFonts w:eastAsia="Calibri"/>
        </w:rPr>
        <w:t xml:space="preserve"> th</w:t>
      </w:r>
      <w:r>
        <w:rPr>
          <w:rFonts w:eastAsia="Calibri"/>
        </w:rPr>
        <w:t>e CY 2020 PFS final</w:t>
      </w:r>
      <w:r w:rsidRPr="00CC2BFB">
        <w:rPr>
          <w:rFonts w:eastAsia="Calibri"/>
        </w:rPr>
        <w:t xml:space="preserve"> rule, we</w:t>
      </w:r>
      <w:r>
        <w:rPr>
          <w:rFonts w:eastAsia="Calibri"/>
        </w:rPr>
        <w:t xml:space="preserve"> finalized</w:t>
      </w:r>
      <w:r w:rsidRPr="00CC2BFB">
        <w:rPr>
          <w:rFonts w:eastAsia="Calibri"/>
        </w:rPr>
        <w:t xml:space="preserve"> that beginning with the 2020 Call for Measures process, MIPS quality measure stewards w</w:t>
      </w:r>
      <w:r>
        <w:rPr>
          <w:rFonts w:eastAsia="Calibri"/>
        </w:rPr>
        <w:t>ill</w:t>
      </w:r>
      <w:r w:rsidRPr="00CC2BFB">
        <w:rPr>
          <w:rFonts w:eastAsia="Calibri"/>
        </w:rPr>
        <w:t xml:space="preserve"> be required to link their MIPS quality measures to existing and related cost measures and improvement activities, as applicable and feasible.  MIPS quality measure stewards w</w:t>
      </w:r>
      <w:r>
        <w:rPr>
          <w:rFonts w:eastAsia="Calibri"/>
        </w:rPr>
        <w:t>ill</w:t>
      </w:r>
      <w:r w:rsidRPr="00CC2BFB">
        <w:rPr>
          <w:rFonts w:eastAsia="Calibri"/>
        </w:rPr>
        <w:t xml:space="preserve"> also be required to provide a rationale as to how they believe their measure correlates to other performance category measures and activities.  We believe this w</w:t>
      </w:r>
      <w:r>
        <w:rPr>
          <w:rFonts w:eastAsia="Calibri"/>
        </w:rPr>
        <w:t>ill</w:t>
      </w:r>
      <w:r w:rsidRPr="00CC2BFB">
        <w:rPr>
          <w:rFonts w:eastAsia="Calibri"/>
        </w:rPr>
        <w:t xml:space="preserve"> require approximately 0.6 hours at $109.36/hr for a practice administrator and 0.4 hours at $202.86 for a clinician to research existing measures or activities and provide a rationale for the linkage to the new measure.  We also estimate it w</w:t>
      </w:r>
      <w:r>
        <w:rPr>
          <w:rFonts w:eastAsia="Calibri"/>
        </w:rPr>
        <w:t>ill</w:t>
      </w:r>
      <w:r w:rsidRPr="00CC2BFB">
        <w:rPr>
          <w:rFonts w:eastAsia="Calibri"/>
        </w:rPr>
        <w:t xml:space="preserve"> require 0.3 hours at $109.36/hr for a practice administrator to make a strategic decision to nominate and submit a measure and 0.2 hours at $202.86/hr for clinician review time.  We recognize there is additional burden on respondents associated with development of a new quality measure beyond the 1.5 hour estimate (0.6 hr + 0.4 hr + 0.3 hr + 0.2 hr) which only accounts for the time required for recordkeeping, reporting, and third-party disclosures associated with the policy; but we believe this estimate to be reasonable to nominate and submit a measure.  The 1.5 hour estimate also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Representing an average across all respondents based on our review of the nomination process, the information required to complete the nomination form, and the criteria required to nominate the measure, we believe the total estimate of 1.5 hours per measure to be reasonable and appropriate</w:t>
      </w:r>
      <w:r w:rsidRPr="00D868C6" w:rsidR="00D868C6">
        <w:t>.</w:t>
      </w:r>
    </w:p>
    <w:p w:rsidR="008E76E0" w:rsidP="00730BEF" w:rsidRDefault="008E76E0" w14:paraId="7339D562" w14:textId="0BDE4D9C">
      <w:r>
        <w:t xml:space="preserve">As shown in Table </w:t>
      </w:r>
      <w:r w:rsidR="00A6605C">
        <w:t>15</w:t>
      </w:r>
      <w:r>
        <w:t xml:space="preserve">, </w:t>
      </w:r>
      <w:r w:rsidRPr="000168E3" w:rsidR="00B44382">
        <w:rPr>
          <w:rFonts w:eastAsia="Calibri"/>
        </w:rPr>
        <w:t>we estimate that 2</w:t>
      </w:r>
      <w:r w:rsidRPr="00F90569" w:rsidR="00B44382">
        <w:rPr>
          <w:rFonts w:eastAsia="Calibri"/>
        </w:rPr>
        <w:t>8</w:t>
      </w:r>
      <w:r w:rsidRPr="000168E3" w:rsidR="00B44382">
        <w:rPr>
          <w:rFonts w:eastAsia="Calibri"/>
        </w:rPr>
        <w:t xml:space="preserve"> submissions will be received during the 20</w:t>
      </w:r>
      <w:r w:rsidRPr="00F90569" w:rsidR="00B44382">
        <w:rPr>
          <w:rFonts w:eastAsia="Calibri"/>
        </w:rPr>
        <w:t>20</w:t>
      </w:r>
      <w:r w:rsidRPr="000168E3" w:rsidR="00B44382">
        <w:rPr>
          <w:rFonts w:eastAsia="Calibri"/>
        </w:rPr>
        <w:t xml:space="preserve"> Call for Quality Measures based on the number of submissions received during the 20</w:t>
      </w:r>
      <w:r w:rsidRPr="00F90569" w:rsidR="00B44382">
        <w:rPr>
          <w:rFonts w:eastAsia="Calibri"/>
        </w:rPr>
        <w:t>19</w:t>
      </w:r>
      <w:r w:rsidRPr="000168E3" w:rsidR="00B44382">
        <w:rPr>
          <w:rFonts w:eastAsia="Calibri"/>
        </w:rPr>
        <w:t xml:space="preserve"> Call for Quality Measures process; a decrease of 11</w:t>
      </w:r>
      <w:r w:rsidRPr="00F90569" w:rsidR="00B44382">
        <w:rPr>
          <w:rFonts w:eastAsia="Calibri"/>
        </w:rPr>
        <w:t>2</w:t>
      </w:r>
      <w:r w:rsidRPr="000168E3" w:rsidR="00B44382">
        <w:rPr>
          <w:rFonts w:eastAsia="Calibri"/>
        </w:rPr>
        <w:t xml:space="preserve"> compared to the number of submissions currently approved by OMB (140 submissions).  </w:t>
      </w:r>
      <w:r w:rsidRPr="00CC2BFB" w:rsidR="00B44382">
        <w:rPr>
          <w:rFonts w:eastAsia="Calibri"/>
        </w:rPr>
        <w:t>In keeping with the focus on clinicians as the primary source for recommending new quality measures, we are using practice administrators and clinician time for our burden estimates</w:t>
      </w:r>
      <w:r w:rsidRPr="00D342B4" w:rsidR="00D342B4">
        <w:t xml:space="preserve">. </w:t>
      </w:r>
      <w:r>
        <w:t xml:space="preserve">  </w:t>
      </w:r>
    </w:p>
    <w:p w:rsidR="00ED703F" w:rsidP="00730BEF" w:rsidRDefault="00ED703F" w14:paraId="2981A3C5" w14:textId="77777777">
      <w:r w:rsidRPr="00ED703F">
        <w:t xml:space="preserve">Consistent with the CY 2017 Quality Payment Program final rule, we also estimate it will take 4 hours at $202.86/hr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t>
      </w:r>
    </w:p>
    <w:p w:rsidR="008E76E0" w:rsidP="00730BEF" w:rsidRDefault="008E76E0" w14:paraId="26871907" w14:textId="62E5762B">
      <w:r>
        <w:t xml:space="preserve">As shown in Table </w:t>
      </w:r>
      <w:r w:rsidR="009A4D1A">
        <w:t>15</w:t>
      </w:r>
      <w:r>
        <w:t xml:space="preserve">, </w:t>
      </w:r>
      <w:r w:rsidRPr="00CC2BFB" w:rsidR="006B4556">
        <w:rPr>
          <w:rFonts w:eastAsia="Calibri"/>
        </w:rPr>
        <w:t>in aggregate we estimate an annual burden of 1</w:t>
      </w:r>
      <w:r w:rsidR="006B4556">
        <w:rPr>
          <w:rFonts w:eastAsia="Calibri"/>
        </w:rPr>
        <w:t>54</w:t>
      </w:r>
      <w:r w:rsidRPr="00CC2BFB" w:rsidR="006B4556">
        <w:rPr>
          <w:rFonts w:eastAsia="Calibri"/>
        </w:rPr>
        <w:t xml:space="preserve"> hours (2</w:t>
      </w:r>
      <w:r w:rsidR="006B4556">
        <w:rPr>
          <w:rFonts w:eastAsia="Calibri"/>
        </w:rPr>
        <w:t>8</w:t>
      </w:r>
      <w:r w:rsidRPr="00CC2BFB" w:rsidR="006B4556">
        <w:rPr>
          <w:rFonts w:eastAsia="Calibri"/>
        </w:rPr>
        <w:t xml:space="preserve"> submissions x 5.5 hr/submission) at a cost of $2</w:t>
      </w:r>
      <w:r w:rsidR="006B4556">
        <w:rPr>
          <w:rFonts w:eastAsia="Calibri"/>
        </w:rPr>
        <w:t>8,884</w:t>
      </w:r>
      <w:r w:rsidRPr="00CC2BFB" w:rsidR="006B4556">
        <w:rPr>
          <w:rFonts w:eastAsia="Calibri"/>
        </w:rPr>
        <w:t xml:space="preserve"> {2</w:t>
      </w:r>
      <w:r w:rsidR="006B4556">
        <w:rPr>
          <w:rFonts w:eastAsia="Calibri"/>
        </w:rPr>
        <w:t>8</w:t>
      </w:r>
      <w:r w:rsidRPr="00CC2BFB" w:rsidR="006B4556">
        <w:rPr>
          <w:rFonts w:eastAsia="Calibri"/>
        </w:rPr>
        <w:t xml:space="preserve"> submissions x [(0.9 hr x $109.36/hr) + (4.6 hr x $202.86/hr)}.</w:t>
      </w:r>
    </w:p>
    <w:p w:rsidR="00180E63" w:rsidP="00180E63" w:rsidRDefault="00180E63" w14:paraId="158AB0AE" w14:textId="77777777">
      <w:pPr>
        <w:spacing w:after="0"/>
        <w:jc w:val="both"/>
      </w:pPr>
    </w:p>
    <w:p w:rsidRPr="00732012" w:rsidR="006B22A9" w:rsidP="00777D2C" w:rsidRDefault="006B22A9" w14:paraId="7020CDC7" w14:textId="20B6BB54">
      <w:pPr>
        <w:spacing w:after="0"/>
        <w:jc w:val="center"/>
        <w:rPr>
          <w:b/>
          <w:bCs/>
        </w:rPr>
      </w:pPr>
      <w:r w:rsidRPr="00732012">
        <w:rPr>
          <w:b/>
          <w:bCs/>
        </w:rPr>
        <w:t xml:space="preserve">TABLE </w:t>
      </w:r>
      <w:r w:rsidR="0015290C">
        <w:rPr>
          <w:b/>
          <w:bCs/>
        </w:rPr>
        <w:t>15</w:t>
      </w:r>
      <w:r w:rsidRPr="00732012">
        <w:rPr>
          <w:b/>
          <w:bCs/>
        </w:rPr>
        <w:t xml:space="preserve">: </w:t>
      </w:r>
      <w:bookmarkStart w:name="_Hlk515182434" w:id="9"/>
      <w:r w:rsidRPr="00732012">
        <w:rPr>
          <w:b/>
          <w:bCs/>
        </w:rPr>
        <w:t xml:space="preserve">Burden Estimates </w:t>
      </w:r>
      <w:bookmarkEnd w:id="9"/>
      <w:r w:rsidRPr="00732012">
        <w:rPr>
          <w:b/>
          <w:bCs/>
        </w:rPr>
        <w:t>for Call for Quality 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39"/>
        <w:gridCol w:w="1016"/>
      </w:tblGrid>
      <w:tr w:rsidRPr="00732012" w:rsidR="006B22A9" w:rsidTr="00530A16"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005" w:type="dxa"/>
            <w:shd w:val="clear" w:color="auto" w:fill="auto"/>
            <w:hideMark/>
          </w:tcPr>
          <w:p w:rsidRPr="00732012" w:rsidR="006B22A9" w:rsidP="00A13C65" w:rsidRDefault="006B22A9" w14:paraId="04342F84" w14:textId="77777777">
            <w:pPr>
              <w:spacing w:after="0"/>
              <w:rPr>
                <w:b/>
                <w:bCs/>
                <w:sz w:val="20"/>
                <w:szCs w:val="20"/>
              </w:rPr>
            </w:pPr>
            <w:r w:rsidRPr="00732012">
              <w:rPr>
                <w:b/>
                <w:bCs/>
                <w:sz w:val="20"/>
                <w:szCs w:val="20"/>
              </w:rPr>
              <w:t>Burden estimate</w:t>
            </w:r>
          </w:p>
        </w:tc>
      </w:tr>
      <w:tr w:rsidRPr="00732012" w:rsidR="006B22A9" w:rsidTr="00A13C65"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005"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A13C65" w14:paraId="3BF7B2D0" w14:textId="77777777">
        <w:trPr>
          <w:trHeight w:val="305"/>
          <w:jc w:val="center"/>
        </w:trPr>
        <w:tc>
          <w:tcPr>
            <w:tcW w:w="8550" w:type="dxa"/>
            <w:shd w:val="clear" w:color="auto" w:fill="auto"/>
            <w:hideMark/>
          </w:tcPr>
          <w:p w:rsidRPr="00732012" w:rsidR="006B22A9" w:rsidP="00A13C65" w:rsidRDefault="006B22A9" w14:paraId="20AE1651" w14:textId="77777777">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rsidRPr="00732012" w:rsidR="006B22A9" w:rsidP="00A13C65" w:rsidRDefault="006B22A9" w14:paraId="519AD55A" w14:textId="437CFC17">
            <w:pPr>
              <w:spacing w:after="0"/>
              <w:rPr>
                <w:sz w:val="20"/>
                <w:szCs w:val="20"/>
              </w:rPr>
            </w:pPr>
            <w:r w:rsidRPr="00732012">
              <w:rPr>
                <w:sz w:val="20"/>
                <w:szCs w:val="20"/>
              </w:rPr>
              <w:t>0.</w:t>
            </w:r>
            <w:r w:rsidR="00BE4CB2">
              <w:rPr>
                <w:sz w:val="20"/>
                <w:szCs w:val="20"/>
              </w:rPr>
              <w:t>9</w:t>
            </w:r>
            <w:r w:rsidRPr="00732012">
              <w:rPr>
                <w:sz w:val="20"/>
                <w:szCs w:val="20"/>
              </w:rPr>
              <w:t>0</w:t>
            </w:r>
          </w:p>
        </w:tc>
      </w:tr>
      <w:tr w:rsidRPr="00732012" w:rsidR="006B22A9" w:rsidTr="00A13C65"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005" w:type="dxa"/>
            <w:shd w:val="clear" w:color="auto" w:fill="auto"/>
          </w:tcPr>
          <w:p w:rsidRPr="00732012" w:rsidR="006B22A9" w:rsidP="00A13C65" w:rsidRDefault="006B22A9" w14:paraId="46B6BD54" w14:textId="24BA6DB7">
            <w:pPr>
              <w:spacing w:after="0"/>
              <w:rPr>
                <w:sz w:val="20"/>
                <w:szCs w:val="20"/>
              </w:rPr>
            </w:pPr>
            <w:r w:rsidRPr="00732012">
              <w:rPr>
                <w:sz w:val="20"/>
                <w:szCs w:val="20"/>
              </w:rPr>
              <w:t>0.</w:t>
            </w:r>
            <w:r w:rsidR="00BE4CB2">
              <w:rPr>
                <w:sz w:val="20"/>
                <w:szCs w:val="20"/>
              </w:rPr>
              <w:t>6</w:t>
            </w:r>
            <w:r w:rsidRPr="00732012">
              <w:rPr>
                <w:sz w:val="20"/>
                <w:szCs w:val="20"/>
              </w:rPr>
              <w:t>0</w:t>
            </w:r>
          </w:p>
        </w:tc>
      </w:tr>
      <w:tr w:rsidRPr="00732012" w:rsidR="006B22A9" w:rsidTr="00A13C65"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005" w:type="dxa"/>
            <w:shd w:val="clear" w:color="auto" w:fill="auto"/>
          </w:tcPr>
          <w:p w:rsidRPr="00732012" w:rsidR="006B22A9" w:rsidP="00A13C65" w:rsidRDefault="006B22A9" w14:paraId="036D03BC" w14:textId="77777777">
            <w:pPr>
              <w:spacing w:after="0"/>
              <w:rPr>
                <w:sz w:val="20"/>
                <w:szCs w:val="20"/>
              </w:rPr>
            </w:pPr>
            <w:r w:rsidRPr="00732012">
              <w:rPr>
                <w:sz w:val="20"/>
                <w:szCs w:val="20"/>
              </w:rPr>
              <w:t>4.00</w:t>
            </w:r>
          </w:p>
        </w:tc>
      </w:tr>
      <w:tr w:rsidRPr="00732012" w:rsidR="006B22A9" w:rsidTr="00A13C65"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005"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A13C65"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005"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A13C65" w14:paraId="1BBE3160" w14:textId="77777777">
        <w:trPr>
          <w:trHeight w:val="233"/>
          <w:jc w:val="center"/>
        </w:trPr>
        <w:tc>
          <w:tcPr>
            <w:tcW w:w="8550" w:type="dxa"/>
            <w:shd w:val="clear" w:color="auto" w:fill="auto"/>
            <w:hideMark/>
          </w:tcPr>
          <w:p w:rsidRPr="00732012" w:rsidR="006B22A9" w:rsidP="00A13C65" w:rsidRDefault="006B22A9" w14:paraId="17CDAC6C" w14:textId="4F0056FE">
            <w:pPr>
              <w:spacing w:after="0"/>
              <w:rPr>
                <w:sz w:val="20"/>
                <w:szCs w:val="20"/>
              </w:rPr>
            </w:pPr>
            <w:r w:rsidRPr="00732012">
              <w:rPr>
                <w:sz w:val="20"/>
                <w:szCs w:val="20"/>
              </w:rPr>
              <w:t>Cost to Identify and Submit Measure (@ practice adminis</w:t>
            </w:r>
            <w:r>
              <w:rPr>
                <w:sz w:val="20"/>
                <w:szCs w:val="20"/>
              </w:rPr>
              <w:t>t</w:t>
            </w:r>
            <w:r w:rsidRPr="00732012">
              <w:rPr>
                <w:sz w:val="20"/>
                <w:szCs w:val="20"/>
              </w:rPr>
              <w:t>rator's labor rate of $10</w:t>
            </w:r>
            <w:r w:rsidR="00180E63">
              <w:rPr>
                <w:sz w:val="20"/>
                <w:szCs w:val="20"/>
              </w:rPr>
              <w:t>9.36</w:t>
            </w:r>
            <w:r w:rsidRPr="00732012">
              <w:rPr>
                <w:sz w:val="20"/>
                <w:szCs w:val="20"/>
              </w:rPr>
              <w:t>/hr.) (g)</w:t>
            </w:r>
          </w:p>
        </w:tc>
        <w:tc>
          <w:tcPr>
            <w:tcW w:w="1005" w:type="dxa"/>
            <w:shd w:val="clear" w:color="auto" w:fill="auto"/>
            <w:hideMark/>
          </w:tcPr>
          <w:p w:rsidRPr="00732012" w:rsidR="006B22A9" w:rsidP="00A13C65" w:rsidRDefault="006B22A9" w14:paraId="485C65E7" w14:textId="7F9F96C3">
            <w:pPr>
              <w:spacing w:after="0"/>
              <w:rPr>
                <w:sz w:val="20"/>
                <w:szCs w:val="20"/>
              </w:rPr>
            </w:pPr>
            <w:r w:rsidRPr="00732012">
              <w:rPr>
                <w:sz w:val="20"/>
                <w:szCs w:val="20"/>
              </w:rPr>
              <w:t>$</w:t>
            </w:r>
            <w:r w:rsidR="00014265">
              <w:rPr>
                <w:sz w:val="20"/>
                <w:szCs w:val="20"/>
              </w:rPr>
              <w:t>9</w:t>
            </w:r>
            <w:r w:rsidR="00180E63">
              <w:rPr>
                <w:sz w:val="20"/>
                <w:szCs w:val="20"/>
              </w:rPr>
              <w:t>8.42</w:t>
            </w:r>
          </w:p>
        </w:tc>
      </w:tr>
      <w:tr w:rsidRPr="00732012" w:rsidR="006B22A9" w:rsidTr="00A13C65" w14:paraId="1BE99EB6" w14:textId="77777777">
        <w:trPr>
          <w:trHeight w:val="242"/>
          <w:jc w:val="center"/>
        </w:trPr>
        <w:tc>
          <w:tcPr>
            <w:tcW w:w="8550" w:type="dxa"/>
            <w:shd w:val="clear" w:color="auto" w:fill="auto"/>
            <w:hideMark/>
          </w:tcPr>
          <w:p w:rsidRPr="00732012" w:rsidR="006B22A9" w:rsidP="00A13C65" w:rsidRDefault="006B22A9" w14:paraId="6A78FD46" w14:textId="550EF0EC">
            <w:pPr>
              <w:spacing w:after="0"/>
              <w:rPr>
                <w:sz w:val="20"/>
                <w:szCs w:val="20"/>
              </w:rPr>
            </w:pPr>
            <w:r w:rsidRPr="00732012">
              <w:rPr>
                <w:sz w:val="20"/>
                <w:szCs w:val="20"/>
              </w:rPr>
              <w:t>Cost to Identify Quality Measure and Complete Peer Review Article Form (@ physician’s labor rate of $20</w:t>
            </w:r>
            <w:r w:rsidR="00180E63">
              <w:rPr>
                <w:sz w:val="20"/>
                <w:szCs w:val="20"/>
              </w:rPr>
              <w:t>2.86</w:t>
            </w:r>
            <w:r w:rsidRPr="00732012">
              <w:rPr>
                <w:sz w:val="20"/>
                <w:szCs w:val="20"/>
              </w:rPr>
              <w:t>/hr.) (h)</w:t>
            </w:r>
          </w:p>
        </w:tc>
        <w:tc>
          <w:tcPr>
            <w:tcW w:w="1005" w:type="dxa"/>
            <w:shd w:val="clear" w:color="auto" w:fill="auto"/>
            <w:noWrap/>
            <w:hideMark/>
          </w:tcPr>
          <w:p w:rsidRPr="00732012" w:rsidR="006B22A9" w:rsidP="00A13C65" w:rsidRDefault="006B22A9" w14:paraId="3E99589F" w14:textId="3D51D78E">
            <w:pPr>
              <w:spacing w:after="0"/>
              <w:rPr>
                <w:sz w:val="20"/>
                <w:szCs w:val="20"/>
              </w:rPr>
            </w:pPr>
            <w:r w:rsidRPr="00732012">
              <w:rPr>
                <w:sz w:val="20"/>
                <w:szCs w:val="20"/>
              </w:rPr>
              <w:t>$</w:t>
            </w:r>
            <w:r w:rsidR="00014265">
              <w:rPr>
                <w:sz w:val="20"/>
                <w:szCs w:val="20"/>
              </w:rPr>
              <w:t>9</w:t>
            </w:r>
            <w:r w:rsidR="00180E63">
              <w:rPr>
                <w:sz w:val="20"/>
                <w:szCs w:val="20"/>
              </w:rPr>
              <w:t>33.16</w:t>
            </w:r>
          </w:p>
        </w:tc>
      </w:tr>
      <w:tr w:rsidRPr="00732012" w:rsidR="006B22A9" w:rsidTr="00A13C65"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005" w:type="dxa"/>
            <w:shd w:val="clear" w:color="auto" w:fill="E7E6E6" w:themeFill="background2"/>
            <w:noWrap/>
            <w:hideMark/>
          </w:tcPr>
          <w:p w:rsidRPr="00732012" w:rsidR="006B22A9" w:rsidP="00A13C65" w:rsidRDefault="006B22A9" w14:paraId="2E2236D9" w14:textId="15FBBB92">
            <w:pPr>
              <w:spacing w:after="0"/>
              <w:rPr>
                <w:sz w:val="20"/>
                <w:szCs w:val="20"/>
              </w:rPr>
            </w:pPr>
            <w:r w:rsidRPr="00732012">
              <w:rPr>
                <w:sz w:val="20"/>
                <w:szCs w:val="20"/>
              </w:rPr>
              <w:t>$</w:t>
            </w:r>
            <w:r w:rsidR="00014265">
              <w:rPr>
                <w:sz w:val="20"/>
                <w:szCs w:val="20"/>
              </w:rPr>
              <w:t>1,0</w:t>
            </w:r>
            <w:r w:rsidR="00180E63">
              <w:rPr>
                <w:sz w:val="20"/>
                <w:szCs w:val="20"/>
              </w:rPr>
              <w:t>31.58</w:t>
            </w:r>
          </w:p>
        </w:tc>
      </w:tr>
      <w:tr w:rsidRPr="00732012" w:rsidR="006B22A9" w:rsidTr="00A13C65"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005" w:type="dxa"/>
            <w:shd w:val="clear" w:color="auto" w:fill="E7E6E6" w:themeFill="background2"/>
            <w:noWrap/>
            <w:hideMark/>
          </w:tcPr>
          <w:p w:rsidRPr="00014265" w:rsidR="006B22A9" w:rsidP="00A13C65" w:rsidRDefault="006B22A9" w14:paraId="5C79BB12" w14:textId="72D7D2E4">
            <w:pPr>
              <w:spacing w:after="0"/>
              <w:rPr>
                <w:b/>
                <w:sz w:val="20"/>
                <w:szCs w:val="20"/>
              </w:rPr>
            </w:pPr>
            <w:r w:rsidRPr="00014265">
              <w:rPr>
                <w:b/>
                <w:sz w:val="20"/>
                <w:szCs w:val="20"/>
              </w:rPr>
              <w:t>$</w:t>
            </w:r>
            <w:r w:rsidRPr="00014265" w:rsidR="00014265">
              <w:rPr>
                <w:b/>
                <w:sz w:val="20"/>
                <w:szCs w:val="20"/>
              </w:rPr>
              <w:t>2</w:t>
            </w:r>
            <w:r w:rsidR="00DE381D">
              <w:rPr>
                <w:b/>
                <w:sz w:val="20"/>
                <w:szCs w:val="20"/>
              </w:rPr>
              <w:t>8,884</w:t>
            </w:r>
          </w:p>
        </w:tc>
      </w:tr>
    </w:tbl>
    <w:p w:rsidR="006B22A9" w:rsidP="006B22A9" w:rsidRDefault="006B22A9" w14:paraId="26C45BDA" w14:textId="7A7CEF87">
      <w:pPr>
        <w:ind w:firstLine="720"/>
      </w:pPr>
    </w:p>
    <w:p w:rsidR="006B22A9" w:rsidP="0095356F" w:rsidRDefault="006B22A9" w14:paraId="5B484AE7" w14:textId="314C5985">
      <w:pPr>
        <w:pStyle w:val="Heading3"/>
        <w:numPr>
          <w:ilvl w:val="0"/>
          <w:numId w:val="32"/>
        </w:numPr>
      </w:pPr>
      <w:r w:rsidRPr="00B05B18">
        <w:t xml:space="preserve">Burden Estimate for </w:t>
      </w:r>
      <w:r>
        <w:t>the Promoting Interoperability Performance Category</w:t>
      </w:r>
    </w:p>
    <w:p w:rsidR="006B22A9" w:rsidP="00E12B53" w:rsidRDefault="008D6B81" w14:paraId="273DD452" w14:textId="0983BF31">
      <w:r w:rsidRPr="00CC2BFB">
        <w:rPr>
          <w:rFonts w:eastAsia="Calibri"/>
        </w:rPr>
        <w:t xml:space="preserve">For the 2020 MIPS performance period, clinicians and groups can submit Promoting Interoperability data through direct, log in and upload, or log in and attest submission types.  We have worked to further align the Promoting Interoperability performance category with other MIPS performance categories.  </w:t>
      </w:r>
      <w:bookmarkStart w:name="_Hlk516821088" w:id="10"/>
      <w:r w:rsidRPr="00CC2BFB">
        <w:rPr>
          <w:rFonts w:eastAsia="Calibri"/>
        </w:rPr>
        <w:t>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w:t>
      </w:r>
      <w:bookmarkEnd w:id="10"/>
      <w:r w:rsidRPr="00CC2BFB">
        <w:rPr>
          <w:rFonts w:eastAsia="Calibri"/>
        </w:rPr>
        <w:t xml:space="preserve"> for the both of these performance categories and that the clinicians, practice managers, and computer systems analysts involved in supporting the quality data submission will also support the Promoting Interoperability data submission process.  In the 2019 and prior MIPS performance periods, individuals and groups submitting data for the quality performance category via a qualified registry or QCDR that did not also support reporting of data for the Promoting Interoperability or improvement activity performance categories would be required to submit data for these performance categories using an alternate submission type.  The </w:t>
      </w:r>
      <w:r>
        <w:rPr>
          <w:rFonts w:eastAsia="Calibri"/>
        </w:rPr>
        <w:t>finalized policies</w:t>
      </w:r>
      <w:r w:rsidRPr="00CC2BFB">
        <w:rPr>
          <w:rFonts w:eastAsia="Calibri"/>
        </w:rPr>
        <w:t xml:space="preserve"> discussed in sections </w:t>
      </w:r>
      <w:r w:rsidRPr="004E555C">
        <w:rPr>
          <w:rFonts w:eastAsia="Calibri"/>
        </w:rPr>
        <w:t xml:space="preserve">III.K.3.g.(3)(a)(i) and III.K.3.g.(4)(a)(i) </w:t>
      </w:r>
      <w:r>
        <w:rPr>
          <w:rFonts w:eastAsia="Calibri"/>
        </w:rPr>
        <w:t xml:space="preserve">of the CY 2020 PFS final rule </w:t>
      </w:r>
      <w:r w:rsidRPr="004E555C">
        <w:rPr>
          <w:rFonts w:eastAsia="Calibri"/>
        </w:rPr>
        <w:t>requiring</w:t>
      </w:r>
      <w:r w:rsidRPr="00CC2BFB">
        <w:rPr>
          <w:rFonts w:eastAsia="Calibri"/>
        </w:rPr>
        <w:t xml:space="preserve"> qualified registries and QCDRs to </w:t>
      </w:r>
      <w:r>
        <w:rPr>
          <w:rFonts w:eastAsia="Calibri"/>
        </w:rPr>
        <w:t>be able to submit data for the</w:t>
      </w:r>
      <w:r w:rsidRPr="00CC2BFB">
        <w:rPr>
          <w:rFonts w:eastAsia="Calibri"/>
        </w:rPr>
        <w:t xml:space="preserve"> quality, improvement activities, and Promoting Interoperability performance categories w</w:t>
      </w:r>
      <w:r>
        <w:rPr>
          <w:rFonts w:eastAsia="Calibri"/>
        </w:rPr>
        <w:t>ill</w:t>
      </w:r>
      <w:r w:rsidRPr="00CC2BFB">
        <w:rPr>
          <w:rFonts w:eastAsia="Calibri"/>
        </w:rPr>
        <w:t xml:space="preserve"> alleviate this issue.  Hence, the following burden estimates show only incremental hours required above and beyond the time already accounted for in the quality data submission process. </w:t>
      </w:r>
    </w:p>
    <w:p w:rsidR="006B22A9" w:rsidP="0095356F" w:rsidRDefault="006B22A9" w14:paraId="09D8A8E3" w14:textId="11100A81">
      <w:pPr>
        <w:pStyle w:val="Heading4"/>
        <w:numPr>
          <w:ilvl w:val="0"/>
          <w:numId w:val="34"/>
        </w:numPr>
      </w:pPr>
      <w:r>
        <w:t xml:space="preserve">Burden for </w:t>
      </w:r>
      <w:r w:rsidR="0015290C">
        <w:t xml:space="preserve">Reweighting Applications for </w:t>
      </w:r>
      <w:r>
        <w:t xml:space="preserve">Promoting Interoperability </w:t>
      </w:r>
      <w:r w:rsidR="0015290C">
        <w:t>and Other Performance Categories</w:t>
      </w:r>
    </w:p>
    <w:p w:rsidR="006B22A9" w:rsidP="006B22A9" w:rsidRDefault="006B22A9" w14:paraId="08EADA58" w14:textId="77777777">
      <w:pPr>
        <w:ind w:firstLine="720"/>
      </w:pPr>
    </w:p>
    <w:p w:rsidRPr="00920A23" w:rsidR="00920A23" w:rsidP="00E12B53" w:rsidRDefault="00D9212A" w14:paraId="55E71124" w14:textId="759B7725">
      <w:pPr>
        <w:rPr>
          <w:rFonts w:eastAsia="Calibri"/>
        </w:rPr>
      </w:pPr>
      <w:bookmarkStart w:name="_Hlk516984963" w:id="11"/>
      <w:r w:rsidRPr="00CC2BFB">
        <w:rPr>
          <w:rFonts w:eastAsia="Calibri"/>
        </w:rPr>
        <w:t xml:space="preserve">As established in the CY 2017 and CY 2018 Quality Payment Program final rules, MIPS eligible clinicians who meet the criteria for a significant hardship or other type of exception may submit an application requesting a zero percent weighting for the Promoting Interoperability performance category in the following circumstances: insufficient internet connectivity, extreme and uncontrollable circumstances, lack of control over the availability of CEHRT, clinicians who are in a small practice, and decertified EHR technology (81 FR 77240 through 77243 and 82 FR 53680 through 53686, respectively).  In addition, in the CY 2018 Quality Payment Program final rule, we established that MIPS eligible clinicians and groups citing extreme and uncontrollable circumstances may also apply for a reweighting of the quality, cost, and/or improvement activities performance categories (82 FR 53783 through 53785).  </w:t>
      </w:r>
      <w:bookmarkStart w:name="_Hlk8302039" w:id="12"/>
      <w:r w:rsidRPr="00CC2BFB">
        <w:rPr>
          <w:rFonts w:eastAsia="Calibri"/>
        </w:rPr>
        <w:t xml:space="preserve">As discussed in section </w:t>
      </w:r>
      <w:r w:rsidRPr="004E555C">
        <w:rPr>
          <w:rFonts w:eastAsia="Calibri"/>
        </w:rPr>
        <w:t>III.K.3.d.(2)(b)(ii)(A)</w:t>
      </w:r>
      <w:r>
        <w:rPr>
          <w:rFonts w:eastAsia="Calibri"/>
        </w:rPr>
        <w:t xml:space="preserve"> of the CY 2020 PFS final rule</w:t>
      </w:r>
      <w:r w:rsidRPr="004E555C">
        <w:rPr>
          <w:rFonts w:eastAsia="Calibri"/>
        </w:rPr>
        <w:t>,</w:t>
      </w:r>
      <w:r w:rsidRPr="00CC2BFB">
        <w:rPr>
          <w:rFonts w:eastAsia="Calibri"/>
        </w:rPr>
        <w:t xml:space="preserve"> we</w:t>
      </w:r>
      <w:r>
        <w:rPr>
          <w:rFonts w:eastAsia="Calibri"/>
        </w:rPr>
        <w:t xml:space="preserve"> have finalized</w:t>
      </w:r>
      <w:r w:rsidRPr="00CC2BFB">
        <w:rPr>
          <w:rFonts w:eastAsia="Calibri"/>
        </w:rPr>
        <w:t xml:space="preserve">, beginning with the 2018 MIPS performance period and 2020 MIPS payment year, to reweight the performance categories for a MIPS eligible clinician who we determine has data for a performance category that are inaccurate, unusable or otherwise compromised due to circumstances outside of the control of the clinician or its agents if we learn the relevant information prior to the beginning of the associated MIPS payment year.  Because this is a new policy and we believe these occurrences are rare based on our experience, we are unable to estimate the number of clinicians, groups, or third party intermediaries that may contact us regarding a potential data issue.  Similarly, the extent and source of documentation provided to us for each event may vary considerably.  Therefore, we </w:t>
      </w:r>
      <w:r>
        <w:rPr>
          <w:rFonts w:eastAsia="Calibri"/>
        </w:rPr>
        <w:t xml:space="preserve">are not </w:t>
      </w:r>
      <w:r w:rsidR="003B2B8B">
        <w:rPr>
          <w:rFonts w:eastAsia="Calibri"/>
        </w:rPr>
        <w:t>mak</w:t>
      </w:r>
      <w:r>
        <w:rPr>
          <w:rFonts w:eastAsia="Calibri"/>
        </w:rPr>
        <w:t>ing</w:t>
      </w:r>
      <w:r w:rsidRPr="00CC2BFB">
        <w:rPr>
          <w:rFonts w:eastAsia="Calibri"/>
        </w:rPr>
        <w:t xml:space="preserve"> any changes to our currently approved burden estimates as a result of this p</w:t>
      </w:r>
      <w:r>
        <w:rPr>
          <w:rFonts w:eastAsia="Calibri"/>
        </w:rPr>
        <w:t>olicy</w:t>
      </w:r>
      <w:r w:rsidRPr="00CC2BFB">
        <w:rPr>
          <w:rFonts w:eastAsia="Calibri"/>
        </w:rPr>
        <w:t xml:space="preserve">.  </w:t>
      </w:r>
      <w:bookmarkEnd w:id="12"/>
      <w:r w:rsidRPr="00CC2BFB">
        <w:rPr>
          <w:rFonts w:eastAsia="Calibri"/>
        </w:rPr>
        <w:t>Respondents who apply for a reweighting for any of these performance categories have the option of applying for reweighting for the Promoting Interoperability performance category on the same online form.  We assume that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Pr="00920A23" w:rsidR="00920A23" w:rsidP="00E12B53" w:rsidRDefault="00920A23" w14:paraId="1C896D0B" w14:textId="45A743C9">
      <w:pPr>
        <w:rPr>
          <w:rFonts w:eastAsia="Calibri"/>
        </w:rPr>
      </w:pPr>
      <w:r w:rsidRPr="00920A23">
        <w:rPr>
          <w:rFonts w:eastAsia="Calibri"/>
        </w:rPr>
        <w:t xml:space="preserve">Table </w:t>
      </w:r>
      <w:r>
        <w:rPr>
          <w:rFonts w:eastAsia="Calibri"/>
        </w:rPr>
        <w:t>16</w:t>
      </w:r>
      <w:r w:rsidRPr="00920A23">
        <w:rPr>
          <w:rFonts w:eastAsia="Calibri"/>
        </w:rPr>
        <w:t xml:space="preserve"> </w:t>
      </w:r>
      <w:r w:rsidRPr="00CC2BFB" w:rsidR="00B265C1">
        <w:rPr>
          <w:rFonts w:eastAsia="Calibri"/>
        </w:rPr>
        <w:t>summarizes the burden for clinicians to apply for reweighting the Promoting Interoperability performance category to zero percent due to a significant hardship exception (including a significant hardship exception for small practices) or as a result of a decertification of an EHR.  Based on the number of reweighting applications received for the 201</w:t>
      </w:r>
      <w:r w:rsidR="00B265C1">
        <w:rPr>
          <w:rFonts w:eastAsia="Calibri"/>
        </w:rPr>
        <w:t>8</w:t>
      </w:r>
      <w:r w:rsidRPr="00CC2BFB" w:rsidR="00B265C1">
        <w:rPr>
          <w:rFonts w:eastAsia="Calibri"/>
        </w:rPr>
        <w:t xml:space="preserve"> MIPS performance period, we assume </w:t>
      </w:r>
      <w:r w:rsidRPr="00F90569" w:rsidR="00B265C1">
        <w:rPr>
          <w:rFonts w:eastAsia="Calibri"/>
        </w:rPr>
        <w:t>30,472</w:t>
      </w:r>
      <w:r w:rsidRPr="00CC2BFB" w:rsidR="00B265C1">
        <w:rPr>
          <w:rFonts w:eastAsia="Calibri"/>
        </w:rPr>
        <w:t xml:space="preserve"> respondents (eligible clinicians or groups) will submit a request to reweight the Promoting Interoperability performance category to zero percent due to a significant hardship (including clinicians in small practices) or EHR decertification</w:t>
      </w:r>
      <w:r w:rsidR="00B265C1">
        <w:rPr>
          <w:rFonts w:eastAsia="Calibri"/>
        </w:rPr>
        <w:t xml:space="preserve"> and an additional 148 respondents will submit a request only to reweight one or more of the quality, cost, or improvement activity performance categories, for a total of 30,620 reweighting applications submitted</w:t>
      </w:r>
      <w:r w:rsidRPr="00CC2BFB" w:rsidR="00B265C1">
        <w:rPr>
          <w:rFonts w:eastAsia="Calibri"/>
        </w:rPr>
        <w:t xml:space="preserve">.  </w:t>
      </w:r>
      <w:r w:rsidR="00B265C1">
        <w:rPr>
          <w:rFonts w:eastAsia="Calibri"/>
        </w:rPr>
        <w:t xml:space="preserve">This is an increase of 24,579 </w:t>
      </w:r>
      <w:r w:rsidR="002B232D">
        <w:rPr>
          <w:rFonts w:eastAsia="Calibri"/>
        </w:rPr>
        <w:t xml:space="preserve">respondents from the estimate of </w:t>
      </w:r>
      <w:r w:rsidR="00870178">
        <w:rPr>
          <w:rFonts w:eastAsia="Calibri"/>
        </w:rPr>
        <w:t xml:space="preserve">6,041 </w:t>
      </w:r>
      <w:r w:rsidR="002B232D">
        <w:rPr>
          <w:rFonts w:eastAsia="Calibri"/>
        </w:rPr>
        <w:t xml:space="preserve">currently approved by OMB.  </w:t>
      </w:r>
      <w:r w:rsidR="00B265C1">
        <w:rPr>
          <w:rFonts w:eastAsia="Calibri"/>
        </w:rPr>
        <w:t xml:space="preserve">A significant portion of this increase is due to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w:t>
      </w:r>
      <w:r w:rsidRPr="00CC2BFB" w:rsidR="00B265C1">
        <w:rPr>
          <w:rFonts w:eastAsia="Calibri"/>
        </w:rPr>
        <w:t xml:space="preserve">Of </w:t>
      </w:r>
      <w:r w:rsidR="00B265C1">
        <w:rPr>
          <w:rFonts w:eastAsia="Calibri"/>
        </w:rPr>
        <w:t xml:space="preserve">our total respondent estimate of 30,620, </w:t>
      </w:r>
      <w:r w:rsidRPr="00CC2BFB" w:rsidR="00B265C1">
        <w:rPr>
          <w:rFonts w:eastAsia="Calibri"/>
        </w:rPr>
        <w:t xml:space="preserve">we estimate that </w:t>
      </w:r>
      <w:r w:rsidRPr="00F90569" w:rsidR="00B265C1">
        <w:rPr>
          <w:rFonts w:eastAsia="Calibri"/>
        </w:rPr>
        <w:t>24,377</w:t>
      </w:r>
      <w:r w:rsidRPr="00702931" w:rsidR="00B265C1">
        <w:rPr>
          <w:rFonts w:eastAsia="Calibri"/>
        </w:rPr>
        <w:t xml:space="preserve"> </w:t>
      </w:r>
      <w:r w:rsidRPr="00CC2BFB" w:rsidR="00B265C1">
        <w:rPr>
          <w:rFonts w:eastAsia="Calibri"/>
        </w:rPr>
        <w:t xml:space="preserve">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as a result of a decertification of an EHR.  An additional </w:t>
      </w:r>
      <w:r w:rsidRPr="00F90569" w:rsidR="00B265C1">
        <w:rPr>
          <w:rFonts w:eastAsia="Calibri"/>
        </w:rPr>
        <w:t>6,243</w:t>
      </w:r>
      <w:r w:rsidRPr="00702931" w:rsidR="00B265C1">
        <w:rPr>
          <w:rFonts w:eastAsia="Calibri"/>
        </w:rPr>
        <w:t xml:space="preserve"> </w:t>
      </w:r>
      <w:r w:rsidRPr="00CC2BFB" w:rsidR="00B265C1">
        <w:rPr>
          <w:rFonts w:eastAsia="Calibri"/>
        </w:rPr>
        <w:t>respondents will submit a request for reweighting the Promoting Interoperability performance category to zero percent as a small practice experiencing a significant hardship</w:t>
      </w:r>
      <w:r w:rsidRPr="00920A23">
        <w:rPr>
          <w:rFonts w:eastAsia="Calibri"/>
        </w:rPr>
        <w:t xml:space="preserve">.  </w:t>
      </w:r>
    </w:p>
    <w:p w:rsidR="006B22A9" w:rsidP="00E12B53" w:rsidRDefault="00A11A10" w14:paraId="14F7D0AD" w14:textId="53E8E72E">
      <w:pPr>
        <w:rPr>
          <w:rFonts w:eastAsia="Calibri"/>
        </w:rPr>
      </w:pPr>
      <w:r w:rsidRPr="00CC2BFB">
        <w:rPr>
          <w:rFonts w:eastAsia="Calibri"/>
        </w:rPr>
        <w:t>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with the exception of there being only one option for the type of hardship experienced.  We estimate it w</w:t>
      </w:r>
      <w:r>
        <w:rPr>
          <w:rFonts w:eastAsia="Calibri"/>
        </w:rPr>
        <w:t>ill</w:t>
      </w:r>
      <w:r w:rsidRPr="00CC2BFB">
        <w:rPr>
          <w:rFonts w:eastAsia="Calibri"/>
        </w:rPr>
        <w:t xml:space="preserve"> take 0.25 hours at $90.02/hr for a computer system analyst to complete and submit the application.  As shown in Table </w:t>
      </w:r>
      <w:r w:rsidRPr="00A11A10">
        <w:rPr>
          <w:rFonts w:eastAsia="Calibri"/>
        </w:rPr>
        <w:t>16</w:t>
      </w:r>
      <w:r w:rsidRPr="00CC2BFB">
        <w:rPr>
          <w:rFonts w:eastAsia="Calibri"/>
        </w:rPr>
        <w:t xml:space="preserve">, we estimate an annual burden of </w:t>
      </w:r>
      <w:r>
        <w:rPr>
          <w:rFonts w:eastAsia="Calibri"/>
        </w:rPr>
        <w:t>7,655</w:t>
      </w:r>
      <w:r w:rsidRPr="00CC2BFB">
        <w:rPr>
          <w:rFonts w:eastAsia="Calibri"/>
        </w:rPr>
        <w:t xml:space="preserve"> hours (</w:t>
      </w:r>
      <w:r>
        <w:rPr>
          <w:rFonts w:eastAsia="Calibri"/>
        </w:rPr>
        <w:t>30,620</w:t>
      </w:r>
      <w:r w:rsidRPr="00CC2BFB">
        <w:rPr>
          <w:rFonts w:eastAsia="Calibri"/>
        </w:rPr>
        <w:t xml:space="preserve"> applications x 0.25 hr/application) at a cost of $</w:t>
      </w:r>
      <w:r>
        <w:rPr>
          <w:rFonts w:eastAsia="Calibri"/>
        </w:rPr>
        <w:t>689,103</w:t>
      </w:r>
      <w:r w:rsidRPr="00CC2BFB">
        <w:rPr>
          <w:rFonts w:eastAsia="Calibri"/>
        </w:rPr>
        <w:t xml:space="preserve"> (</w:t>
      </w:r>
      <w:r>
        <w:rPr>
          <w:rFonts w:eastAsia="Calibri"/>
        </w:rPr>
        <w:t>7,655</w:t>
      </w:r>
      <w:r w:rsidRPr="00CC2BFB">
        <w:rPr>
          <w:rFonts w:eastAsia="Calibri"/>
        </w:rPr>
        <w:t xml:space="preserve"> hr x $90.02/hr</w:t>
      </w:r>
      <w:r w:rsidRPr="00910003" w:rsidR="00910003">
        <w:rPr>
          <w:rFonts w:eastAsia="Calibri"/>
        </w:rPr>
        <w:t>)</w:t>
      </w:r>
      <w:r w:rsidRPr="004276D6" w:rsidR="0015290C">
        <w:rPr>
          <w:rFonts w:eastAsia="Calibri"/>
        </w:rPr>
        <w:t>.</w:t>
      </w:r>
      <w:bookmarkEnd w:id="11"/>
    </w:p>
    <w:p w:rsidRPr="00C47150" w:rsidR="006B22A9" w:rsidP="00BA2ECB" w:rsidRDefault="006B22A9" w14:paraId="094C324F" w14:textId="28196A26">
      <w:pPr>
        <w:spacing w:after="0"/>
        <w:jc w:val="center"/>
        <w:rPr>
          <w:b/>
          <w:bCs/>
        </w:rPr>
      </w:pPr>
      <w:r w:rsidRPr="00C47150">
        <w:rPr>
          <w:b/>
          <w:bCs/>
        </w:rPr>
        <w:t xml:space="preserve">TABLE </w:t>
      </w:r>
      <w:r w:rsidR="0015290C">
        <w:rPr>
          <w:b/>
          <w:bCs/>
        </w:rPr>
        <w:t>16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10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625"/>
      </w:tblGrid>
      <w:tr w:rsidRPr="00C47150" w:rsidR="006B22A9" w:rsidTr="00A13C65" w14:paraId="52EC8B1B" w14:textId="77777777">
        <w:trPr>
          <w:trHeight w:val="300"/>
          <w:tblHeader/>
        </w:trPr>
        <w:tc>
          <w:tcPr>
            <w:tcW w:w="8545" w:type="dxa"/>
            <w:shd w:val="clear" w:color="auto" w:fill="auto"/>
            <w:hideMark/>
          </w:tcPr>
          <w:p w:rsidRPr="006B22A9" w:rsidR="006B22A9" w:rsidP="00A13C65" w:rsidRDefault="006B22A9" w14:paraId="4B32C76E" w14:textId="4A4198C1">
            <w:pPr>
              <w:spacing w:after="0"/>
              <w:rPr>
                <w:b/>
                <w:sz w:val="20"/>
                <w:szCs w:val="20"/>
              </w:rPr>
            </w:pPr>
            <w:r w:rsidRPr="006B22A9">
              <w:rPr>
                <w:b/>
                <w:sz w:val="20"/>
                <w:szCs w:val="20"/>
              </w:rPr>
              <w:t>Burden and Respondent Descriptions</w:t>
            </w:r>
          </w:p>
        </w:tc>
        <w:tc>
          <w:tcPr>
            <w:tcW w:w="1625" w:type="dxa"/>
            <w:shd w:val="clear" w:color="auto" w:fill="FFFFFF" w:themeFill="background1"/>
            <w:vAlign w:val="center"/>
            <w:hideMark/>
          </w:tcPr>
          <w:p w:rsidRPr="00675D16" w:rsidR="006B22A9" w:rsidP="00A13C65" w:rsidRDefault="006B22A9" w14:paraId="7619B2C8" w14:textId="77777777">
            <w:pPr>
              <w:spacing w:after="0"/>
              <w:rPr>
                <w:b/>
                <w:bCs/>
                <w:sz w:val="20"/>
                <w:szCs w:val="20"/>
              </w:rPr>
            </w:pPr>
            <w:r w:rsidRPr="00675D16">
              <w:rPr>
                <w:b/>
                <w:bCs/>
                <w:sz w:val="20"/>
                <w:szCs w:val="20"/>
              </w:rPr>
              <w:t>Burden estimate</w:t>
            </w:r>
          </w:p>
        </w:tc>
      </w:tr>
      <w:tr w:rsidRPr="00C47150" w:rsidR="0015290C" w:rsidTr="0015290C" w14:paraId="2669CD67" w14:textId="77777777">
        <w:trPr>
          <w:trHeight w:val="467"/>
        </w:trPr>
        <w:tc>
          <w:tcPr>
            <w:tcW w:w="8545"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625" w:type="dxa"/>
            <w:shd w:val="clear" w:color="auto" w:fill="auto"/>
            <w:noWrap/>
            <w:vAlign w:val="center"/>
            <w:hideMark/>
          </w:tcPr>
          <w:p w:rsidRPr="00675D16" w:rsidR="0015290C" w:rsidP="0015290C" w:rsidRDefault="00E023B0" w14:paraId="66D57802" w14:textId="7D5FF3E8">
            <w:pPr>
              <w:spacing w:after="0"/>
              <w:jc w:val="right"/>
              <w:rPr>
                <w:sz w:val="20"/>
                <w:szCs w:val="20"/>
              </w:rPr>
            </w:pPr>
            <w:r>
              <w:rPr>
                <w:sz w:val="20"/>
                <w:szCs w:val="20"/>
              </w:rPr>
              <w:t>24,377</w:t>
            </w:r>
          </w:p>
        </w:tc>
      </w:tr>
      <w:tr w:rsidRPr="00C47150" w:rsidR="0015290C" w:rsidTr="0015290C" w14:paraId="1DA84495" w14:textId="77777777">
        <w:trPr>
          <w:trHeight w:val="467"/>
        </w:trPr>
        <w:tc>
          <w:tcPr>
            <w:tcW w:w="8545" w:type="dxa"/>
            <w:shd w:val="clear" w:color="auto" w:fill="auto"/>
          </w:tcPr>
          <w:p w:rsidRPr="00675D16" w:rsidR="0015290C" w:rsidP="0015290C" w:rsidRDefault="0015290C" w14:paraId="43F9B8BE" w14:textId="7F519467">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625" w:type="dxa"/>
            <w:shd w:val="clear" w:color="auto" w:fill="auto"/>
            <w:vAlign w:val="center"/>
          </w:tcPr>
          <w:p w:rsidRPr="00675D16" w:rsidR="0015290C" w:rsidP="0015290C" w:rsidRDefault="00E023B0" w14:paraId="5E312012" w14:textId="0E4408F3">
            <w:pPr>
              <w:spacing w:after="0"/>
              <w:jc w:val="right"/>
              <w:rPr>
                <w:sz w:val="20"/>
                <w:szCs w:val="20"/>
              </w:rPr>
            </w:pPr>
            <w:r>
              <w:rPr>
                <w:sz w:val="20"/>
                <w:szCs w:val="20"/>
              </w:rPr>
              <w:t>6,243</w:t>
            </w:r>
          </w:p>
        </w:tc>
      </w:tr>
      <w:tr w:rsidRPr="00C47150" w:rsidR="0015290C" w:rsidTr="0015290C" w14:paraId="165E12FE" w14:textId="77777777">
        <w:trPr>
          <w:trHeight w:val="278"/>
        </w:trPr>
        <w:tc>
          <w:tcPr>
            <w:tcW w:w="8545" w:type="dxa"/>
            <w:shd w:val="clear" w:color="auto" w:fill="auto"/>
          </w:tcPr>
          <w:p w:rsidRPr="00675D16" w:rsidR="0015290C" w:rsidP="0015290C" w:rsidRDefault="0015290C" w14:paraId="5B5BCD23" w14:textId="77777777">
            <w:pPr>
              <w:spacing w:after="0"/>
              <w:rPr>
                <w:sz w:val="20"/>
                <w:szCs w:val="20"/>
              </w:rPr>
            </w:pPr>
            <w:r w:rsidRPr="00732012">
              <w:rPr>
                <w:sz w:val="20"/>
                <w:szCs w:val="20"/>
              </w:rPr>
              <w:t>Total Respondents Due to Hardships, Other Exceptions and Hardships for Small Practices (c)</w:t>
            </w:r>
          </w:p>
        </w:tc>
        <w:tc>
          <w:tcPr>
            <w:tcW w:w="1625" w:type="dxa"/>
            <w:shd w:val="clear" w:color="auto" w:fill="auto"/>
            <w:vAlign w:val="center"/>
          </w:tcPr>
          <w:p w:rsidRPr="00675D16" w:rsidR="0015290C" w:rsidP="0015290C" w:rsidRDefault="00E023B0" w14:paraId="6BD99CB7" w14:textId="594FA49F">
            <w:pPr>
              <w:spacing w:after="0"/>
              <w:jc w:val="right"/>
              <w:rPr>
                <w:sz w:val="20"/>
                <w:szCs w:val="20"/>
              </w:rPr>
            </w:pPr>
            <w:r>
              <w:rPr>
                <w:sz w:val="20"/>
                <w:szCs w:val="20"/>
              </w:rPr>
              <w:t>30,620</w:t>
            </w:r>
          </w:p>
        </w:tc>
      </w:tr>
      <w:tr w:rsidRPr="00C47150" w:rsidR="0015290C" w:rsidTr="0015290C" w14:paraId="49280980" w14:textId="77777777">
        <w:trPr>
          <w:trHeight w:val="260"/>
        </w:trPr>
        <w:tc>
          <w:tcPr>
            <w:tcW w:w="8545" w:type="dxa"/>
            <w:shd w:val="clear" w:color="auto" w:fill="auto"/>
            <w:hideMark/>
          </w:tcPr>
          <w:p w:rsidRPr="00675D16" w:rsidR="0015290C" w:rsidP="0015290C" w:rsidRDefault="0015290C" w14:paraId="320B4D27" w14:textId="77777777">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(d) </w:t>
            </w:r>
          </w:p>
        </w:tc>
        <w:tc>
          <w:tcPr>
            <w:tcW w:w="1625" w:type="dxa"/>
            <w:shd w:val="clear" w:color="auto" w:fill="auto"/>
            <w:vAlign w:val="center"/>
            <w:hideMark/>
          </w:tcPr>
          <w:p w:rsidRPr="00675D16" w:rsidR="0015290C" w:rsidP="0015290C" w:rsidRDefault="0015290C" w14:paraId="769B9174" w14:textId="26CAC07A">
            <w:pPr>
              <w:spacing w:after="0"/>
              <w:jc w:val="right"/>
              <w:rPr>
                <w:sz w:val="20"/>
                <w:szCs w:val="20"/>
              </w:rPr>
            </w:pPr>
            <w:r w:rsidRPr="003428D4">
              <w:rPr>
                <w:rFonts w:eastAsia="Calibri"/>
                <w:sz w:val="20"/>
                <w:szCs w:val="20"/>
              </w:rPr>
              <w:t>0.25</w:t>
            </w:r>
          </w:p>
        </w:tc>
      </w:tr>
      <w:tr w:rsidRPr="00C47150" w:rsidR="0015290C" w:rsidTr="0015290C" w14:paraId="42804265" w14:textId="77777777">
        <w:trPr>
          <w:trHeight w:val="187"/>
        </w:trPr>
        <w:tc>
          <w:tcPr>
            <w:tcW w:w="8545" w:type="dxa"/>
            <w:shd w:val="clear" w:color="auto" w:fill="E7E6E6" w:themeFill="background2"/>
            <w:hideMark/>
          </w:tcPr>
          <w:p w:rsidRPr="00920A23" w:rsidR="0015290C" w:rsidP="0015290C" w:rsidRDefault="0015290C" w14:paraId="20013ECE" w14:textId="77777777">
            <w:pPr>
              <w:spacing w:after="0"/>
              <w:rPr>
                <w:b/>
                <w:sz w:val="20"/>
                <w:szCs w:val="20"/>
              </w:rPr>
            </w:pPr>
            <w:r w:rsidRPr="00920A23">
              <w:rPr>
                <w:b/>
                <w:sz w:val="20"/>
                <w:szCs w:val="20"/>
              </w:rPr>
              <w:t>Total Annual Hours (e)=(a)*(c)</w:t>
            </w:r>
          </w:p>
        </w:tc>
        <w:tc>
          <w:tcPr>
            <w:tcW w:w="1625" w:type="dxa"/>
            <w:shd w:val="clear" w:color="auto" w:fill="E7E6E6" w:themeFill="background2"/>
            <w:vAlign w:val="center"/>
            <w:hideMark/>
          </w:tcPr>
          <w:p w:rsidRPr="00920A23" w:rsidR="0015290C" w:rsidP="0015290C" w:rsidRDefault="00E023B0" w14:paraId="6AD32D5D" w14:textId="60076C82">
            <w:pPr>
              <w:spacing w:after="0"/>
              <w:jc w:val="right"/>
              <w:rPr>
                <w:b/>
                <w:sz w:val="20"/>
                <w:szCs w:val="20"/>
              </w:rPr>
            </w:pPr>
            <w:r>
              <w:rPr>
                <w:b/>
                <w:sz w:val="20"/>
                <w:szCs w:val="20"/>
              </w:rPr>
              <w:t>7,655</w:t>
            </w:r>
          </w:p>
        </w:tc>
      </w:tr>
      <w:tr w:rsidRPr="00C47150" w:rsidR="0015290C" w:rsidTr="0015290C" w14:paraId="2C462897" w14:textId="77777777">
        <w:trPr>
          <w:trHeight w:val="287"/>
        </w:trPr>
        <w:tc>
          <w:tcPr>
            <w:tcW w:w="8545" w:type="dxa"/>
            <w:shd w:val="clear" w:color="auto" w:fill="auto"/>
            <w:hideMark/>
          </w:tcPr>
          <w:p w:rsidRPr="00675D16" w:rsidR="0015290C" w:rsidP="0015290C" w:rsidRDefault="0015290C" w14:paraId="4D7FEF09" w14:textId="77777777">
            <w:pPr>
              <w:spacing w:after="0"/>
              <w:rPr>
                <w:sz w:val="20"/>
                <w:szCs w:val="20"/>
              </w:rPr>
            </w:pPr>
            <w:r w:rsidRPr="00732012">
              <w:rPr>
                <w:sz w:val="20"/>
                <w:szCs w:val="20"/>
              </w:rPr>
              <w:t>Labor Rate for a computer systems analyst (f)</w:t>
            </w:r>
          </w:p>
        </w:tc>
        <w:tc>
          <w:tcPr>
            <w:tcW w:w="1625" w:type="dxa"/>
            <w:shd w:val="clear" w:color="auto" w:fill="auto"/>
            <w:vAlign w:val="center"/>
            <w:hideMark/>
          </w:tcPr>
          <w:p w:rsidRPr="00675D16" w:rsidR="0015290C" w:rsidP="0015290C" w:rsidRDefault="0015290C" w14:paraId="40021E03" w14:textId="3E0BD592">
            <w:pPr>
              <w:spacing w:after="0"/>
              <w:jc w:val="right"/>
              <w:rPr>
                <w:sz w:val="20"/>
                <w:szCs w:val="20"/>
              </w:rPr>
            </w:pPr>
            <w:r w:rsidRPr="00EF17E0">
              <w:rPr>
                <w:rFonts w:eastAsia="Calibri"/>
                <w:sz w:val="20"/>
                <w:szCs w:val="20"/>
              </w:rPr>
              <w:t>$</w:t>
            </w:r>
            <w:r w:rsidR="00910003">
              <w:rPr>
                <w:rFonts w:eastAsia="Calibri"/>
                <w:sz w:val="20"/>
                <w:szCs w:val="20"/>
              </w:rPr>
              <w:t>90.02</w:t>
            </w:r>
            <w:r w:rsidRPr="00EF17E0">
              <w:rPr>
                <w:rFonts w:eastAsia="Calibri"/>
                <w:sz w:val="20"/>
                <w:szCs w:val="20"/>
              </w:rPr>
              <w:t>/hr</w:t>
            </w:r>
          </w:p>
        </w:tc>
      </w:tr>
      <w:tr w:rsidRPr="00C47150" w:rsidR="0015290C" w:rsidTr="0015290C" w14:paraId="665CEE44" w14:textId="77777777">
        <w:trPr>
          <w:trHeight w:val="295"/>
        </w:trPr>
        <w:tc>
          <w:tcPr>
            <w:tcW w:w="8545" w:type="dxa"/>
            <w:shd w:val="clear" w:color="auto" w:fill="E7E6E6" w:themeFill="background2"/>
            <w:hideMark/>
          </w:tcPr>
          <w:p w:rsidRPr="00920A23" w:rsidR="0015290C" w:rsidP="0015290C" w:rsidRDefault="0015290C" w14:paraId="1A8FF7FB" w14:textId="77777777">
            <w:pPr>
              <w:spacing w:after="0"/>
              <w:rPr>
                <w:b/>
                <w:sz w:val="20"/>
                <w:szCs w:val="20"/>
              </w:rPr>
            </w:pPr>
            <w:r w:rsidRPr="00920A23">
              <w:rPr>
                <w:b/>
                <w:sz w:val="20"/>
                <w:szCs w:val="20"/>
              </w:rPr>
              <w:t>Total Annual Cost (g)=(a)*(f)</w:t>
            </w:r>
          </w:p>
        </w:tc>
        <w:tc>
          <w:tcPr>
            <w:tcW w:w="1625" w:type="dxa"/>
            <w:shd w:val="clear" w:color="auto" w:fill="E7E6E6" w:themeFill="background2"/>
            <w:noWrap/>
            <w:vAlign w:val="center"/>
            <w:hideMark/>
          </w:tcPr>
          <w:p w:rsidRPr="00920A23" w:rsidR="0015290C" w:rsidP="0015290C" w:rsidRDefault="0015290C" w14:paraId="20292AD5" w14:textId="31C0D98A">
            <w:pPr>
              <w:spacing w:after="0"/>
              <w:jc w:val="right"/>
              <w:rPr>
                <w:b/>
                <w:sz w:val="20"/>
                <w:szCs w:val="20"/>
              </w:rPr>
            </w:pPr>
            <w:r w:rsidRPr="00920A23">
              <w:rPr>
                <w:rFonts w:eastAsia="Calibri"/>
                <w:b/>
                <w:sz w:val="20"/>
                <w:szCs w:val="20"/>
              </w:rPr>
              <w:t>$</w:t>
            </w:r>
            <w:r w:rsidR="00E023B0">
              <w:rPr>
                <w:rFonts w:eastAsia="Calibri"/>
                <w:b/>
                <w:sz w:val="20"/>
                <w:szCs w:val="20"/>
              </w:rPr>
              <w:t>689,103</w:t>
            </w:r>
          </w:p>
        </w:tc>
      </w:tr>
    </w:tbl>
    <w:p w:rsidR="006B22A9" w:rsidP="006B22A9" w:rsidRDefault="006B22A9" w14:paraId="156972AE" w14:textId="7109D571"/>
    <w:p w:rsidR="00A13C65" w:rsidP="0095356F" w:rsidRDefault="00A13C65" w14:paraId="0A92F7EE" w14:textId="71976C7C">
      <w:pPr>
        <w:pStyle w:val="Heading4"/>
        <w:numPr>
          <w:ilvl w:val="0"/>
          <w:numId w:val="34"/>
        </w:numPr>
      </w:pPr>
      <w:r>
        <w:t>Burden for Submitting Promoting Interoperability Data</w:t>
      </w:r>
    </w:p>
    <w:p w:rsidRPr="00A13C65" w:rsidR="00A13C65" w:rsidP="00A13C65" w:rsidRDefault="00A13C65" w14:paraId="5929BAB2" w14:textId="77777777"/>
    <w:p w:rsidRPr="00AF3F68" w:rsidR="00AF3F68" w:rsidP="00E12B53" w:rsidRDefault="007838D1" w14:paraId="2A5002D9" w14:textId="27DA3273">
      <w:pPr>
        <w:rPr>
          <w:rFonts w:eastAsia="Calibri"/>
        </w:rPr>
      </w:pPr>
      <w:r w:rsidRPr="007838D1">
        <w:rPr>
          <w:rFonts w:eastAsia="Calibri"/>
        </w:rPr>
        <w:t xml:space="preserve">A variety of organizations will submit Promoting Interoperability data on behalf of clinicians.  Clinicians not participating in a MIPS APM may submit data as individuals or as part of a group.  </w:t>
      </w:r>
      <w:r w:rsidR="001017DC">
        <w:rPr>
          <w:rFonts w:eastAsia="Calibri"/>
        </w:rPr>
        <w:t>E</w:t>
      </w:r>
      <w:r w:rsidRPr="007838D1">
        <w:rPr>
          <w:rFonts w:eastAsia="Calibri"/>
        </w:rPr>
        <w:t>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AF3F68" w:rsidP="00E12B53" w:rsidRDefault="00AF3F68" w14:paraId="5A89F8D3" w14:textId="2342DFFF">
      <w:pPr>
        <w:rPr>
          <w:rFonts w:eastAsia="Calibri"/>
        </w:rPr>
      </w:pPr>
      <w:r w:rsidRPr="00AF3F68">
        <w:rPr>
          <w:rFonts w:eastAsia="Calibri"/>
        </w:rPr>
        <w:t xml:space="preserve">As shown in Table </w:t>
      </w:r>
      <w:r>
        <w:rPr>
          <w:rFonts w:eastAsia="Calibri"/>
        </w:rPr>
        <w:t>17</w:t>
      </w:r>
      <w:r w:rsidRPr="00AF3F68">
        <w:rPr>
          <w:rFonts w:eastAsia="Calibri"/>
        </w:rPr>
        <w:t xml:space="preserve">, </w:t>
      </w:r>
      <w:r w:rsidRPr="00CC2BFB" w:rsidR="00DF07C7">
        <w:rPr>
          <w:rFonts w:eastAsia="Calibri"/>
        </w:rPr>
        <w:t>based on data from the 201</w:t>
      </w:r>
      <w:r w:rsidR="00DF07C7">
        <w:rPr>
          <w:rFonts w:eastAsia="Calibri"/>
        </w:rPr>
        <w:t>8</w:t>
      </w:r>
      <w:r w:rsidRPr="00CC2BFB" w:rsidR="00DF07C7">
        <w:rPr>
          <w:rFonts w:eastAsia="Calibri"/>
        </w:rPr>
        <w:t xml:space="preserve"> MIPS performance period, we estimate that a total of </w:t>
      </w:r>
      <w:r w:rsidRPr="00F90569" w:rsidR="00DF07C7">
        <w:rPr>
          <w:rFonts w:eastAsia="Calibri"/>
        </w:rPr>
        <w:t>7</w:t>
      </w:r>
      <w:r w:rsidR="00DF07C7">
        <w:rPr>
          <w:rFonts w:eastAsia="Calibri"/>
        </w:rPr>
        <w:t>4,281</w:t>
      </w:r>
      <w:r w:rsidRPr="00C20D00" w:rsidR="00DF07C7">
        <w:rPr>
          <w:rFonts w:eastAsia="Calibri"/>
        </w:rPr>
        <w:t xml:space="preserve"> </w:t>
      </w:r>
      <w:r w:rsidRPr="00B13BF3" w:rsidR="00DF07C7">
        <w:rPr>
          <w:rFonts w:eastAsia="Calibri"/>
        </w:rPr>
        <w:t xml:space="preserve">respondents consisting of </w:t>
      </w:r>
      <w:r w:rsidR="00DF07C7">
        <w:rPr>
          <w:rFonts w:eastAsia="Calibri"/>
        </w:rPr>
        <w:t>59,865</w:t>
      </w:r>
      <w:r w:rsidRPr="00C20D00" w:rsidR="00DF07C7">
        <w:rPr>
          <w:rFonts w:eastAsia="Calibri"/>
        </w:rPr>
        <w:t xml:space="preserve"> </w:t>
      </w:r>
      <w:r w:rsidRPr="00B13BF3" w:rsidR="00DF07C7">
        <w:rPr>
          <w:rFonts w:eastAsia="Calibri"/>
        </w:rPr>
        <w:t xml:space="preserve">individual MIPS eligible clinicians and </w:t>
      </w:r>
      <w:r w:rsidRPr="00F90569" w:rsidR="00DF07C7">
        <w:rPr>
          <w:rFonts w:eastAsia="Calibri"/>
        </w:rPr>
        <w:t>14,</w:t>
      </w:r>
      <w:r w:rsidR="00DF07C7">
        <w:rPr>
          <w:rFonts w:eastAsia="Calibri"/>
        </w:rPr>
        <w:t>416</w:t>
      </w:r>
      <w:r w:rsidRPr="00C20D00" w:rsidR="00DF07C7">
        <w:rPr>
          <w:rFonts w:eastAsia="Calibri"/>
        </w:rPr>
        <w:t xml:space="preserve"> </w:t>
      </w:r>
      <w:r w:rsidRPr="00CC2BFB" w:rsidR="00DF07C7">
        <w:rPr>
          <w:rFonts w:eastAsia="Calibri"/>
        </w:rPr>
        <w:t>groups and virtual groups will submit Promoting Interoperability data</w:t>
      </w:r>
      <w:r w:rsidR="00DF07C7">
        <w:rPr>
          <w:rFonts w:eastAsia="Calibri"/>
        </w:rPr>
        <w:t>; this is an</w:t>
      </w:r>
      <w:r w:rsidRPr="007445FA" w:rsidR="00DF07C7">
        <w:rPr>
          <w:rFonts w:eastAsia="Calibri"/>
        </w:rPr>
        <w:t xml:space="preserve"> adjust</w:t>
      </w:r>
      <w:r w:rsidR="00DF07C7">
        <w:rPr>
          <w:rFonts w:eastAsia="Calibri"/>
        </w:rPr>
        <w:t>ment</w:t>
      </w:r>
      <w:r w:rsidRPr="007445FA" w:rsidR="00DF07C7">
        <w:rPr>
          <w:rFonts w:eastAsia="Calibri"/>
        </w:rPr>
        <w:t xml:space="preserve"> </w:t>
      </w:r>
      <w:r w:rsidR="00DF07C7">
        <w:rPr>
          <w:rFonts w:eastAsia="Calibri"/>
        </w:rPr>
        <w:t xml:space="preserve">to </w:t>
      </w:r>
      <w:r w:rsidRPr="007445FA" w:rsidR="00DF07C7">
        <w:rPr>
          <w:rFonts w:eastAsia="Calibri"/>
        </w:rPr>
        <w:t xml:space="preserve">the number of respondents from </w:t>
      </w:r>
      <w:r w:rsidR="00DF07C7">
        <w:rPr>
          <w:rFonts w:eastAsia="Calibri"/>
        </w:rPr>
        <w:t>93,869</w:t>
      </w:r>
      <w:r w:rsidRPr="007445FA" w:rsidR="00DF07C7">
        <w:rPr>
          <w:rFonts w:eastAsia="Calibri"/>
        </w:rPr>
        <w:t xml:space="preserve"> to </w:t>
      </w:r>
      <w:r w:rsidR="00DF07C7">
        <w:rPr>
          <w:rFonts w:eastAsia="Calibri"/>
        </w:rPr>
        <w:t>74,281</w:t>
      </w:r>
      <w:r w:rsidRPr="00747D30" w:rsidR="00DF07C7">
        <w:rPr>
          <w:rFonts w:eastAsia="Calibri"/>
        </w:rPr>
        <w:t xml:space="preserve"> (a decrease of </w:t>
      </w:r>
      <w:r w:rsidR="00DF07C7">
        <w:rPr>
          <w:rFonts w:eastAsia="Calibri"/>
        </w:rPr>
        <w:t>19,588</w:t>
      </w:r>
      <w:r w:rsidRPr="00CC2BFB" w:rsidR="00DF07C7">
        <w:rPr>
          <w:rFonts w:eastAsia="Calibri"/>
        </w:rPr>
        <w:t>) bas</w:t>
      </w:r>
      <w:r w:rsidR="00DF07C7">
        <w:rPr>
          <w:rFonts w:eastAsia="Calibri"/>
        </w:rPr>
        <w:t>ed on more recent data</w:t>
      </w:r>
      <w:r w:rsidRPr="00CC2BFB" w:rsidR="00DF07C7">
        <w:rPr>
          <w:rFonts w:eastAsia="Calibri"/>
        </w:rPr>
        <w:t xml:space="preserve">.  </w:t>
      </w:r>
      <w:r w:rsidR="00DF07C7">
        <w:rPr>
          <w:rFonts w:eastAsia="Calibri"/>
        </w:rPr>
        <w:t>In the CY 2017 and CY 2018 Quality Payment Program final rules and the CY 2019 PFS final rule, we were required to adjust our respondent estimates to account for MIPS eligible clinicians who we assumed would respond as participants in a virtual group.  Because we are now able to base our respondent estimates on data from the 2018 MIPS performance period, which was the first performance period in which clinicians could submit as participants in a virtual group, we are no longer making the adjustment for virtual group participation</w:t>
      </w:r>
      <w:r w:rsidRPr="00AF3F68">
        <w:rPr>
          <w:rFonts w:eastAsia="Calibri"/>
        </w:rPr>
        <w:t xml:space="preserve">.  </w:t>
      </w:r>
    </w:p>
    <w:p w:rsidRPr="00AF3F68" w:rsidR="00AF3F68" w:rsidP="00E12B53" w:rsidRDefault="00A03212" w14:paraId="7A1BA71E" w14:textId="1080C7CC">
      <w:pPr>
        <w:rPr>
          <w:rFonts w:eastAsia="Calibri"/>
        </w:rPr>
      </w:pPr>
      <w:r>
        <w:rPr>
          <w:rFonts w:eastAsia="Calibri"/>
        </w:rPr>
        <w:t>C</w:t>
      </w:r>
      <w:r w:rsidRPr="00CC2BFB" w:rsidR="00397E24">
        <w:rPr>
          <w:rFonts w:eastAsia="Calibri"/>
        </w:rPr>
        <w:t>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 physical therapists; occupational therapists; qualified speech-language pathologists or qualified audiologist; clinical psychologists; and registered dieticians or nutrition professionals</w:t>
      </w:r>
      <w:r>
        <w:rPr>
          <w:rFonts w:eastAsia="Calibri"/>
        </w:rPr>
        <w:t xml:space="preserve">. </w:t>
      </w:r>
      <w:r w:rsidRPr="00CC2BFB" w:rsidR="00397E24">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 (including clinicians who are in small practices)</w:t>
      </w:r>
      <w:r>
        <w:rPr>
          <w:rFonts w:eastAsia="Calibri"/>
        </w:rPr>
        <w:t xml:space="preserve"> and</w:t>
      </w:r>
      <w:r w:rsidRPr="00CC2BFB" w:rsidR="00397E24">
        <w:rPr>
          <w:rFonts w:eastAsia="Calibri"/>
        </w:rPr>
        <w:t xml:space="preserve"> decertification of an EHR</w:t>
      </w:r>
      <w:r w:rsidRPr="00AF3F68" w:rsidR="00AF3F68">
        <w:rPr>
          <w:rFonts w:eastAsia="Calibri"/>
        </w:rPr>
        <w:t>.</w:t>
      </w:r>
    </w:p>
    <w:p w:rsidR="00BA547B" w:rsidP="00E12B53" w:rsidRDefault="00340F8A" w14:paraId="168AA4DC" w14:textId="48B3BE88">
      <w:pPr>
        <w:rPr>
          <w:rFonts w:eastAsia="Calibri"/>
        </w:rPr>
      </w:pPr>
      <w:r w:rsidRPr="00CC2BFB">
        <w:rPr>
          <w:rFonts w:eastAsia="Melior"/>
        </w:rPr>
        <w:t xml:space="preserve">In </w:t>
      </w:r>
      <w:r w:rsidRPr="004E555C">
        <w:rPr>
          <w:rFonts w:eastAsia="Melior"/>
        </w:rPr>
        <w:t>section III.K.3.c.(4)(f)(iii)</w:t>
      </w:r>
      <w:r>
        <w:rPr>
          <w:rFonts w:eastAsia="Melior"/>
        </w:rPr>
        <w:t xml:space="preserve"> of the CY 2020 PFS final rule</w:t>
      </w:r>
      <w:r w:rsidRPr="004E555C">
        <w:rPr>
          <w:rFonts w:eastAsia="Melior"/>
        </w:rPr>
        <w:t>, we</w:t>
      </w:r>
      <w:r w:rsidRPr="00CC2BFB">
        <w:rPr>
          <w:rFonts w:eastAsia="Melior"/>
        </w:rPr>
        <w:t xml:space="preserve"> </w:t>
      </w:r>
      <w:r>
        <w:rPr>
          <w:rFonts w:eastAsia="Melior"/>
        </w:rPr>
        <w:t>finalized</w:t>
      </w:r>
      <w:r w:rsidRPr="00CC2BFB">
        <w:rPr>
          <w:rFonts w:eastAsia="Melior"/>
        </w:rPr>
        <w:t xml:space="preserve"> to revise the definition of a hospital-based MIPS eligible clinician under § 414.1305 to include groups and virtual groups.  We</w:t>
      </w:r>
      <w:r>
        <w:rPr>
          <w:rFonts w:eastAsia="Melior"/>
        </w:rPr>
        <w:t xml:space="preserve"> finalized</w:t>
      </w:r>
      <w:r w:rsidRPr="00CC2BFB">
        <w:rPr>
          <w:rFonts w:eastAsia="Melior"/>
        </w:rPr>
        <w:t xml:space="preserve"> that, beginning with the 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Pr="00CC2BFB">
        <w:rPr>
          <w:rFonts w:eastAsia="Calibri"/>
        </w:rPr>
        <w:t>.  We</w:t>
      </w:r>
      <w:r>
        <w:rPr>
          <w:rFonts w:eastAsia="Calibri"/>
        </w:rPr>
        <w:t xml:space="preserve"> also finalized</w:t>
      </w:r>
      <w:r w:rsidRPr="00CC2BFB">
        <w:rPr>
          <w:rFonts w:eastAsia="Calibri"/>
        </w:rPr>
        <w:t xml:space="preserve"> to revise § 414.1380(c)(2)(iii) to specify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Pr="00CC2BFB">
        <w:t xml:space="preserve"> </w:t>
      </w:r>
      <w:r w:rsidRPr="00CC2BFB">
        <w:rPr>
          <w:rFonts w:eastAsia="Calibri"/>
        </w:rPr>
        <w:t xml:space="preserve">or the group or virtual group must meet the </w:t>
      </w:r>
      <w:r>
        <w:rPr>
          <w:rFonts w:eastAsia="Calibri"/>
        </w:rPr>
        <w:t xml:space="preserve">finalized </w:t>
      </w:r>
      <w:r w:rsidRPr="00CC2BFB">
        <w:rPr>
          <w:rFonts w:eastAsia="Calibri"/>
        </w:rPr>
        <w:t xml:space="preserve">revised definition of a hospital-based MIPS eligible clinician or the definition of a non-patient facing MIPS eligible clinician as defined in § 414.1305.  We believe these </w:t>
      </w:r>
      <w:r w:rsidRPr="00F90569">
        <w:rPr>
          <w:rFonts w:eastAsia="Calibri"/>
        </w:rPr>
        <w:t>policies</w:t>
      </w:r>
      <w:r w:rsidRPr="00CC2BFB">
        <w:rPr>
          <w:rFonts w:eastAsia="Calibri"/>
        </w:rPr>
        <w:t xml:space="preserve"> could result in a decrease in the number of data submissions for the Promoting Interoperability performance category, but we do not currently have the data necessary to determine how many groups would elect to forego submission.  As additional information becomes available in future years, we will revisit the impact of this policy and </w:t>
      </w:r>
      <w:r>
        <w:rPr>
          <w:rFonts w:eastAsia="Calibri"/>
        </w:rPr>
        <w:t xml:space="preserve">may </w:t>
      </w:r>
      <w:r w:rsidRPr="00CC2BFB">
        <w:rPr>
          <w:rFonts w:eastAsia="Calibri"/>
        </w:rPr>
        <w:t>adjust our burden estimates accordingly</w:t>
      </w:r>
      <w:r w:rsidRPr="00BA547B" w:rsidR="00BA547B">
        <w:rPr>
          <w:rFonts w:eastAsia="Calibri"/>
        </w:rPr>
        <w:t>.</w:t>
      </w:r>
    </w:p>
    <w:p w:rsidRPr="00AF3F68" w:rsidR="00AF3F68" w:rsidP="00E12B53" w:rsidRDefault="00C95BEA" w14:paraId="11E71C64" w14:textId="75C879F5">
      <w:pPr>
        <w:rPr>
          <w:rFonts w:eastAsia="Calibri"/>
        </w:rPr>
      </w:pPr>
      <w:r w:rsidRPr="00C95BEA">
        <w:rPr>
          <w:rFonts w:eastAsia="Calibri"/>
        </w:rPr>
        <w:t>As discussed in section III.K.3.c.(4)(d)(i)(B) of th</w:t>
      </w:r>
      <w:r>
        <w:rPr>
          <w:rFonts w:eastAsia="Calibri"/>
        </w:rPr>
        <w:t>e CY 2020 PFS final</w:t>
      </w:r>
      <w:r w:rsidRPr="00C95BEA">
        <w:rPr>
          <w:rFonts w:eastAsia="Calibri"/>
        </w:rPr>
        <w:t xml:space="preserve"> rule, we finaliz</w:t>
      </w:r>
      <w:r>
        <w:rPr>
          <w:rFonts w:eastAsia="Calibri"/>
        </w:rPr>
        <w:t>ed</w:t>
      </w:r>
      <w:r w:rsidRPr="00C95BEA">
        <w:rPr>
          <w:rFonts w:eastAsia="Calibri"/>
        </w:rPr>
        <w:t xml:space="preserve"> to allow clinicians to satisfy the optional bonus Query of PDMP measure by submitting a “yes/no” attestation, rather than reporting a numerator and denominator.  In the CY 2019 PFS final rule, we updated our burden assumptions from 3 hours to 2.67 hours to reflect the change from 5 base measures, 9 performance measures, and 4 bonus measures to the reporting of 4 base measures (83 FR 60013 through 60014).  Due to a lack of data regarding the number of health care providers who would submit data for bonus Promoting Interoperability measures, we have consistently been unable to estimate burden related to the reporting of bonus measures and are therefore unable to account for any change in burden due to the </w:t>
      </w:r>
      <w:r w:rsidR="00C638DC">
        <w:rPr>
          <w:rFonts w:eastAsia="Calibri"/>
        </w:rPr>
        <w:t>finaliz</w:t>
      </w:r>
      <w:r w:rsidRPr="00C95BEA">
        <w:rPr>
          <w:rFonts w:eastAsia="Calibri"/>
        </w:rPr>
        <w:t>ed change to a “yes/no” attestation for the Query of PDMP measure.  If we have better data in the future, we may reassess our burden assumptions and whether we can reasonably quantify the burden associated with the reporting of bonus measures</w:t>
      </w:r>
      <w:r w:rsidRPr="00653141" w:rsidR="00653141">
        <w:rPr>
          <w:rFonts w:eastAsia="Calibri"/>
        </w:rPr>
        <w:t>.</w:t>
      </w:r>
      <w:r w:rsidRPr="00AF3F68" w:rsidR="00AF3F68">
        <w:rPr>
          <w:rFonts w:eastAsia="Calibri"/>
        </w:rPr>
        <w:t xml:space="preserve"> </w:t>
      </w:r>
    </w:p>
    <w:p w:rsidRPr="003428D4" w:rsidR="0015290C" w:rsidP="00E12B53" w:rsidRDefault="000368ED" w14:paraId="0F74AD51" w14:textId="26FBA4DD">
      <w:pPr>
        <w:rPr>
          <w:rFonts w:eastAsia="Calibri"/>
        </w:rPr>
      </w:pPr>
      <w:r w:rsidRPr="00CC2BFB">
        <w:rPr>
          <w:rFonts w:eastAsia="Calibri"/>
        </w:rPr>
        <w:t xml:space="preserve">We assume that MIPS eligible clinicians scored under the APM scoring standard, as described in </w:t>
      </w:r>
      <w:r w:rsidRPr="009949B6">
        <w:rPr>
          <w:rFonts w:eastAsia="Calibri"/>
        </w:rPr>
        <w:t>section III.K.3.c.(5)</w:t>
      </w:r>
      <w:r>
        <w:rPr>
          <w:rFonts w:eastAsia="Calibri"/>
        </w:rPr>
        <w:t xml:space="preserve"> </w:t>
      </w:r>
      <w:r w:rsidRPr="009949B6">
        <w:rPr>
          <w:rFonts w:eastAsia="Calibri"/>
        </w:rPr>
        <w:t>of th</w:t>
      </w:r>
      <w:r>
        <w:rPr>
          <w:rFonts w:eastAsia="Calibri"/>
        </w:rPr>
        <w:t>e CY 2020 PFS final</w:t>
      </w:r>
      <w:r w:rsidRPr="00CC2BFB">
        <w:rPr>
          <w:rFonts w:eastAsia="Calibri"/>
        </w:rPr>
        <w:t xml:space="preserve"> rule, w</w:t>
      </w:r>
      <w:r>
        <w:rPr>
          <w:rFonts w:eastAsia="Calibri"/>
        </w:rPr>
        <w:t>ill</w:t>
      </w:r>
      <w:r w:rsidRPr="00CC2BFB">
        <w:rPr>
          <w:rFonts w:eastAsia="Calibri"/>
        </w:rPr>
        <w:t xml:space="preserve"> continue to submit Promoting Interoperability data the same as in 201</w:t>
      </w:r>
      <w:r>
        <w:rPr>
          <w:rFonts w:eastAsia="Calibri"/>
        </w:rPr>
        <w:t>8</w:t>
      </w:r>
      <w:r w:rsidRPr="00CC2BFB">
        <w:rPr>
          <w:rFonts w:eastAsia="Calibri"/>
        </w:rPr>
        <w:t xml:space="preserve">.  Each MIPS eligible clinician in an APM Entity reports data for the Promoting Interoperability performance category through either their group TIN or individual reporting.  </w:t>
      </w:r>
      <w:r w:rsidRPr="001E2503" w:rsidR="009F3DFA">
        <w:rPr>
          <w:rFonts w:eastAsia="Calibri"/>
        </w:rPr>
        <w:t>Sections 1899 and 1115A of the Act (42 U.S.C. 1395jjj and 42 U.S.C. 1315a, respectively) state that the Shared Savings Program and the testing, evaluation, and expansion of Innovation Center models are not subject to the PRA.</w:t>
      </w:r>
      <w:r w:rsidR="009F3DFA">
        <w:rPr>
          <w:rFonts w:eastAsia="Calibri"/>
        </w:rPr>
        <w:t xml:space="preserve">  However, i</w:t>
      </w:r>
      <w:r w:rsidRPr="007D4B40" w:rsidR="009F3DFA">
        <w:rPr>
          <w:rFonts w:eastAsia="Calibri"/>
        </w:rPr>
        <w:t xml:space="preserve">n </w:t>
      </w:r>
      <w:r w:rsidRPr="00CC2BFB">
        <w:rPr>
          <w:rFonts w:eastAsia="Calibri"/>
        </w:rPr>
        <w:t xml:space="preserve">the CY 2019 PFS final rule, we established that MIPS eligible clinicians who participate in the Shared Savings Program are no longer limited to reporting for the Promoting Interoperability performance category through their ACO participant TIN (83 FR 59822-59823). Burden estimates for this </w:t>
      </w:r>
      <w:r>
        <w:rPr>
          <w:rFonts w:eastAsia="Calibri"/>
        </w:rPr>
        <w:t>final</w:t>
      </w:r>
      <w:r w:rsidRPr="00CC2BFB">
        <w:rPr>
          <w:rFonts w:eastAsia="Calibri"/>
        </w:rPr>
        <w:t xml:space="preserve"> rule assume group TIN-level reporting as we believe this is the most reasonable assumption for the Shared Savings Program, which requires that ACOs include full TIN</w:t>
      </w:r>
      <w:r w:rsidR="00C84473">
        <w:rPr>
          <w:rFonts w:eastAsia="Calibri"/>
        </w:rPr>
        <w:t>s</w:t>
      </w:r>
      <w:r w:rsidRPr="00CC2BFB">
        <w:rPr>
          <w:rFonts w:eastAsia="Calibri"/>
        </w:rPr>
        <w:t xml:space="preserve">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p>
    <w:p w:rsidRPr="00C47150" w:rsidR="000160D9" w:rsidP="000160D9" w:rsidRDefault="000160D9" w14:paraId="64A5E173" w14:textId="330D027B">
      <w:pPr>
        <w:keepNext/>
        <w:spacing w:after="0"/>
        <w:jc w:val="center"/>
        <w:rPr>
          <w:b/>
          <w:bCs/>
        </w:rPr>
      </w:pPr>
      <w:r w:rsidRPr="00C47150">
        <w:rPr>
          <w:b/>
          <w:bCs/>
        </w:rPr>
        <w:t xml:space="preserve">TABLE </w:t>
      </w:r>
      <w:r w:rsidR="0015290C">
        <w:rPr>
          <w:b/>
          <w:bCs/>
        </w:rPr>
        <w:t>17</w:t>
      </w:r>
      <w:r w:rsidRPr="00C47150">
        <w:rPr>
          <w:b/>
          <w:bCs/>
        </w:rPr>
        <w:t>: Estimated Number of Respondents to Submit</w:t>
      </w:r>
      <w:r>
        <w:rPr>
          <w:b/>
          <w:bCs/>
        </w:rPr>
        <w:t xml:space="preserve"> Promoting Interoperability </w:t>
      </w:r>
      <w:r w:rsidRPr="00C47150">
        <w:rPr>
          <w:b/>
          <w:bCs/>
        </w:rPr>
        <w:t>Performance Data on Behalf of Clinicians</w:t>
      </w:r>
    </w:p>
    <w:tbl>
      <w:tblPr>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0"/>
        <w:gridCol w:w="1530"/>
      </w:tblGrid>
      <w:tr w:rsidRPr="00C47150" w:rsidR="000160D9" w:rsidTr="001B53B0" w14:paraId="0570C54B" w14:textId="77777777">
        <w:trPr>
          <w:jc w:val="center"/>
        </w:trPr>
        <w:tc>
          <w:tcPr>
            <w:tcW w:w="6480" w:type="dxa"/>
            <w:shd w:val="clear" w:color="auto" w:fill="auto"/>
            <w:noWrap/>
            <w:vAlign w:val="bottom"/>
            <w:hideMark/>
          </w:tcPr>
          <w:p w:rsidRPr="000160D9" w:rsidR="000160D9" w:rsidP="00A639D4" w:rsidRDefault="000160D9" w14:paraId="4AC6D3BD" w14:textId="2F8460E4">
            <w:pPr>
              <w:keepNext/>
              <w:spacing w:after="0" w:line="360" w:lineRule="auto"/>
              <w:rPr>
                <w:b/>
                <w:sz w:val="20"/>
                <w:szCs w:val="20"/>
              </w:rPr>
            </w:pPr>
            <w:r w:rsidRPr="000160D9">
              <w:rPr>
                <w:b/>
                <w:sz w:val="20"/>
                <w:szCs w:val="20"/>
              </w:rPr>
              <w:t>Respondent Descriptions</w:t>
            </w:r>
          </w:p>
        </w:tc>
        <w:tc>
          <w:tcPr>
            <w:tcW w:w="1530" w:type="dxa"/>
            <w:shd w:val="clear" w:color="auto" w:fill="auto"/>
            <w:hideMark/>
          </w:tcPr>
          <w:p w:rsidRPr="00675D16" w:rsidR="000160D9" w:rsidP="000160D9" w:rsidRDefault="000160D9" w14:paraId="48B5E721" w14:textId="77777777">
            <w:pPr>
              <w:keepNext/>
              <w:spacing w:after="0"/>
              <w:rPr>
                <w:b/>
                <w:sz w:val="20"/>
                <w:szCs w:val="20"/>
              </w:rPr>
            </w:pPr>
            <w:r w:rsidRPr="00675D16">
              <w:rPr>
                <w:b/>
                <w:sz w:val="20"/>
                <w:szCs w:val="20"/>
              </w:rPr>
              <w:t># of Respondents</w:t>
            </w:r>
          </w:p>
        </w:tc>
      </w:tr>
      <w:tr w:rsidRPr="00C47150" w:rsidR="006009EE" w:rsidTr="00A37DA3" w14:paraId="1D7AE4E1" w14:textId="77777777">
        <w:trPr>
          <w:jc w:val="center"/>
        </w:trPr>
        <w:tc>
          <w:tcPr>
            <w:tcW w:w="6480" w:type="dxa"/>
            <w:shd w:val="clear" w:color="auto" w:fill="auto"/>
            <w:hideMark/>
          </w:tcPr>
          <w:p w:rsidRPr="006009EE" w:rsidR="006009EE" w:rsidP="006009EE" w:rsidRDefault="006009EE" w14:paraId="524D7BBA" w14:textId="39847BC9">
            <w:pPr>
              <w:keepNext/>
              <w:spacing w:after="0" w:line="360" w:lineRule="auto"/>
              <w:rPr>
                <w:sz w:val="20"/>
                <w:szCs w:val="20"/>
              </w:rPr>
            </w:pPr>
            <w:r w:rsidRPr="006009EE">
              <w:rPr>
                <w:sz w:val="20"/>
                <w:szCs w:val="20"/>
              </w:rPr>
              <w:t>Number of individual clinicians to submit Promoting Interoperability (a)</w:t>
            </w:r>
          </w:p>
        </w:tc>
        <w:tc>
          <w:tcPr>
            <w:tcW w:w="1530" w:type="dxa"/>
            <w:shd w:val="clear" w:color="auto" w:fill="auto"/>
            <w:noWrap/>
            <w:hideMark/>
          </w:tcPr>
          <w:p w:rsidRPr="006009EE" w:rsidR="006009EE" w:rsidP="006009EE" w:rsidRDefault="006009EE" w14:paraId="0190723B" w14:textId="15F7C569">
            <w:pPr>
              <w:keepNext/>
              <w:spacing w:after="0" w:line="360" w:lineRule="auto"/>
              <w:jc w:val="right"/>
              <w:rPr>
                <w:sz w:val="20"/>
                <w:szCs w:val="20"/>
              </w:rPr>
            </w:pPr>
            <w:r w:rsidRPr="006009EE">
              <w:rPr>
                <w:sz w:val="20"/>
                <w:szCs w:val="20"/>
              </w:rPr>
              <w:t>59,865</w:t>
            </w:r>
          </w:p>
        </w:tc>
      </w:tr>
      <w:tr w:rsidRPr="00C47150" w:rsidR="006009EE" w:rsidTr="00A37DA3" w14:paraId="00E33CE9" w14:textId="77777777">
        <w:trPr>
          <w:jc w:val="center"/>
        </w:trPr>
        <w:tc>
          <w:tcPr>
            <w:tcW w:w="6480" w:type="dxa"/>
            <w:shd w:val="clear" w:color="auto" w:fill="auto"/>
            <w:noWrap/>
          </w:tcPr>
          <w:p w:rsidRPr="006009EE" w:rsidR="006009EE" w:rsidP="006009EE" w:rsidRDefault="006009EE" w14:paraId="0EAB3BFF" w14:textId="53A8A889">
            <w:pPr>
              <w:keepNext/>
              <w:spacing w:after="0" w:line="360" w:lineRule="auto"/>
              <w:rPr>
                <w:sz w:val="20"/>
                <w:szCs w:val="20"/>
              </w:rPr>
            </w:pPr>
            <w:r w:rsidRPr="006009EE">
              <w:rPr>
                <w:sz w:val="20"/>
                <w:szCs w:val="20"/>
              </w:rPr>
              <w:t>Number of groups to submit Promoting Interoperability (b)</w:t>
            </w:r>
          </w:p>
        </w:tc>
        <w:tc>
          <w:tcPr>
            <w:tcW w:w="1530" w:type="dxa"/>
            <w:shd w:val="clear" w:color="auto" w:fill="auto"/>
            <w:noWrap/>
          </w:tcPr>
          <w:p w:rsidRPr="006009EE" w:rsidR="006009EE" w:rsidP="006009EE" w:rsidRDefault="006009EE" w14:paraId="5A2963B7" w14:textId="795FF1D6">
            <w:pPr>
              <w:keepNext/>
              <w:spacing w:after="0" w:line="360" w:lineRule="auto"/>
              <w:jc w:val="right"/>
              <w:rPr>
                <w:sz w:val="20"/>
                <w:szCs w:val="20"/>
              </w:rPr>
            </w:pPr>
            <w:r w:rsidRPr="006009EE">
              <w:rPr>
                <w:sz w:val="20"/>
                <w:szCs w:val="20"/>
              </w:rPr>
              <w:t>14,416</w:t>
            </w:r>
          </w:p>
        </w:tc>
      </w:tr>
      <w:tr w:rsidRPr="00C47150" w:rsidR="006009EE" w:rsidTr="00A37DA3" w14:paraId="3BD49BA5" w14:textId="77777777">
        <w:trPr>
          <w:jc w:val="center"/>
        </w:trPr>
        <w:tc>
          <w:tcPr>
            <w:tcW w:w="6480" w:type="dxa"/>
            <w:shd w:val="clear" w:color="auto" w:fill="auto"/>
            <w:noWrap/>
            <w:hideMark/>
          </w:tcPr>
          <w:p w:rsidRPr="006009EE" w:rsidR="006009EE" w:rsidP="006009EE" w:rsidRDefault="006009EE" w14:paraId="28A47523" w14:textId="1A660687">
            <w:pPr>
              <w:keepNext/>
              <w:spacing w:after="0"/>
              <w:rPr>
                <w:sz w:val="20"/>
                <w:szCs w:val="20"/>
              </w:rPr>
            </w:pPr>
            <w:r w:rsidRPr="006009EE">
              <w:rPr>
                <w:sz w:val="20"/>
                <w:szCs w:val="20"/>
              </w:rPr>
              <w:t>Total Respondents in 2020 MIPS performance period (CY 2020 Final Rule) (c) = (a) + (b)</w:t>
            </w:r>
          </w:p>
        </w:tc>
        <w:tc>
          <w:tcPr>
            <w:tcW w:w="1530" w:type="dxa"/>
            <w:shd w:val="clear" w:color="auto" w:fill="auto"/>
            <w:noWrap/>
            <w:hideMark/>
          </w:tcPr>
          <w:p w:rsidRPr="006009EE" w:rsidR="006009EE" w:rsidP="006009EE" w:rsidRDefault="006009EE" w14:paraId="482E85EC" w14:textId="61135F0E">
            <w:pPr>
              <w:keepNext/>
              <w:spacing w:after="0" w:line="360" w:lineRule="auto"/>
              <w:jc w:val="right"/>
              <w:rPr>
                <w:sz w:val="20"/>
                <w:szCs w:val="20"/>
              </w:rPr>
            </w:pPr>
            <w:r w:rsidRPr="006009EE">
              <w:rPr>
                <w:sz w:val="20"/>
                <w:szCs w:val="20"/>
              </w:rPr>
              <w:t>74,281</w:t>
            </w:r>
          </w:p>
        </w:tc>
      </w:tr>
      <w:tr w:rsidRPr="00C47150" w:rsidR="006009EE" w:rsidTr="00A37DA3" w14:paraId="516A4521" w14:textId="77777777">
        <w:trPr>
          <w:jc w:val="center"/>
        </w:trPr>
        <w:tc>
          <w:tcPr>
            <w:tcW w:w="6480" w:type="dxa"/>
            <w:shd w:val="clear" w:color="auto" w:fill="auto"/>
            <w:noWrap/>
            <w:hideMark/>
          </w:tcPr>
          <w:p w:rsidRPr="006009EE" w:rsidR="006009EE" w:rsidP="006009EE" w:rsidRDefault="006009EE" w14:paraId="6663D01F" w14:textId="23570BBA">
            <w:pPr>
              <w:keepNext/>
              <w:spacing w:after="0"/>
              <w:rPr>
                <w:sz w:val="20"/>
                <w:szCs w:val="20"/>
              </w:rPr>
            </w:pPr>
            <w:r w:rsidRPr="006009EE">
              <w:rPr>
                <w:sz w:val="20"/>
                <w:szCs w:val="20"/>
              </w:rPr>
              <w:t>Total Respondents in 2019 MIPS performance period (CY 2019 Final Rule) (d)</w:t>
            </w:r>
          </w:p>
        </w:tc>
        <w:tc>
          <w:tcPr>
            <w:tcW w:w="1530" w:type="dxa"/>
            <w:shd w:val="clear" w:color="auto" w:fill="auto"/>
            <w:noWrap/>
            <w:hideMark/>
          </w:tcPr>
          <w:p w:rsidRPr="006009EE" w:rsidR="006009EE" w:rsidP="006009EE" w:rsidRDefault="006009EE" w14:paraId="1E342488" w14:textId="6C312AC6">
            <w:pPr>
              <w:keepNext/>
              <w:spacing w:after="0" w:line="360" w:lineRule="auto"/>
              <w:jc w:val="right"/>
              <w:rPr>
                <w:sz w:val="20"/>
                <w:szCs w:val="20"/>
              </w:rPr>
            </w:pPr>
            <w:r w:rsidRPr="006009EE">
              <w:rPr>
                <w:sz w:val="20"/>
                <w:szCs w:val="20"/>
              </w:rPr>
              <w:t>93,869</w:t>
            </w:r>
          </w:p>
        </w:tc>
      </w:tr>
      <w:tr w:rsidRPr="00C47150" w:rsidR="006009EE" w:rsidTr="00A37DA3" w14:paraId="02D8B49C" w14:textId="77777777">
        <w:trPr>
          <w:jc w:val="center"/>
        </w:trPr>
        <w:tc>
          <w:tcPr>
            <w:tcW w:w="6480" w:type="dxa"/>
            <w:shd w:val="clear" w:color="auto" w:fill="auto"/>
            <w:noWrap/>
            <w:hideMark/>
          </w:tcPr>
          <w:p w:rsidRPr="006009EE" w:rsidR="006009EE" w:rsidP="006009EE" w:rsidRDefault="006009EE" w14:paraId="74EAE704" w14:textId="64181BB3">
            <w:pPr>
              <w:keepNext/>
              <w:spacing w:after="0"/>
              <w:rPr>
                <w:sz w:val="20"/>
                <w:szCs w:val="20"/>
              </w:rPr>
            </w:pPr>
            <w:r w:rsidRPr="006009EE">
              <w:rPr>
                <w:sz w:val="20"/>
                <w:szCs w:val="20"/>
              </w:rPr>
              <w:t>Difference (e) = (c) – (d)</w:t>
            </w:r>
          </w:p>
        </w:tc>
        <w:tc>
          <w:tcPr>
            <w:tcW w:w="1530" w:type="dxa"/>
            <w:shd w:val="clear" w:color="auto" w:fill="auto"/>
            <w:noWrap/>
            <w:hideMark/>
          </w:tcPr>
          <w:p w:rsidRPr="006009EE" w:rsidR="006009EE" w:rsidP="006009EE" w:rsidRDefault="006009EE" w14:paraId="72AD7119" w14:textId="66F5830C">
            <w:pPr>
              <w:keepNext/>
              <w:spacing w:after="0" w:line="360" w:lineRule="auto"/>
              <w:jc w:val="right"/>
              <w:rPr>
                <w:sz w:val="20"/>
                <w:szCs w:val="20"/>
              </w:rPr>
            </w:pPr>
            <w:r w:rsidRPr="006009EE">
              <w:rPr>
                <w:sz w:val="20"/>
                <w:szCs w:val="20"/>
              </w:rPr>
              <w:t>-19,588</w:t>
            </w:r>
          </w:p>
        </w:tc>
      </w:tr>
    </w:tbl>
    <w:p w:rsidR="00A13C65" w:rsidP="006B22A9" w:rsidRDefault="00A13C65" w14:paraId="214E38A7" w14:textId="432231A6"/>
    <w:p w:rsidRPr="007C6167" w:rsidR="007C6167" w:rsidP="00E12B53" w:rsidRDefault="00AE5A50" w14:paraId="26690E54" w14:textId="377DA75D">
      <w:pPr>
        <w:rPr>
          <w:rFonts w:eastAsia="Calibri"/>
        </w:rPr>
      </w:pPr>
      <w:bookmarkStart w:name="_Hlk516985201" w:id="13"/>
      <w:r w:rsidRPr="00CC2BFB">
        <w:rPr>
          <w:rFonts w:eastAsia="Calibri"/>
        </w:rPr>
        <w:t>We estimate the time required for an individual or group to submit Promoting Interoperability data to be 2.67 hours.  As previously discussed, beginning with the 202</w:t>
      </w:r>
      <w:r>
        <w:rPr>
          <w:rFonts w:eastAsia="Calibri"/>
        </w:rPr>
        <w:t>3</w:t>
      </w:r>
      <w:r w:rsidRPr="00CC2BFB">
        <w:rPr>
          <w:rFonts w:eastAsia="Calibri"/>
        </w:rPr>
        <w:t xml:space="preserve"> </w:t>
      </w:r>
      <w:r>
        <w:rPr>
          <w:rFonts w:eastAsia="Calibri"/>
        </w:rPr>
        <w:t>MIPS payment</w:t>
      </w:r>
      <w:r w:rsidRPr="00CC2BFB">
        <w:rPr>
          <w:rFonts w:eastAsia="Calibri"/>
        </w:rPr>
        <w:t>, we</w:t>
      </w:r>
      <w:r>
        <w:rPr>
          <w:rFonts w:eastAsia="Calibri"/>
        </w:rPr>
        <w:t xml:space="preserve"> finalized</w:t>
      </w:r>
      <w:r w:rsidRPr="00CC2BFB">
        <w:rPr>
          <w:rFonts w:eastAsia="Calibri"/>
        </w:rPr>
        <w:t xml:space="preserve"> to require that QCDRs and qualified registries </w:t>
      </w:r>
      <w:r w:rsidR="003000B4">
        <w:rPr>
          <w:rFonts w:eastAsia="Calibri"/>
        </w:rPr>
        <w:t xml:space="preserve">must </w:t>
      </w:r>
      <w:r>
        <w:rPr>
          <w:rFonts w:eastAsia="Calibri"/>
        </w:rPr>
        <w:t>be able to submit data for</w:t>
      </w:r>
      <w:r w:rsidRPr="00CC2BFB">
        <w:rPr>
          <w:rFonts w:eastAsia="Calibri"/>
        </w:rPr>
        <w:t xml:space="preserve"> </w:t>
      </w:r>
      <w:r w:rsidR="003000B4">
        <w:rPr>
          <w:rFonts w:eastAsia="Calibri"/>
        </w:rPr>
        <w:t xml:space="preserve">all the MIPS performance categories identified in </w:t>
      </w:r>
      <w:r w:rsidRPr="00BA5CCB" w:rsidR="00BA5CCB">
        <w:rPr>
          <w:rFonts w:eastAsia="Calibri"/>
        </w:rPr>
        <w:t>§ 414.1400(a)(2)</w:t>
      </w:r>
      <w:r w:rsidRPr="00CC2BFB">
        <w:rPr>
          <w:rFonts w:eastAsia="Calibri"/>
        </w:rPr>
        <w:t xml:space="preserve">: quality, improvement activities, and Promoting Interoperability.  Based on our review of 2019 qualified registries and QCDRs, we have determined that 70 percent and 72 percent of these vendors, respectively, </w:t>
      </w:r>
      <w:r>
        <w:rPr>
          <w:rFonts w:eastAsia="Calibri"/>
        </w:rPr>
        <w:t xml:space="preserve">are </w:t>
      </w:r>
      <w:r w:rsidRPr="00CC2BFB">
        <w:rPr>
          <w:rFonts w:eastAsia="Calibri"/>
        </w:rPr>
        <w:t xml:space="preserve">already </w:t>
      </w:r>
      <w:r>
        <w:rPr>
          <w:rFonts w:eastAsia="Calibri"/>
        </w:rPr>
        <w:t xml:space="preserve">able to submit data </w:t>
      </w:r>
      <w:r w:rsidRPr="00CC2BFB">
        <w:rPr>
          <w:rFonts w:eastAsia="Calibri"/>
        </w:rPr>
        <w:t>for these performance categories.  For clinicians who currently utilize qualified registries or QCDRs that have not previously offered the ability to report Promoting Interoperability or improvement activity data, we believe this w</w:t>
      </w:r>
      <w:r>
        <w:rPr>
          <w:rFonts w:eastAsia="Calibri"/>
        </w:rPr>
        <w:t>ill</w:t>
      </w:r>
      <w:r w:rsidRPr="00CC2BFB">
        <w:rPr>
          <w:rFonts w:eastAsia="Calibri"/>
        </w:rPr>
        <w:t xml:space="preserve"> result in a reduction of burden as it w</w:t>
      </w:r>
      <w:r>
        <w:rPr>
          <w:rFonts w:eastAsia="Calibri"/>
        </w:rPr>
        <w:t>ill</w:t>
      </w:r>
      <w:r w:rsidRPr="00CC2BFB">
        <w:rPr>
          <w:rFonts w:eastAsia="Calibri"/>
        </w:rPr>
        <w:t xml:space="preserve"> simplify MIPS reporting.  In order to estimate the impact on reporting burden, we would need to correlate the specific individual clinicians and groups who submitted quality performance category data via the MIPS CQM/QCDR collection type that are required to report data for both the quality and Promoting Interoperability performance categories with the specific qualified registries or QCDRs that are affected by this </w:t>
      </w:r>
      <w:r w:rsidR="00C638DC">
        <w:rPr>
          <w:rFonts w:eastAsia="Calibri"/>
        </w:rPr>
        <w:t>requirement</w:t>
      </w:r>
      <w:r w:rsidRPr="00CC2BFB">
        <w:rPr>
          <w:rFonts w:eastAsia="Calibri"/>
        </w:rPr>
        <w:t>.  Currently, we do not have the necessary information to perform this correlation and are therefore unable to estimate the resulting impact on burden.  If data becomes available in the future which enables us to perform this analysis, we will update our burden estimates at that time</w:t>
      </w:r>
      <w:r w:rsidRPr="007C6167" w:rsidR="007C6167">
        <w:rPr>
          <w:rFonts w:eastAsia="Calibri"/>
        </w:rPr>
        <w:t xml:space="preserve">.  </w:t>
      </w:r>
    </w:p>
    <w:p w:rsidR="00E35561" w:rsidP="00E12B53" w:rsidRDefault="007C6167" w14:paraId="5EC2D7CB" w14:textId="1C807A40">
      <w:pPr>
        <w:rPr>
          <w:rFonts w:eastAsia="Calibri"/>
        </w:rPr>
      </w:pPr>
      <w:r w:rsidRPr="007C6167">
        <w:rPr>
          <w:rFonts w:eastAsia="Calibri"/>
        </w:rPr>
        <w:t xml:space="preserve">As shown in Table </w:t>
      </w:r>
      <w:r>
        <w:rPr>
          <w:rFonts w:eastAsia="Calibri"/>
        </w:rPr>
        <w:t>18</w:t>
      </w:r>
      <w:r w:rsidRPr="007C6167">
        <w:rPr>
          <w:rFonts w:eastAsia="Calibri"/>
        </w:rPr>
        <w:t xml:space="preserve">, </w:t>
      </w:r>
      <w:r w:rsidRPr="00CC2BFB" w:rsidR="0085511E">
        <w:rPr>
          <w:rFonts w:eastAsia="Calibri"/>
        </w:rPr>
        <w:t xml:space="preserve">the total burden estimate for submission of data on the specified Promoting Interoperability objectives and measures is estimated to be </w:t>
      </w:r>
      <w:r w:rsidR="0085511E">
        <w:rPr>
          <w:rFonts w:eastAsia="Calibri"/>
        </w:rPr>
        <w:t>198,083</w:t>
      </w:r>
      <w:r w:rsidRPr="00CC2BFB" w:rsidR="0085511E">
        <w:rPr>
          <w:rFonts w:eastAsia="Calibri"/>
        </w:rPr>
        <w:t xml:space="preserve"> hours (</w:t>
      </w:r>
      <w:r w:rsidR="0085511E">
        <w:rPr>
          <w:rFonts w:eastAsia="Calibri"/>
        </w:rPr>
        <w:t>74,281</w:t>
      </w:r>
      <w:r w:rsidRPr="00CC2BFB" w:rsidR="0085511E">
        <w:rPr>
          <w:rFonts w:eastAsia="Calibri"/>
        </w:rPr>
        <w:t xml:space="preserve"> respondents x 2.67 incremental hours for a computer analyst’s time above and beyond the clinician, practice manager, and computer system’s analyst time required to submit quality data) at a cost of $</w:t>
      </w:r>
      <w:r w:rsidR="0085511E">
        <w:rPr>
          <w:rFonts w:eastAsia="Calibri"/>
        </w:rPr>
        <w:t>17,831,402</w:t>
      </w:r>
      <w:r w:rsidRPr="00CC2BFB" w:rsidR="0085511E">
        <w:rPr>
          <w:rFonts w:eastAsia="Calibri"/>
        </w:rPr>
        <w:t xml:space="preserve"> (</w:t>
      </w:r>
      <w:r w:rsidR="0085511E">
        <w:rPr>
          <w:rFonts w:eastAsia="Calibri"/>
        </w:rPr>
        <w:t>198,083</w:t>
      </w:r>
      <w:r w:rsidRPr="00CC2BFB" w:rsidR="0085511E">
        <w:rPr>
          <w:rFonts w:eastAsia="Calibri"/>
        </w:rPr>
        <w:t xml:space="preserve"> hr x $90.02/hr</w:t>
      </w:r>
      <w:r w:rsidRPr="00CF534E" w:rsidR="00CF534E">
        <w:rPr>
          <w:rFonts w:eastAsia="Calibri"/>
        </w:rPr>
        <w:t xml:space="preserve">).  </w:t>
      </w:r>
    </w:p>
    <w:bookmarkEnd w:id="13"/>
    <w:p w:rsidR="005F1F24" w:rsidRDefault="005F1F24" w14:paraId="361C5E7B" w14:textId="77777777">
      <w:pPr>
        <w:rPr>
          <w:b/>
          <w:bCs/>
        </w:rPr>
      </w:pPr>
      <w:r>
        <w:rPr>
          <w:b/>
          <w:bCs/>
        </w:rPr>
        <w:br w:type="page"/>
      </w:r>
    </w:p>
    <w:p w:rsidRPr="00C47150" w:rsidR="000160D9" w:rsidP="000160D9" w:rsidRDefault="000160D9" w14:paraId="6D397CCC" w14:textId="27CB1CCB">
      <w:pPr>
        <w:spacing w:after="0"/>
        <w:jc w:val="center"/>
        <w:rPr>
          <w:b/>
          <w:bCs/>
        </w:rPr>
      </w:pPr>
      <w:r w:rsidRPr="00C47150">
        <w:rPr>
          <w:b/>
          <w:bCs/>
        </w:rPr>
        <w:t xml:space="preserve">TABLE </w:t>
      </w:r>
      <w:r w:rsidR="00D92164">
        <w:rPr>
          <w:b/>
          <w:bCs/>
        </w:rPr>
        <w:t>18</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Performance Category Data Submission</w:t>
      </w:r>
    </w:p>
    <w:tbl>
      <w:tblPr>
        <w:tblW w:w="9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4"/>
        <w:gridCol w:w="2116"/>
      </w:tblGrid>
      <w:tr w:rsidRPr="00C47150" w:rsidR="000160D9" w:rsidTr="000160D9" w14:paraId="53887A8A" w14:textId="77777777">
        <w:trPr>
          <w:trHeight w:val="277"/>
        </w:trPr>
        <w:tc>
          <w:tcPr>
            <w:tcW w:w="7594" w:type="dxa"/>
            <w:shd w:val="clear" w:color="auto" w:fill="auto"/>
            <w:hideMark/>
          </w:tcPr>
          <w:p w:rsidRPr="000160D9" w:rsidR="000160D9" w:rsidP="00A639D4" w:rsidRDefault="000160D9" w14:paraId="51757CBE" w14:textId="34DF71FD">
            <w:pPr>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rsidRPr="00675D16" w:rsidR="000160D9" w:rsidP="000160D9" w:rsidRDefault="000160D9" w14:paraId="233F6EC0" w14:textId="77777777">
            <w:pPr>
              <w:spacing w:after="0"/>
              <w:jc w:val="center"/>
              <w:rPr>
                <w:b/>
                <w:sz w:val="20"/>
                <w:szCs w:val="20"/>
              </w:rPr>
            </w:pPr>
            <w:r w:rsidRPr="00675D16">
              <w:rPr>
                <w:b/>
                <w:sz w:val="20"/>
                <w:szCs w:val="20"/>
              </w:rPr>
              <w:t>Burden Estimate</w:t>
            </w:r>
          </w:p>
        </w:tc>
      </w:tr>
      <w:tr w:rsidRPr="00C47150" w:rsidR="00D92164" w:rsidTr="00390730" w14:paraId="12AC77F6"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D92164" w:rsidP="00D92164" w:rsidRDefault="00D92164" w14:paraId="021213A1" w14:textId="0EE00155">
            <w:pPr>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732012" w:rsidR="00D92164" w:rsidP="00D92164" w:rsidRDefault="003C3A4F" w14:paraId="0A87B160" w14:textId="3AC075FC">
            <w:pPr>
              <w:spacing w:after="0"/>
              <w:rPr>
                <w:sz w:val="20"/>
                <w:szCs w:val="20"/>
              </w:rPr>
            </w:pPr>
            <w:r>
              <w:rPr>
                <w:sz w:val="20"/>
                <w:szCs w:val="20"/>
              </w:rPr>
              <w:t>59,865</w:t>
            </w:r>
          </w:p>
        </w:tc>
      </w:tr>
      <w:tr w:rsidRPr="00C47150" w:rsidR="00D92164" w:rsidTr="00390730" w14:paraId="60FB49DD"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D92164" w:rsidP="00D92164" w:rsidRDefault="00D92164" w14:paraId="25E388D8" w14:textId="0959396E">
            <w:pPr>
              <w:spacing w:after="0"/>
              <w:rPr>
                <w:sz w:val="20"/>
                <w:szCs w:val="20"/>
              </w:rPr>
            </w:pPr>
            <w:r w:rsidRPr="003428D4">
              <w:rPr>
                <w:rFonts w:eastAsia="Calibri"/>
                <w:sz w:val="20"/>
                <w:szCs w:val="20"/>
              </w:rPr>
              <w:t>Number of groups to submit Promoting Interoperability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732012" w:rsidR="00D92164" w:rsidP="00D92164" w:rsidRDefault="003C3A4F" w14:paraId="25058CE7" w14:textId="2EAAE96C">
            <w:pPr>
              <w:spacing w:after="0"/>
              <w:rPr>
                <w:sz w:val="20"/>
                <w:szCs w:val="20"/>
              </w:rPr>
            </w:pPr>
            <w:r>
              <w:rPr>
                <w:rFonts w:eastAsia="Calibri"/>
                <w:sz w:val="20"/>
                <w:szCs w:val="20"/>
              </w:rPr>
              <w:t>14,416</w:t>
            </w:r>
          </w:p>
        </w:tc>
      </w:tr>
      <w:tr w:rsidRPr="00C47150" w:rsidR="00D92164" w:rsidTr="00390730" w14:paraId="658E0659"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5D16" w:rsidR="00D92164" w:rsidP="00D92164" w:rsidRDefault="00D92164" w14:paraId="35D1E237" w14:textId="41EEA7EC">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3C3A4F" w14:paraId="4FE028E7" w14:textId="3D6D64C5">
            <w:pPr>
              <w:spacing w:after="0"/>
              <w:rPr>
                <w:sz w:val="20"/>
                <w:szCs w:val="20"/>
              </w:rPr>
            </w:pPr>
            <w:r>
              <w:rPr>
                <w:rFonts w:eastAsia="Calibri"/>
                <w:sz w:val="20"/>
                <w:szCs w:val="20"/>
              </w:rPr>
              <w:t>74,281</w:t>
            </w:r>
          </w:p>
        </w:tc>
      </w:tr>
      <w:tr w:rsidRPr="00C47150" w:rsidR="00D92164" w:rsidTr="00390730" w14:paraId="48E45C3C" w14:textId="77777777">
        <w:trPr>
          <w:trHeight w:val="223"/>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14967BC5" w14:textId="047160A9">
            <w:pPr>
              <w:spacing w:after="0"/>
              <w:rPr>
                <w:sz w:val="20"/>
                <w:szCs w:val="20"/>
              </w:rPr>
            </w:pPr>
            <w:r w:rsidRPr="003428D4">
              <w:rPr>
                <w:rFonts w:eastAsia="Calibri"/>
                <w:sz w:val="20"/>
                <w:szCs w:val="20"/>
              </w:rPr>
              <w:t>Total Annual Hours Per Respondent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6C16FC92" w14:textId="6C3A1C87">
            <w:pPr>
              <w:spacing w:after="0"/>
              <w:rPr>
                <w:sz w:val="20"/>
                <w:szCs w:val="20"/>
              </w:rPr>
            </w:pPr>
            <w:r w:rsidRPr="003428D4">
              <w:rPr>
                <w:rFonts w:eastAsia="Calibri"/>
                <w:sz w:val="20"/>
                <w:szCs w:val="20"/>
              </w:rPr>
              <w:t>2.67</w:t>
            </w:r>
          </w:p>
        </w:tc>
      </w:tr>
      <w:tr w:rsidRPr="00C47150" w:rsidR="00D92164" w:rsidTr="00390730" w14:paraId="3D6AAFEF"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7BB3328D" w14:textId="2822BA0D">
            <w:pPr>
              <w:spacing w:after="0"/>
              <w:rPr>
                <w:b/>
                <w:sz w:val="20"/>
                <w:szCs w:val="20"/>
              </w:rPr>
            </w:pPr>
            <w:r w:rsidRPr="007C6167">
              <w:rPr>
                <w:rFonts w:eastAsia="Calibri"/>
                <w:b/>
                <w:sz w:val="20"/>
                <w:szCs w:val="20"/>
              </w:rPr>
              <w:t>Total Annual Hours (c) = (a)*(b)</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3C3A4F" w14:paraId="24A73360" w14:textId="1CB8B58E">
            <w:pPr>
              <w:spacing w:after="0"/>
              <w:rPr>
                <w:b/>
                <w:sz w:val="20"/>
                <w:szCs w:val="20"/>
              </w:rPr>
            </w:pPr>
            <w:r>
              <w:rPr>
                <w:rFonts w:eastAsia="Calibri"/>
                <w:b/>
                <w:sz w:val="20"/>
                <w:szCs w:val="20"/>
              </w:rPr>
              <w:t>198,083</w:t>
            </w:r>
          </w:p>
        </w:tc>
      </w:tr>
      <w:tr w:rsidRPr="00C47150" w:rsidR="00D92164" w:rsidTr="00390730" w14:paraId="6F4C50A4" w14:textId="77777777">
        <w:trPr>
          <w:trHeight w:val="314"/>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40EC374B" w14:textId="5B288EAE">
            <w:pPr>
              <w:spacing w:after="0"/>
              <w:rPr>
                <w:sz w:val="20"/>
                <w:szCs w:val="20"/>
              </w:rPr>
            </w:pPr>
            <w:r w:rsidRPr="003428D4">
              <w:rPr>
                <w:rFonts w:eastAsia="Calibri"/>
                <w:sz w:val="20"/>
                <w:szCs w:val="20"/>
              </w:rPr>
              <w:t>Labor rate for a computer systems analyst to submit Promoting Interoperability data/hr.) (d)</w:t>
            </w:r>
          </w:p>
        </w:tc>
        <w:tc>
          <w:tcPr>
            <w:tcW w:w="211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75D16" w:rsidR="00D92164" w:rsidP="00D92164" w:rsidRDefault="00D92164" w14:paraId="41121F6C" w14:textId="206442F1">
            <w:pPr>
              <w:spacing w:after="0"/>
              <w:rPr>
                <w:sz w:val="20"/>
                <w:szCs w:val="20"/>
              </w:rPr>
            </w:pPr>
            <w:r w:rsidRPr="00EF17E0">
              <w:rPr>
                <w:rFonts w:eastAsia="Calibri"/>
                <w:sz w:val="20"/>
                <w:szCs w:val="20"/>
              </w:rPr>
              <w:t>$</w:t>
            </w:r>
            <w:r w:rsidR="00E35561">
              <w:rPr>
                <w:rFonts w:eastAsia="Calibri"/>
                <w:sz w:val="20"/>
                <w:szCs w:val="20"/>
              </w:rPr>
              <w:t>90.02</w:t>
            </w:r>
            <w:r w:rsidRPr="00EF17E0">
              <w:rPr>
                <w:rFonts w:eastAsia="Calibri"/>
                <w:sz w:val="20"/>
                <w:szCs w:val="20"/>
              </w:rPr>
              <w:t>hr</w:t>
            </w:r>
          </w:p>
        </w:tc>
      </w:tr>
      <w:tr w:rsidRPr="00C47150" w:rsidR="00D92164" w:rsidTr="00390730" w14:paraId="7EF48C35" w14:textId="77777777">
        <w:trPr>
          <w:trHeight w:val="300"/>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5DBE9EAF" w14:textId="3B455B08">
            <w:pPr>
              <w:spacing w:after="0"/>
              <w:rPr>
                <w:b/>
                <w:sz w:val="20"/>
                <w:szCs w:val="20"/>
              </w:rPr>
            </w:pPr>
            <w:r w:rsidRPr="007C6167">
              <w:rPr>
                <w:rFonts w:eastAsia="Calibri"/>
                <w:b/>
                <w:sz w:val="20"/>
                <w:szCs w:val="20"/>
              </w:rPr>
              <w:t>Total Annual Cost (e) = (a)*(d)</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74DA8A32" w14:textId="508EAB9E">
            <w:pPr>
              <w:spacing w:after="0"/>
              <w:rPr>
                <w:b/>
                <w:sz w:val="20"/>
                <w:szCs w:val="20"/>
              </w:rPr>
            </w:pPr>
            <w:r w:rsidRPr="007C6167">
              <w:rPr>
                <w:rFonts w:eastAsia="Calibri"/>
                <w:b/>
                <w:sz w:val="20"/>
                <w:szCs w:val="20"/>
              </w:rPr>
              <w:t>$</w:t>
            </w:r>
            <w:r w:rsidR="003C3A4F">
              <w:rPr>
                <w:rFonts w:eastAsia="Calibri"/>
                <w:b/>
                <w:sz w:val="20"/>
                <w:szCs w:val="20"/>
              </w:rPr>
              <w:t>17,831,402</w:t>
            </w:r>
          </w:p>
        </w:tc>
      </w:tr>
    </w:tbl>
    <w:p w:rsidR="000160D9" w:rsidP="000160D9" w:rsidRDefault="000160D9" w14:paraId="409075E5" w14:textId="4B0D6CE0">
      <w:pPr>
        <w:ind w:firstLine="720"/>
      </w:pPr>
    </w:p>
    <w:p w:rsidR="000160D9" w:rsidP="0095356F" w:rsidRDefault="000160D9" w14:paraId="24993FD8" w14:textId="26512C0C">
      <w:pPr>
        <w:pStyle w:val="Heading3"/>
        <w:numPr>
          <w:ilvl w:val="0"/>
          <w:numId w:val="32"/>
        </w:numPr>
      </w:pPr>
      <w:r w:rsidRPr="00B05B18">
        <w:t xml:space="preserve">Burden Estimate for </w:t>
      </w:r>
      <w:r>
        <w:t>the Nomination of Promoting Interoperability Measures</w:t>
      </w:r>
    </w:p>
    <w:p w:rsidRPr="002A6C48" w:rsidR="002A6C48" w:rsidP="00E12B53" w:rsidRDefault="00EA4ED8" w14:paraId="622C992D" w14:textId="6F03502F">
      <w:pPr>
        <w:rPr>
          <w:rFonts w:eastAsia="Calibri"/>
        </w:rPr>
      </w:pPr>
      <w:r w:rsidRPr="00EA4ED8">
        <w:rPr>
          <w:rFonts w:eastAsia="Calibri"/>
        </w:rPr>
        <w:t>Promoting Interoperability measures may be submitted via the Call for Promoting Interoperability Performance Category Measures Submission Form that includes the measure description, measure type (if applicable), reporting requirement, and CEHRT functionality used (if applicable). Th</w:t>
      </w:r>
      <w:r w:rsidR="00541866">
        <w:rPr>
          <w:rFonts w:eastAsia="Calibri"/>
        </w:rPr>
        <w:t>e</w:t>
      </w:r>
      <w:r w:rsidRPr="00EA4ED8">
        <w:rPr>
          <w:rFonts w:eastAsia="Calibri"/>
        </w:rPr>
        <w:t xml:space="preserve"> </w:t>
      </w:r>
      <w:r w:rsidR="00541866">
        <w:rPr>
          <w:rFonts w:eastAsia="Calibri"/>
        </w:rPr>
        <w:t xml:space="preserve">CY 2020 PFS final </w:t>
      </w:r>
      <w:r w:rsidRPr="00EA4ED8">
        <w:rPr>
          <w:rFonts w:eastAsia="Calibri"/>
        </w:rPr>
        <w:t>rule d</w:t>
      </w:r>
      <w:r w:rsidR="00541866">
        <w:rPr>
          <w:rFonts w:eastAsia="Calibri"/>
        </w:rPr>
        <w:t>id</w:t>
      </w:r>
      <w:r w:rsidRPr="00EA4ED8">
        <w:rPr>
          <w:rFonts w:eastAsia="Calibri"/>
        </w:rPr>
        <w:t xml:space="preserve"> not </w:t>
      </w:r>
      <w:r w:rsidR="00541866">
        <w:rPr>
          <w:rFonts w:eastAsia="Calibri"/>
        </w:rPr>
        <w:t>finaliz</w:t>
      </w:r>
      <w:r w:rsidRPr="00EA4ED8">
        <w:rPr>
          <w:rFonts w:eastAsia="Calibri"/>
        </w:rPr>
        <w:t>e any changes to that form</w:t>
      </w:r>
      <w:r w:rsidRPr="002A6C48" w:rsidR="002A6C48">
        <w:rPr>
          <w:rFonts w:eastAsia="Calibri"/>
        </w:rPr>
        <w:t>.</w:t>
      </w:r>
    </w:p>
    <w:p w:rsidR="000160D9" w:rsidP="00E12B53" w:rsidRDefault="00FB19FD" w14:paraId="582577F0" w14:textId="39F33760">
      <w:pPr>
        <w:rPr>
          <w:rFonts w:eastAsia="Calibri"/>
        </w:rPr>
      </w:pPr>
      <w:r w:rsidRPr="00CC2BFB">
        <w:rPr>
          <w:rFonts w:eastAsia="Calibri"/>
        </w:rPr>
        <w:t xml:space="preserve">We estimate </w:t>
      </w:r>
      <w:r w:rsidRPr="00F90569">
        <w:rPr>
          <w:rFonts w:eastAsia="Calibri"/>
        </w:rPr>
        <w:t>10</w:t>
      </w:r>
      <w:r w:rsidRPr="00D47030">
        <w:rPr>
          <w:rFonts w:eastAsia="Calibri"/>
        </w:rPr>
        <w:t xml:space="preserve"> proposals will be submitted for new Promoting Interoperability measures, based on the number of proposals submitted during the CY 201</w:t>
      </w:r>
      <w:r w:rsidRPr="00932F86">
        <w:rPr>
          <w:rFonts w:eastAsia="Calibri"/>
        </w:rPr>
        <w:t>9</w:t>
      </w:r>
      <w:r w:rsidRPr="003636D3">
        <w:rPr>
          <w:rFonts w:eastAsia="Calibri"/>
        </w:rPr>
        <w:t xml:space="preserve"> nomination period.  This is a decrease of </w:t>
      </w:r>
      <w:r w:rsidRPr="00F90569">
        <w:rPr>
          <w:rFonts w:eastAsia="Calibri"/>
        </w:rPr>
        <w:t>37</w:t>
      </w:r>
      <w:r w:rsidRPr="00CC2BFB">
        <w:rPr>
          <w:rFonts w:eastAsia="Calibri"/>
        </w:rPr>
        <w:t xml:space="preserve"> from the estimate currently approved by OMB (47 proposals</w:t>
      </w:r>
      <w:r>
        <w:rPr>
          <w:rFonts w:eastAsia="Calibri"/>
        </w:rPr>
        <w:t>)</w:t>
      </w:r>
      <w:r w:rsidRPr="00CC2BFB">
        <w:rPr>
          <w:rFonts w:eastAsia="Calibri"/>
        </w:rPr>
        <w:t>.  We estimate it will take 0.5 hours per organization to submit an activity to us, consisting of 0.3 hours at $109.36/hr for a practice administrator to make a strategic decision to nominate that activity and submit an activity to us via email and 0.2 hours at $202.86/hr for a clinician to review the nomination.  As shown in Table</w:t>
      </w:r>
      <w:r>
        <w:rPr>
          <w:rFonts w:eastAsia="Calibri"/>
        </w:rPr>
        <w:t xml:space="preserve"> 19</w:t>
      </w:r>
      <w:r w:rsidRPr="00CC2BFB">
        <w:rPr>
          <w:rFonts w:eastAsia="Calibri"/>
        </w:rPr>
        <w:t xml:space="preserve">, we estimate an annual burden of </w:t>
      </w:r>
      <w:r>
        <w:rPr>
          <w:rFonts w:eastAsia="Calibri"/>
        </w:rPr>
        <w:t>5</w:t>
      </w:r>
      <w:r w:rsidRPr="00CC2BFB">
        <w:rPr>
          <w:rFonts w:eastAsia="Calibri"/>
        </w:rPr>
        <w:t xml:space="preserve"> hours (</w:t>
      </w:r>
      <w:r>
        <w:rPr>
          <w:rFonts w:eastAsia="Calibri"/>
        </w:rPr>
        <w:t>10</w:t>
      </w:r>
      <w:r w:rsidRPr="00CC2BFB">
        <w:rPr>
          <w:rFonts w:eastAsia="Calibri"/>
        </w:rPr>
        <w:t xml:space="preserve"> proposals x 0.5 hr/response) at a cost of $</w:t>
      </w:r>
      <w:r>
        <w:rPr>
          <w:rFonts w:eastAsia="Calibri"/>
        </w:rPr>
        <w:t>734</w:t>
      </w:r>
      <w:r w:rsidRPr="00CC2BFB">
        <w:rPr>
          <w:rFonts w:eastAsia="Calibri"/>
        </w:rPr>
        <w:t xml:space="preserve"> (</w:t>
      </w:r>
      <w:r>
        <w:rPr>
          <w:rFonts w:eastAsia="Calibri"/>
        </w:rPr>
        <w:t>10</w:t>
      </w:r>
      <w:r w:rsidRPr="00CC2BFB">
        <w:rPr>
          <w:rFonts w:eastAsia="Calibri"/>
        </w:rPr>
        <w:t xml:space="preserve"> x [(0.3 h x $109.36/hr) + (0.2 hr x $202.86/hr</w:t>
      </w:r>
      <w:r w:rsidRPr="00D5008C" w:rsidR="00D5008C">
        <w:rPr>
          <w:rFonts w:eastAsia="Calibri"/>
        </w:rPr>
        <w:t>)].</w:t>
      </w:r>
    </w:p>
    <w:p w:rsidRPr="00C47150" w:rsidR="000160D9" w:rsidP="00FF0944" w:rsidRDefault="000160D9" w14:paraId="3748969F" w14:textId="6FD8C30F">
      <w:pPr>
        <w:jc w:val="center"/>
        <w:rPr>
          <w:b/>
          <w:bCs/>
        </w:rPr>
      </w:pPr>
      <w:r w:rsidRPr="00C47150">
        <w:rPr>
          <w:b/>
          <w:bCs/>
        </w:rPr>
        <w:t xml:space="preserve">TABLE </w:t>
      </w:r>
      <w:r>
        <w:rPr>
          <w:b/>
          <w:bCs/>
        </w:rPr>
        <w:t>1</w:t>
      </w:r>
      <w:r w:rsidR="00D92164">
        <w:rPr>
          <w:b/>
          <w:bCs/>
        </w:rPr>
        <w:t>9</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005"/>
      </w:tblGrid>
      <w:tr w:rsidRPr="00C47150" w:rsidR="000160D9" w:rsidTr="00A639D4" w14:paraId="4ED8C2F1" w14:textId="77777777">
        <w:trPr>
          <w:trHeight w:val="322"/>
          <w:tblHeader/>
          <w:jc w:val="center"/>
        </w:trPr>
        <w:tc>
          <w:tcPr>
            <w:tcW w:w="8550" w:type="dxa"/>
            <w:shd w:val="clear" w:color="auto" w:fill="auto"/>
            <w:vAlign w:val="center"/>
            <w:hideMark/>
          </w:tcPr>
          <w:p w:rsidRPr="000160D9" w:rsidR="000160D9" w:rsidP="000160D9" w:rsidRDefault="000160D9" w14:paraId="76C728C0" w14:textId="70ECABBE">
            <w:pPr>
              <w:spacing w:after="0"/>
              <w:rPr>
                <w:b/>
                <w:sz w:val="20"/>
                <w:szCs w:val="20"/>
              </w:rPr>
            </w:pPr>
            <w:r w:rsidRPr="000160D9">
              <w:rPr>
                <w:b/>
                <w:sz w:val="20"/>
                <w:szCs w:val="20"/>
              </w:rPr>
              <w:t> Burden and Respondent Descriptions</w:t>
            </w:r>
          </w:p>
        </w:tc>
        <w:tc>
          <w:tcPr>
            <w:tcW w:w="1005" w:type="dxa"/>
            <w:shd w:val="clear" w:color="auto" w:fill="auto"/>
            <w:hideMark/>
          </w:tcPr>
          <w:p w:rsidRPr="00675D16" w:rsidR="000160D9" w:rsidP="000160D9" w:rsidRDefault="000160D9" w14:paraId="51734988" w14:textId="77777777">
            <w:pPr>
              <w:spacing w:after="0"/>
              <w:rPr>
                <w:b/>
                <w:bCs/>
                <w:sz w:val="20"/>
                <w:szCs w:val="20"/>
              </w:rPr>
            </w:pPr>
            <w:r w:rsidRPr="00675D16">
              <w:rPr>
                <w:b/>
                <w:bCs/>
                <w:sz w:val="20"/>
                <w:szCs w:val="20"/>
              </w:rPr>
              <w:t>Burden estimate</w:t>
            </w:r>
          </w:p>
        </w:tc>
      </w:tr>
      <w:tr w:rsidRPr="00C47150" w:rsidR="000160D9" w:rsidTr="00A639D4" w14:paraId="15427C35" w14:textId="77777777">
        <w:trPr>
          <w:trHeight w:val="323"/>
          <w:jc w:val="center"/>
        </w:trPr>
        <w:tc>
          <w:tcPr>
            <w:tcW w:w="8550" w:type="dxa"/>
            <w:shd w:val="clear" w:color="auto" w:fill="auto"/>
            <w:hideMark/>
          </w:tcPr>
          <w:p w:rsidRPr="00675D16" w:rsidR="000160D9" w:rsidP="000160D9" w:rsidRDefault="000160D9" w14:paraId="6CBB7DE7" w14:textId="77777777">
            <w:pPr>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005" w:type="dxa"/>
            <w:shd w:val="clear" w:color="auto" w:fill="auto"/>
            <w:noWrap/>
            <w:hideMark/>
          </w:tcPr>
          <w:p w:rsidRPr="00675D16" w:rsidR="000160D9" w:rsidP="000160D9" w:rsidRDefault="00922CF6" w14:paraId="6FD9E566" w14:textId="72A8438A">
            <w:pPr>
              <w:spacing w:after="0"/>
              <w:rPr>
                <w:sz w:val="20"/>
                <w:szCs w:val="20"/>
              </w:rPr>
            </w:pPr>
            <w:r>
              <w:rPr>
                <w:sz w:val="20"/>
                <w:szCs w:val="20"/>
              </w:rPr>
              <w:t>10</w:t>
            </w:r>
          </w:p>
        </w:tc>
      </w:tr>
      <w:tr w:rsidRPr="00C47150" w:rsidR="000160D9" w:rsidTr="00A639D4" w14:paraId="5069BE0D" w14:textId="77777777">
        <w:trPr>
          <w:trHeight w:val="305"/>
          <w:jc w:val="center"/>
        </w:trPr>
        <w:tc>
          <w:tcPr>
            <w:tcW w:w="8550" w:type="dxa"/>
            <w:shd w:val="clear" w:color="auto" w:fill="auto"/>
            <w:hideMark/>
          </w:tcPr>
          <w:p w:rsidRPr="00675D16" w:rsidR="000160D9" w:rsidP="000160D9" w:rsidRDefault="000160D9" w14:paraId="32A3C45D" w14:textId="77777777">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rsidRPr="00675D16" w:rsidR="000160D9" w:rsidP="000160D9" w:rsidRDefault="000160D9" w14:paraId="4FB0E5B9" w14:textId="77777777">
            <w:pPr>
              <w:spacing w:after="0"/>
              <w:rPr>
                <w:sz w:val="20"/>
                <w:szCs w:val="20"/>
              </w:rPr>
            </w:pPr>
            <w:r w:rsidRPr="00732012">
              <w:rPr>
                <w:sz w:val="20"/>
                <w:szCs w:val="20"/>
              </w:rPr>
              <w:t>0.30</w:t>
            </w:r>
          </w:p>
        </w:tc>
      </w:tr>
      <w:tr w:rsidRPr="00C47150" w:rsidR="000160D9" w:rsidTr="00A639D4" w14:paraId="27725F9D" w14:textId="77777777">
        <w:trPr>
          <w:trHeight w:val="260"/>
          <w:jc w:val="center"/>
        </w:trPr>
        <w:tc>
          <w:tcPr>
            <w:tcW w:w="8550" w:type="dxa"/>
            <w:shd w:val="clear" w:color="auto" w:fill="auto"/>
            <w:hideMark/>
          </w:tcPr>
          <w:p w:rsidRPr="00675D16" w:rsidR="000160D9" w:rsidP="000160D9" w:rsidRDefault="000160D9" w14:paraId="03ACDC62" w14:textId="77777777">
            <w:pPr>
              <w:spacing w:after="0"/>
              <w:rPr>
                <w:sz w:val="20"/>
                <w:szCs w:val="20"/>
              </w:rPr>
            </w:pPr>
            <w:r w:rsidRPr="00732012">
              <w:rPr>
                <w:sz w:val="20"/>
                <w:szCs w:val="20"/>
              </w:rPr>
              <w:t># of Hours Per Clinician to Identify Measure (c)</w:t>
            </w:r>
          </w:p>
        </w:tc>
        <w:tc>
          <w:tcPr>
            <w:tcW w:w="1005" w:type="dxa"/>
            <w:shd w:val="clear" w:color="auto" w:fill="auto"/>
            <w:hideMark/>
          </w:tcPr>
          <w:p w:rsidRPr="00675D16" w:rsidR="000160D9" w:rsidP="000160D9" w:rsidRDefault="000160D9" w14:paraId="198F3F0C" w14:textId="77777777">
            <w:pPr>
              <w:spacing w:after="0"/>
              <w:rPr>
                <w:sz w:val="20"/>
                <w:szCs w:val="20"/>
              </w:rPr>
            </w:pPr>
            <w:r w:rsidRPr="00732012">
              <w:rPr>
                <w:sz w:val="20"/>
                <w:szCs w:val="20"/>
              </w:rPr>
              <w:t>0.20</w:t>
            </w:r>
          </w:p>
        </w:tc>
      </w:tr>
      <w:tr w:rsidRPr="00C47150" w:rsidR="000160D9" w:rsidTr="00A639D4" w14:paraId="6930E10F" w14:textId="77777777">
        <w:trPr>
          <w:trHeight w:val="300"/>
          <w:jc w:val="center"/>
        </w:trPr>
        <w:tc>
          <w:tcPr>
            <w:tcW w:w="8550" w:type="dxa"/>
            <w:shd w:val="clear" w:color="auto" w:fill="D9D9D9" w:themeFill="background1" w:themeFillShade="D9"/>
            <w:hideMark/>
          </w:tcPr>
          <w:p w:rsidRPr="00675D16" w:rsidR="000160D9" w:rsidP="000160D9" w:rsidRDefault="000160D9" w14:paraId="69CAE2F9" w14:textId="77777777">
            <w:pPr>
              <w:spacing w:after="0"/>
              <w:rPr>
                <w:sz w:val="20"/>
                <w:szCs w:val="20"/>
              </w:rPr>
            </w:pPr>
            <w:r w:rsidRPr="00732012">
              <w:rPr>
                <w:sz w:val="20"/>
                <w:szCs w:val="20"/>
              </w:rPr>
              <w:t>Annual Hours Per Respondent (d)= (b) + (c)</w:t>
            </w:r>
          </w:p>
        </w:tc>
        <w:tc>
          <w:tcPr>
            <w:tcW w:w="1005"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A639D4" w14:paraId="2AFE4881" w14:textId="77777777">
        <w:trPr>
          <w:trHeight w:val="300"/>
          <w:jc w:val="center"/>
        </w:trPr>
        <w:tc>
          <w:tcPr>
            <w:tcW w:w="8550" w:type="dxa"/>
            <w:shd w:val="clear" w:color="auto" w:fill="D9D9D9" w:themeFill="background1" w:themeFillShade="D9"/>
            <w:hideMark/>
          </w:tcPr>
          <w:p w:rsidRPr="002A6C48" w:rsidR="000160D9" w:rsidP="000160D9" w:rsidRDefault="000160D9" w14:paraId="1336EC8C" w14:textId="77777777">
            <w:pPr>
              <w:spacing w:after="0"/>
              <w:rPr>
                <w:b/>
                <w:sz w:val="20"/>
                <w:szCs w:val="20"/>
              </w:rPr>
            </w:pPr>
            <w:r w:rsidRPr="002A6C48">
              <w:rPr>
                <w:b/>
                <w:sz w:val="20"/>
                <w:szCs w:val="20"/>
              </w:rPr>
              <w:t>Total Annual Hours (e) = (a)*(d)</w:t>
            </w:r>
          </w:p>
        </w:tc>
        <w:tc>
          <w:tcPr>
            <w:tcW w:w="1005"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A639D4" w14:paraId="5B6E4EB9" w14:textId="77777777">
        <w:trPr>
          <w:trHeight w:val="233"/>
          <w:jc w:val="center"/>
        </w:trPr>
        <w:tc>
          <w:tcPr>
            <w:tcW w:w="8550" w:type="dxa"/>
            <w:shd w:val="clear" w:color="auto" w:fill="auto"/>
            <w:hideMark/>
          </w:tcPr>
          <w:p w:rsidRPr="00675D16" w:rsidR="000160D9" w:rsidP="000160D9" w:rsidRDefault="000160D9" w14:paraId="78304744" w14:textId="04593D77">
            <w:pPr>
              <w:spacing w:after="0"/>
              <w:rPr>
                <w:sz w:val="20"/>
                <w:szCs w:val="20"/>
              </w:rPr>
            </w:pPr>
            <w:r w:rsidRPr="00732012">
              <w:rPr>
                <w:sz w:val="20"/>
                <w:szCs w:val="20"/>
              </w:rPr>
              <w:t>Cost to Identify and Submit Measure (@ practice administrator's labor rate of $10</w:t>
            </w:r>
            <w:r w:rsidR="00D5008C">
              <w:rPr>
                <w:sz w:val="20"/>
                <w:szCs w:val="20"/>
              </w:rPr>
              <w:t>9.36</w:t>
            </w:r>
            <w:r w:rsidRPr="00732012">
              <w:rPr>
                <w:sz w:val="20"/>
                <w:szCs w:val="20"/>
              </w:rPr>
              <w:t>/hr.) (f)</w:t>
            </w:r>
          </w:p>
        </w:tc>
        <w:tc>
          <w:tcPr>
            <w:tcW w:w="1005" w:type="dxa"/>
            <w:shd w:val="clear" w:color="auto" w:fill="auto"/>
            <w:hideMark/>
          </w:tcPr>
          <w:p w:rsidRPr="00675D16" w:rsidR="000160D9" w:rsidP="000160D9" w:rsidRDefault="000160D9" w14:paraId="6F2AE3B3" w14:textId="3734BC43">
            <w:pPr>
              <w:spacing w:after="0"/>
              <w:rPr>
                <w:sz w:val="20"/>
                <w:szCs w:val="20"/>
              </w:rPr>
            </w:pPr>
            <w:r w:rsidRPr="00732012">
              <w:rPr>
                <w:sz w:val="20"/>
                <w:szCs w:val="20"/>
              </w:rPr>
              <w:t>$32.</w:t>
            </w:r>
            <w:r w:rsidR="00922CF6">
              <w:rPr>
                <w:sz w:val="20"/>
                <w:szCs w:val="20"/>
              </w:rPr>
              <w:t>8</w:t>
            </w:r>
            <w:r w:rsidRPr="00732012">
              <w:rPr>
                <w:sz w:val="20"/>
                <w:szCs w:val="20"/>
              </w:rPr>
              <w:t>1</w:t>
            </w:r>
          </w:p>
        </w:tc>
      </w:tr>
      <w:tr w:rsidRPr="00C47150" w:rsidR="000160D9" w:rsidTr="00A639D4" w14:paraId="701CFCCE" w14:textId="77777777">
        <w:trPr>
          <w:trHeight w:val="242"/>
          <w:jc w:val="center"/>
        </w:trPr>
        <w:tc>
          <w:tcPr>
            <w:tcW w:w="8550" w:type="dxa"/>
            <w:shd w:val="clear" w:color="auto" w:fill="auto"/>
            <w:hideMark/>
          </w:tcPr>
          <w:p w:rsidRPr="00675D16" w:rsidR="000160D9" w:rsidP="000160D9" w:rsidRDefault="000160D9" w14:paraId="31CF036C" w14:textId="2EB18AC6">
            <w:pPr>
              <w:spacing w:after="0"/>
              <w:rPr>
                <w:sz w:val="20"/>
                <w:szCs w:val="20"/>
              </w:rPr>
            </w:pPr>
            <w:r w:rsidRPr="00732012">
              <w:rPr>
                <w:sz w:val="20"/>
                <w:szCs w:val="20"/>
              </w:rPr>
              <w:t>Cost to Identify Improvement Measure (@ physician’s labor rate of $20</w:t>
            </w:r>
            <w:r w:rsidR="00D5008C">
              <w:rPr>
                <w:sz w:val="20"/>
                <w:szCs w:val="20"/>
              </w:rPr>
              <w:t>2.86</w:t>
            </w:r>
            <w:r w:rsidRPr="00732012">
              <w:rPr>
                <w:sz w:val="20"/>
                <w:szCs w:val="20"/>
              </w:rPr>
              <w:t>/hr.) (g)</w:t>
            </w:r>
          </w:p>
        </w:tc>
        <w:tc>
          <w:tcPr>
            <w:tcW w:w="1005" w:type="dxa"/>
            <w:shd w:val="clear" w:color="auto" w:fill="auto"/>
            <w:noWrap/>
            <w:hideMark/>
          </w:tcPr>
          <w:p w:rsidRPr="00675D16" w:rsidR="000160D9" w:rsidP="000160D9" w:rsidRDefault="000160D9" w14:paraId="6DC31582" w14:textId="77363C34">
            <w:pPr>
              <w:spacing w:after="0"/>
              <w:rPr>
                <w:sz w:val="20"/>
                <w:szCs w:val="20"/>
              </w:rPr>
            </w:pPr>
            <w:r w:rsidRPr="00732012">
              <w:rPr>
                <w:sz w:val="20"/>
                <w:szCs w:val="20"/>
              </w:rPr>
              <w:t>$4</w:t>
            </w:r>
            <w:r w:rsidR="001709D2">
              <w:rPr>
                <w:sz w:val="20"/>
                <w:szCs w:val="20"/>
              </w:rPr>
              <w:t>0.57</w:t>
            </w:r>
          </w:p>
        </w:tc>
      </w:tr>
      <w:tr w:rsidRPr="00C47150" w:rsidR="000160D9" w:rsidTr="00A639D4" w14:paraId="5A1BCDF1" w14:textId="77777777">
        <w:trPr>
          <w:trHeight w:val="300"/>
          <w:jc w:val="center"/>
        </w:trPr>
        <w:tc>
          <w:tcPr>
            <w:tcW w:w="8550" w:type="dxa"/>
            <w:shd w:val="clear" w:color="auto" w:fill="E7E6E6" w:themeFill="background2"/>
            <w:hideMark/>
          </w:tcPr>
          <w:p w:rsidRPr="00675D16" w:rsidR="000160D9" w:rsidP="000160D9" w:rsidRDefault="000160D9" w14:paraId="231B7049" w14:textId="77777777">
            <w:pPr>
              <w:spacing w:after="0"/>
              <w:rPr>
                <w:sz w:val="20"/>
                <w:szCs w:val="20"/>
              </w:rPr>
            </w:pPr>
            <w:r w:rsidRPr="00732012">
              <w:rPr>
                <w:sz w:val="20"/>
                <w:szCs w:val="20"/>
              </w:rPr>
              <w:t>Total Annual Cost Per Respondent (h)=(f)+(g)</w:t>
            </w:r>
          </w:p>
        </w:tc>
        <w:tc>
          <w:tcPr>
            <w:tcW w:w="1005" w:type="dxa"/>
            <w:shd w:val="clear" w:color="auto" w:fill="E7E6E6" w:themeFill="background2"/>
            <w:noWrap/>
            <w:hideMark/>
          </w:tcPr>
          <w:p w:rsidRPr="00675D16" w:rsidR="000160D9" w:rsidP="000160D9" w:rsidRDefault="000160D9" w14:paraId="6EAF6753" w14:textId="4B2DC7B2">
            <w:pPr>
              <w:spacing w:after="0"/>
              <w:rPr>
                <w:sz w:val="20"/>
                <w:szCs w:val="20"/>
              </w:rPr>
            </w:pPr>
            <w:r w:rsidRPr="00732012">
              <w:rPr>
                <w:sz w:val="20"/>
                <w:szCs w:val="20"/>
              </w:rPr>
              <w:t>$73.</w:t>
            </w:r>
            <w:r w:rsidR="001709D2">
              <w:rPr>
                <w:sz w:val="20"/>
                <w:szCs w:val="20"/>
              </w:rPr>
              <w:t>38</w:t>
            </w:r>
          </w:p>
        </w:tc>
      </w:tr>
      <w:tr w:rsidRPr="00C47150" w:rsidR="000160D9" w:rsidTr="00A639D4" w14:paraId="1DBC883C" w14:textId="77777777">
        <w:trPr>
          <w:trHeight w:val="300"/>
          <w:jc w:val="center"/>
        </w:trPr>
        <w:tc>
          <w:tcPr>
            <w:tcW w:w="8550" w:type="dxa"/>
            <w:shd w:val="clear" w:color="auto" w:fill="E7E6E6" w:themeFill="background2"/>
            <w:hideMark/>
          </w:tcPr>
          <w:p w:rsidRPr="002A6C48" w:rsidR="000160D9" w:rsidP="000160D9" w:rsidRDefault="000160D9" w14:paraId="77B87AE0" w14:textId="77777777">
            <w:pPr>
              <w:spacing w:after="0"/>
              <w:rPr>
                <w:b/>
                <w:sz w:val="20"/>
                <w:szCs w:val="20"/>
              </w:rPr>
            </w:pPr>
            <w:r w:rsidRPr="002A6C48">
              <w:rPr>
                <w:b/>
                <w:sz w:val="20"/>
                <w:szCs w:val="20"/>
              </w:rPr>
              <w:t>Total Annual Cost (i)=(a)*(h)</w:t>
            </w:r>
          </w:p>
        </w:tc>
        <w:tc>
          <w:tcPr>
            <w:tcW w:w="1005" w:type="dxa"/>
            <w:shd w:val="clear" w:color="auto" w:fill="E7E6E6" w:themeFill="background2"/>
            <w:noWrap/>
            <w:hideMark/>
          </w:tcPr>
          <w:p w:rsidRPr="002A6C48" w:rsidR="000160D9" w:rsidP="000160D9" w:rsidRDefault="000160D9" w14:paraId="7B4EEBE4" w14:textId="76616CC9">
            <w:pPr>
              <w:spacing w:after="0"/>
              <w:rPr>
                <w:b/>
                <w:sz w:val="20"/>
                <w:szCs w:val="20"/>
              </w:rPr>
            </w:pPr>
            <w:r w:rsidRPr="002A6C48">
              <w:rPr>
                <w:b/>
                <w:sz w:val="20"/>
                <w:szCs w:val="20"/>
              </w:rPr>
              <w:t>$</w:t>
            </w:r>
            <w:r w:rsidR="00E069C5">
              <w:rPr>
                <w:b/>
                <w:sz w:val="20"/>
                <w:szCs w:val="20"/>
              </w:rPr>
              <w:t>734</w:t>
            </w:r>
          </w:p>
        </w:tc>
      </w:tr>
    </w:tbl>
    <w:p w:rsidR="000160D9" w:rsidP="000160D9" w:rsidRDefault="000160D9" w14:paraId="5D16A3C4" w14:textId="25DE7CD1">
      <w:pPr>
        <w:ind w:firstLine="720"/>
      </w:pPr>
    </w:p>
    <w:p w:rsidR="000160D9" w:rsidP="0095356F" w:rsidRDefault="000160D9" w14:paraId="168292B3" w14:textId="01964BB1">
      <w:pPr>
        <w:pStyle w:val="Heading3"/>
        <w:numPr>
          <w:ilvl w:val="0"/>
          <w:numId w:val="32"/>
        </w:numPr>
      </w:pPr>
      <w:r w:rsidRPr="00B05B18">
        <w:t xml:space="preserve">Burden Estimate for </w:t>
      </w:r>
      <w:r>
        <w:t>the Submission of Improvement Activities Data</w:t>
      </w:r>
    </w:p>
    <w:p w:rsidRPr="004F1A68" w:rsidR="004F1A68" w:rsidP="00E12B53" w:rsidRDefault="0045763F" w14:paraId="3C48AB88" w14:textId="4D350277">
      <w:pPr>
        <w:rPr>
          <w:rFonts w:eastAsia="Calibri"/>
        </w:rPr>
      </w:pPr>
      <w:r w:rsidRPr="00CC2BFB">
        <w:rPr>
          <w:rFonts w:eastAsia="Calibri"/>
        </w:rPr>
        <w:t xml:space="preserve">As discussed in </w:t>
      </w:r>
      <w:r w:rsidRPr="009705C5">
        <w:rPr>
          <w:rFonts w:eastAsia="Calibri"/>
        </w:rPr>
        <w:t>section III.K.3.c.(3)(d)(iii) of th</w:t>
      </w:r>
      <w:r>
        <w:rPr>
          <w:rFonts w:eastAsia="Calibri"/>
        </w:rPr>
        <w:t>e CY 2020 PFS final</w:t>
      </w:r>
      <w:r w:rsidRPr="00CC2BFB">
        <w:rPr>
          <w:rFonts w:eastAsia="Calibri"/>
        </w:rPr>
        <w:t xml:space="preserve"> rule, we </w:t>
      </w:r>
      <w:r>
        <w:rPr>
          <w:rFonts w:eastAsia="Calibri"/>
        </w:rPr>
        <w:t>finalized to state that</w:t>
      </w:r>
      <w:r w:rsidRPr="00CC2BFB">
        <w:rPr>
          <w:rFonts w:eastAsia="Calibri"/>
        </w:rPr>
        <w:t xml:space="preserve"> beginning with the 2020 MIPS performance period and for future years, </w:t>
      </w:r>
      <w:r>
        <w:rPr>
          <w:rFonts w:eastAsia="Calibri"/>
        </w:rPr>
        <w:t>each improvement activity for which</w:t>
      </w:r>
      <w:r w:rsidRPr="00CC2BFB">
        <w:rPr>
          <w:rFonts w:eastAsia="Calibri"/>
        </w:rPr>
        <w:t xml:space="preserve"> group</w:t>
      </w:r>
      <w:r>
        <w:rPr>
          <w:rFonts w:eastAsia="Calibri"/>
        </w:rPr>
        <w:t>s</w:t>
      </w:r>
      <w:r w:rsidRPr="00CC2BFB">
        <w:rPr>
          <w:rFonts w:eastAsia="Calibri"/>
        </w:rPr>
        <w:t xml:space="preserve"> </w:t>
      </w:r>
      <w:r>
        <w:rPr>
          <w:rFonts w:eastAsia="Calibri"/>
        </w:rPr>
        <w:t>and</w:t>
      </w:r>
      <w:r w:rsidRPr="00CC2BFB">
        <w:rPr>
          <w:rFonts w:eastAsia="Calibri"/>
        </w:rPr>
        <w:t xml:space="preserve"> virtual group</w:t>
      </w:r>
      <w:r>
        <w:rPr>
          <w:rFonts w:eastAsia="Calibri"/>
        </w:rPr>
        <w:t>s submit a “yes” response must be performed by</w:t>
      </w:r>
      <w:r w:rsidRPr="00CC2BFB">
        <w:rPr>
          <w:rFonts w:eastAsia="Calibri"/>
        </w:rPr>
        <w:t xml:space="preserve"> at least 50 percent of the NPIs billing under the group’s TIN or virtual group’s TINs, as applicable; and the NPIs must perform the same activity </w:t>
      </w:r>
      <w:r>
        <w:rPr>
          <w:rFonts w:eastAsia="Calibri"/>
        </w:rPr>
        <w:t>during a</w:t>
      </w:r>
      <w:r w:rsidR="00526E62">
        <w:rPr>
          <w:rFonts w:eastAsia="Calibri"/>
        </w:rPr>
        <w:t>ny continuous</w:t>
      </w:r>
      <w:r w:rsidRPr="00CC2BFB">
        <w:rPr>
          <w:rFonts w:eastAsia="Calibri"/>
        </w:rPr>
        <w:t xml:space="preserve"> 90</w:t>
      </w:r>
      <w:r>
        <w:rPr>
          <w:rFonts w:eastAsia="Calibri"/>
        </w:rPr>
        <w:t>-</w:t>
      </w:r>
      <w:r w:rsidRPr="00CC2BFB">
        <w:rPr>
          <w:rFonts w:eastAsia="Calibri"/>
        </w:rPr>
        <w:t>day period</w:t>
      </w:r>
      <w:r>
        <w:rPr>
          <w:rFonts w:eastAsia="Calibri"/>
        </w:rPr>
        <w:t xml:space="preserve"> within the same performance year</w:t>
      </w:r>
      <w:r w:rsidRPr="00CC2BFB">
        <w:rPr>
          <w:rFonts w:eastAsia="Calibri"/>
        </w:rPr>
        <w:t>.  Because eligible clinicians attest to improvement activit</w:t>
      </w:r>
      <w:r w:rsidR="00DC4F92">
        <w:rPr>
          <w:rFonts w:eastAsia="Calibri"/>
        </w:rPr>
        <w:t>ies</w:t>
      </w:r>
      <w:r w:rsidRPr="00CC2BFB">
        <w:rPr>
          <w:rFonts w:eastAsia="Calibri"/>
        </w:rPr>
        <w:t xml:space="preserve"> at the group level, there is no impact on reporting burden as a result of this </w:t>
      </w:r>
      <w:r w:rsidR="003F2700">
        <w:rPr>
          <w:rFonts w:eastAsia="Calibri"/>
        </w:rPr>
        <w:t>policy</w:t>
      </w:r>
      <w:r w:rsidRPr="00F12F49" w:rsidR="00F12F49">
        <w:rPr>
          <w:rFonts w:eastAsia="Calibri"/>
        </w:rPr>
        <w:t>.</w:t>
      </w:r>
    </w:p>
    <w:p w:rsidR="002A41FD" w:rsidP="00E12B53" w:rsidRDefault="00122072" w14:paraId="237C3976" w14:textId="358E1A5E">
      <w:pPr>
        <w:rPr>
          <w:rFonts w:eastAsia="Calibri"/>
        </w:rPr>
      </w:pPr>
      <w:r w:rsidRPr="00CC2BFB">
        <w:rPr>
          <w:rFonts w:eastAsia="Calibri"/>
        </w:rPr>
        <w:t>As previously discussed, beginning with the 202</w:t>
      </w:r>
      <w:r>
        <w:rPr>
          <w:rFonts w:eastAsia="Calibri"/>
        </w:rPr>
        <w:t>3</w:t>
      </w:r>
      <w:r w:rsidRPr="00CC2BFB">
        <w:rPr>
          <w:rFonts w:eastAsia="Calibri"/>
        </w:rPr>
        <w:t xml:space="preserve"> </w:t>
      </w:r>
      <w:r>
        <w:rPr>
          <w:rFonts w:eastAsia="Calibri"/>
        </w:rPr>
        <w:t>MIPS payment year</w:t>
      </w:r>
      <w:r w:rsidRPr="00CC2BFB">
        <w:rPr>
          <w:rFonts w:eastAsia="Calibri"/>
        </w:rPr>
        <w:t xml:space="preserve"> and for future years, we</w:t>
      </w:r>
      <w:r>
        <w:rPr>
          <w:rFonts w:eastAsia="Calibri"/>
        </w:rPr>
        <w:t xml:space="preserve"> finaliz</w:t>
      </w:r>
      <w:r w:rsidR="003B2B8B">
        <w:rPr>
          <w:rFonts w:eastAsia="Calibri"/>
        </w:rPr>
        <w:t>ed</w:t>
      </w:r>
      <w:r w:rsidRPr="00CC2BFB">
        <w:rPr>
          <w:rFonts w:eastAsia="Calibri"/>
        </w:rPr>
        <w:t xml:space="preserve"> t</w:t>
      </w:r>
      <w:r w:rsidR="00A802D9">
        <w:rPr>
          <w:rFonts w:eastAsia="Calibri"/>
        </w:rPr>
        <w:t>he</w:t>
      </w:r>
      <w:r w:rsidRPr="00CC2BFB">
        <w:rPr>
          <w:rFonts w:eastAsia="Calibri"/>
        </w:rPr>
        <w:t xml:space="preserve"> require</w:t>
      </w:r>
      <w:r w:rsidR="00A802D9">
        <w:rPr>
          <w:rFonts w:eastAsia="Calibri"/>
        </w:rPr>
        <w:t>ment of</w:t>
      </w:r>
      <w:r w:rsidRPr="00CC2BFB">
        <w:rPr>
          <w:rFonts w:eastAsia="Calibri"/>
        </w:rPr>
        <w:t xml:space="preserve"> QCDRs and qualified registries </w:t>
      </w:r>
      <w:r w:rsidR="00A802D9">
        <w:rPr>
          <w:rFonts w:eastAsia="Calibri"/>
        </w:rPr>
        <w:t xml:space="preserve">to </w:t>
      </w:r>
      <w:r>
        <w:rPr>
          <w:rFonts w:eastAsia="Calibri"/>
        </w:rPr>
        <w:t>be able to submit data for</w:t>
      </w:r>
      <w:r w:rsidRPr="00CC2BFB">
        <w:rPr>
          <w:rFonts w:eastAsia="Calibri"/>
        </w:rPr>
        <w:t xml:space="preserve"> three performance categories: quality, improvement activities, and Promoting Interoperability; our </w:t>
      </w:r>
      <w:r>
        <w:rPr>
          <w:rFonts w:eastAsia="Calibri"/>
        </w:rPr>
        <w:t xml:space="preserve">previous </w:t>
      </w:r>
      <w:r w:rsidRPr="00CC2BFB">
        <w:rPr>
          <w:rFonts w:eastAsia="Calibri"/>
        </w:rPr>
        <w:t xml:space="preserve">discussion of burden for submitting Promoting Interoperability data noted our inability to account for the reduction in burden associated with the </w:t>
      </w:r>
      <w:r w:rsidR="003F2700">
        <w:rPr>
          <w:rFonts w:eastAsia="Calibri"/>
        </w:rPr>
        <w:t>policy</w:t>
      </w:r>
      <w:r w:rsidRPr="00CC2BFB">
        <w:rPr>
          <w:rFonts w:eastAsia="Calibri"/>
        </w:rPr>
        <w:t xml:space="preserve">.  Consistent with our decision not to change our per respondent burden estimate to submit Promoting Interoperability data, we are not changing our per respondent burden estimate to submit improvement activity data as a result of this </w:t>
      </w:r>
      <w:r w:rsidR="003F2700">
        <w:rPr>
          <w:rFonts w:eastAsia="Calibri"/>
        </w:rPr>
        <w:t>policy</w:t>
      </w:r>
      <w:r w:rsidRPr="002A41FD" w:rsidR="002A41FD">
        <w:rPr>
          <w:rFonts w:eastAsia="Calibri"/>
        </w:rPr>
        <w:t>.</w:t>
      </w:r>
    </w:p>
    <w:p w:rsidR="006A0BDA" w:rsidP="00E12B53" w:rsidRDefault="002414E6" w14:paraId="4319EAC9" w14:textId="257518B3">
      <w:pPr>
        <w:rPr>
          <w:rFonts w:eastAsia="Calibri"/>
        </w:rPr>
      </w:pPr>
      <w:r>
        <w:rPr>
          <w:rFonts w:eastAsia="Calibri"/>
        </w:rPr>
        <w:t>A</w:t>
      </w:r>
      <w:r w:rsidRPr="00CC2BFB" w:rsidR="00662637">
        <w:rPr>
          <w:rFonts w:eastAsia="Calibri"/>
        </w:rPr>
        <w:t xml:space="preserve">s discussed in </w:t>
      </w:r>
      <w:r w:rsidRPr="009705C5" w:rsidR="00662637">
        <w:rPr>
          <w:rFonts w:eastAsia="Calibri"/>
        </w:rPr>
        <w:t>section III.K.3.c.(3)(e)(i) of</w:t>
      </w:r>
      <w:r w:rsidRPr="00CC2BFB" w:rsidR="00662637">
        <w:rPr>
          <w:rFonts w:eastAsia="Calibri"/>
        </w:rPr>
        <w:t xml:space="preserve"> th</w:t>
      </w:r>
      <w:r w:rsidR="00662637">
        <w:rPr>
          <w:rFonts w:eastAsia="Calibri"/>
        </w:rPr>
        <w:t>e CY 2020 PFS final</w:t>
      </w:r>
      <w:r w:rsidRPr="00CC2BFB" w:rsidR="00662637">
        <w:rPr>
          <w:rFonts w:eastAsia="Calibri"/>
        </w:rPr>
        <w:t xml:space="preserve"> rule, we </w:t>
      </w:r>
      <w:r w:rsidR="00662637">
        <w:rPr>
          <w:rFonts w:eastAsia="Calibri"/>
        </w:rPr>
        <w:t>finaliz</w:t>
      </w:r>
      <w:r w:rsidR="003B2B8B">
        <w:rPr>
          <w:rFonts w:eastAsia="Calibri"/>
        </w:rPr>
        <w:t>ed</w:t>
      </w:r>
      <w:r w:rsidRPr="00CC2BFB" w:rsidR="00662637">
        <w:rPr>
          <w:rFonts w:eastAsia="Calibri"/>
        </w:rPr>
        <w:t xml:space="preserve"> removal factors to consider </w:t>
      </w:r>
      <w:r w:rsidRPr="00D47030" w:rsidR="00662637">
        <w:rPr>
          <w:rFonts w:eastAsia="Calibri"/>
        </w:rPr>
        <w:t xml:space="preserve">when </w:t>
      </w:r>
      <w:r w:rsidRPr="00F90569" w:rsidR="00662637">
        <w:rPr>
          <w:rFonts w:eastAsia="Calibri"/>
        </w:rPr>
        <w:t>proposing</w:t>
      </w:r>
      <w:r w:rsidRPr="00CC2BFB" w:rsidR="00662637">
        <w:rPr>
          <w:rFonts w:eastAsia="Calibri"/>
        </w:rPr>
        <w:t xml:space="preserve"> to remove improvement activities from the Inventory.  However, we do not believe this w</w:t>
      </w:r>
      <w:r w:rsidR="00662637">
        <w:rPr>
          <w:rFonts w:eastAsia="Calibri"/>
        </w:rPr>
        <w:t>ill</w:t>
      </w:r>
      <w:r w:rsidRPr="00CC2BFB" w:rsidR="00662637">
        <w:rPr>
          <w:rFonts w:eastAsia="Calibri"/>
        </w:rPr>
        <w:t xml:space="preserve"> affect reporting burden, because respondents w</w:t>
      </w:r>
      <w:r w:rsidR="00662637">
        <w:rPr>
          <w:rFonts w:eastAsia="Calibri"/>
        </w:rPr>
        <w:t>ill</w:t>
      </w:r>
      <w:r w:rsidRPr="00CC2BFB" w:rsidR="00662637">
        <w:rPr>
          <w:rFonts w:eastAsia="Calibri"/>
        </w:rPr>
        <w:t xml:space="preserve"> still be required </w:t>
      </w:r>
      <w:r w:rsidR="00662637">
        <w:rPr>
          <w:rFonts w:eastAsia="Calibri"/>
        </w:rPr>
        <w:t xml:space="preserve">to </w:t>
      </w:r>
      <w:r w:rsidRPr="00CC2BFB" w:rsidR="00662637">
        <w:rPr>
          <w:rFonts w:eastAsia="Calibri"/>
        </w:rPr>
        <w:t xml:space="preserve">submit the same number of improvement activities and this </w:t>
      </w:r>
      <w:r w:rsidR="00662637">
        <w:rPr>
          <w:rFonts w:eastAsia="Calibri"/>
        </w:rPr>
        <w:t>policy</w:t>
      </w:r>
      <w:r w:rsidRPr="00CC2BFB" w:rsidR="00662637">
        <w:rPr>
          <w:rFonts w:eastAsia="Calibri"/>
        </w:rPr>
        <w:t xml:space="preserve"> w</w:t>
      </w:r>
      <w:r w:rsidR="00662637">
        <w:rPr>
          <w:rFonts w:eastAsia="Calibri"/>
        </w:rPr>
        <w:t>ill</w:t>
      </w:r>
      <w:r w:rsidRPr="00CC2BFB" w:rsidR="00662637">
        <w:rPr>
          <w:rFonts w:eastAsia="Calibri"/>
        </w:rPr>
        <w:t xml:space="preserve"> not require respondents to submit any additional information.  </w:t>
      </w:r>
    </w:p>
    <w:p w:rsidRPr="004F1A68" w:rsidR="004F1A68" w:rsidP="00E12B53" w:rsidRDefault="001F6A15" w14:paraId="4AE94B09" w14:textId="711631F5">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w</w:t>
      </w:r>
      <w:r w:rsidRPr="00CC2BFB">
        <w:rPr>
          <w:rFonts w:eastAsia="Calibri"/>
        </w:rPr>
        <w:t>e compare the requirements of the specific MIPS APM with the list of activities in the Improvement Activities Inventory and score those activities in the same manner that they are otherwise scored for MIPS eligible clinicians.  If, based on our assessment, the MIPS APM does not receive the maximum improvement activities performance category score, then the APM Entity can submit additional improvement activities.  We anticipate that MIPS APMs in the 20</w:t>
      </w:r>
      <w:r>
        <w:rPr>
          <w:rFonts w:eastAsia="Calibri"/>
        </w:rPr>
        <w:t>20</w:t>
      </w:r>
      <w:r w:rsidRPr="00CC2BFB">
        <w:rPr>
          <w:rFonts w:eastAsia="Calibri"/>
        </w:rPr>
        <w:t xml:space="preserve"> MIPS performance period will not need to submit additional improvement activities as the models will already meet the maximum improvement activities performance category score</w:t>
      </w:r>
      <w:r w:rsidRPr="004F1A68" w:rsidR="004F1A68">
        <w:rPr>
          <w:rFonts w:eastAsia="Calibri"/>
        </w:rPr>
        <w:t xml:space="preserve">. </w:t>
      </w:r>
    </w:p>
    <w:p w:rsidR="00A3122C" w:rsidP="00E12B53" w:rsidRDefault="00A963B4" w14:paraId="4CCA4356" w14:textId="5710DC52">
      <w:pPr>
        <w:rPr>
          <w:rFonts w:eastAsia="Calibri"/>
        </w:rPr>
      </w:pPr>
      <w:r w:rsidRPr="00CC2BFB">
        <w:rPr>
          <w:rFonts w:eastAsia="Calibri"/>
        </w:rPr>
        <w:t xml:space="preserve">A variety of organizations and in some cases, individual clinicians, will submit improvement activity performance category data.  For clinicians who are not part of APMs, we assume that clinicians submitting quality data as part of a group through direct, log in and upload submission types, and CMS Web Interface will also submit improvement activities data.  In the 2019 and prior MIPS performance periods, individuals and groups submitting data for the quality performance category through a MIPS CQM or QCDR that did not also support reporting of data for the Promoting Interoperability or improvement activity performance categories would be required to submit data for these performance categories using an alternate submission type, the </w:t>
      </w:r>
      <w:r>
        <w:rPr>
          <w:rFonts w:eastAsia="Calibri"/>
        </w:rPr>
        <w:t>finalized policies</w:t>
      </w:r>
      <w:r w:rsidRPr="00CC2BFB">
        <w:rPr>
          <w:rFonts w:eastAsia="Calibri"/>
        </w:rPr>
        <w:t xml:space="preserve"> discussed in </w:t>
      </w:r>
      <w:r w:rsidRPr="009705C5">
        <w:rPr>
          <w:rFonts w:eastAsia="Calibri"/>
        </w:rPr>
        <w:t>sections III.K.3.g.(3)(a)(i) and III.K.3.g.(4)(a)(i) of</w:t>
      </w:r>
      <w:r w:rsidRPr="00CC2BFB">
        <w:rPr>
          <w:rFonts w:eastAsia="Calibri"/>
        </w:rPr>
        <w:t xml:space="preserve"> th</w:t>
      </w:r>
      <w:r>
        <w:rPr>
          <w:rFonts w:eastAsia="Calibri"/>
        </w:rPr>
        <w:t>e CY 2020 PFS final</w:t>
      </w:r>
      <w:r w:rsidRPr="00CC2BFB">
        <w:rPr>
          <w:rFonts w:eastAsia="Calibri"/>
        </w:rPr>
        <w:t xml:space="preserve"> rule requiring qualified registries and QCDRs</w:t>
      </w:r>
      <w:r w:rsidR="00FF444F">
        <w:rPr>
          <w:rFonts w:eastAsia="Calibri"/>
        </w:rPr>
        <w:t>, beginning in the 2023 MIPS payment year,</w:t>
      </w:r>
      <w:r w:rsidRPr="00CC2BFB">
        <w:rPr>
          <w:rFonts w:eastAsia="Calibri"/>
        </w:rPr>
        <w:t xml:space="preserve"> to </w:t>
      </w:r>
      <w:r>
        <w:rPr>
          <w:rFonts w:eastAsia="Calibri"/>
        </w:rPr>
        <w:t xml:space="preserve">be able to submit data for </w:t>
      </w:r>
      <w:r w:rsidR="00FF444F">
        <w:rPr>
          <w:rFonts w:eastAsia="Calibri"/>
        </w:rPr>
        <w:t xml:space="preserve">all the MIPS performance categories identified in </w:t>
      </w:r>
      <w:r w:rsidR="00FF444F">
        <w:t>§ 414.1400(a)(2)</w:t>
      </w:r>
      <w:r w:rsidR="00295E5F">
        <w:t xml:space="preserve">: </w:t>
      </w:r>
      <w:r w:rsidRPr="00CC2BFB">
        <w:rPr>
          <w:rFonts w:eastAsia="Calibri"/>
        </w:rPr>
        <w:t xml:space="preserve"> </w:t>
      </w:r>
      <w:r w:rsidR="00295E5F">
        <w:rPr>
          <w:rFonts w:eastAsia="Calibri"/>
        </w:rPr>
        <w:t>(</w:t>
      </w:r>
      <w:r w:rsidRPr="00CC2BFB">
        <w:rPr>
          <w:rFonts w:eastAsia="Calibri"/>
        </w:rPr>
        <w:t>quality, improvement activities, and Promoting Interoperability</w:t>
      </w:r>
      <w:r w:rsidR="00295E5F">
        <w:rPr>
          <w:rFonts w:eastAsia="Calibri"/>
        </w:rPr>
        <w:t>),</w:t>
      </w:r>
      <w:r w:rsidRPr="00CC2BFB">
        <w:rPr>
          <w:rFonts w:eastAsia="Calibri"/>
        </w:rPr>
        <w:t xml:space="preserve"> w</w:t>
      </w:r>
      <w:r>
        <w:rPr>
          <w:rFonts w:eastAsia="Calibri"/>
        </w:rPr>
        <w:t>ill</w:t>
      </w:r>
      <w:r w:rsidRPr="00CC2BFB">
        <w:rPr>
          <w:rFonts w:eastAsia="Calibri"/>
        </w:rPr>
        <w:t xml:space="preserve"> help to alleviate this issue.  APM Entities only need to report improvement activities data if the CMS-assigned improvement activities score is below the maximum improvement activities score.</w:t>
      </w:r>
      <w:r w:rsidR="002414E6">
        <w:rPr>
          <w:rFonts w:eastAsia="Calibri"/>
        </w:rPr>
        <w:t xml:space="preserve">  We </w:t>
      </w:r>
      <w:r w:rsidRPr="00CC2BFB">
        <w:rPr>
          <w:rFonts w:eastAsia="Calibri"/>
        </w:rPr>
        <w:t>assume that all APM Entities will receive the maximum CMS-assigned improvement activities score</w:t>
      </w:r>
      <w:r w:rsidR="00A3122C">
        <w:rPr>
          <w:rFonts w:eastAsia="Calibri"/>
        </w:rPr>
        <w:t>.</w:t>
      </w:r>
    </w:p>
    <w:p w:rsidRPr="004F1A68" w:rsidR="004F1A68" w:rsidP="00E12B53" w:rsidRDefault="004F1A68" w14:paraId="0CD7F38A" w14:textId="42C01212">
      <w:pPr>
        <w:rPr>
          <w:rFonts w:eastAsia="Calibri"/>
        </w:rPr>
      </w:pPr>
      <w:r w:rsidRPr="004F1A68">
        <w:rPr>
          <w:rFonts w:eastAsia="Calibri"/>
        </w:rPr>
        <w:t xml:space="preserve">As represented in Table </w:t>
      </w:r>
      <w:r>
        <w:rPr>
          <w:rFonts w:eastAsia="Calibri"/>
        </w:rPr>
        <w:t>20</w:t>
      </w:r>
      <w:r w:rsidRPr="004F1A68">
        <w:rPr>
          <w:rFonts w:eastAsia="Calibri"/>
        </w:rPr>
        <w:t xml:space="preserve">, </w:t>
      </w:r>
      <w:r w:rsidRPr="00CC2BFB" w:rsidR="007324E3">
        <w:rPr>
          <w:rFonts w:eastAsia="Calibri"/>
        </w:rPr>
        <w:t>based on 201</w:t>
      </w:r>
      <w:r w:rsidR="007324E3">
        <w:rPr>
          <w:rFonts w:eastAsia="Calibri"/>
        </w:rPr>
        <w:t>8</w:t>
      </w:r>
      <w:r w:rsidRPr="00CC2BFB" w:rsidR="007324E3">
        <w:rPr>
          <w:rFonts w:eastAsia="Calibri"/>
        </w:rPr>
        <w:t xml:space="preserve"> MIPS performance period data, we estimate that </w:t>
      </w:r>
      <w:r w:rsidR="007324E3">
        <w:rPr>
          <w:rFonts w:eastAsia="Calibri"/>
        </w:rPr>
        <w:t xml:space="preserve">a total of 103,813 respondents consisting of </w:t>
      </w:r>
      <w:r w:rsidRPr="00F90569" w:rsidR="007324E3">
        <w:rPr>
          <w:rFonts w:eastAsia="Calibri"/>
        </w:rPr>
        <w:t>8</w:t>
      </w:r>
      <w:r w:rsidR="007324E3">
        <w:rPr>
          <w:rFonts w:eastAsia="Calibri"/>
        </w:rPr>
        <w:t>6,935 individual</w:t>
      </w:r>
      <w:r w:rsidRPr="00877125" w:rsidR="007324E3">
        <w:rPr>
          <w:rFonts w:eastAsia="Calibri"/>
        </w:rPr>
        <w:t xml:space="preserve"> clinicians </w:t>
      </w:r>
      <w:r w:rsidR="007324E3">
        <w:rPr>
          <w:rFonts w:eastAsia="Calibri"/>
        </w:rPr>
        <w:t xml:space="preserve">and 16,878 groups </w:t>
      </w:r>
      <w:r w:rsidRPr="00877125" w:rsidR="007324E3">
        <w:rPr>
          <w:rFonts w:eastAsia="Calibri"/>
        </w:rPr>
        <w:t>will submit improvement activities during the 2020 MIPS performance period</w:t>
      </w:r>
      <w:r w:rsidR="007324E3">
        <w:rPr>
          <w:rFonts w:eastAsia="Calibri"/>
        </w:rPr>
        <w:t>; this is an</w:t>
      </w:r>
      <w:r w:rsidRPr="007445FA" w:rsidR="007324E3">
        <w:rPr>
          <w:rFonts w:eastAsia="Calibri"/>
        </w:rPr>
        <w:t xml:space="preserve"> adjust</w:t>
      </w:r>
      <w:r w:rsidR="007324E3">
        <w:rPr>
          <w:rFonts w:eastAsia="Calibri"/>
        </w:rPr>
        <w:t>ment</w:t>
      </w:r>
      <w:r w:rsidRPr="007445FA" w:rsidR="007324E3">
        <w:rPr>
          <w:rFonts w:eastAsia="Calibri"/>
        </w:rPr>
        <w:t xml:space="preserve"> </w:t>
      </w:r>
      <w:r w:rsidR="007324E3">
        <w:rPr>
          <w:rFonts w:eastAsia="Calibri"/>
        </w:rPr>
        <w:t xml:space="preserve">to </w:t>
      </w:r>
      <w:r w:rsidRPr="007445FA" w:rsidR="007324E3">
        <w:rPr>
          <w:rFonts w:eastAsia="Calibri"/>
        </w:rPr>
        <w:t xml:space="preserve">the number of respondents </w:t>
      </w:r>
      <w:r w:rsidR="007324E3">
        <w:rPr>
          <w:rFonts w:eastAsia="Calibri"/>
        </w:rPr>
        <w:t xml:space="preserve">currently approved by OMB </w:t>
      </w:r>
      <w:r w:rsidRPr="007445FA" w:rsidR="007324E3">
        <w:rPr>
          <w:rFonts w:eastAsia="Calibri"/>
        </w:rPr>
        <w:t xml:space="preserve">from </w:t>
      </w:r>
      <w:r w:rsidR="007324E3">
        <w:rPr>
          <w:rFonts w:eastAsia="Calibri"/>
        </w:rPr>
        <w:t>136,004</w:t>
      </w:r>
      <w:r w:rsidRPr="007445FA" w:rsidR="007324E3">
        <w:rPr>
          <w:rFonts w:eastAsia="Calibri"/>
        </w:rPr>
        <w:t xml:space="preserve"> to </w:t>
      </w:r>
      <w:r w:rsidR="007324E3">
        <w:rPr>
          <w:rFonts w:eastAsia="Calibri"/>
        </w:rPr>
        <w:t>103,813</w:t>
      </w:r>
      <w:r w:rsidRPr="00747D30" w:rsidR="007324E3">
        <w:rPr>
          <w:rFonts w:eastAsia="Calibri"/>
        </w:rPr>
        <w:t xml:space="preserve"> (a decrease of </w:t>
      </w:r>
      <w:r w:rsidR="007324E3">
        <w:rPr>
          <w:rFonts w:eastAsia="Calibri"/>
        </w:rPr>
        <w:t>32,191</w:t>
      </w:r>
      <w:r w:rsidRPr="00CC2BFB" w:rsidR="007324E3">
        <w:rPr>
          <w:rFonts w:eastAsia="Calibri"/>
        </w:rPr>
        <w:t>) bas</w:t>
      </w:r>
      <w:r w:rsidR="007324E3">
        <w:rPr>
          <w:rFonts w:eastAsia="Calibri"/>
        </w:rPr>
        <w:t>ed on more recent data</w:t>
      </w:r>
      <w:r w:rsidRPr="00CC2BFB" w:rsidR="007324E3">
        <w:rPr>
          <w:rFonts w:eastAsia="Calibri"/>
        </w:rPr>
        <w:t xml:space="preserve">.  </w:t>
      </w:r>
      <w:r w:rsidR="007324E3">
        <w:rPr>
          <w:rFonts w:eastAsia="Calibri"/>
        </w:rPr>
        <w:t xml:space="preserve">In the CY 2017 and CY 2018 Quality Payment Program final rules and the CY 2019 PFS final rule, we were required to adjust our respondent estimates to account for MIPS eligible clinicians who we assumed would respond as participants in a virtual group.  Because we are now able to base our respondent estimates on data from the 2018 MIPS performance period, which was the first performance period in which clinicians could submit as participants in a virtual group, we are no longer making the adjustment for virtual group participation.  </w:t>
      </w:r>
      <w:r w:rsidRPr="00CC2BFB" w:rsidR="007324E3">
        <w:t>In addition</w:t>
      </w:r>
      <w:r w:rsidRPr="00CC2BFB" w:rsidR="007324E3">
        <w:rPr>
          <w:rFonts w:eastAsia="Calibri"/>
        </w:rPr>
        <w:t xml:space="preserve">, </w:t>
      </w:r>
      <w:r w:rsidRPr="00CC2BFB" w:rsidR="007324E3">
        <w:rPr>
          <w:rFonts w:eastAsia="Calibri"/>
          <w:snapToGrid w:val="0"/>
        </w:rPr>
        <w:t>as previously discussed regarding our estimate of clinicians and groups submitting data for the quality and Promoting Interoperability performance categories, we have updated our estimates for the number of clinicians and groups that will submit improvement activities data based on projections of the number of eligible clinicians that were not QPs or members of an APM in the 2017 MIPS performance period but will be in the 20</w:t>
      </w:r>
      <w:r w:rsidR="007324E3">
        <w:rPr>
          <w:rFonts w:eastAsia="Calibri"/>
          <w:snapToGrid w:val="0"/>
        </w:rPr>
        <w:t>20</w:t>
      </w:r>
      <w:r w:rsidRPr="00CC2BFB" w:rsidR="007324E3">
        <w:rPr>
          <w:rFonts w:eastAsia="Calibri"/>
          <w:snapToGrid w:val="0"/>
        </w:rPr>
        <w:t xml:space="preserve"> MIPS performance period, and w</w:t>
      </w:r>
      <w:r w:rsidR="007324E3">
        <w:rPr>
          <w:rFonts w:eastAsia="Calibri"/>
          <w:snapToGrid w:val="0"/>
        </w:rPr>
        <w:t>ill</w:t>
      </w:r>
      <w:r w:rsidRPr="00CC2BFB" w:rsidR="007324E3">
        <w:rPr>
          <w:rFonts w:eastAsia="Calibri"/>
          <w:snapToGrid w:val="0"/>
        </w:rPr>
        <w:t xml:space="preserve"> therefore not be required to submit improvement activities data</w:t>
      </w:r>
      <w:r w:rsidRPr="004F1A68">
        <w:rPr>
          <w:rFonts w:eastAsia="Calibri"/>
        </w:rPr>
        <w:t xml:space="preserve">.   </w:t>
      </w:r>
    </w:p>
    <w:p w:rsidRPr="003428D4" w:rsidR="00D92164" w:rsidP="00E12B53" w:rsidRDefault="004F32C6" w14:paraId="1695BA5B" w14:textId="7B158CDF">
      <w:pPr>
        <w:rPr>
          <w:rFonts w:eastAsia="Calibri"/>
        </w:rPr>
      </w:pPr>
      <w:r w:rsidRPr="00CC2BFB">
        <w:rPr>
          <w:rFonts w:eastAsia="Calibri"/>
        </w:rPr>
        <w:t>Our burden estimates assume there will be no improvement activities burden for MIPS APM participants.  We will assign the improvement activities performance category score at the APM Entity level.  We also assume that the MIPS APM models for the 2020 MIPS performance period will qualify for the maximum improvement activities performance category score and, as such, APM Entities will not submit any additional improvement activities</w:t>
      </w:r>
      <w:r w:rsidRPr="003428D4" w:rsidR="00D92164">
        <w:rPr>
          <w:rFonts w:eastAsia="Calibri"/>
        </w:rPr>
        <w:t xml:space="preserve">. </w:t>
      </w:r>
    </w:p>
    <w:p w:rsidRPr="00C47150" w:rsidR="003C1394" w:rsidP="003C1394" w:rsidRDefault="003C1394" w14:paraId="528C0FD4" w14:textId="3878C2FC">
      <w:pPr>
        <w:spacing w:after="0"/>
        <w:jc w:val="center"/>
        <w:rPr>
          <w:b/>
          <w:bCs/>
        </w:rPr>
      </w:pPr>
      <w:r w:rsidRPr="00C47150">
        <w:rPr>
          <w:b/>
          <w:bCs/>
        </w:rPr>
        <w:t xml:space="preserve">TABLE </w:t>
      </w:r>
      <w:r w:rsidR="00537CEB">
        <w:rPr>
          <w:b/>
          <w:bCs/>
        </w:rPr>
        <w:t>20</w:t>
      </w:r>
      <w:r w:rsidRPr="00C47150">
        <w:rPr>
          <w:b/>
          <w:bCs/>
        </w:rPr>
        <w:t>: Estimated Numbers of Organizations Submitting Improvement Activities Performance Category Data on Behalf of Clinicians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080"/>
      </w:tblGrid>
      <w:tr w:rsidRPr="00C47150" w:rsidR="003C1394" w:rsidTr="00A639D4" w14:paraId="79EDE030" w14:textId="77777777">
        <w:trPr>
          <w:trHeight w:val="300"/>
        </w:trPr>
        <w:tc>
          <w:tcPr>
            <w:tcW w:w="8545" w:type="dxa"/>
            <w:shd w:val="clear" w:color="auto" w:fill="auto"/>
            <w:hideMark/>
          </w:tcPr>
          <w:p w:rsidRPr="003C1394" w:rsidR="003C1394" w:rsidP="00A639D4" w:rsidRDefault="003C1394" w14:paraId="6248215D" w14:textId="1B52A66E">
            <w:pPr>
              <w:spacing w:after="0"/>
              <w:rPr>
                <w:b/>
                <w:sz w:val="20"/>
                <w:szCs w:val="20"/>
              </w:rPr>
            </w:pPr>
            <w:bookmarkStart w:name="_Hlk495399703" w:id="14"/>
            <w:r w:rsidRPr="003C1394">
              <w:rPr>
                <w:b/>
                <w:sz w:val="20"/>
                <w:szCs w:val="20"/>
              </w:rPr>
              <w:t>Respondent Descriptions</w:t>
            </w:r>
          </w:p>
        </w:tc>
        <w:tc>
          <w:tcPr>
            <w:tcW w:w="1080" w:type="dxa"/>
            <w:shd w:val="clear" w:color="auto" w:fill="auto"/>
            <w:hideMark/>
          </w:tcPr>
          <w:p w:rsidRPr="00925658" w:rsidR="003C1394" w:rsidP="00A639D4" w:rsidRDefault="003C1394" w14:paraId="0434D577" w14:textId="77777777">
            <w:pPr>
              <w:spacing w:after="0"/>
              <w:rPr>
                <w:b/>
                <w:sz w:val="20"/>
                <w:szCs w:val="20"/>
              </w:rPr>
            </w:pPr>
            <w:r w:rsidRPr="00925658">
              <w:rPr>
                <w:b/>
                <w:sz w:val="20"/>
                <w:szCs w:val="20"/>
              </w:rPr>
              <w:t>Count</w:t>
            </w:r>
          </w:p>
        </w:tc>
      </w:tr>
      <w:tr w:rsidRPr="00C47150" w:rsidR="00AC7EA0" w:rsidTr="00A37DA3" w14:paraId="0FBE4A42" w14:textId="77777777">
        <w:trPr>
          <w:trHeight w:val="575"/>
        </w:trPr>
        <w:tc>
          <w:tcPr>
            <w:tcW w:w="8545" w:type="dxa"/>
            <w:shd w:val="clear" w:color="auto" w:fill="auto"/>
            <w:vAlign w:val="center"/>
            <w:hideMark/>
          </w:tcPr>
          <w:p w:rsidRPr="00C54D26" w:rsidR="00AC7EA0" w:rsidP="00AC7EA0" w:rsidRDefault="00AC7EA0" w14:paraId="35BE86DA" w14:textId="2E99D94E">
            <w:pPr>
              <w:spacing w:after="0"/>
              <w:rPr>
                <w:sz w:val="20"/>
                <w:szCs w:val="20"/>
              </w:rPr>
            </w:pPr>
            <w:r w:rsidRPr="00CC2BFB">
              <w:rPr>
                <w:rFonts w:eastAsia="Calibri"/>
                <w:sz w:val="20"/>
                <w:szCs w:val="20"/>
              </w:rPr>
              <w:t># of clinicians to participate in improvement activities data submission as individuals during the 2020 MIPS performance period (a)</w:t>
            </w:r>
          </w:p>
        </w:tc>
        <w:tc>
          <w:tcPr>
            <w:tcW w:w="1080" w:type="dxa"/>
            <w:shd w:val="clear" w:color="auto" w:fill="auto"/>
            <w:vAlign w:val="center"/>
            <w:hideMark/>
          </w:tcPr>
          <w:p w:rsidRPr="00925658" w:rsidR="00AC7EA0" w:rsidP="00AC7EA0" w:rsidRDefault="00AC7EA0" w14:paraId="694824F2" w14:textId="2885E986">
            <w:pPr>
              <w:spacing w:after="0"/>
              <w:rPr>
                <w:sz w:val="20"/>
                <w:szCs w:val="20"/>
              </w:rPr>
            </w:pPr>
            <w:r>
              <w:rPr>
                <w:rFonts w:eastAsia="Calibri"/>
                <w:sz w:val="20"/>
                <w:szCs w:val="20"/>
              </w:rPr>
              <w:t>86,935</w:t>
            </w:r>
          </w:p>
        </w:tc>
      </w:tr>
      <w:tr w:rsidRPr="00C47150" w:rsidR="00AC7EA0" w:rsidTr="00A37DA3" w14:paraId="1A9934FD" w14:textId="77777777">
        <w:trPr>
          <w:trHeight w:val="530"/>
        </w:trPr>
        <w:tc>
          <w:tcPr>
            <w:tcW w:w="8545" w:type="dxa"/>
            <w:shd w:val="clear" w:color="auto" w:fill="auto"/>
            <w:vAlign w:val="center"/>
            <w:hideMark/>
          </w:tcPr>
          <w:p w:rsidRPr="00C54D26" w:rsidR="00AC7EA0" w:rsidP="00AC7EA0" w:rsidRDefault="00AC7EA0" w14:paraId="28B2ADED" w14:textId="5CBCBC32">
            <w:pPr>
              <w:spacing w:after="0"/>
              <w:rPr>
                <w:sz w:val="20"/>
                <w:szCs w:val="20"/>
              </w:rPr>
            </w:pPr>
            <w:r w:rsidRPr="00CC2BFB">
              <w:rPr>
                <w:rFonts w:eastAsia="Calibri"/>
                <w:sz w:val="20"/>
                <w:szCs w:val="20"/>
              </w:rPr>
              <w:t># of Groups to submit improvement activities on behalf of clinicians during the 2020 MIPS performance period (b)</w:t>
            </w:r>
          </w:p>
        </w:tc>
        <w:tc>
          <w:tcPr>
            <w:tcW w:w="1080" w:type="dxa"/>
            <w:shd w:val="clear" w:color="auto" w:fill="auto"/>
            <w:noWrap/>
            <w:vAlign w:val="center"/>
            <w:hideMark/>
          </w:tcPr>
          <w:p w:rsidRPr="00925658" w:rsidR="00AC7EA0" w:rsidP="00AC7EA0" w:rsidRDefault="00AC7EA0" w14:paraId="69C73716" w14:textId="64F7A3F1">
            <w:pPr>
              <w:spacing w:after="0"/>
              <w:rPr>
                <w:sz w:val="20"/>
                <w:szCs w:val="20"/>
              </w:rPr>
            </w:pPr>
            <w:r w:rsidRPr="00CC2BFB">
              <w:rPr>
                <w:rFonts w:eastAsia="Calibri"/>
                <w:sz w:val="20"/>
                <w:szCs w:val="20"/>
              </w:rPr>
              <w:t>1</w:t>
            </w:r>
            <w:r>
              <w:rPr>
                <w:rFonts w:eastAsia="Calibri"/>
                <w:sz w:val="20"/>
                <w:szCs w:val="20"/>
              </w:rPr>
              <w:t>6,878</w:t>
            </w:r>
          </w:p>
        </w:tc>
      </w:tr>
      <w:tr w:rsidRPr="00C47150" w:rsidR="00AC7EA0" w:rsidTr="00A37DA3" w14:paraId="7F908E4E"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C54D26" w:rsidR="00AC7EA0" w:rsidP="00AC7EA0" w:rsidRDefault="00AC7EA0" w14:paraId="02929A44" w14:textId="7B495679">
            <w:pPr>
              <w:spacing w:after="0"/>
              <w:rPr>
                <w:sz w:val="20"/>
                <w:szCs w:val="20"/>
              </w:rPr>
            </w:pPr>
            <w:r w:rsidRPr="00CC2BFB">
              <w:rPr>
                <w:rFonts w:eastAsia="Calibri"/>
                <w:sz w:val="20"/>
                <w:szCs w:val="20"/>
              </w:rPr>
              <w:t xml:space="preserve">Total # of Respondents (Groups, Virtual Groups, and Individual Clinicians) to submit improvement activities data on behalf of clinicians during the 2020 MIPS performance period (CY 2020 </w:t>
            </w:r>
            <w:r>
              <w:rPr>
                <w:rFonts w:eastAsia="Calibri"/>
                <w:sz w:val="20"/>
                <w:szCs w:val="20"/>
              </w:rPr>
              <w:t>Final</w:t>
            </w:r>
            <w:r w:rsidRPr="00CC2BFB">
              <w:rPr>
                <w:rFonts w:eastAsia="Calibri"/>
                <w:sz w:val="20"/>
                <w:szCs w:val="20"/>
              </w:rPr>
              <w:t xml:space="preserve"> Rule) (</w:t>
            </w:r>
            <w:r>
              <w:rPr>
                <w:rFonts w:eastAsia="Calibri"/>
                <w:sz w:val="20"/>
                <w:szCs w:val="20"/>
              </w:rPr>
              <w:t>c</w:t>
            </w:r>
            <w:r w:rsidRPr="00CC2BFB">
              <w:rPr>
                <w:rFonts w:eastAsia="Calibri"/>
                <w:sz w:val="20"/>
                <w:szCs w:val="20"/>
              </w:rPr>
              <w:t>) = (a) + (b)</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5658" w:rsidR="00AC7EA0" w:rsidP="00AC7EA0" w:rsidRDefault="00AC7EA0" w14:paraId="4D34D9B3" w14:textId="30838B01">
            <w:pPr>
              <w:spacing w:after="0"/>
              <w:rPr>
                <w:sz w:val="20"/>
                <w:szCs w:val="20"/>
              </w:rPr>
            </w:pPr>
            <w:r w:rsidRPr="00CC2BFB">
              <w:rPr>
                <w:rFonts w:eastAsia="Calibri"/>
                <w:sz w:val="20"/>
                <w:szCs w:val="20"/>
              </w:rPr>
              <w:t>1</w:t>
            </w:r>
            <w:r>
              <w:rPr>
                <w:rFonts w:eastAsia="Calibri"/>
                <w:sz w:val="20"/>
                <w:szCs w:val="20"/>
              </w:rPr>
              <w:t>03,813</w:t>
            </w:r>
          </w:p>
        </w:tc>
      </w:tr>
      <w:tr w:rsidRPr="00C47150" w:rsidR="00AC7EA0" w:rsidTr="00A37DA3" w14:paraId="0D5F12E7"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AC7EA0" w:rsidP="00AC7EA0" w:rsidRDefault="00AC7EA0" w14:paraId="67B034DA" w14:textId="43D7C08A">
            <w:pPr>
              <w:spacing w:after="0"/>
              <w:rPr>
                <w:sz w:val="20"/>
                <w:szCs w:val="20"/>
              </w:rPr>
            </w:pPr>
            <w:r w:rsidRPr="00CC2BFB">
              <w:rPr>
                <w:rFonts w:eastAsia="Calibri"/>
                <w:sz w:val="20"/>
                <w:szCs w:val="20"/>
              </w:rPr>
              <w:t>*Total # of Respondents (Groups, Virtual Groups, and Individual Clinicians) to submit improvement activities data on behalf of clinicians during the 2019 MIPS performance period (CY 2019 Final Rule) (</w:t>
            </w:r>
            <w:r>
              <w:rPr>
                <w:rFonts w:eastAsia="Calibri"/>
                <w:sz w:val="20"/>
                <w:szCs w:val="20"/>
              </w:rPr>
              <w:t>d</w:t>
            </w:r>
            <w:r w:rsidRPr="00CC2BFB">
              <w:rPr>
                <w:rFonts w:eastAsia="Calibri"/>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925658" w:rsidR="00AC7EA0" w:rsidP="00AC7EA0" w:rsidRDefault="00AC7EA0" w14:paraId="6DE88C66" w14:textId="3FC073E9">
            <w:pPr>
              <w:spacing w:after="0"/>
              <w:rPr>
                <w:sz w:val="20"/>
                <w:szCs w:val="20"/>
              </w:rPr>
            </w:pPr>
            <w:r w:rsidRPr="00CC2BFB">
              <w:rPr>
                <w:rFonts w:eastAsia="Calibri"/>
                <w:sz w:val="20"/>
                <w:szCs w:val="20"/>
              </w:rPr>
              <w:t>136,004</w:t>
            </w:r>
          </w:p>
        </w:tc>
      </w:tr>
      <w:tr w:rsidRPr="00C47150" w:rsidR="00AC7EA0" w:rsidTr="00A37DA3" w14:paraId="700E97FD" w14:textId="77777777">
        <w:trPr>
          <w:trHeight w:val="314"/>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AC7EA0" w:rsidP="00AC7EA0" w:rsidRDefault="00AC7EA0" w14:paraId="1364E67C" w14:textId="02CF4302">
            <w:pPr>
              <w:spacing w:after="0"/>
              <w:rPr>
                <w:sz w:val="20"/>
                <w:szCs w:val="20"/>
              </w:rPr>
            </w:pPr>
            <w:r w:rsidRPr="00CC2BFB">
              <w:rPr>
                <w:rFonts w:eastAsia="Calibri"/>
                <w:b/>
                <w:sz w:val="20"/>
                <w:szCs w:val="20"/>
              </w:rPr>
              <w:t>Difference (</w:t>
            </w:r>
            <w:r>
              <w:rPr>
                <w:rFonts w:eastAsia="Calibri"/>
                <w:b/>
                <w:sz w:val="20"/>
                <w:szCs w:val="20"/>
              </w:rPr>
              <w:t>e</w:t>
            </w:r>
            <w:r w:rsidRPr="00CC2BFB">
              <w:rPr>
                <w:rFonts w:eastAsia="Calibri"/>
                <w:b/>
                <w:sz w:val="20"/>
                <w:szCs w:val="20"/>
              </w:rPr>
              <w:t>)=(</w:t>
            </w:r>
            <w:r>
              <w:rPr>
                <w:rFonts w:eastAsia="Calibri"/>
                <w:b/>
                <w:sz w:val="20"/>
                <w:szCs w:val="20"/>
              </w:rPr>
              <w:t>c</w:t>
            </w:r>
            <w:r w:rsidRPr="00CC2BFB">
              <w:rPr>
                <w:rFonts w:eastAsia="Calibri"/>
                <w:b/>
                <w:sz w:val="20"/>
                <w:szCs w:val="20"/>
              </w:rPr>
              <w:t>)-(</w:t>
            </w:r>
            <w:r>
              <w:rPr>
                <w:rFonts w:eastAsia="Calibri"/>
                <w:b/>
                <w:sz w:val="20"/>
                <w:szCs w:val="20"/>
              </w:rPr>
              <w:t>d</w:t>
            </w:r>
            <w:r w:rsidRPr="00CC2BFB">
              <w:rPr>
                <w:rFonts w:eastAsia="Calibri"/>
                <w:b/>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00AC7EA0" w:rsidP="00AC7EA0" w:rsidRDefault="00AC7EA0" w14:paraId="20EAF03A" w14:textId="11766949">
            <w:pPr>
              <w:spacing w:after="0"/>
              <w:rPr>
                <w:sz w:val="20"/>
                <w:szCs w:val="20"/>
              </w:rPr>
            </w:pPr>
            <w:r w:rsidRPr="00CC2BFB">
              <w:rPr>
                <w:rFonts w:eastAsia="Calibri"/>
                <w:b/>
                <w:sz w:val="20"/>
                <w:szCs w:val="20"/>
              </w:rPr>
              <w:t>-</w:t>
            </w:r>
            <w:r>
              <w:rPr>
                <w:rFonts w:eastAsia="Calibri"/>
                <w:b/>
                <w:sz w:val="20"/>
                <w:szCs w:val="20"/>
              </w:rPr>
              <w:t>32,191</w:t>
            </w:r>
          </w:p>
        </w:tc>
      </w:tr>
      <w:bookmarkEnd w:id="14"/>
    </w:tbl>
    <w:p w:rsidR="000160D9" w:rsidP="000160D9" w:rsidRDefault="000160D9" w14:paraId="636734EA" w14:textId="5BE7996B">
      <w:pPr>
        <w:ind w:firstLine="720"/>
      </w:pPr>
    </w:p>
    <w:p w:rsidRPr="006C27F8" w:rsidR="006C27F8" w:rsidP="00E12B53" w:rsidRDefault="00B53D3A" w14:paraId="2AA3FABB" w14:textId="2706C990">
      <w:pPr>
        <w:rPr>
          <w:rFonts w:eastAsia="Calibri"/>
        </w:rPr>
      </w:pPr>
      <w:bookmarkStart w:name="_Hlk516985727" w:id="15"/>
      <w:r w:rsidRPr="00CC2BFB">
        <w:rPr>
          <w:rFonts w:eastAsia="Calibri"/>
        </w:rPr>
        <w:t>Consistent with the CY 2019 PFS final rule, we estimate that the per response time required per individual or group is 5 minutes at $90.02/hr for a computer system analyst to submit by logging in and manually attesting that certain activities were performed in the form and manner specified by CMS with a set of authenticated credentials (83 FR 60016</w:t>
      </w:r>
      <w:r w:rsidRPr="00215A6C" w:rsidR="00215A6C">
        <w:rPr>
          <w:rFonts w:eastAsia="Calibri"/>
        </w:rPr>
        <w:t>).</w:t>
      </w:r>
      <w:r w:rsidR="00215A6C">
        <w:rPr>
          <w:rFonts w:eastAsia="Calibri"/>
        </w:rPr>
        <w:t xml:space="preserve">  </w:t>
      </w:r>
      <w:r w:rsidRPr="006C27F8" w:rsidR="006C27F8">
        <w:rPr>
          <w:rFonts w:eastAsia="Calibri"/>
        </w:rPr>
        <w:t xml:space="preserve">  </w:t>
      </w:r>
    </w:p>
    <w:p w:rsidRPr="003428D4" w:rsidR="00D92164" w:rsidP="00E12B53" w:rsidRDefault="006C27F8" w14:paraId="7D2FD4C7" w14:textId="402C42C5">
      <w:pPr>
        <w:rPr>
          <w:rFonts w:eastAsia="Calibri"/>
        </w:rPr>
      </w:pPr>
      <w:r w:rsidRPr="006C27F8">
        <w:rPr>
          <w:rFonts w:eastAsia="Calibri"/>
        </w:rPr>
        <w:t xml:space="preserve">As shown in Table </w:t>
      </w:r>
      <w:r>
        <w:rPr>
          <w:rFonts w:eastAsia="Calibri"/>
        </w:rPr>
        <w:t>21</w:t>
      </w:r>
      <w:r w:rsidRPr="006C27F8">
        <w:rPr>
          <w:rFonts w:eastAsia="Calibri"/>
        </w:rPr>
        <w:t xml:space="preserve">, </w:t>
      </w:r>
      <w:r w:rsidRPr="0056401B" w:rsidR="0056401B">
        <w:rPr>
          <w:rFonts w:eastAsia="Calibri"/>
        </w:rPr>
        <w:t xml:space="preserve">we </w:t>
      </w:r>
      <w:r w:rsidRPr="00CC2BFB" w:rsidR="004F1E7A">
        <w:rPr>
          <w:rFonts w:eastAsia="Calibri"/>
        </w:rPr>
        <w:t xml:space="preserve">estimate an annual burden of </w:t>
      </w:r>
      <w:r w:rsidR="004F1E7A">
        <w:rPr>
          <w:rFonts w:eastAsia="Calibri"/>
        </w:rPr>
        <w:t>8,651</w:t>
      </w:r>
      <w:r w:rsidRPr="00CC2BFB" w:rsidR="004F1E7A">
        <w:rPr>
          <w:rFonts w:eastAsia="Calibri"/>
        </w:rPr>
        <w:t xml:space="preserve"> hours (1</w:t>
      </w:r>
      <w:r w:rsidR="004F1E7A">
        <w:rPr>
          <w:rFonts w:eastAsia="Calibri"/>
        </w:rPr>
        <w:t>03,813</w:t>
      </w:r>
      <w:r w:rsidRPr="00CC2BFB" w:rsidR="004F1E7A">
        <w:rPr>
          <w:rFonts w:eastAsia="Calibri"/>
        </w:rPr>
        <w:t xml:space="preserve"> responses x 5 minutes/60) at a cost of $</w:t>
      </w:r>
      <w:bookmarkStart w:name="_Hlk495399752" w:id="16"/>
      <w:r w:rsidR="004F1E7A">
        <w:rPr>
          <w:rFonts w:eastAsia="Calibri"/>
        </w:rPr>
        <w:t>778,771</w:t>
      </w:r>
      <w:r w:rsidRPr="00CC2BFB" w:rsidR="004F1E7A">
        <w:rPr>
          <w:rFonts w:eastAsia="Calibri"/>
        </w:rPr>
        <w:t xml:space="preserve"> (</w:t>
      </w:r>
      <w:bookmarkStart w:name="_Hlk495684859" w:id="17"/>
      <w:r w:rsidR="004F1E7A">
        <w:rPr>
          <w:rFonts w:eastAsia="Calibri"/>
        </w:rPr>
        <w:t>8,651</w:t>
      </w:r>
      <w:r w:rsidRPr="00CC2BFB" w:rsidR="004F1E7A">
        <w:rPr>
          <w:rFonts w:eastAsia="Calibri"/>
        </w:rPr>
        <w:t xml:space="preserve"> hr </w:t>
      </w:r>
      <w:bookmarkEnd w:id="16"/>
      <w:bookmarkEnd w:id="17"/>
      <w:r w:rsidRPr="00CC2BFB" w:rsidR="004F1E7A">
        <w:rPr>
          <w:rFonts w:eastAsia="Calibri"/>
        </w:rPr>
        <w:t>x $90.02/hr</w:t>
      </w:r>
      <w:r w:rsidRPr="0056401B" w:rsidR="0056401B">
        <w:rPr>
          <w:rFonts w:eastAsia="Calibri"/>
        </w:rPr>
        <w:t>)</w:t>
      </w:r>
      <w:r w:rsidRPr="006C27F8">
        <w:rPr>
          <w:rFonts w:eastAsia="Calibri"/>
        </w:rPr>
        <w:t xml:space="preserve">.  </w:t>
      </w:r>
      <w:bookmarkEnd w:id="15"/>
    </w:p>
    <w:p w:rsidRPr="00C47150" w:rsidR="003C1394" w:rsidP="00334306" w:rsidRDefault="003C1394" w14:paraId="56075C5B" w14:textId="33A7B7F5">
      <w:pPr>
        <w:keepNext/>
        <w:keepLines/>
        <w:spacing w:after="0"/>
        <w:jc w:val="center"/>
        <w:rPr>
          <w:b/>
          <w:bCs/>
        </w:rPr>
      </w:pPr>
      <w:r w:rsidRPr="00C47150">
        <w:rPr>
          <w:b/>
          <w:bCs/>
        </w:rPr>
        <w:t xml:space="preserve">TABLE </w:t>
      </w:r>
      <w:r w:rsidR="00537CEB">
        <w:rPr>
          <w:b/>
          <w:bCs/>
        </w:rPr>
        <w:t>21</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24"/>
        <w:gridCol w:w="2116"/>
      </w:tblGrid>
      <w:tr w:rsidRPr="00C47150" w:rsidR="003C1394" w:rsidTr="00FC7A11" w14:paraId="4AAF1375" w14:textId="77777777">
        <w:trPr>
          <w:cantSplit/>
          <w:trHeight w:val="300"/>
          <w:tblHeader/>
        </w:trPr>
        <w:tc>
          <w:tcPr>
            <w:tcW w:w="7724" w:type="dxa"/>
            <w:tcBorders>
              <w:bottom w:val="single" w:color="auto" w:sz="4" w:space="0"/>
            </w:tcBorders>
            <w:shd w:val="clear" w:color="auto" w:fill="auto"/>
            <w:hideMark/>
          </w:tcPr>
          <w:p w:rsidRPr="00925658" w:rsidR="003C1394" w:rsidP="00334306" w:rsidRDefault="003C1394" w14:paraId="736EEA52" w14:textId="77777777">
            <w:pPr>
              <w:keepNext/>
              <w:keepLines/>
              <w:spacing w:after="0"/>
              <w:rPr>
                <w:b/>
                <w:sz w:val="20"/>
                <w:szCs w:val="20"/>
              </w:rPr>
            </w:pPr>
            <w:bookmarkStart w:name="_Hlk495399780" w:id="18"/>
            <w:r w:rsidRPr="00925658">
              <w:rPr>
                <w:b/>
                <w:sz w:val="20"/>
                <w:szCs w:val="20"/>
              </w:rPr>
              <w:t> </w:t>
            </w:r>
          </w:p>
        </w:tc>
        <w:tc>
          <w:tcPr>
            <w:tcW w:w="2116" w:type="dxa"/>
            <w:tcBorders>
              <w:bottom w:val="single" w:color="auto" w:sz="4" w:space="0"/>
            </w:tcBorders>
            <w:shd w:val="clear" w:color="auto" w:fill="auto"/>
            <w:vAlign w:val="center"/>
            <w:hideMark/>
          </w:tcPr>
          <w:p w:rsidRPr="00925658" w:rsidR="003C1394" w:rsidP="00334306" w:rsidRDefault="003C1394" w14:paraId="01202EC6" w14:textId="77777777">
            <w:pPr>
              <w:keepNext/>
              <w:keepLines/>
              <w:spacing w:after="0"/>
              <w:rPr>
                <w:b/>
                <w:sz w:val="20"/>
                <w:szCs w:val="20"/>
              </w:rPr>
            </w:pPr>
            <w:r w:rsidRPr="00925658">
              <w:rPr>
                <w:b/>
                <w:sz w:val="20"/>
                <w:szCs w:val="20"/>
              </w:rPr>
              <w:t>Burden Estimate</w:t>
            </w:r>
          </w:p>
        </w:tc>
      </w:tr>
      <w:tr w:rsidRPr="00C47150" w:rsidR="00D92164" w:rsidTr="006C27F8" w14:paraId="45018D93" w14:textId="77777777">
        <w:trPr>
          <w:trHeight w:val="422"/>
        </w:trPr>
        <w:tc>
          <w:tcPr>
            <w:tcW w:w="7724" w:type="dxa"/>
            <w:shd w:val="clear" w:color="auto" w:fill="auto"/>
            <w:hideMark/>
          </w:tcPr>
          <w:p w:rsidRPr="00925658" w:rsidR="00D92164" w:rsidP="00D92164" w:rsidRDefault="00D92164" w14:paraId="398A4BD1" w14:textId="77777777">
            <w:pPr>
              <w:spacing w:after="0"/>
              <w:rPr>
                <w:sz w:val="20"/>
                <w:szCs w:val="20"/>
              </w:rPr>
            </w:pPr>
            <w:r w:rsidRPr="00925658">
              <w:rPr>
                <w:sz w:val="20"/>
                <w:szCs w:val="20"/>
              </w:rPr>
              <w:t>Total # of Respondents (Groups, Virtual Groups, and Individual Clinicians) to submit improvement activities data on behalf of clinicians during the 2019 MIPS performance period</w:t>
            </w:r>
            <w:r w:rsidRPr="00925658" w:rsidDel="00A72B9F">
              <w:rPr>
                <w:sz w:val="20"/>
                <w:szCs w:val="20"/>
              </w:rPr>
              <w:t xml:space="preserve"> </w:t>
            </w:r>
            <w:r w:rsidRPr="00925658">
              <w:rPr>
                <w:sz w:val="20"/>
                <w:szCs w:val="20"/>
              </w:rPr>
              <w:t>(a)</w:t>
            </w:r>
          </w:p>
        </w:tc>
        <w:tc>
          <w:tcPr>
            <w:tcW w:w="2116" w:type="dxa"/>
            <w:shd w:val="clear" w:color="auto" w:fill="auto"/>
            <w:vAlign w:val="center"/>
            <w:hideMark/>
          </w:tcPr>
          <w:p w:rsidRPr="00925658" w:rsidR="00D92164" w:rsidP="00D92164" w:rsidRDefault="00D92164" w14:paraId="098B6DD7" w14:textId="22928FD7">
            <w:pPr>
              <w:spacing w:after="0"/>
              <w:rPr>
                <w:sz w:val="20"/>
                <w:szCs w:val="20"/>
              </w:rPr>
            </w:pPr>
            <w:r>
              <w:rPr>
                <w:rFonts w:eastAsia="Calibri"/>
                <w:sz w:val="20"/>
                <w:szCs w:val="20"/>
              </w:rPr>
              <w:t>1</w:t>
            </w:r>
            <w:r w:rsidR="00DB63D5">
              <w:rPr>
                <w:rFonts w:eastAsia="Calibri"/>
                <w:sz w:val="20"/>
                <w:szCs w:val="20"/>
              </w:rPr>
              <w:t>03,813</w:t>
            </w:r>
          </w:p>
        </w:tc>
      </w:tr>
      <w:tr w:rsidRPr="00C47150" w:rsidR="00D92164" w:rsidTr="00390730" w14:paraId="2D5DD2D8" w14:textId="77777777">
        <w:trPr>
          <w:trHeight w:val="268"/>
        </w:trPr>
        <w:tc>
          <w:tcPr>
            <w:tcW w:w="7724" w:type="dxa"/>
            <w:shd w:val="clear" w:color="auto" w:fill="auto"/>
            <w:hideMark/>
          </w:tcPr>
          <w:p w:rsidRPr="00925658" w:rsidR="00D92164" w:rsidP="00D92164" w:rsidRDefault="00D92164" w14:paraId="67A10A48" w14:textId="77777777">
            <w:pPr>
              <w:spacing w:after="0"/>
              <w:rPr>
                <w:sz w:val="20"/>
                <w:szCs w:val="20"/>
              </w:rPr>
            </w:pPr>
            <w:r w:rsidRPr="00732012">
              <w:rPr>
                <w:sz w:val="20"/>
                <w:szCs w:val="20"/>
              </w:rPr>
              <w:t xml:space="preserve">Total Annual Hours Per Respondent (b) </w:t>
            </w:r>
          </w:p>
        </w:tc>
        <w:tc>
          <w:tcPr>
            <w:tcW w:w="2116" w:type="dxa"/>
            <w:shd w:val="clear" w:color="auto" w:fill="auto"/>
            <w:vAlign w:val="center"/>
            <w:hideMark/>
          </w:tcPr>
          <w:p w:rsidRPr="00925658" w:rsidR="00D92164" w:rsidP="00D92164" w:rsidRDefault="00D92164" w14:paraId="281449BE" w14:textId="78224107">
            <w:pPr>
              <w:spacing w:after="0"/>
              <w:rPr>
                <w:sz w:val="20"/>
                <w:szCs w:val="20"/>
              </w:rPr>
            </w:pPr>
            <w:r w:rsidRPr="00317099">
              <w:rPr>
                <w:rFonts w:eastAsia="Calibri"/>
                <w:sz w:val="20"/>
                <w:szCs w:val="20"/>
              </w:rPr>
              <w:t>5 minutes</w:t>
            </w:r>
          </w:p>
        </w:tc>
      </w:tr>
      <w:tr w:rsidRPr="00C47150" w:rsidR="00D92164" w:rsidTr="00390730" w14:paraId="73D51D54" w14:textId="77777777">
        <w:trPr>
          <w:trHeight w:val="215"/>
        </w:trPr>
        <w:tc>
          <w:tcPr>
            <w:tcW w:w="7724" w:type="dxa"/>
            <w:shd w:val="clear" w:color="auto" w:fill="D9D9D9" w:themeFill="background1" w:themeFillShade="D9"/>
            <w:hideMark/>
          </w:tcPr>
          <w:p w:rsidRPr="0042686B" w:rsidR="00D92164" w:rsidP="00D92164" w:rsidRDefault="00D92164" w14:paraId="036E73A0" w14:textId="77777777">
            <w:pPr>
              <w:spacing w:after="0"/>
              <w:rPr>
                <w:b/>
                <w:sz w:val="20"/>
                <w:szCs w:val="20"/>
              </w:rPr>
            </w:pPr>
            <w:r w:rsidRPr="0042686B">
              <w:rPr>
                <w:b/>
                <w:sz w:val="20"/>
                <w:szCs w:val="20"/>
              </w:rPr>
              <w:t xml:space="preserve">Total Annual Hours (c) </w:t>
            </w:r>
          </w:p>
        </w:tc>
        <w:tc>
          <w:tcPr>
            <w:tcW w:w="2116" w:type="dxa"/>
            <w:shd w:val="clear" w:color="auto" w:fill="D9D9D9" w:themeFill="background1" w:themeFillShade="D9"/>
            <w:vAlign w:val="center"/>
            <w:hideMark/>
          </w:tcPr>
          <w:p w:rsidRPr="0042686B" w:rsidR="00D92164" w:rsidP="00D92164" w:rsidRDefault="00DB63D5" w14:paraId="3F567BB8" w14:textId="2B79F3D5">
            <w:pPr>
              <w:spacing w:after="0"/>
              <w:rPr>
                <w:b/>
                <w:sz w:val="20"/>
                <w:szCs w:val="20"/>
              </w:rPr>
            </w:pPr>
            <w:r>
              <w:rPr>
                <w:b/>
                <w:sz w:val="20"/>
                <w:szCs w:val="20"/>
              </w:rPr>
              <w:t>8,651</w:t>
            </w:r>
          </w:p>
        </w:tc>
      </w:tr>
      <w:tr w:rsidRPr="00C47150" w:rsidR="00D92164" w:rsidTr="00390730" w14:paraId="64C3627A" w14:textId="77777777">
        <w:trPr>
          <w:trHeight w:val="305"/>
        </w:trPr>
        <w:tc>
          <w:tcPr>
            <w:tcW w:w="7724" w:type="dxa"/>
            <w:shd w:val="clear" w:color="auto" w:fill="auto"/>
            <w:hideMark/>
          </w:tcPr>
          <w:p w:rsidRPr="00925658" w:rsidR="00D92164" w:rsidP="00D92164" w:rsidRDefault="00D92164" w14:paraId="51D31766" w14:textId="77777777">
            <w:pPr>
              <w:spacing w:after="0"/>
              <w:rPr>
                <w:sz w:val="20"/>
                <w:szCs w:val="20"/>
              </w:rPr>
            </w:pPr>
            <w:r w:rsidRPr="00732012">
              <w:rPr>
                <w:sz w:val="20"/>
                <w:szCs w:val="20"/>
              </w:rPr>
              <w:t>Labor rate for a computer systems analyst to submit improvement activities (d)</w:t>
            </w:r>
          </w:p>
        </w:tc>
        <w:tc>
          <w:tcPr>
            <w:tcW w:w="2116" w:type="dxa"/>
            <w:shd w:val="clear" w:color="auto" w:fill="auto"/>
            <w:vAlign w:val="center"/>
            <w:hideMark/>
          </w:tcPr>
          <w:p w:rsidRPr="00925658" w:rsidR="00D92164" w:rsidP="00D92164" w:rsidRDefault="00D92164" w14:paraId="2A3595DF" w14:textId="3BE2293A">
            <w:pPr>
              <w:spacing w:after="0"/>
              <w:rPr>
                <w:sz w:val="20"/>
                <w:szCs w:val="20"/>
              </w:rPr>
            </w:pPr>
            <w:r w:rsidRPr="00317099">
              <w:rPr>
                <w:rFonts w:eastAsia="Calibri"/>
                <w:sz w:val="20"/>
                <w:szCs w:val="20"/>
              </w:rPr>
              <w:t>$</w:t>
            </w:r>
            <w:r w:rsidR="002B67EB">
              <w:rPr>
                <w:rFonts w:eastAsia="Calibri"/>
                <w:sz w:val="20"/>
                <w:szCs w:val="20"/>
              </w:rPr>
              <w:t>90.02</w:t>
            </w:r>
            <w:r w:rsidRPr="00317099">
              <w:rPr>
                <w:rFonts w:eastAsia="Calibri"/>
                <w:sz w:val="20"/>
                <w:szCs w:val="20"/>
              </w:rPr>
              <w:t>/hr</w:t>
            </w:r>
          </w:p>
        </w:tc>
      </w:tr>
      <w:tr w:rsidRPr="00C47150" w:rsidR="00D92164" w:rsidTr="00390730" w14:paraId="0BD46FBD" w14:textId="77777777">
        <w:trPr>
          <w:trHeight w:val="300"/>
        </w:trPr>
        <w:tc>
          <w:tcPr>
            <w:tcW w:w="7724" w:type="dxa"/>
            <w:shd w:val="clear" w:color="auto" w:fill="D9D9D9" w:themeFill="background1" w:themeFillShade="D9"/>
            <w:hideMark/>
          </w:tcPr>
          <w:p w:rsidRPr="0042686B" w:rsidR="00D92164" w:rsidP="00D92164" w:rsidRDefault="00D92164" w14:paraId="36A5D3B0" w14:textId="46B91C98">
            <w:pPr>
              <w:spacing w:after="0"/>
              <w:rPr>
                <w:b/>
                <w:sz w:val="20"/>
                <w:szCs w:val="20"/>
              </w:rPr>
            </w:pPr>
            <w:r w:rsidRPr="0042686B">
              <w:rPr>
                <w:b/>
                <w:sz w:val="20"/>
                <w:szCs w:val="20"/>
              </w:rPr>
              <w:t>Total Annual Cost (e) = (</w:t>
            </w:r>
            <w:r w:rsidR="00DB63D5">
              <w:rPr>
                <w:b/>
                <w:sz w:val="20"/>
                <w:szCs w:val="20"/>
              </w:rPr>
              <w:t>c</w:t>
            </w:r>
            <w:r w:rsidRPr="0042686B">
              <w:rPr>
                <w:b/>
                <w:sz w:val="20"/>
                <w:szCs w:val="20"/>
              </w:rPr>
              <w:t>)*(d)</w:t>
            </w:r>
          </w:p>
        </w:tc>
        <w:tc>
          <w:tcPr>
            <w:tcW w:w="2116" w:type="dxa"/>
            <w:shd w:val="clear" w:color="auto" w:fill="D9D9D9" w:themeFill="background1" w:themeFillShade="D9"/>
            <w:vAlign w:val="center"/>
            <w:hideMark/>
          </w:tcPr>
          <w:p w:rsidRPr="0042686B" w:rsidR="00D92164" w:rsidP="00D92164" w:rsidRDefault="00D92164" w14:paraId="12B6D9F6" w14:textId="2209B87B">
            <w:pPr>
              <w:spacing w:after="0"/>
              <w:rPr>
                <w:b/>
                <w:sz w:val="20"/>
                <w:szCs w:val="20"/>
              </w:rPr>
            </w:pPr>
            <w:r w:rsidRPr="0042686B">
              <w:rPr>
                <w:rFonts w:eastAsia="Calibri"/>
                <w:b/>
                <w:sz w:val="20"/>
                <w:szCs w:val="20"/>
              </w:rPr>
              <w:t>$</w:t>
            </w:r>
            <w:r w:rsidR="00DB63D5">
              <w:rPr>
                <w:rFonts w:eastAsia="Calibri"/>
                <w:b/>
                <w:sz w:val="20"/>
                <w:szCs w:val="20"/>
              </w:rPr>
              <w:t>778,771</w:t>
            </w:r>
          </w:p>
        </w:tc>
      </w:tr>
      <w:bookmarkEnd w:id="18"/>
    </w:tbl>
    <w:p w:rsidR="003C1394" w:rsidP="003C1394" w:rsidRDefault="003C1394" w14:paraId="0AE66F94" w14:textId="2F9BF022">
      <w:pPr>
        <w:ind w:firstLine="720"/>
      </w:pPr>
    </w:p>
    <w:p w:rsidR="00A7478F" w:rsidP="0095356F" w:rsidRDefault="00A7478F" w14:paraId="3015E32F" w14:textId="2016AF3A">
      <w:pPr>
        <w:pStyle w:val="Heading3"/>
        <w:numPr>
          <w:ilvl w:val="0"/>
          <w:numId w:val="32"/>
        </w:numPr>
      </w:pPr>
      <w:bookmarkStart w:name="_Hlk532899259" w:id="19"/>
      <w:r w:rsidRPr="00B05B18">
        <w:t xml:space="preserve">Burden Estimate for </w:t>
      </w:r>
      <w:r>
        <w:t>the Nomination of Improvement Activities</w:t>
      </w:r>
    </w:p>
    <w:p w:rsidRPr="00CE4A05" w:rsidR="00CE4A05" w:rsidP="00E12B53" w:rsidRDefault="002414E6" w14:paraId="0247242F" w14:textId="74709B88">
      <w:pPr>
        <w:rPr>
          <w:rFonts w:eastAsia="Calibri"/>
        </w:rPr>
      </w:pPr>
      <w:bookmarkStart w:name="_Hlk497143230" w:id="20"/>
      <w:bookmarkEnd w:id="19"/>
      <w:r>
        <w:rPr>
          <w:rFonts w:eastAsia="Calibri"/>
        </w:rPr>
        <w:t>S</w:t>
      </w:r>
      <w:r w:rsidRPr="00CC2BFB" w:rsidR="004E2923">
        <w:rPr>
          <w:rFonts w:eastAsia="Calibri"/>
        </w:rPr>
        <w:t xml:space="preserve">takeholders </w:t>
      </w:r>
      <w:r>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20"/>
      <w:r w:rsidRPr="00CC2BFB" w:rsidR="004E2923">
        <w:rPr>
          <w:rFonts w:eastAsia="Calibri"/>
        </w:rPr>
        <w:t>The 201</w:t>
      </w:r>
      <w:r w:rsidR="004E2923">
        <w:rPr>
          <w:rFonts w:eastAsia="Calibri"/>
        </w:rPr>
        <w:t>9</w:t>
      </w:r>
      <w:r w:rsidRPr="00CC2BFB" w:rsidR="004E2923">
        <w:rPr>
          <w:rFonts w:eastAsia="Calibri"/>
        </w:rPr>
        <w:t xml:space="preserve"> Annual Call for Activities lasted from </w:t>
      </w:r>
      <w:r w:rsidRPr="00643CA7" w:rsidR="004E2923">
        <w:rPr>
          <w:rFonts w:eastAsia="Calibri"/>
        </w:rPr>
        <w:t xml:space="preserve">February 1, 2019 </w:t>
      </w:r>
      <w:r w:rsidRPr="00CC2BFB" w:rsidR="004E2923">
        <w:rPr>
          <w:rFonts w:eastAsia="Calibri"/>
        </w:rPr>
        <w:t xml:space="preserve">through </w:t>
      </w:r>
      <w:r w:rsidRPr="00F90569" w:rsidR="004E2923">
        <w:rPr>
          <w:rFonts w:eastAsia="Calibri"/>
        </w:rPr>
        <w:t>July</w:t>
      </w:r>
      <w:r w:rsidRPr="0007488E" w:rsidR="004E2923">
        <w:rPr>
          <w:rFonts w:eastAsia="Calibri"/>
        </w:rPr>
        <w:t xml:space="preserve"> 1, 201</w:t>
      </w:r>
      <w:r w:rsidRPr="00F90569" w:rsidR="004E2923">
        <w:rPr>
          <w:rFonts w:eastAsia="Calibri"/>
        </w:rPr>
        <w:t>9</w:t>
      </w:r>
      <w:r w:rsidRPr="0007488E" w:rsidR="004E2923">
        <w:rPr>
          <w:rFonts w:eastAsia="Calibri"/>
        </w:rPr>
        <w:t>,</w:t>
      </w:r>
      <w:r w:rsidRPr="00CC2BFB" w:rsidR="004E2923">
        <w:rPr>
          <w:rFonts w:eastAsia="Calibri"/>
        </w:rPr>
        <w:t xml:space="preserve"> during which we received </w:t>
      </w:r>
      <w:r w:rsidRPr="00F90569" w:rsidR="004E2923">
        <w:rPr>
          <w:rFonts w:eastAsia="Calibri"/>
        </w:rPr>
        <w:t>31</w:t>
      </w:r>
      <w:r w:rsidRPr="00BB5951" w:rsidR="004E2923">
        <w:rPr>
          <w:rFonts w:eastAsia="Calibri"/>
        </w:rPr>
        <w:t xml:space="preserve"> nominations of </w:t>
      </w:r>
      <w:r w:rsidRPr="0034322C" w:rsidR="004E2923">
        <w:rPr>
          <w:rFonts w:eastAsia="Calibri"/>
        </w:rPr>
        <w:t xml:space="preserve">new or modified activities which </w:t>
      </w:r>
      <w:r w:rsidRPr="00BB5951" w:rsidR="004E2923">
        <w:rPr>
          <w:rFonts w:eastAsia="Calibri"/>
        </w:rPr>
        <w:t xml:space="preserve">will be evaluated for the Improvement Activities Under Consideration (IAUC) list for possible inclusion in the CY 2020 Improvement Activities Inventory.  Based on the number of improvement activity nominations received in the CY 2019 Annual Call for Activities, we estimate that we will receive </w:t>
      </w:r>
      <w:r w:rsidRPr="00F90569" w:rsidR="004E2923">
        <w:rPr>
          <w:rFonts w:eastAsia="Calibri"/>
        </w:rPr>
        <w:t>31</w:t>
      </w:r>
      <w:r w:rsidRPr="00BB5951" w:rsidR="004E2923">
        <w:rPr>
          <w:rFonts w:eastAsia="Calibri"/>
        </w:rPr>
        <w:t xml:space="preserve"> nominations for the 2020 Annual Call for Activities, which is a</w:t>
      </w:r>
      <w:r w:rsidRPr="0034322C" w:rsidR="004E2923">
        <w:rPr>
          <w:rFonts w:eastAsia="Calibri"/>
        </w:rPr>
        <w:t xml:space="preserve"> </w:t>
      </w:r>
      <w:r w:rsidRPr="00F90569" w:rsidR="004E2923">
        <w:rPr>
          <w:rFonts w:eastAsia="Calibri"/>
        </w:rPr>
        <w:t>de</w:t>
      </w:r>
      <w:r w:rsidRPr="00BB5951" w:rsidR="004E2923">
        <w:rPr>
          <w:rFonts w:eastAsia="Calibri"/>
        </w:rPr>
        <w:t>crease</w:t>
      </w:r>
      <w:r w:rsidRPr="0034322C" w:rsidR="004E2923">
        <w:rPr>
          <w:rFonts w:eastAsia="Calibri"/>
        </w:rPr>
        <w:t xml:space="preserve"> of </w:t>
      </w:r>
      <w:r w:rsidRPr="00F90569" w:rsidR="004E2923">
        <w:rPr>
          <w:rFonts w:eastAsia="Calibri"/>
        </w:rPr>
        <w:t>94</w:t>
      </w:r>
      <w:r w:rsidRPr="00BB5951" w:rsidR="004E2923">
        <w:rPr>
          <w:rFonts w:eastAsia="Calibri"/>
        </w:rPr>
        <w:t xml:space="preserve"> f</w:t>
      </w:r>
      <w:r w:rsidRPr="00CC2BFB" w:rsidR="004E2923">
        <w:rPr>
          <w:rFonts w:eastAsia="Calibri"/>
        </w:rPr>
        <w:t>rom the 125 nominations currently approved by OMB</w:t>
      </w:r>
      <w:r w:rsidR="004E2923">
        <w:rPr>
          <w:rFonts w:eastAsia="Calibri"/>
        </w:rPr>
        <w:t>.</w:t>
      </w:r>
    </w:p>
    <w:p w:rsidR="00BD34DC" w:rsidP="00E12B53" w:rsidRDefault="00BD34DC" w14:paraId="22DBDDC8" w14:textId="152C38A4">
      <w:pPr>
        <w:rPr>
          <w:rFonts w:eastAsia="Calibri"/>
        </w:rPr>
      </w:pPr>
      <w:r w:rsidRPr="00BD34DC">
        <w:rPr>
          <w:rFonts w:eastAsia="Calibri"/>
        </w:rPr>
        <w:t xml:space="preserve">We estimate 1.2 hours at $109.36/hr for a practice administrator or equivalent to make a strategic decision to nominate and submit that activity and 0.8 hours at $202.86/hr for a clinician’s review.  As shown in Table </w:t>
      </w:r>
      <w:r w:rsidR="00B27E76">
        <w:rPr>
          <w:rFonts w:eastAsia="Calibri"/>
        </w:rPr>
        <w:t>22</w:t>
      </w:r>
      <w:r w:rsidRPr="00BD34DC">
        <w:rPr>
          <w:rFonts w:eastAsia="Calibri"/>
        </w:rPr>
        <w:t xml:space="preserve">, </w:t>
      </w:r>
      <w:r w:rsidRPr="00CC2BFB" w:rsidR="00B27E76">
        <w:rPr>
          <w:rFonts w:eastAsia="Calibri"/>
        </w:rPr>
        <w:t xml:space="preserve">we estimate an annual burden of </w:t>
      </w:r>
      <w:r w:rsidR="00B27E76">
        <w:rPr>
          <w:rFonts w:eastAsia="Calibri"/>
        </w:rPr>
        <w:t>62</w:t>
      </w:r>
      <w:r w:rsidRPr="00CC2BFB" w:rsidR="00B27E76">
        <w:rPr>
          <w:rFonts w:eastAsia="Calibri"/>
        </w:rPr>
        <w:t xml:space="preserve"> hours (</w:t>
      </w:r>
      <w:r w:rsidR="00B27E76">
        <w:rPr>
          <w:rFonts w:eastAsia="Calibri"/>
        </w:rPr>
        <w:t>31</w:t>
      </w:r>
      <w:r w:rsidRPr="00CC2BFB" w:rsidR="00B27E76">
        <w:rPr>
          <w:rFonts w:eastAsia="Calibri"/>
        </w:rPr>
        <w:t xml:space="preserve"> nominations x 2 hr/nomination) at a cost of $</w:t>
      </w:r>
      <w:r w:rsidR="00B27E76">
        <w:rPr>
          <w:rFonts w:eastAsia="Calibri"/>
        </w:rPr>
        <w:t>9,099</w:t>
      </w:r>
      <w:r w:rsidRPr="00CC2BFB" w:rsidR="00B27E76">
        <w:rPr>
          <w:rFonts w:eastAsia="Calibri"/>
        </w:rPr>
        <w:t xml:space="preserve"> (</w:t>
      </w:r>
      <w:r w:rsidR="00B27E76">
        <w:rPr>
          <w:rFonts w:eastAsia="Calibri"/>
        </w:rPr>
        <w:t>31</w:t>
      </w:r>
      <w:r w:rsidRPr="00CC2BFB" w:rsidR="00B27E76">
        <w:rPr>
          <w:rFonts w:eastAsia="Calibri"/>
        </w:rPr>
        <w:t xml:space="preserve"> x [(1.2 hr x $109.36/hr) + (0.8 hr x $202.86/hr)</w:t>
      </w:r>
      <w:r w:rsidRPr="00BD34DC">
        <w:rPr>
          <w:rFonts w:eastAsia="Calibri"/>
        </w:rPr>
        <w:t xml:space="preserve">]).  </w:t>
      </w:r>
    </w:p>
    <w:p w:rsidRPr="00C47150" w:rsidR="00FF7AB6" w:rsidP="00FF0944" w:rsidRDefault="00FF7AB6" w14:paraId="37EC7A7E" w14:textId="50DBE3A2">
      <w:pPr>
        <w:jc w:val="center"/>
        <w:rPr>
          <w:b/>
          <w:bCs/>
        </w:rPr>
      </w:pPr>
      <w:r w:rsidRPr="00C47150">
        <w:rPr>
          <w:b/>
          <w:bCs/>
        </w:rPr>
        <w:t xml:space="preserve">TABLE </w:t>
      </w:r>
      <w:r>
        <w:rPr>
          <w:b/>
          <w:bCs/>
        </w:rPr>
        <w:t>2</w:t>
      </w:r>
      <w:r w:rsidR="00537CEB">
        <w:rPr>
          <w:b/>
          <w:bCs/>
        </w:rPr>
        <w:t>2</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A639D4" w:rsidRDefault="00FF7AB6" w14:paraId="06240DC4" w14:textId="5D69A603">
            <w:pPr>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FF7AB6" w:rsidRDefault="00FF7AB6" w14:paraId="3030D173" w14:textId="77777777">
            <w:pPr>
              <w:spacing w:after="0"/>
              <w:jc w:val="center"/>
              <w:rPr>
                <w:b/>
                <w:sz w:val="20"/>
                <w:szCs w:val="20"/>
              </w:rPr>
            </w:pPr>
            <w:r w:rsidRPr="00925658">
              <w:rPr>
                <w:b/>
                <w:sz w:val="20"/>
                <w:szCs w:val="20"/>
              </w:rPr>
              <w:t>Burden estimate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77777777">
            <w:pPr>
              <w:spacing w:after="0"/>
              <w:rPr>
                <w:sz w:val="20"/>
                <w:szCs w:val="20"/>
              </w:rPr>
            </w:pPr>
            <w:r w:rsidRPr="00732012">
              <w:rPr>
                <w:sz w:val="20"/>
                <w:szCs w:val="20"/>
              </w:rPr>
              <w:t xml:space="preserve"># of Hours Per Practice Administrator to Identify and Propose Activity (b) </w:t>
            </w:r>
          </w:p>
        </w:tc>
        <w:tc>
          <w:tcPr>
            <w:tcW w:w="1316" w:type="dxa"/>
            <w:shd w:val="clear" w:color="auto" w:fill="auto"/>
            <w:noWrap/>
            <w:hideMark/>
          </w:tcPr>
          <w:p w:rsidRPr="00925658" w:rsidR="00FF7AB6" w:rsidP="00A639D4" w:rsidRDefault="00FF7AB6" w14:paraId="04B81823" w14:textId="47D1F638">
            <w:pPr>
              <w:spacing w:after="0"/>
              <w:rPr>
                <w:sz w:val="20"/>
                <w:szCs w:val="20"/>
              </w:rPr>
            </w:pPr>
            <w:r w:rsidRPr="00925658">
              <w:rPr>
                <w:sz w:val="20"/>
                <w:szCs w:val="20"/>
              </w:rPr>
              <w:t>1.</w:t>
            </w:r>
            <w:r w:rsidR="002959F7">
              <w:rPr>
                <w:sz w:val="20"/>
                <w:szCs w:val="20"/>
              </w:rPr>
              <w:t>2</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2959F7" w14:paraId="38F7993E" w14:textId="09E6F2F3">
            <w:pPr>
              <w:spacing w:after="0"/>
              <w:rPr>
                <w:sz w:val="20"/>
                <w:szCs w:val="20"/>
              </w:rPr>
            </w:pPr>
            <w:r>
              <w:rPr>
                <w:sz w:val="20"/>
                <w:szCs w:val="20"/>
              </w:rPr>
              <w:t>0.8</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77777777">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rsidRPr="00925658" w:rsidR="00FF7AB6" w:rsidP="00A639D4" w:rsidRDefault="002959F7" w14:paraId="18593563" w14:textId="191CC202">
            <w:pPr>
              <w:spacing w:after="0"/>
              <w:rPr>
                <w:sz w:val="20"/>
                <w:szCs w:val="20"/>
              </w:rPr>
            </w:pPr>
            <w:r>
              <w:rPr>
                <w:sz w:val="20"/>
                <w:szCs w:val="20"/>
              </w:rPr>
              <w:t>2</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77777777">
            <w:pPr>
              <w:spacing w:after="0"/>
              <w:rPr>
                <w:b/>
                <w:sz w:val="20"/>
                <w:szCs w:val="20"/>
              </w:rPr>
            </w:pPr>
            <w:r w:rsidRPr="00CE4A05">
              <w:rPr>
                <w:b/>
                <w:sz w:val="20"/>
                <w:szCs w:val="20"/>
              </w:rPr>
              <w:t>Total Annual Hours (e) = (a)*(d)</w:t>
            </w:r>
          </w:p>
        </w:tc>
        <w:tc>
          <w:tcPr>
            <w:tcW w:w="1316" w:type="dxa"/>
            <w:shd w:val="clear" w:color="auto" w:fill="D9D9D9" w:themeFill="background1" w:themeFillShade="D9"/>
            <w:hideMark/>
          </w:tcPr>
          <w:p w:rsidRPr="00CE4A05" w:rsidR="00FF7AB6" w:rsidP="00A639D4" w:rsidRDefault="00F140C7" w14:paraId="759552F9" w14:textId="5508FF33">
            <w:pPr>
              <w:spacing w:after="0"/>
              <w:rPr>
                <w:b/>
                <w:sz w:val="20"/>
                <w:szCs w:val="20"/>
              </w:rPr>
            </w:pPr>
            <w:r>
              <w:rPr>
                <w:b/>
                <w:sz w:val="20"/>
                <w:szCs w:val="20"/>
              </w:rPr>
              <w:t>62</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4F3A7D9F">
            <w:pPr>
              <w:spacing w:after="0"/>
              <w:rPr>
                <w:sz w:val="20"/>
                <w:szCs w:val="20"/>
              </w:rPr>
            </w:pPr>
            <w:r w:rsidRPr="00732012">
              <w:rPr>
                <w:sz w:val="20"/>
                <w:szCs w:val="20"/>
              </w:rPr>
              <w:t>Cost to Identify and Submit Activity (@ practice administrator's labor rate of $10</w:t>
            </w:r>
            <w:r w:rsidR="002959F7">
              <w:rPr>
                <w:sz w:val="20"/>
                <w:szCs w:val="20"/>
              </w:rPr>
              <w:t>9.36</w:t>
            </w:r>
            <w:r w:rsidRPr="00732012">
              <w:rPr>
                <w:sz w:val="20"/>
                <w:szCs w:val="20"/>
              </w:rPr>
              <w:t>/hr.) (f)</w:t>
            </w:r>
          </w:p>
        </w:tc>
        <w:tc>
          <w:tcPr>
            <w:tcW w:w="1316" w:type="dxa"/>
            <w:shd w:val="clear" w:color="auto" w:fill="auto"/>
            <w:hideMark/>
          </w:tcPr>
          <w:p w:rsidRPr="00925658" w:rsidR="00FF7AB6" w:rsidP="00A639D4" w:rsidRDefault="00FF7AB6" w14:paraId="12845B76" w14:textId="41C10929">
            <w:pPr>
              <w:spacing w:after="0"/>
              <w:rPr>
                <w:sz w:val="20"/>
                <w:szCs w:val="20"/>
              </w:rPr>
            </w:pPr>
            <w:r w:rsidRPr="00925658">
              <w:rPr>
                <w:sz w:val="20"/>
                <w:szCs w:val="20"/>
              </w:rPr>
              <w:t>$1</w:t>
            </w:r>
            <w:r w:rsidR="002959F7">
              <w:rPr>
                <w:sz w:val="20"/>
                <w:szCs w:val="20"/>
              </w:rPr>
              <w:t>31.23</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5E676744">
            <w:pPr>
              <w:spacing w:after="0"/>
              <w:rPr>
                <w:sz w:val="20"/>
                <w:szCs w:val="20"/>
              </w:rPr>
            </w:pPr>
            <w:r w:rsidRPr="00732012">
              <w:rPr>
                <w:sz w:val="20"/>
                <w:szCs w:val="20"/>
              </w:rPr>
              <w:t>Cost to Identify Improvement Activity (@ physician’s labor rate of $20</w:t>
            </w:r>
            <w:r w:rsidR="002959F7">
              <w:rPr>
                <w:sz w:val="20"/>
                <w:szCs w:val="20"/>
              </w:rPr>
              <w:t>2.86</w:t>
            </w:r>
            <w:r w:rsidRPr="00732012">
              <w:rPr>
                <w:sz w:val="20"/>
                <w:szCs w:val="20"/>
              </w:rPr>
              <w:t>/hr.) (g)</w:t>
            </w:r>
          </w:p>
        </w:tc>
        <w:tc>
          <w:tcPr>
            <w:tcW w:w="1316" w:type="dxa"/>
            <w:shd w:val="clear" w:color="auto" w:fill="auto"/>
            <w:noWrap/>
            <w:hideMark/>
          </w:tcPr>
          <w:p w:rsidRPr="00925658" w:rsidR="00FF7AB6" w:rsidP="00A639D4" w:rsidRDefault="00FF7AB6" w14:paraId="72DEBBF9" w14:textId="2B438DE5">
            <w:pPr>
              <w:spacing w:after="0"/>
              <w:rPr>
                <w:sz w:val="20"/>
                <w:szCs w:val="20"/>
              </w:rPr>
            </w:pPr>
            <w:r w:rsidRPr="00925658">
              <w:rPr>
                <w:sz w:val="20"/>
                <w:szCs w:val="20"/>
              </w:rPr>
              <w:t>$</w:t>
            </w:r>
            <w:r w:rsidR="002959F7">
              <w:rPr>
                <w:sz w:val="20"/>
                <w:szCs w:val="20"/>
              </w:rPr>
              <w:t>162.29</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77777777">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rsidRPr="00925658" w:rsidR="00FF7AB6" w:rsidP="00A639D4" w:rsidRDefault="00FF7AB6" w14:paraId="7B196CF5" w14:textId="7BBEE76D">
            <w:pPr>
              <w:spacing w:after="0"/>
              <w:rPr>
                <w:sz w:val="20"/>
                <w:szCs w:val="20"/>
              </w:rPr>
            </w:pPr>
            <w:r w:rsidRPr="00925658">
              <w:rPr>
                <w:sz w:val="20"/>
                <w:szCs w:val="20"/>
              </w:rPr>
              <w:t>$</w:t>
            </w:r>
            <w:r w:rsidR="002959F7">
              <w:rPr>
                <w:sz w:val="20"/>
                <w:szCs w:val="20"/>
              </w:rPr>
              <w:t>293.52</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77777777">
            <w:pPr>
              <w:spacing w:after="0"/>
              <w:rPr>
                <w:b/>
                <w:sz w:val="20"/>
                <w:szCs w:val="20"/>
              </w:rPr>
            </w:pPr>
            <w:r w:rsidRPr="00CE4A05">
              <w:rPr>
                <w:b/>
                <w:sz w:val="20"/>
                <w:szCs w:val="20"/>
              </w:rPr>
              <w:t>Total Annual Cost (i)=(a)*(h)</w:t>
            </w:r>
          </w:p>
        </w:tc>
        <w:tc>
          <w:tcPr>
            <w:tcW w:w="1316" w:type="dxa"/>
            <w:shd w:val="clear" w:color="auto" w:fill="E7E6E6" w:themeFill="background2"/>
            <w:noWrap/>
            <w:hideMark/>
          </w:tcPr>
          <w:p w:rsidRPr="00CE4A05" w:rsidR="00FF7AB6" w:rsidP="00A639D4" w:rsidRDefault="00FF7AB6" w14:paraId="7F7D3A41" w14:textId="0D553640">
            <w:pPr>
              <w:spacing w:after="0"/>
              <w:rPr>
                <w:b/>
                <w:sz w:val="20"/>
                <w:szCs w:val="20"/>
              </w:rPr>
            </w:pPr>
            <w:r w:rsidRPr="00CE4A05">
              <w:rPr>
                <w:b/>
                <w:sz w:val="20"/>
                <w:szCs w:val="20"/>
              </w:rPr>
              <w:t>$</w:t>
            </w:r>
            <w:r w:rsidR="00F140C7">
              <w:rPr>
                <w:b/>
                <w:sz w:val="20"/>
                <w:szCs w:val="20"/>
              </w:rPr>
              <w:t>9,099</w:t>
            </w:r>
          </w:p>
        </w:tc>
      </w:tr>
    </w:tbl>
    <w:p w:rsidR="00FF7AB6" w:rsidP="00FF7AB6" w:rsidRDefault="00FF7AB6" w14:paraId="2888B3C6" w14:textId="19A3BC62">
      <w:pPr>
        <w:ind w:firstLine="720"/>
      </w:pPr>
    </w:p>
    <w:p w:rsidR="003065CD" w:rsidP="0095356F" w:rsidRDefault="003065CD" w14:paraId="2AABC24D" w14:textId="47A2EE14">
      <w:pPr>
        <w:pStyle w:val="Heading3"/>
        <w:numPr>
          <w:ilvl w:val="0"/>
          <w:numId w:val="32"/>
        </w:numPr>
      </w:pPr>
      <w:bookmarkStart w:name="_Hlk532899268" w:id="21"/>
      <w:r w:rsidRPr="00B05B18">
        <w:t xml:space="preserve">Burden Estimate for </w:t>
      </w:r>
      <w:r>
        <w:t>the Cost Performance Category</w:t>
      </w:r>
      <w:bookmarkEnd w:id="21"/>
    </w:p>
    <w:p w:rsidR="00537CEB" w:rsidP="00E12B53" w:rsidRDefault="00E4238B" w14:paraId="7FE31198" w14:textId="57CC8F35">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Pr>
          <w:rFonts w:eastAsia="Calibri"/>
        </w:rPr>
        <w:t>finaliz</w:t>
      </w:r>
      <w:r w:rsidR="006B4537">
        <w:rPr>
          <w:rFonts w:eastAsia="Calibri"/>
        </w:rPr>
        <w:t>ed</w:t>
      </w:r>
      <w:r w:rsidRPr="00CC2BFB">
        <w:rPr>
          <w:rFonts w:eastAsia="Calibri"/>
        </w:rPr>
        <w:t xml:space="preserve"> to include in the cost performance category as discussed in </w:t>
      </w:r>
      <w:r w:rsidRPr="009705C5">
        <w:rPr>
          <w:rFonts w:eastAsia="Calibri"/>
        </w:rPr>
        <w:t>section III.K.3.c.(2)(b)(iii) of</w:t>
      </w:r>
      <w:r w:rsidRPr="00CC2BFB">
        <w:rPr>
          <w:rFonts w:eastAsia="Calibri"/>
        </w:rPr>
        <w:t xml:space="preserve"> </w:t>
      </w:r>
      <w:r w:rsidR="006B4537">
        <w:rPr>
          <w:rFonts w:eastAsia="Calibri"/>
        </w:rPr>
        <w:t>the CY 2020 PFS final</w:t>
      </w:r>
      <w:r w:rsidRPr="00CC2BFB">
        <w:rPr>
          <w:rFonts w:eastAsia="Calibri"/>
        </w:rPr>
        <w:t xml:space="preserve"> rule.  Moreover, the provisions of this </w:t>
      </w:r>
      <w:r>
        <w:rPr>
          <w:rFonts w:eastAsia="Calibri"/>
        </w:rPr>
        <w:t>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Pr>
          <w:rFonts w:eastAsia="Calibri"/>
        </w:rPr>
        <w:t>finaliz</w:t>
      </w:r>
      <w:r w:rsidR="002C3204">
        <w:rPr>
          <w:rFonts w:eastAsia="Calibri"/>
        </w:rPr>
        <w:t>e</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003065CD" w:rsidP="0095356F" w:rsidRDefault="003065CD" w14:paraId="5F3E5B0A" w14:textId="23D63440">
      <w:pPr>
        <w:pStyle w:val="Heading3"/>
        <w:numPr>
          <w:ilvl w:val="0"/>
          <w:numId w:val="32"/>
        </w:numPr>
      </w:pPr>
      <w:bookmarkStart w:name="_Hlk532899276" w:id="22"/>
      <w:r w:rsidRPr="00B05B18">
        <w:t xml:space="preserve">Burden Estimate for </w:t>
      </w:r>
      <w:r>
        <w:t>Partial QP Elections</w:t>
      </w:r>
      <w:bookmarkEnd w:id="22"/>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Pr="00C123DE" w:rsidR="00C123DE" w:rsidP="00E12B53" w:rsidRDefault="008D4AEF" w14:paraId="1E3FA463" w14:textId="2C6054DC">
      <w:pPr>
        <w:rPr>
          <w:rFonts w:eastAsia="Calibri"/>
        </w:rPr>
      </w:pPr>
      <w:r w:rsidRPr="00CC2BFB">
        <w:rPr>
          <w:rFonts w:eastAsia="Calibri"/>
        </w:rPr>
        <w:t xml:space="preserve">In </w:t>
      </w:r>
      <w:r w:rsidRPr="009705C5">
        <w:rPr>
          <w:rFonts w:eastAsia="Calibri"/>
        </w:rPr>
        <w:t>section III.K.4.d.(2)(b)</w:t>
      </w:r>
      <w:r>
        <w:rPr>
          <w:rFonts w:eastAsia="Calibri"/>
        </w:rPr>
        <w:t xml:space="preserve"> of the CY 2020 PFS final</w:t>
      </w:r>
      <w:r w:rsidR="00302399">
        <w:rPr>
          <w:rFonts w:eastAsia="Calibri"/>
        </w:rPr>
        <w:t xml:space="preserve"> rule</w:t>
      </w:r>
      <w:r w:rsidRPr="009705C5">
        <w:rPr>
          <w:rFonts w:eastAsia="Calibri"/>
        </w:rPr>
        <w:t xml:space="preserve">, we </w:t>
      </w:r>
      <w:r>
        <w:rPr>
          <w:rFonts w:eastAsia="Calibri"/>
        </w:rPr>
        <w:t>finalized</w:t>
      </w:r>
      <w:r w:rsidRPr="00CC2BFB">
        <w:rPr>
          <w:rFonts w:eastAsia="Calibri"/>
        </w:rPr>
        <w:t xml:space="preserve"> that, beginning for eligible clinicians who become Partial QPs in the 202</w:t>
      </w:r>
      <w:r>
        <w:rPr>
          <w:rFonts w:eastAsia="Calibri"/>
        </w:rPr>
        <w:t>1</w:t>
      </w:r>
      <w:r w:rsidRPr="00CC2BFB">
        <w:rPr>
          <w:rFonts w:eastAsia="Calibri"/>
        </w:rPr>
        <w:t xml:space="preserve"> MIPS performance period, Partial QP status will only apply to the TIN/NPI combination through which Partial QP status is attained. Any Partial QP election will only apply to TIN/NPI combination through which Partial QP status is attained so that an eligible clinician who is a Partial QP for only one TIN/NPI combination may still report under MIPS for other TIN/NPI combination</w:t>
      </w:r>
      <w:r>
        <w:rPr>
          <w:rFonts w:eastAsia="Calibri"/>
        </w:rPr>
        <w:t>s</w:t>
      </w:r>
      <w:r w:rsidRPr="00C123DE" w:rsidR="00C123DE">
        <w:rPr>
          <w:rFonts w:eastAsia="Calibri"/>
        </w:rPr>
        <w:t xml:space="preserve">. </w:t>
      </w:r>
    </w:p>
    <w:p w:rsidR="007126F1" w:rsidP="00E12B53" w:rsidRDefault="00C123DE" w14:paraId="596877E3" w14:textId="6E104A00">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Pr>
          <w:rFonts w:eastAsia="Calibri"/>
        </w:rPr>
        <w:t>3</w:t>
      </w:r>
      <w:r w:rsidRPr="00C123DE">
        <w:rPr>
          <w:rFonts w:eastAsia="Calibri"/>
        </w:rPr>
        <w:t xml:space="preserve">, </w:t>
      </w:r>
      <w:r w:rsidRPr="00CC2BFB" w:rsidR="00460137">
        <w:rPr>
          <w:rFonts w:eastAsia="Calibri"/>
        </w:rPr>
        <w:t>based on our predictive QP analysis for the 2020 QP performance period, which accounts for the increase in QP and Partial QP thresholds, we estimate that 12 APM Entities and 2,010 eligible clinicians will make the election to participate as a Partial QP in MIPS representing approximately 15,500 Partial QPs, an increase of 1,941 from the 81 elections currently approved by OMB under the aforementioned control number.  We estimate it will take the APM Entity representative or eligible clinician 15 minutes (0.25 hr) to make this election.  In aggregate, we estimate an annual burden of 505.5 hours (2,022 respondents x .25 hr/election) at a cost of $45,080 (505.5 hours x $90.02/hr</w:t>
      </w:r>
      <w:r w:rsidRPr="003366A8" w:rsidR="003366A8">
        <w:rPr>
          <w:rFonts w:eastAsia="Calibri"/>
        </w:rPr>
        <w:t>).</w:t>
      </w:r>
    </w:p>
    <w:p w:rsidRPr="00C47150" w:rsidR="003065CD" w:rsidP="00334306" w:rsidRDefault="003065CD" w14:paraId="2B396829" w14:textId="60D7E65D">
      <w:pPr>
        <w:keepNext/>
        <w:keepLines/>
        <w:spacing w:after="0"/>
        <w:jc w:val="center"/>
        <w:rPr>
          <w:b/>
          <w:bCs/>
        </w:rPr>
      </w:pPr>
      <w:r w:rsidRPr="00C47150">
        <w:rPr>
          <w:b/>
          <w:bCs/>
        </w:rPr>
        <w:t xml:space="preserve">TABLE </w:t>
      </w:r>
      <w:r>
        <w:rPr>
          <w:b/>
          <w:bCs/>
        </w:rPr>
        <w:t>2</w:t>
      </w:r>
      <w:r w:rsidR="007126F1">
        <w:rPr>
          <w:b/>
          <w:bCs/>
        </w:rPr>
        <w:t>3</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85"/>
        <w:gridCol w:w="1315"/>
      </w:tblGrid>
      <w:tr w:rsidRPr="00C47150" w:rsidR="003065CD" w:rsidTr="003065CD" w14:paraId="2FD7E97B" w14:textId="77777777">
        <w:trPr>
          <w:trHeight w:val="300"/>
          <w:jc w:val="center"/>
        </w:trPr>
        <w:tc>
          <w:tcPr>
            <w:tcW w:w="7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1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A639D4" w14:paraId="0C56470B"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3731A34">
            <w:pPr>
              <w:keepNext/>
              <w:keepLines/>
              <w:spacing w:after="0"/>
              <w:rPr>
                <w:sz w:val="20"/>
                <w:szCs w:val="20"/>
              </w:rPr>
            </w:pPr>
            <w:r>
              <w:rPr>
                <w:sz w:val="20"/>
                <w:szCs w:val="20"/>
              </w:rPr>
              <w:t># of respondents making Partial QP election (</w:t>
            </w:r>
            <w:r w:rsidR="00460137">
              <w:rPr>
                <w:sz w:val="20"/>
                <w:szCs w:val="20"/>
              </w:rPr>
              <w:t>12</w:t>
            </w:r>
            <w:r>
              <w:rPr>
                <w:sz w:val="20"/>
                <w:szCs w:val="20"/>
              </w:rPr>
              <w:t xml:space="preserve"> APM Entities, </w:t>
            </w:r>
            <w:r w:rsidR="00460137">
              <w:rPr>
                <w:sz w:val="20"/>
                <w:szCs w:val="20"/>
              </w:rPr>
              <w:t>2,010</w:t>
            </w:r>
            <w:r>
              <w:rPr>
                <w:sz w:val="20"/>
                <w:szCs w:val="20"/>
              </w:rPr>
              <w:t xml:space="preserve"> eligible clinicians) (a)</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C123DE" w14:paraId="69235A90" w14:textId="6E8B2D5E">
            <w:pPr>
              <w:keepNext/>
              <w:keepLines/>
              <w:spacing w:after="0"/>
              <w:rPr>
                <w:sz w:val="20"/>
                <w:szCs w:val="20"/>
              </w:rPr>
            </w:pPr>
            <w:r>
              <w:rPr>
                <w:sz w:val="20"/>
                <w:szCs w:val="20"/>
              </w:rPr>
              <w:t>2,022</w:t>
            </w:r>
          </w:p>
        </w:tc>
      </w:tr>
      <w:tr w:rsidRPr="00C47150" w:rsidR="003065CD" w:rsidTr="00A639D4" w14:paraId="60D5ED99"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B040E" w14:paraId="17F6D61C"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77777777">
            <w:pPr>
              <w:spacing w:after="0"/>
              <w:rPr>
                <w:b/>
                <w:sz w:val="20"/>
                <w:szCs w:val="20"/>
              </w:rPr>
            </w:pPr>
            <w:r w:rsidRPr="00EB040E">
              <w:rPr>
                <w:b/>
                <w:sz w:val="20"/>
                <w:szCs w:val="20"/>
              </w:rPr>
              <w:t>Total Annual Hours (c) = (a)*(b)</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C123DE" w14:paraId="118AE16D" w14:textId="7659270F">
            <w:pPr>
              <w:spacing w:after="0"/>
              <w:rPr>
                <w:b/>
                <w:sz w:val="20"/>
                <w:szCs w:val="20"/>
              </w:rPr>
            </w:pPr>
            <w:r w:rsidRPr="00EB040E">
              <w:rPr>
                <w:b/>
                <w:sz w:val="20"/>
                <w:szCs w:val="20"/>
              </w:rPr>
              <w:t>505.5</w:t>
            </w:r>
          </w:p>
        </w:tc>
      </w:tr>
      <w:tr w:rsidRPr="00C47150" w:rsidR="003065CD" w:rsidTr="00A639D4" w14:paraId="0031FD71"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1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0E980333">
            <w:pPr>
              <w:spacing w:after="0"/>
              <w:rPr>
                <w:sz w:val="20"/>
                <w:szCs w:val="20"/>
              </w:rPr>
            </w:pPr>
            <w:r w:rsidRPr="00732012">
              <w:rPr>
                <w:sz w:val="20"/>
                <w:szCs w:val="20"/>
              </w:rPr>
              <w:t>$</w:t>
            </w:r>
            <w:r w:rsidR="003366A8">
              <w:rPr>
                <w:sz w:val="20"/>
                <w:szCs w:val="20"/>
              </w:rPr>
              <w:t>90.02</w:t>
            </w:r>
            <w:r w:rsidRPr="00732012">
              <w:rPr>
                <w:sz w:val="20"/>
                <w:szCs w:val="20"/>
              </w:rPr>
              <w:t>/</w:t>
            </w:r>
            <w:r w:rsidR="00EB040E">
              <w:rPr>
                <w:sz w:val="20"/>
                <w:szCs w:val="20"/>
              </w:rPr>
              <w:t>hr</w:t>
            </w:r>
          </w:p>
        </w:tc>
      </w:tr>
      <w:tr w:rsidRPr="00C47150" w:rsidR="003065CD" w:rsidTr="00A639D4" w14:paraId="765FCFB9" w14:textId="77777777">
        <w:trPr>
          <w:trHeight w:val="278"/>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134CCEDA">
            <w:pPr>
              <w:spacing w:after="0"/>
              <w:rPr>
                <w:b/>
                <w:sz w:val="20"/>
                <w:szCs w:val="20"/>
              </w:rPr>
            </w:pPr>
            <w:r w:rsidRPr="00EB040E">
              <w:rPr>
                <w:b/>
                <w:sz w:val="20"/>
                <w:szCs w:val="20"/>
              </w:rPr>
              <w:t>Total Annual Cost (</w:t>
            </w:r>
            <w:r w:rsidR="00CF2515">
              <w:rPr>
                <w:b/>
                <w:sz w:val="20"/>
                <w:szCs w:val="20"/>
              </w:rPr>
              <w:t>e</w:t>
            </w:r>
            <w:r w:rsidRPr="00EB040E">
              <w:rPr>
                <w:b/>
                <w:sz w:val="20"/>
                <w:szCs w:val="20"/>
              </w:rPr>
              <w:t>) = (c)*(d)</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10B0E3E7">
            <w:pPr>
              <w:spacing w:after="0"/>
              <w:rPr>
                <w:b/>
                <w:sz w:val="20"/>
                <w:szCs w:val="20"/>
              </w:rPr>
            </w:pPr>
            <w:r w:rsidRPr="00EB040E">
              <w:rPr>
                <w:b/>
                <w:sz w:val="20"/>
                <w:szCs w:val="20"/>
              </w:rPr>
              <w:t>$</w:t>
            </w:r>
            <w:r w:rsidRPr="00EB040E" w:rsidR="00EB040E">
              <w:rPr>
                <w:b/>
                <w:sz w:val="20"/>
                <w:szCs w:val="20"/>
              </w:rPr>
              <w:t>4</w:t>
            </w:r>
            <w:r w:rsidR="003366A8">
              <w:rPr>
                <w:b/>
                <w:sz w:val="20"/>
                <w:szCs w:val="20"/>
              </w:rPr>
              <w:t>5,505</w:t>
            </w:r>
          </w:p>
        </w:tc>
      </w:tr>
    </w:tbl>
    <w:p w:rsidR="0088351C" w:rsidP="00530A16" w:rsidRDefault="0088351C" w14:paraId="52657B27" w14:textId="56790E8B">
      <w:pPr>
        <w:pStyle w:val="Heading3"/>
        <w:numPr>
          <w:ilvl w:val="0"/>
          <w:numId w:val="32"/>
        </w:numPr>
        <w:spacing w:before="240"/>
        <w:ind w:left="1814" w:hanging="187"/>
      </w:pPr>
      <w:bookmarkStart w:name="_Hlk532899285" w:id="23"/>
      <w:r w:rsidRPr="00B05B18">
        <w:t xml:space="preserve">Burden Estimate for </w:t>
      </w:r>
      <w:r>
        <w:t>Other-Payer Advanced APM Determinations</w:t>
      </w:r>
      <w:bookmarkEnd w:id="23"/>
    </w:p>
    <w:p w:rsidR="0088351C" w:rsidP="0095356F" w:rsidRDefault="0088351C" w14:paraId="22BF5E5F" w14:textId="7A58381C">
      <w:pPr>
        <w:pStyle w:val="Heading4"/>
        <w:numPr>
          <w:ilvl w:val="0"/>
          <w:numId w:val="35"/>
        </w:numPr>
      </w:pPr>
      <w:r>
        <w:t>Payer-Initiated Process</w:t>
      </w:r>
    </w:p>
    <w:p w:rsidRPr="0088351C" w:rsidR="0088351C" w:rsidP="0088351C" w:rsidRDefault="0088351C" w14:paraId="256D9611" w14:textId="77777777"/>
    <w:p w:rsidR="005709D0" w:rsidP="005709D0" w:rsidRDefault="000252CE" w14:paraId="0E6C8E61" w14:textId="432CC381">
      <w:pPr>
        <w:rPr>
          <w:rFonts w:eastAsia="Calibri"/>
        </w:rPr>
      </w:pPr>
      <w:r>
        <w:rPr>
          <w:rFonts w:eastAsia="Calibri"/>
        </w:rPr>
        <w:t>As previously d</w:t>
      </w:r>
      <w:r w:rsidR="005709D0">
        <w:rPr>
          <w:rFonts w:eastAsia="Calibri"/>
        </w:rPr>
        <w:t>iscuss</w:t>
      </w:r>
      <w:r>
        <w:rPr>
          <w:rFonts w:eastAsia="Calibri"/>
        </w:rPr>
        <w:t>e</w:t>
      </w:r>
      <w:r w:rsidR="005709D0">
        <w:rPr>
          <w:rFonts w:eastAsia="Calibri"/>
        </w:rPr>
        <w:t>d in the “</w:t>
      </w:r>
      <w:r w:rsidRPr="005709D0" w:rsidR="005709D0">
        <w:rPr>
          <w:rFonts w:eastAsia="Calibri"/>
        </w:rPr>
        <w:t>Data Collection related to Advanced APMs</w:t>
      </w:r>
      <w:r w:rsidR="005709D0">
        <w:rPr>
          <w:rFonts w:eastAsia="Calibri"/>
        </w:rPr>
        <w:t>” section, 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7502FB38">
      <w:pPr>
        <w:rPr>
          <w:rFonts w:eastAsia="Calibri"/>
        </w:rPr>
      </w:pPr>
      <w:r w:rsidRPr="00AA3126">
        <w:rPr>
          <w:rFonts w:eastAsia="Calibri"/>
        </w:rPr>
        <w:t xml:space="preserve">As shown in Table </w:t>
      </w:r>
      <w:r>
        <w:rPr>
          <w:rFonts w:eastAsia="Calibri"/>
        </w:rPr>
        <w:t>24</w:t>
      </w:r>
      <w:r w:rsidRPr="00AA3126">
        <w:rPr>
          <w:rFonts w:eastAsia="Calibri"/>
        </w:rPr>
        <w:t xml:space="preserve">, </w:t>
      </w:r>
      <w:r w:rsidRPr="00CC2BFB" w:rsidR="00CF2515">
        <w:rPr>
          <w:rFonts w:eastAsia="Calibri"/>
        </w:rPr>
        <w:t xml:space="preserve">based on the actual number of requests received in the 2018 QP performance period, we estimate that in CY 2020 for the 2021 QP performance period 110 payer-initiated requests for Other Payer Advanced APM determinations will be submitted (10 Medicaid payers, 50 Medicare Advantage Organizations, and 50 remaining other payers), a decrease of 105 from the 215 total requests currently approved by OMB under the aforementioned control number.  We estimate it </w:t>
      </w:r>
      <w:r w:rsidRPr="00CC2BFB" w:rsidR="00CF2515">
        <w:rPr>
          <w:rFonts w:eastAsia="Calibri"/>
          <w:snapToGrid w:val="0"/>
          <w:szCs w:val="20"/>
        </w:rPr>
        <w:t>will</w:t>
      </w:r>
      <w:r w:rsidRPr="00CC2BFB" w:rsidR="00CF2515">
        <w:rPr>
          <w:rFonts w:eastAsia="Calibri"/>
        </w:rPr>
        <w:t xml:space="preserve"> take 10 hours at $90.02/hr for a computer system analyst per arrangement submission.  In aggregate, we estimate an annual burden of 1,100 hours (110 submissions x 10 hr/submission) at a cost of $99,022 (1,100 hr x $90.02/hr</w:t>
      </w:r>
      <w:r w:rsidRPr="00092667" w:rsidR="00092667">
        <w:rPr>
          <w:rFonts w:eastAsia="Calibri"/>
        </w:rPr>
        <w:t>).</w:t>
      </w:r>
    </w:p>
    <w:p w:rsidRPr="00C47150" w:rsidR="0088351C" w:rsidP="0088351C" w:rsidRDefault="0088351C" w14:paraId="3F33F031" w14:textId="56B0D9E7">
      <w:pPr>
        <w:keepNext/>
        <w:spacing w:after="0"/>
        <w:jc w:val="center"/>
        <w:rPr>
          <w:b/>
          <w:bCs/>
        </w:rPr>
      </w:pPr>
      <w:bookmarkStart w:name="_Hlk495401649" w:id="24"/>
      <w:r w:rsidRPr="00C47150">
        <w:rPr>
          <w:b/>
          <w:bCs/>
        </w:rPr>
        <w:t xml:space="preserve">TABLE </w:t>
      </w:r>
      <w:r w:rsidR="007126F1">
        <w:rPr>
          <w:b/>
          <w:bCs/>
        </w:rPr>
        <w:t>24</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24"/>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390730" w14:paraId="0FE28ACE" w14:textId="77777777">
        <w:trPr>
          <w:trHeight w:val="540"/>
        </w:trPr>
        <w:tc>
          <w:tcPr>
            <w:tcW w:w="7314" w:type="dxa"/>
            <w:shd w:val="clear" w:color="auto" w:fill="auto"/>
            <w:hideMark/>
          </w:tcPr>
          <w:p w:rsidRPr="00663B38" w:rsidR="007126F1" w:rsidP="007126F1" w:rsidRDefault="007126F1" w14:paraId="318C72E2" w14:textId="46D22461">
            <w:pPr>
              <w:keepNext/>
              <w:spacing w:after="0"/>
              <w:rPr>
                <w:sz w:val="20"/>
                <w:szCs w:val="20"/>
              </w:rPr>
            </w:pPr>
            <w:r w:rsidRPr="00732012">
              <w:rPr>
                <w:sz w:val="20"/>
                <w:szCs w:val="20"/>
              </w:rPr>
              <w:t># of other payer payment arrangements (1</w:t>
            </w:r>
            <w:r w:rsidR="00CF2515">
              <w:rPr>
                <w:sz w:val="20"/>
                <w:szCs w:val="20"/>
              </w:rPr>
              <w:t>0</w:t>
            </w:r>
            <w:r w:rsidRPr="00732012">
              <w:rPr>
                <w:sz w:val="20"/>
                <w:szCs w:val="20"/>
              </w:rPr>
              <w:t xml:space="preserve"> Medicaid, </w:t>
            </w:r>
            <w:r w:rsidR="00CF2515">
              <w:rPr>
                <w:sz w:val="20"/>
                <w:szCs w:val="20"/>
              </w:rPr>
              <w:t>5</w:t>
            </w:r>
            <w:r w:rsidRPr="00732012">
              <w:rPr>
                <w:sz w:val="20"/>
                <w:szCs w:val="20"/>
              </w:rPr>
              <w:t>0 Medicare Advantage Organization</w:t>
            </w:r>
            <w:r>
              <w:rPr>
                <w:sz w:val="20"/>
                <w:szCs w:val="20"/>
              </w:rPr>
              <w:t xml:space="preserve">s, </w:t>
            </w:r>
            <w:r w:rsidR="00CF2515">
              <w:rPr>
                <w:sz w:val="20"/>
                <w:szCs w:val="20"/>
              </w:rPr>
              <w:t>5</w:t>
            </w:r>
            <w:r w:rsidRPr="00732012">
              <w:rPr>
                <w:sz w:val="20"/>
                <w:szCs w:val="20"/>
              </w:rPr>
              <w:t xml:space="preserve">0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AA3126" w14:paraId="742022C3" w14:textId="02615E7B">
            <w:pPr>
              <w:keepNext/>
              <w:spacing w:after="0"/>
              <w:rPr>
                <w:sz w:val="20"/>
                <w:szCs w:val="20"/>
              </w:rPr>
            </w:pPr>
            <w:r>
              <w:rPr>
                <w:sz w:val="20"/>
                <w:szCs w:val="20"/>
              </w:rPr>
              <w:t>110</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77777777">
            <w:pPr>
              <w:keepNext/>
              <w:spacing w:after="0"/>
              <w:rPr>
                <w:b/>
                <w:sz w:val="20"/>
                <w:szCs w:val="20"/>
              </w:rPr>
            </w:pPr>
            <w:r w:rsidRPr="00AA3126">
              <w:rPr>
                <w:b/>
                <w:sz w:val="20"/>
                <w:szCs w:val="20"/>
              </w:rPr>
              <w:t>Total Annual Hours (c) = (a)*(b)</w:t>
            </w:r>
          </w:p>
        </w:tc>
        <w:tc>
          <w:tcPr>
            <w:tcW w:w="2216" w:type="dxa"/>
            <w:shd w:val="clear" w:color="auto" w:fill="D9D9D9" w:themeFill="background1" w:themeFillShade="D9"/>
            <w:vAlign w:val="center"/>
            <w:hideMark/>
          </w:tcPr>
          <w:p w:rsidRPr="00AA3126" w:rsidR="007126F1" w:rsidP="007126F1" w:rsidRDefault="00AA3126" w14:paraId="1EFD7DF6" w14:textId="3FDD4AC1">
            <w:pPr>
              <w:keepNext/>
              <w:spacing w:after="0"/>
              <w:rPr>
                <w:b/>
                <w:sz w:val="20"/>
                <w:szCs w:val="20"/>
              </w:rPr>
            </w:pPr>
            <w:r w:rsidRPr="00AA3126">
              <w:rPr>
                <w:b/>
                <w:sz w:val="20"/>
                <w:szCs w:val="20"/>
              </w:rPr>
              <w:t>1,100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1C9D386D">
            <w:pPr>
              <w:keepNext/>
              <w:spacing w:after="0"/>
              <w:rPr>
                <w:sz w:val="20"/>
                <w:szCs w:val="20"/>
              </w:rPr>
            </w:pPr>
            <w:r w:rsidRPr="003428D4">
              <w:rPr>
                <w:rFonts w:eastAsia="Calibri"/>
                <w:sz w:val="20"/>
                <w:szCs w:val="20"/>
              </w:rPr>
              <w:t>$</w:t>
            </w:r>
            <w:r w:rsidR="00092667">
              <w:rPr>
                <w:rFonts w:eastAsia="Calibri"/>
                <w:sz w:val="20"/>
                <w:szCs w:val="20"/>
              </w:rPr>
              <w:t>90.02</w:t>
            </w:r>
            <w:r w:rsidRPr="003428D4">
              <w:rPr>
                <w:rFonts w:eastAsia="Calibri"/>
                <w:sz w:val="20"/>
                <w:szCs w:val="20"/>
              </w:rPr>
              <w:t>/hr</w:t>
            </w:r>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298E2930">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545280B6">
            <w:pPr>
              <w:keepNext/>
              <w:spacing w:after="0"/>
              <w:rPr>
                <w:b/>
                <w:sz w:val="20"/>
                <w:szCs w:val="20"/>
              </w:rPr>
            </w:pPr>
            <w:r w:rsidRPr="00AA3126">
              <w:rPr>
                <w:rFonts w:eastAsia="Calibri"/>
                <w:b/>
                <w:sz w:val="20"/>
                <w:szCs w:val="20"/>
              </w:rPr>
              <w:t>$</w:t>
            </w:r>
            <w:r w:rsidRPr="00AA3126" w:rsidR="00AA3126">
              <w:rPr>
                <w:rFonts w:eastAsia="Calibri"/>
                <w:b/>
                <w:sz w:val="20"/>
                <w:szCs w:val="20"/>
              </w:rPr>
              <w:t>9</w:t>
            </w:r>
            <w:r w:rsidR="00092667">
              <w:rPr>
                <w:rFonts w:eastAsia="Calibri"/>
                <w:b/>
                <w:sz w:val="20"/>
                <w:szCs w:val="20"/>
              </w:rPr>
              <w:t>9,022</w:t>
            </w:r>
          </w:p>
        </w:tc>
      </w:tr>
    </w:tbl>
    <w:p w:rsidR="0088351C" w:rsidP="0088351C" w:rsidRDefault="0088351C" w14:paraId="2F044285" w14:textId="3AF9FB1F"/>
    <w:p w:rsidR="0088351C" w:rsidP="0095356F" w:rsidRDefault="0088351C" w14:paraId="2C3F2AFE" w14:textId="2754FA64">
      <w:pPr>
        <w:pStyle w:val="Heading4"/>
        <w:numPr>
          <w:ilvl w:val="0"/>
          <w:numId w:val="35"/>
        </w:numPr>
      </w:pPr>
      <w:r>
        <w:t>Eligible Clinician</w:t>
      </w:r>
      <w:r w:rsidR="00AA242F">
        <w:t xml:space="preserve"> </w:t>
      </w:r>
      <w:r>
        <w:t>Initiated Process</w:t>
      </w:r>
    </w:p>
    <w:p w:rsidR="0088351C" w:rsidP="0088351C" w:rsidRDefault="0088351C" w14:paraId="2A368AB5" w14:textId="150D058C"/>
    <w:p w:rsidR="007126F1" w:rsidP="00E12B53" w:rsidRDefault="00AA242F" w14:paraId="1EA7BE52" w14:textId="1E3C59A1">
      <w:pPr>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sidR="007126F1">
        <w:rPr>
          <w:rFonts w:eastAsia="Calibri"/>
        </w:rPr>
        <w:t>.</w:t>
      </w:r>
      <w:r w:rsidRPr="003428D4" w:rsidR="007126F1">
        <w:rPr>
          <w:rFonts w:eastAsia="Calibri"/>
        </w:rPr>
        <w:t xml:space="preserve">  </w:t>
      </w:r>
    </w:p>
    <w:p w:rsidR="0088351C" w:rsidP="00E12B53" w:rsidRDefault="007126F1" w14:paraId="0CEE3BC4" w14:textId="04CDA26C">
      <w:r>
        <w:t>As shown in Table 25</w:t>
      </w:r>
      <w:r w:rsidR="0088351C">
        <w:t xml:space="preserve">, we estimate that 150 other payer arrangements will be submitted by APM Entities and eligible Other Payer Advanced APM determinations.  </w:t>
      </w:r>
    </w:p>
    <w:p w:rsidRPr="0088351C" w:rsidR="0088351C" w:rsidP="00E12B53" w:rsidRDefault="0088351C" w14:paraId="2F9A790B" w14:textId="6CAB1C07">
      <w:r>
        <w:t>We estimate it would take 10 hours at $</w:t>
      </w:r>
      <w:r w:rsidR="003B0C28">
        <w:t>90.02</w:t>
      </w:r>
      <w:r>
        <w:t>/hr for a computer system analyst per arrangement submission. In aggregate we estimate an annual burden of 1,500 hours (150 submissions x 10 hr/submission) at a cost of $13</w:t>
      </w:r>
      <w:r w:rsidR="00ED2AFE">
        <w:t>5,030</w:t>
      </w:r>
      <w:r w:rsidR="00E117F8">
        <w:t xml:space="preserve"> (1,500 hr x $</w:t>
      </w:r>
      <w:r w:rsidR="003B0C28">
        <w:t>90.02</w:t>
      </w:r>
      <w:r w:rsidR="00E117F8">
        <w:t xml:space="preserve">/hr).  </w:t>
      </w:r>
    </w:p>
    <w:p w:rsidRPr="00C47150" w:rsidR="0088351C" w:rsidP="0088351C" w:rsidRDefault="0088351C" w14:paraId="00719259" w14:textId="33AA2745">
      <w:pPr>
        <w:spacing w:after="0"/>
        <w:jc w:val="center"/>
        <w:rPr>
          <w:b/>
          <w:bCs/>
        </w:rPr>
      </w:pPr>
      <w:bookmarkStart w:name="_Hlk495401670" w:id="25"/>
      <w:r w:rsidRPr="00C47150">
        <w:rPr>
          <w:b/>
          <w:bCs/>
        </w:rPr>
        <w:t xml:space="preserve">TABLE </w:t>
      </w:r>
      <w:r w:rsidR="007126F1">
        <w:rPr>
          <w:b/>
          <w:bCs/>
        </w:rPr>
        <w:t>25</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25"/>
          <w:p w:rsidRPr="0047482B" w:rsidR="0088351C" w:rsidP="00A639D4" w:rsidRDefault="0088351C" w14:paraId="2008153C" w14:textId="77777777">
            <w:pPr>
              <w:spacing w:after="0"/>
              <w:rPr>
                <w:sz w:val="20"/>
                <w:szCs w:val="20"/>
              </w:rPr>
            </w:pPr>
            <w:r w:rsidRPr="0047482B">
              <w:rPr>
                <w:sz w:val="20"/>
                <w:szCs w:val="20"/>
              </w:rPr>
              <w:t> </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77777777">
            <w:pPr>
              <w:spacing w:after="0"/>
              <w:rPr>
                <w:sz w:val="20"/>
                <w:szCs w:val="20"/>
              </w:rPr>
            </w:pPr>
            <w:r w:rsidRPr="00D950B2">
              <w:rPr>
                <w:sz w:val="20"/>
                <w:szCs w:val="20"/>
              </w:rPr>
              <w:t>150</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77777777">
            <w:pPr>
              <w:spacing w:after="0"/>
              <w:rPr>
                <w:b/>
                <w:sz w:val="20"/>
                <w:szCs w:val="20"/>
              </w:rPr>
            </w:pPr>
            <w:r w:rsidRPr="00573EB4">
              <w:rPr>
                <w:b/>
                <w:sz w:val="20"/>
                <w:szCs w:val="20"/>
              </w:rPr>
              <w:t>Total Annual Hours (c) = (a)*(b)</w:t>
            </w:r>
          </w:p>
        </w:tc>
        <w:tc>
          <w:tcPr>
            <w:tcW w:w="1525" w:type="dxa"/>
            <w:shd w:val="clear" w:color="auto" w:fill="D9D9D9" w:themeFill="background1" w:themeFillShade="D9"/>
            <w:vAlign w:val="center"/>
            <w:hideMark/>
          </w:tcPr>
          <w:p w:rsidRPr="00573EB4" w:rsidR="0088351C" w:rsidP="00A639D4" w:rsidRDefault="0088351C" w14:paraId="590A922D" w14:textId="77777777">
            <w:pPr>
              <w:spacing w:after="0"/>
              <w:rPr>
                <w:b/>
                <w:sz w:val="20"/>
                <w:szCs w:val="20"/>
              </w:rPr>
            </w:pPr>
            <w:r w:rsidRPr="00573EB4">
              <w:rPr>
                <w:b/>
                <w:sz w:val="20"/>
                <w:szCs w:val="20"/>
              </w:rPr>
              <w:t>1,500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4070A92F">
            <w:pPr>
              <w:spacing w:after="0"/>
              <w:rPr>
                <w:sz w:val="20"/>
                <w:szCs w:val="20"/>
              </w:rPr>
            </w:pPr>
            <w:r w:rsidRPr="00732012">
              <w:rPr>
                <w:sz w:val="20"/>
                <w:szCs w:val="20"/>
              </w:rPr>
              <w:t>$</w:t>
            </w:r>
            <w:r w:rsidR="00ED2AFE">
              <w:rPr>
                <w:sz w:val="20"/>
                <w:szCs w:val="20"/>
              </w:rPr>
              <w:t>90.02</w:t>
            </w:r>
            <w:r w:rsidRPr="00732012">
              <w:rPr>
                <w:sz w:val="20"/>
                <w:szCs w:val="20"/>
              </w:rPr>
              <w:t>/hr</w:t>
            </w:r>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7445D395">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51DC2592">
            <w:pPr>
              <w:spacing w:after="0"/>
              <w:rPr>
                <w:b/>
                <w:sz w:val="20"/>
                <w:szCs w:val="20"/>
              </w:rPr>
            </w:pPr>
            <w:r w:rsidRPr="00573EB4">
              <w:rPr>
                <w:b/>
                <w:sz w:val="20"/>
                <w:szCs w:val="20"/>
              </w:rPr>
              <w:t>$13</w:t>
            </w:r>
            <w:r w:rsidR="00ED2AFE">
              <w:rPr>
                <w:b/>
                <w:sz w:val="20"/>
                <w:szCs w:val="20"/>
              </w:rPr>
              <w:t>5,030</w:t>
            </w:r>
          </w:p>
        </w:tc>
      </w:tr>
    </w:tbl>
    <w:p w:rsidR="003065CD" w:rsidP="0088351C" w:rsidRDefault="003065CD" w14:paraId="397EB96B" w14:textId="2A4ADE55"/>
    <w:p w:rsidR="0088351C" w:rsidP="0095356F" w:rsidRDefault="0088351C" w14:paraId="003EB261" w14:textId="15D4315E">
      <w:pPr>
        <w:pStyle w:val="Heading4"/>
        <w:numPr>
          <w:ilvl w:val="0"/>
          <w:numId w:val="35"/>
        </w:numPr>
      </w:pPr>
      <w:bookmarkStart w:name="_Hlk532899314" w:id="26"/>
      <w:r>
        <w:t>Submission of Data for QP Determinations under the All-Payer Combination Option</w:t>
      </w:r>
    </w:p>
    <w:bookmarkEnd w:id="26"/>
    <w:p w:rsidR="0088351C" w:rsidP="0088351C" w:rsidRDefault="0088351C" w14:paraId="0876ACA8" w14:textId="436A05F0"/>
    <w:p w:rsidRPr="00050972" w:rsidR="00050972" w:rsidP="00E12B53" w:rsidRDefault="005709D0" w14:paraId="6E15BFDC" w14:textId="2903DE52">
      <w:pPr>
        <w:rPr>
          <w:rFonts w:eastAsia="Calibri"/>
        </w:rPr>
      </w:pPr>
      <w:r>
        <w:rPr>
          <w:rFonts w:eastAsia="Calibri"/>
        </w:rPr>
        <w:t>As previously discussed in the “</w:t>
      </w:r>
      <w:r w:rsidRPr="005709D0">
        <w:rPr>
          <w:rFonts w:eastAsia="Calibri"/>
        </w:rPr>
        <w:t>Data Collection related to Advanced APMs</w:t>
      </w:r>
      <w:r>
        <w:rPr>
          <w:rFonts w:eastAsia="Calibri"/>
        </w:rPr>
        <w:t xml:space="preserve">” section, </w:t>
      </w:r>
      <w:r w:rsidRPr="00CC2BFB" w:rsidR="007F0344">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APM Entities or eligible clinicians must submit all of the required information about the Other Payer Advanced APMs in which they participate, including those for which there is a pending request for an Other Payer Advanced APM determination</w:t>
      </w:r>
      <w:r w:rsidR="00E72DBE">
        <w:rPr>
          <w:rFonts w:eastAsia="Calibri"/>
        </w:rPr>
        <w:t>.</w:t>
      </w:r>
    </w:p>
    <w:p w:rsidR="0088351C" w:rsidP="00E12B53" w:rsidRDefault="00225C8A" w14:paraId="5572A5FF" w14:textId="4901A7BA">
      <w:pPr>
        <w:rPr>
          <w:rFonts w:eastAsia="Calibri"/>
        </w:rPr>
      </w:pPr>
      <w:r w:rsidRPr="00225C8A">
        <w:rPr>
          <w:rFonts w:eastAsia="Calibri"/>
        </w:rPr>
        <w:t xml:space="preserve">As shown in Table </w:t>
      </w:r>
      <w:r>
        <w:rPr>
          <w:rFonts w:eastAsia="Calibri"/>
        </w:rPr>
        <w:t>26</w:t>
      </w:r>
      <w:r w:rsidRPr="00225C8A">
        <w:rPr>
          <w:rFonts w:eastAsia="Calibri"/>
        </w:rPr>
        <w:t xml:space="preserve">, </w:t>
      </w:r>
      <w:r w:rsidRPr="00CC2BFB" w:rsidR="00EC1FFC">
        <w:rPr>
          <w:rFonts w:eastAsia="Calibri"/>
        </w:rPr>
        <w:t>we assume that 20 APM Entities, 448 TINs, and 83 eligible clinicians will submit data for QP determinations under the All-Payer Combination Option in 2019, and increase of 242 from the 309 total submissions currently approved by OMB under the aforementioned control number.  We estimate it will take the APM Entity representative, TIN representative, or eligible clinician 5 hours at $109.36/hr for a practice administrator to complete this submission.  In aggregate, we estimate an annual burden of 2,755 hours (551 respondents x 5 hr) at a cost of $301,287 (2,755 hr x $109.36/hr</w:t>
      </w:r>
      <w:r w:rsidRPr="009B2388" w:rsidR="009B2388">
        <w:rPr>
          <w:rFonts w:eastAsia="Calibri"/>
        </w:rPr>
        <w:t>)</w:t>
      </w:r>
      <w:r w:rsidR="009B2388">
        <w:rPr>
          <w:rFonts w:eastAsia="Calibri"/>
        </w:rPr>
        <w:t>.</w:t>
      </w:r>
      <w:r w:rsidRPr="00225C8A">
        <w:rPr>
          <w:rFonts w:eastAsia="Calibri"/>
        </w:rPr>
        <w:t xml:space="preserve">  </w:t>
      </w:r>
    </w:p>
    <w:p w:rsidRPr="00C47150" w:rsidR="0088351C" w:rsidP="0088351C" w:rsidRDefault="0088351C" w14:paraId="797CEA56" w14:textId="62621731">
      <w:pPr>
        <w:spacing w:after="0"/>
        <w:jc w:val="center"/>
        <w:rPr>
          <w:b/>
          <w:bCs/>
        </w:rPr>
      </w:pPr>
      <w:r w:rsidRPr="00C47150">
        <w:rPr>
          <w:b/>
          <w:bCs/>
        </w:rPr>
        <w:t xml:space="preserve">TABLE </w:t>
      </w:r>
      <w:r>
        <w:rPr>
          <w:b/>
          <w:bCs/>
        </w:rPr>
        <w:t>2</w:t>
      </w:r>
      <w:r w:rsidR="007126F1">
        <w:rPr>
          <w:b/>
          <w:bCs/>
        </w:rPr>
        <w:t>6</w:t>
      </w:r>
      <w:r w:rsidRPr="00C47150">
        <w:rPr>
          <w:b/>
          <w:bCs/>
        </w:rPr>
        <w:t xml:space="preserve">:  </w:t>
      </w:r>
      <w:r w:rsidR="0078522E">
        <w:rPr>
          <w:b/>
          <w:bCs/>
        </w:rPr>
        <w:t>Estimated Burden</w:t>
      </w:r>
      <w:r w:rsidRPr="00732012">
        <w:rPr>
          <w:b/>
          <w:bCs/>
        </w:rPr>
        <w:t xml:space="preserve"> for the </w:t>
      </w:r>
      <w:r w:rsidRPr="00C47150">
        <w:rPr>
          <w:b/>
          <w:bCs/>
        </w:rPr>
        <w:t>Submission of Data for All-Payer QP Determinations</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A639D4" w14:paraId="4985175A" w14:textId="77777777">
        <w:trPr>
          <w:trHeight w:val="305"/>
          <w:jc w:val="center"/>
        </w:trPr>
        <w:tc>
          <w:tcPr>
            <w:tcW w:w="6864" w:type="dxa"/>
            <w:vAlign w:val="center"/>
            <w:hideMark/>
          </w:tcPr>
          <w:p w:rsidRPr="0088351C" w:rsidR="0088351C" w:rsidP="00A639D4" w:rsidRDefault="0088351C" w14:paraId="4836D795" w14:textId="736E7128">
            <w:pPr>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A639D4" w:rsidRDefault="0088351C" w14:paraId="7AF95028" w14:textId="77777777">
            <w:pPr>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A639D4" w:rsidRDefault="0088351C" w14:paraId="11DDA540" w14:textId="77777777">
            <w:pPr>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A639D4" w:rsidRDefault="00225C8A" w14:paraId="7F193BA6" w14:textId="2A70A8E6">
            <w:pPr>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A639D4" w:rsidRDefault="0088351C" w14:paraId="053C5A1A" w14:textId="77777777">
            <w:pPr>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A639D4" w:rsidRDefault="00225C8A" w14:paraId="775945E6" w14:textId="72CD0CDB">
            <w:pPr>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A639D4" w:rsidRDefault="0088351C" w14:paraId="1CE6E593" w14:textId="77777777">
            <w:pPr>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A639D4" w:rsidRDefault="0088351C" w14:paraId="6101F47E" w14:textId="3CB2F16C">
            <w:pPr>
              <w:spacing w:after="0"/>
              <w:rPr>
                <w:sz w:val="20"/>
                <w:szCs w:val="20"/>
              </w:rPr>
            </w:pPr>
            <w:r>
              <w:rPr>
                <w:sz w:val="20"/>
                <w:szCs w:val="20"/>
              </w:rPr>
              <w:t>8</w:t>
            </w:r>
            <w:r w:rsidR="00225C8A">
              <w:rPr>
                <w:sz w:val="20"/>
                <w:szCs w:val="20"/>
              </w:rPr>
              <w:t>3</w:t>
            </w:r>
          </w:p>
        </w:tc>
      </w:tr>
      <w:tr w:rsidRPr="00C47150" w:rsidR="0088351C" w:rsidTr="00A639D4" w14:paraId="17AE27D4" w14:textId="77777777">
        <w:trPr>
          <w:trHeight w:val="260"/>
          <w:jc w:val="center"/>
        </w:trPr>
        <w:tc>
          <w:tcPr>
            <w:tcW w:w="6864" w:type="dxa"/>
            <w:hideMark/>
          </w:tcPr>
          <w:p w:rsidRPr="0047482B" w:rsidR="0088351C" w:rsidP="00A639D4" w:rsidRDefault="0088351C" w14:paraId="56FC6EF6" w14:textId="77777777">
            <w:pPr>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rsidRPr="0047482B" w:rsidR="0088351C" w:rsidP="00A639D4" w:rsidRDefault="0088351C" w14:paraId="2D39A650" w14:textId="77777777">
            <w:pPr>
              <w:spacing w:after="0"/>
              <w:rPr>
                <w:sz w:val="20"/>
                <w:szCs w:val="20"/>
              </w:rPr>
            </w:pPr>
            <w:r>
              <w:rPr>
                <w:sz w:val="20"/>
                <w:szCs w:val="20"/>
              </w:rPr>
              <w:t>5</w:t>
            </w:r>
          </w:p>
        </w:tc>
      </w:tr>
      <w:tr w:rsidRPr="00C47150" w:rsidR="0088351C" w:rsidTr="00225C8A" w14:paraId="186DA406" w14:textId="77777777">
        <w:trPr>
          <w:trHeight w:val="287"/>
          <w:jc w:val="center"/>
        </w:trPr>
        <w:tc>
          <w:tcPr>
            <w:tcW w:w="6864" w:type="dxa"/>
            <w:shd w:val="clear" w:color="auto" w:fill="D9D9D9" w:themeFill="background1" w:themeFillShade="D9"/>
            <w:hideMark/>
          </w:tcPr>
          <w:p w:rsidRPr="00225C8A" w:rsidR="0088351C" w:rsidP="00A639D4" w:rsidRDefault="0088351C" w14:paraId="0F3A9E8D" w14:textId="445DD66D">
            <w:pPr>
              <w:spacing w:after="0"/>
              <w:rPr>
                <w:b/>
                <w:sz w:val="20"/>
                <w:szCs w:val="20"/>
              </w:rPr>
            </w:pPr>
            <w:r w:rsidRPr="00225C8A">
              <w:rPr>
                <w:b/>
                <w:sz w:val="20"/>
                <w:szCs w:val="20"/>
              </w:rPr>
              <w:t>Total Hours (g)</w:t>
            </w:r>
            <w:r w:rsidRPr="00225C8A" w:rsidR="00915FEC">
              <w:rPr>
                <w:b/>
                <w:sz w:val="20"/>
                <w:szCs w:val="20"/>
              </w:rPr>
              <w:t xml:space="preserve"> </w:t>
            </w:r>
            <w:r w:rsidRPr="00225C8A">
              <w:rPr>
                <w:b/>
                <w:sz w:val="20"/>
                <w:szCs w:val="20"/>
              </w:rPr>
              <w:t>= [(a)*(d)]+[(b)*(d)]+[(c)*(d)]</w:t>
            </w:r>
          </w:p>
        </w:tc>
        <w:tc>
          <w:tcPr>
            <w:tcW w:w="2136" w:type="dxa"/>
            <w:shd w:val="clear" w:color="auto" w:fill="D9D9D9" w:themeFill="background1" w:themeFillShade="D9"/>
            <w:vAlign w:val="center"/>
          </w:tcPr>
          <w:p w:rsidRPr="00225C8A" w:rsidR="0088351C" w:rsidP="00A639D4" w:rsidRDefault="00225C8A" w14:paraId="56E132FB" w14:textId="0FFE1938">
            <w:pPr>
              <w:spacing w:after="0"/>
              <w:rPr>
                <w:b/>
                <w:sz w:val="20"/>
                <w:szCs w:val="20"/>
              </w:rPr>
            </w:pPr>
            <w:r>
              <w:rPr>
                <w:b/>
                <w:sz w:val="20"/>
                <w:szCs w:val="20"/>
              </w:rPr>
              <w:t>2,755</w:t>
            </w:r>
          </w:p>
        </w:tc>
      </w:tr>
      <w:tr w:rsidRPr="00C47150" w:rsidR="0088351C" w:rsidTr="00A639D4" w14:paraId="79FC98D3" w14:textId="77777777">
        <w:trPr>
          <w:trHeight w:val="332"/>
          <w:jc w:val="center"/>
        </w:trPr>
        <w:tc>
          <w:tcPr>
            <w:tcW w:w="6864" w:type="dxa"/>
            <w:shd w:val="clear" w:color="auto" w:fill="auto"/>
            <w:hideMark/>
          </w:tcPr>
          <w:p w:rsidRPr="0047482B" w:rsidR="0088351C" w:rsidP="00A639D4" w:rsidRDefault="0088351C" w14:paraId="413A2FAE" w14:textId="54ADB85E">
            <w:pPr>
              <w:spacing w:after="0"/>
              <w:rPr>
                <w:sz w:val="20"/>
                <w:szCs w:val="20"/>
              </w:rPr>
            </w:pPr>
            <w:r w:rsidRPr="00732012">
              <w:rPr>
                <w:sz w:val="20"/>
                <w:szCs w:val="20"/>
              </w:rPr>
              <w:t xml:space="preserve">Labor rate for a </w:t>
            </w:r>
            <w:r>
              <w:rPr>
                <w:sz w:val="20"/>
                <w:szCs w:val="20"/>
              </w:rPr>
              <w:t>Practice Administrator ($10</w:t>
            </w:r>
            <w:r w:rsidR="00706DDF">
              <w:rPr>
                <w:sz w:val="20"/>
                <w:szCs w:val="20"/>
              </w:rPr>
              <w:t>9.36/hr</w:t>
            </w:r>
            <w:r>
              <w:rPr>
                <w:sz w:val="20"/>
                <w:szCs w:val="20"/>
              </w:rPr>
              <w:t>)</w:t>
            </w:r>
            <w:r w:rsidRPr="00732012">
              <w:rPr>
                <w:sz w:val="20"/>
                <w:szCs w:val="20"/>
              </w:rPr>
              <w:t xml:space="preserve"> (h)</w:t>
            </w:r>
          </w:p>
        </w:tc>
        <w:tc>
          <w:tcPr>
            <w:tcW w:w="2136" w:type="dxa"/>
            <w:shd w:val="clear" w:color="auto" w:fill="auto"/>
            <w:vAlign w:val="center"/>
          </w:tcPr>
          <w:p w:rsidRPr="0047482B" w:rsidR="0088351C" w:rsidP="00A639D4" w:rsidRDefault="0088351C" w14:paraId="7043F435" w14:textId="33E819E3">
            <w:pPr>
              <w:spacing w:after="0"/>
              <w:rPr>
                <w:sz w:val="20"/>
                <w:szCs w:val="20"/>
              </w:rPr>
            </w:pPr>
            <w:r w:rsidRPr="00732012">
              <w:rPr>
                <w:sz w:val="20"/>
                <w:szCs w:val="20"/>
              </w:rPr>
              <w:t>$</w:t>
            </w:r>
            <w:r>
              <w:rPr>
                <w:sz w:val="20"/>
                <w:szCs w:val="20"/>
              </w:rPr>
              <w:t>10</w:t>
            </w:r>
            <w:r w:rsidR="00706DDF">
              <w:rPr>
                <w:sz w:val="20"/>
                <w:szCs w:val="20"/>
              </w:rPr>
              <w:t>9.36</w:t>
            </w:r>
            <w:r w:rsidRPr="00732012">
              <w:rPr>
                <w:sz w:val="20"/>
                <w:szCs w:val="20"/>
              </w:rPr>
              <w:t>/hr</w:t>
            </w:r>
          </w:p>
        </w:tc>
      </w:tr>
      <w:tr w:rsidRPr="00C47150" w:rsidR="0088351C" w:rsidTr="00A639D4" w14:paraId="4CBB87E1" w14:textId="77777777">
        <w:trPr>
          <w:trHeight w:val="332"/>
          <w:jc w:val="center"/>
        </w:trPr>
        <w:tc>
          <w:tcPr>
            <w:tcW w:w="6864" w:type="dxa"/>
            <w:shd w:val="clear" w:color="auto" w:fill="BFBFBF" w:themeFill="background1" w:themeFillShade="BF"/>
          </w:tcPr>
          <w:p w:rsidRPr="00225C8A" w:rsidR="0088351C" w:rsidP="00A639D4" w:rsidRDefault="0078522E" w14:paraId="6A7FD55B" w14:textId="255E6BC0">
            <w:pPr>
              <w:spacing w:after="0"/>
              <w:rPr>
                <w:b/>
                <w:sz w:val="20"/>
                <w:szCs w:val="20"/>
              </w:rPr>
            </w:pPr>
            <w:r w:rsidRPr="00225C8A">
              <w:rPr>
                <w:b/>
                <w:sz w:val="20"/>
                <w:szCs w:val="20"/>
              </w:rPr>
              <w:t xml:space="preserve">Total Annual </w:t>
            </w:r>
            <w:r w:rsidRPr="00225C8A" w:rsidR="0088351C">
              <w:rPr>
                <w:b/>
                <w:sz w:val="20"/>
                <w:szCs w:val="20"/>
              </w:rPr>
              <w:t>Cost (i) = (g)*(h)</w:t>
            </w:r>
          </w:p>
        </w:tc>
        <w:tc>
          <w:tcPr>
            <w:tcW w:w="2136" w:type="dxa"/>
            <w:shd w:val="clear" w:color="auto" w:fill="BFBFBF" w:themeFill="background1" w:themeFillShade="BF"/>
            <w:vAlign w:val="center"/>
          </w:tcPr>
          <w:p w:rsidRPr="00225C8A" w:rsidR="0088351C" w:rsidP="00A639D4" w:rsidRDefault="00E77D34" w14:paraId="4528E3E4" w14:textId="11A9D444">
            <w:pPr>
              <w:spacing w:after="0"/>
              <w:rPr>
                <w:b/>
                <w:sz w:val="20"/>
                <w:szCs w:val="20"/>
              </w:rPr>
            </w:pPr>
            <w:r w:rsidRPr="00225C8A">
              <w:rPr>
                <w:b/>
                <w:sz w:val="20"/>
                <w:szCs w:val="20"/>
              </w:rPr>
              <w:t>$</w:t>
            </w:r>
            <w:r w:rsidR="00706DDF">
              <w:rPr>
                <w:b/>
                <w:sz w:val="20"/>
                <w:szCs w:val="20"/>
              </w:rPr>
              <w:t>301,287</w:t>
            </w:r>
          </w:p>
        </w:tc>
      </w:tr>
    </w:tbl>
    <w:p w:rsidR="0088351C" w:rsidP="0088351C" w:rsidRDefault="0088351C" w14:paraId="15403F0B" w14:textId="6065CD15"/>
    <w:p w:rsidR="0088351C" w:rsidP="0095356F" w:rsidRDefault="0088351C" w14:paraId="5A7DC3D2" w14:textId="002F61D2">
      <w:pPr>
        <w:pStyle w:val="Heading3"/>
        <w:numPr>
          <w:ilvl w:val="0"/>
          <w:numId w:val="32"/>
        </w:numPr>
      </w:pPr>
      <w:bookmarkStart w:name="_Hlk532899326" w:id="27"/>
      <w:r w:rsidRPr="00B05B18">
        <w:t xml:space="preserve">Burden Estimate for </w:t>
      </w:r>
      <w:r w:rsidRPr="0088351C">
        <w:t>Voluntary Participants to Elect Opt-Out of Performance Data Display on Physician Compare</w:t>
      </w:r>
    </w:p>
    <w:bookmarkEnd w:id="27"/>
    <w:p w:rsidR="006729C8" w:rsidP="00E12B53" w:rsidRDefault="00D27CC7" w14:paraId="36351A6A" w14:textId="5F9AAFDD">
      <w:pPr>
        <w:rPr>
          <w:rFonts w:eastAsia="Calibri"/>
        </w:rPr>
      </w:pPr>
      <w:r w:rsidRPr="00CC2BFB">
        <w:rPr>
          <w:rFonts w:eastAsia="Calibri"/>
        </w:rPr>
        <w:t xml:space="preserve">We estimate that 10 percent of the total clinicians and groups who will voluntarily participate in MIPS will also elect not to participate in public reporting.  This results in a total of </w:t>
      </w:r>
      <w:r w:rsidRPr="0080020F">
        <w:rPr>
          <w:rFonts w:eastAsia="Calibri"/>
        </w:rPr>
        <w:t>1</w:t>
      </w:r>
      <w:r w:rsidRPr="00F90569">
        <w:rPr>
          <w:rFonts w:eastAsia="Calibri"/>
        </w:rPr>
        <w:t>0,</w:t>
      </w:r>
      <w:r>
        <w:rPr>
          <w:rFonts w:eastAsia="Calibri"/>
        </w:rPr>
        <w:t>04</w:t>
      </w:r>
      <w:r w:rsidRPr="00F90569">
        <w:rPr>
          <w:rFonts w:eastAsia="Calibri"/>
        </w:rPr>
        <w:t>2</w:t>
      </w:r>
      <w:r w:rsidRPr="007D08AF">
        <w:rPr>
          <w:rFonts w:eastAsia="Calibri"/>
        </w:rPr>
        <w:t xml:space="preserve"> (0.10 x 1</w:t>
      </w:r>
      <w:r w:rsidRPr="00F90569">
        <w:rPr>
          <w:rFonts w:eastAsia="Calibri"/>
        </w:rPr>
        <w:t>0</w:t>
      </w:r>
      <w:r>
        <w:rPr>
          <w:rFonts w:eastAsia="Calibri"/>
        </w:rPr>
        <w:t>0,415</w:t>
      </w:r>
      <w:r w:rsidRPr="007D08AF">
        <w:rPr>
          <w:rFonts w:eastAsia="Calibri"/>
        </w:rPr>
        <w:t xml:space="preserve"> voluntary</w:t>
      </w:r>
      <w:r w:rsidRPr="00CC2BFB">
        <w:rPr>
          <w:rFonts w:eastAsia="Calibri"/>
        </w:rPr>
        <w:t xml:space="preserve"> MIPS participants) clinicians and groups, a </w:t>
      </w:r>
      <w:r w:rsidRPr="007D08AF">
        <w:rPr>
          <w:rFonts w:eastAsia="Calibri"/>
        </w:rPr>
        <w:t>decrease of 1</w:t>
      </w:r>
      <w:r w:rsidRPr="00F90569">
        <w:rPr>
          <w:rFonts w:eastAsia="Calibri"/>
        </w:rPr>
        <w:t>,</w:t>
      </w:r>
      <w:r>
        <w:rPr>
          <w:rFonts w:eastAsia="Calibri"/>
        </w:rPr>
        <w:t>575</w:t>
      </w:r>
      <w:r w:rsidRPr="007D08AF">
        <w:rPr>
          <w:rFonts w:eastAsia="Calibri"/>
        </w:rPr>
        <w:t xml:space="preserve"> </w:t>
      </w:r>
      <w:r w:rsidRPr="00CC2BFB">
        <w:rPr>
          <w:rFonts w:eastAsia="Calibri"/>
        </w:rPr>
        <w:t xml:space="preserve">from the </w:t>
      </w:r>
      <w:r>
        <w:rPr>
          <w:rFonts w:eastAsia="Calibri"/>
        </w:rPr>
        <w:t xml:space="preserve">estimate of 11,617 </w:t>
      </w:r>
      <w:r w:rsidRPr="00CC2BFB">
        <w:rPr>
          <w:rFonts w:eastAsia="Calibri"/>
        </w:rPr>
        <w:t xml:space="preserve">currently approved </w:t>
      </w:r>
      <w:r>
        <w:rPr>
          <w:rFonts w:eastAsia="Calibri"/>
        </w:rPr>
        <w:t>by OMB due to the availability of more recent data</w:t>
      </w:r>
      <w:r w:rsidRPr="00CC2BFB">
        <w:rPr>
          <w:rFonts w:eastAsia="Calibri"/>
        </w:rPr>
        <w:t>.  Voluntary MIPS participants are clinicians that are not QPs and are expected to be excluded from MIPS after applying the eligibility requirements set out in the CY 2019 PFS final rule but have elected to submit data to MIPS.  As discussed in the R</w:t>
      </w:r>
      <w:r>
        <w:rPr>
          <w:rFonts w:eastAsia="Calibri"/>
        </w:rPr>
        <w:t>IA</w:t>
      </w:r>
      <w:r w:rsidRPr="00CC2BFB">
        <w:rPr>
          <w:rFonts w:eastAsia="Calibri"/>
        </w:rPr>
        <w:t xml:space="preserve"> section of the CY 2019 PFS final rule, we estimate that 33 percent of clinicians that exceed one (1) of the low-volume criteria, but not all three (3), </w:t>
      </w:r>
      <w:r w:rsidRPr="00CC2BFB">
        <w:rPr>
          <w:rFonts w:eastAsia="Calibri"/>
          <w:snapToGrid w:val="0"/>
          <w:szCs w:val="20"/>
        </w:rPr>
        <w:t>will</w:t>
      </w:r>
      <w:r w:rsidRPr="00CC2BFB">
        <w:rPr>
          <w:rFonts w:eastAsia="Calibri"/>
        </w:rPr>
        <w:t xml:space="preserve"> elect to opt-in to MIPS, become MIPS eligible, and no longer be considered a voluntary reporter (83 FR 60050</w:t>
      </w:r>
      <w:r w:rsidRPr="006729C8" w:rsidR="006729C8">
        <w:rPr>
          <w:rFonts w:eastAsia="Calibri"/>
        </w:rPr>
        <w:t>).</w:t>
      </w:r>
    </w:p>
    <w:p w:rsidR="00F7398F" w:rsidP="00E12B53" w:rsidRDefault="00C60626" w14:paraId="12432B04" w14:textId="5D9ECCA1">
      <w:pPr>
        <w:rPr>
          <w:rFonts w:eastAsia="Calibri"/>
        </w:rPr>
      </w:pPr>
      <w:r w:rsidRPr="00CC2BFB">
        <w:rPr>
          <w:rFonts w:eastAsia="Calibri"/>
        </w:rPr>
        <w:t xml:space="preserve">In </w:t>
      </w:r>
      <w:r w:rsidRPr="001D6760">
        <w:rPr>
          <w:rFonts w:eastAsia="Calibri"/>
        </w:rPr>
        <w:t>section III.K.3.h.(6) of th</w:t>
      </w:r>
      <w:r w:rsidR="00302399">
        <w:rPr>
          <w:rFonts w:eastAsia="Calibri"/>
        </w:rPr>
        <w:t>e CY 2020 PFS final</w:t>
      </w:r>
      <w:r w:rsidRPr="00CC2BFB">
        <w:rPr>
          <w:rFonts w:eastAsia="Calibri"/>
        </w:rPr>
        <w:t xml:space="preserve"> rule, we </w:t>
      </w:r>
      <w:r>
        <w:rPr>
          <w:rFonts w:eastAsia="Calibri"/>
        </w:rPr>
        <w:t>are finaliz</w:t>
      </w:r>
      <w:r w:rsidR="00630108">
        <w:rPr>
          <w:rFonts w:eastAsia="Calibri"/>
        </w:rPr>
        <w:t>ed</w:t>
      </w:r>
      <w:r w:rsidRPr="00CC2BFB">
        <w:rPr>
          <w:rFonts w:eastAsia="Calibri"/>
        </w:rPr>
        <w:t xml:space="preserve"> to publicly report (1) an indicator if a MIPS eligible clinician is scored using facility-based measurement beginning with Year 3 (2019 performance information available for public reporting in late 2020) and (2) aggregate MIPS data beginning with Year 2 (2018 performance information available for public reporting in late 2019).  We believe it is possible that the percentage of voluntary participants electing not to participate in public reporting may change as a result of th</w:t>
      </w:r>
      <w:r>
        <w:rPr>
          <w:rFonts w:eastAsia="Calibri"/>
        </w:rPr>
        <w:t>ese</w:t>
      </w:r>
      <w:r w:rsidRPr="00CC2BFB">
        <w:rPr>
          <w:rFonts w:eastAsia="Calibri"/>
        </w:rPr>
        <w:t xml:space="preserve"> </w:t>
      </w:r>
      <w:r>
        <w:rPr>
          <w:rFonts w:eastAsia="Calibri"/>
        </w:rPr>
        <w:t>policies</w:t>
      </w:r>
      <w:r w:rsidRPr="00CC2BFB">
        <w:rPr>
          <w:rFonts w:eastAsia="Calibri"/>
        </w:rPr>
        <w:t xml:space="preserve">, we lack the ability to predict the behavior of clinicians’ response to </w:t>
      </w:r>
      <w:r>
        <w:rPr>
          <w:rFonts w:eastAsia="Calibri"/>
        </w:rPr>
        <w:t>them</w:t>
      </w:r>
      <w:r w:rsidRPr="00CC2BFB">
        <w:rPr>
          <w:rFonts w:eastAsia="Calibri"/>
        </w:rPr>
        <w:t xml:space="preserve">. </w:t>
      </w:r>
      <w:r w:rsidRPr="00D74A09" w:rsidR="00D74A09">
        <w:rPr>
          <w:rFonts w:eastAsia="Calibri"/>
        </w:rPr>
        <w:t xml:space="preserve">Table </w:t>
      </w:r>
      <w:r w:rsidR="00D74A09">
        <w:rPr>
          <w:rFonts w:eastAsia="Calibri"/>
        </w:rPr>
        <w:t>27</w:t>
      </w:r>
      <w:r w:rsidRPr="00D74A09" w:rsidR="00D74A09">
        <w:rPr>
          <w:rFonts w:eastAsia="Calibri"/>
        </w:rPr>
        <w:t xml:space="preserve"> shows that for these voluntary participants, we estimate it will take 0.25 hours at $90.02/hr for a computer system analyst to submit a request to opt-out.  In aggregate, </w:t>
      </w:r>
      <w:r w:rsidRPr="00CC2BFB" w:rsidR="008D5F2A">
        <w:rPr>
          <w:rFonts w:eastAsia="Calibri"/>
        </w:rPr>
        <w:t>we estimate an annual burden of 2,</w:t>
      </w:r>
      <w:r w:rsidR="008D5F2A">
        <w:rPr>
          <w:rFonts w:eastAsia="Calibri"/>
        </w:rPr>
        <w:t>511</w:t>
      </w:r>
      <w:r w:rsidRPr="00CC2BFB" w:rsidR="008D5F2A">
        <w:rPr>
          <w:rFonts w:eastAsia="Calibri"/>
        </w:rPr>
        <w:t xml:space="preserve"> hours (1</w:t>
      </w:r>
      <w:r w:rsidR="008D5F2A">
        <w:rPr>
          <w:rFonts w:eastAsia="Calibri"/>
        </w:rPr>
        <w:t>0,042</w:t>
      </w:r>
      <w:r w:rsidRPr="00CC2BFB" w:rsidR="008D5F2A">
        <w:rPr>
          <w:rFonts w:eastAsia="Calibri"/>
        </w:rPr>
        <w:t xml:space="preserve"> requests x 0.25 hr/request) at a cost of $2</w:t>
      </w:r>
      <w:r w:rsidR="008D5F2A">
        <w:rPr>
          <w:rFonts w:eastAsia="Calibri"/>
        </w:rPr>
        <w:t>25,995</w:t>
      </w:r>
      <w:r w:rsidRPr="00CC2BFB" w:rsidR="008D5F2A">
        <w:rPr>
          <w:rFonts w:eastAsia="Calibri"/>
        </w:rPr>
        <w:t xml:space="preserve"> (2,</w:t>
      </w:r>
      <w:r w:rsidR="008D5F2A">
        <w:rPr>
          <w:rFonts w:eastAsia="Calibri"/>
        </w:rPr>
        <w:t>511</w:t>
      </w:r>
      <w:r w:rsidRPr="00CC2BFB" w:rsidR="008D5F2A">
        <w:rPr>
          <w:rFonts w:eastAsia="Calibri"/>
        </w:rPr>
        <w:t xml:space="preserve"> hr x $90.02/hr).   </w:t>
      </w:r>
    </w:p>
    <w:p w:rsidRPr="00C47150" w:rsidR="0088351C" w:rsidP="00FC7A11" w:rsidRDefault="0088351C" w14:paraId="1A8574DD" w14:textId="269F47DD">
      <w:pPr>
        <w:keepNext/>
        <w:spacing w:after="0"/>
        <w:ind w:firstLine="720"/>
        <w:jc w:val="center"/>
        <w:rPr>
          <w:b/>
          <w:bCs/>
        </w:rPr>
      </w:pPr>
      <w:r w:rsidRPr="00C47150">
        <w:rPr>
          <w:b/>
          <w:bCs/>
        </w:rPr>
        <w:t xml:space="preserve">TABLE </w:t>
      </w:r>
      <w:r w:rsidR="007126F1">
        <w:rPr>
          <w:b/>
          <w:bCs/>
        </w:rPr>
        <w:t>27</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28"/>
      <w:r w:rsidRPr="00C47150">
        <w:rPr>
          <w:b/>
          <w:bCs/>
        </w:rPr>
        <w:t>Voluntary Participants to Elect Opt Out of Performance Data Display on Physician Compare</w:t>
      </w:r>
      <w:bookmarkEnd w:id="28"/>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5"/>
        <w:gridCol w:w="1085"/>
      </w:tblGrid>
      <w:tr w:rsidRPr="00C47150" w:rsidR="0088351C" w:rsidTr="0088351C" w14:paraId="627E38CB" w14:textId="77777777">
        <w:trPr>
          <w:trHeight w:val="315"/>
        </w:trPr>
        <w:tc>
          <w:tcPr>
            <w:tcW w:w="8635" w:type="dxa"/>
            <w:shd w:val="clear" w:color="auto" w:fill="auto"/>
            <w:vAlign w:val="center"/>
            <w:hideMark/>
          </w:tcPr>
          <w:p w:rsidRPr="0088351C" w:rsidR="0088351C" w:rsidP="00FC7A11" w:rsidRDefault="0088351C" w14:paraId="0CE0FC0F" w14:textId="39CBAE8F">
            <w:pPr>
              <w:keepNext/>
              <w:spacing w:after="0"/>
              <w:rPr>
                <w:b/>
                <w:sz w:val="20"/>
                <w:szCs w:val="20"/>
              </w:rPr>
            </w:pPr>
            <w:r w:rsidRPr="0047482B">
              <w:rPr>
                <w:sz w:val="20"/>
                <w:szCs w:val="20"/>
              </w:rPr>
              <w:t> </w:t>
            </w:r>
            <w:r w:rsidRPr="0088351C">
              <w:rPr>
                <w:b/>
                <w:sz w:val="20"/>
                <w:szCs w:val="20"/>
              </w:rPr>
              <w:t>Burden and Respondent Descriptions</w:t>
            </w:r>
          </w:p>
        </w:tc>
        <w:tc>
          <w:tcPr>
            <w:tcW w:w="1085" w:type="dxa"/>
            <w:shd w:val="clear" w:color="auto" w:fill="auto"/>
            <w:vAlign w:val="center"/>
            <w:hideMark/>
          </w:tcPr>
          <w:p w:rsidRPr="0047482B" w:rsidR="0088351C" w:rsidP="00FC7A11" w:rsidRDefault="0088351C" w14:paraId="2E3280A6" w14:textId="77777777">
            <w:pPr>
              <w:keepNext/>
              <w:spacing w:after="0"/>
              <w:jc w:val="center"/>
              <w:rPr>
                <w:b/>
                <w:sz w:val="20"/>
                <w:szCs w:val="20"/>
              </w:rPr>
            </w:pPr>
            <w:r w:rsidRPr="0047482B">
              <w:rPr>
                <w:b/>
                <w:sz w:val="20"/>
                <w:szCs w:val="20"/>
              </w:rPr>
              <w:t>Burden Estimate</w:t>
            </w:r>
          </w:p>
        </w:tc>
      </w:tr>
      <w:tr w:rsidRPr="00C47150" w:rsidR="007126F1" w:rsidTr="00390730" w14:paraId="4D32A2AC" w14:textId="77777777">
        <w:trPr>
          <w:trHeight w:val="188"/>
        </w:trPr>
        <w:tc>
          <w:tcPr>
            <w:tcW w:w="8635" w:type="dxa"/>
            <w:shd w:val="clear" w:color="auto" w:fill="auto"/>
            <w:hideMark/>
          </w:tcPr>
          <w:p w:rsidRPr="0047482B" w:rsidR="007126F1" w:rsidP="00FC7A11" w:rsidRDefault="007126F1" w14:paraId="1F55B172" w14:textId="77777777">
            <w:pPr>
              <w:keepNext/>
              <w:spacing w:after="0"/>
              <w:rPr>
                <w:sz w:val="20"/>
                <w:szCs w:val="20"/>
              </w:rPr>
            </w:pPr>
            <w:r w:rsidRPr="00732012">
              <w:rPr>
                <w:sz w:val="20"/>
                <w:szCs w:val="20"/>
              </w:rPr>
              <w:t># of Voluntary Participants Opting Out of Physician Compare (a)</w:t>
            </w:r>
          </w:p>
        </w:tc>
        <w:tc>
          <w:tcPr>
            <w:tcW w:w="1085" w:type="dxa"/>
            <w:shd w:val="clear" w:color="auto" w:fill="auto"/>
            <w:vAlign w:val="center"/>
            <w:hideMark/>
          </w:tcPr>
          <w:p w:rsidRPr="0047482B" w:rsidR="007126F1" w:rsidP="00FC7A11" w:rsidRDefault="007126F1" w14:paraId="358512E5" w14:textId="07DE5352">
            <w:pPr>
              <w:keepNext/>
              <w:spacing w:after="0"/>
              <w:rPr>
                <w:sz w:val="20"/>
                <w:szCs w:val="20"/>
              </w:rPr>
            </w:pPr>
            <w:r w:rsidRPr="00906435">
              <w:rPr>
                <w:rFonts w:eastAsia="Calibri"/>
                <w:sz w:val="20"/>
                <w:szCs w:val="20"/>
              </w:rPr>
              <w:t>1</w:t>
            </w:r>
            <w:r w:rsidR="00302399">
              <w:rPr>
                <w:rFonts w:eastAsia="Calibri"/>
                <w:sz w:val="20"/>
                <w:szCs w:val="20"/>
              </w:rPr>
              <w:t>0,042</w:t>
            </w:r>
          </w:p>
        </w:tc>
      </w:tr>
      <w:tr w:rsidRPr="00C47150" w:rsidR="007126F1" w:rsidTr="00390730" w14:paraId="63284314" w14:textId="77777777">
        <w:trPr>
          <w:trHeight w:val="215"/>
        </w:trPr>
        <w:tc>
          <w:tcPr>
            <w:tcW w:w="8635" w:type="dxa"/>
            <w:shd w:val="clear" w:color="auto" w:fill="auto"/>
            <w:hideMark/>
          </w:tcPr>
          <w:p w:rsidRPr="0047482B" w:rsidR="007126F1" w:rsidP="00FC7A11" w:rsidRDefault="007126F1" w14:paraId="2A978544" w14:textId="77777777">
            <w:pPr>
              <w:keepNext/>
              <w:spacing w:after="0"/>
              <w:rPr>
                <w:sz w:val="20"/>
                <w:szCs w:val="20"/>
              </w:rPr>
            </w:pPr>
            <w:r w:rsidRPr="00732012">
              <w:rPr>
                <w:sz w:val="20"/>
                <w:szCs w:val="20"/>
              </w:rPr>
              <w:t>Total Annual Hours Per Opt-out Requester (b)</w:t>
            </w:r>
          </w:p>
        </w:tc>
        <w:tc>
          <w:tcPr>
            <w:tcW w:w="1085" w:type="dxa"/>
            <w:shd w:val="clear" w:color="auto" w:fill="auto"/>
            <w:vAlign w:val="center"/>
            <w:hideMark/>
          </w:tcPr>
          <w:p w:rsidRPr="0047482B" w:rsidR="007126F1" w:rsidP="00FC7A11" w:rsidRDefault="007126F1" w14:paraId="11E040F2" w14:textId="69C22518">
            <w:pPr>
              <w:keepNext/>
              <w:spacing w:after="0"/>
              <w:rPr>
                <w:sz w:val="20"/>
                <w:szCs w:val="20"/>
              </w:rPr>
            </w:pPr>
            <w:r w:rsidRPr="00906435">
              <w:rPr>
                <w:rFonts w:eastAsia="Calibri"/>
                <w:sz w:val="20"/>
                <w:szCs w:val="20"/>
              </w:rPr>
              <w:t>0.25</w:t>
            </w:r>
          </w:p>
        </w:tc>
      </w:tr>
      <w:tr w:rsidRPr="00C47150" w:rsidR="007126F1" w:rsidTr="00390730" w14:paraId="0B295030" w14:textId="77777777">
        <w:trPr>
          <w:trHeight w:val="260"/>
        </w:trPr>
        <w:tc>
          <w:tcPr>
            <w:tcW w:w="8635" w:type="dxa"/>
            <w:shd w:val="clear" w:color="auto" w:fill="D9D9D9" w:themeFill="background1" w:themeFillShade="D9"/>
            <w:hideMark/>
          </w:tcPr>
          <w:p w:rsidRPr="00485667" w:rsidR="007126F1" w:rsidP="00FC7A11" w:rsidRDefault="007126F1" w14:paraId="1AA234D4" w14:textId="772F2636">
            <w:pPr>
              <w:keepNext/>
              <w:spacing w:after="0"/>
              <w:rPr>
                <w:b/>
                <w:sz w:val="20"/>
                <w:szCs w:val="20"/>
              </w:rPr>
            </w:pPr>
            <w:r w:rsidRPr="00485667">
              <w:rPr>
                <w:b/>
                <w:sz w:val="20"/>
                <w:szCs w:val="20"/>
              </w:rPr>
              <w:t>Total Annual Hours (c) = (a)*(b)</w:t>
            </w:r>
          </w:p>
        </w:tc>
        <w:tc>
          <w:tcPr>
            <w:tcW w:w="1085" w:type="dxa"/>
            <w:shd w:val="clear" w:color="auto" w:fill="D9D9D9" w:themeFill="background1" w:themeFillShade="D9"/>
            <w:vAlign w:val="center"/>
            <w:hideMark/>
          </w:tcPr>
          <w:p w:rsidRPr="00485667" w:rsidR="007126F1" w:rsidP="00FC7A11" w:rsidRDefault="007126F1" w14:paraId="5BD16555" w14:textId="67EA2E3D">
            <w:pPr>
              <w:keepNext/>
              <w:spacing w:after="0"/>
              <w:rPr>
                <w:b/>
                <w:sz w:val="20"/>
                <w:szCs w:val="20"/>
              </w:rPr>
            </w:pPr>
            <w:r w:rsidRPr="00485667">
              <w:rPr>
                <w:rFonts w:eastAsia="Calibri"/>
                <w:b/>
                <w:sz w:val="20"/>
                <w:szCs w:val="20"/>
              </w:rPr>
              <w:t>2,</w:t>
            </w:r>
            <w:r w:rsidR="00302399">
              <w:rPr>
                <w:rFonts w:eastAsia="Calibri"/>
                <w:b/>
                <w:sz w:val="20"/>
                <w:szCs w:val="20"/>
              </w:rPr>
              <w:t>511</w:t>
            </w:r>
          </w:p>
        </w:tc>
      </w:tr>
      <w:tr w:rsidRPr="00C47150" w:rsidR="007126F1" w:rsidTr="00390730" w14:paraId="7F5AC91A" w14:textId="77777777">
        <w:trPr>
          <w:trHeight w:val="269"/>
        </w:trPr>
        <w:tc>
          <w:tcPr>
            <w:tcW w:w="8635" w:type="dxa"/>
            <w:shd w:val="clear" w:color="auto" w:fill="auto"/>
            <w:hideMark/>
          </w:tcPr>
          <w:p w:rsidRPr="0047482B" w:rsidR="007126F1" w:rsidP="00FC7A11" w:rsidRDefault="007126F1" w14:paraId="4AF600E7" w14:textId="77777777">
            <w:pPr>
              <w:keepNext/>
              <w:spacing w:after="0"/>
              <w:rPr>
                <w:sz w:val="20"/>
                <w:szCs w:val="20"/>
              </w:rPr>
            </w:pPr>
            <w:r w:rsidRPr="00732012">
              <w:rPr>
                <w:sz w:val="20"/>
                <w:szCs w:val="20"/>
              </w:rPr>
              <w:t>Labor rate for a computer systems analyst (d)</w:t>
            </w:r>
          </w:p>
        </w:tc>
        <w:tc>
          <w:tcPr>
            <w:tcW w:w="1085" w:type="dxa"/>
            <w:shd w:val="clear" w:color="auto" w:fill="auto"/>
            <w:vAlign w:val="center"/>
            <w:hideMark/>
          </w:tcPr>
          <w:p w:rsidRPr="0047482B" w:rsidR="007126F1" w:rsidP="00FC7A11" w:rsidRDefault="007126F1" w14:paraId="5A8D71FC" w14:textId="4D014BDF">
            <w:pPr>
              <w:keepNext/>
              <w:spacing w:after="0"/>
              <w:rPr>
                <w:sz w:val="20"/>
                <w:szCs w:val="20"/>
              </w:rPr>
            </w:pPr>
            <w:r w:rsidRPr="00906435">
              <w:rPr>
                <w:rFonts w:eastAsia="Calibri"/>
                <w:sz w:val="20"/>
                <w:szCs w:val="20"/>
              </w:rPr>
              <w:t>$</w:t>
            </w:r>
            <w:r w:rsidR="00D74A09">
              <w:rPr>
                <w:rFonts w:eastAsia="Calibri"/>
                <w:sz w:val="20"/>
                <w:szCs w:val="20"/>
              </w:rPr>
              <w:t>90.02</w:t>
            </w:r>
            <w:r w:rsidRPr="00906435">
              <w:rPr>
                <w:rFonts w:eastAsia="Calibri"/>
                <w:sz w:val="20"/>
                <w:szCs w:val="20"/>
              </w:rPr>
              <w:t>/hr</w:t>
            </w:r>
          </w:p>
        </w:tc>
      </w:tr>
      <w:tr w:rsidRPr="00C47150" w:rsidR="007126F1" w:rsidTr="00390730" w14:paraId="03E15AAC" w14:textId="77777777">
        <w:trPr>
          <w:trHeight w:val="242"/>
        </w:trPr>
        <w:tc>
          <w:tcPr>
            <w:tcW w:w="8635" w:type="dxa"/>
            <w:shd w:val="clear" w:color="auto" w:fill="D9D9D9" w:themeFill="background1" w:themeFillShade="D9"/>
            <w:hideMark/>
          </w:tcPr>
          <w:p w:rsidRPr="00485667" w:rsidR="007126F1" w:rsidP="00FC7A11" w:rsidRDefault="007126F1" w14:paraId="58E1F49D" w14:textId="683A3633">
            <w:pPr>
              <w:keepNext/>
              <w:spacing w:after="0"/>
              <w:rPr>
                <w:b/>
                <w:sz w:val="20"/>
                <w:szCs w:val="20"/>
              </w:rPr>
            </w:pPr>
            <w:r w:rsidRPr="00485667">
              <w:rPr>
                <w:b/>
                <w:sz w:val="20"/>
                <w:szCs w:val="20"/>
              </w:rPr>
              <w:t>Total Annual Cost (e) = (</w:t>
            </w:r>
            <w:r w:rsidR="00302399">
              <w:rPr>
                <w:b/>
                <w:sz w:val="20"/>
                <w:szCs w:val="20"/>
              </w:rPr>
              <w:t>c</w:t>
            </w:r>
            <w:r w:rsidRPr="00485667">
              <w:rPr>
                <w:b/>
                <w:sz w:val="20"/>
                <w:szCs w:val="20"/>
              </w:rPr>
              <w:t>)*(d)</w:t>
            </w:r>
          </w:p>
        </w:tc>
        <w:tc>
          <w:tcPr>
            <w:tcW w:w="1085" w:type="dxa"/>
            <w:shd w:val="clear" w:color="auto" w:fill="D9D9D9" w:themeFill="background1" w:themeFillShade="D9"/>
            <w:vAlign w:val="center"/>
            <w:hideMark/>
          </w:tcPr>
          <w:p w:rsidRPr="00485667" w:rsidR="007126F1" w:rsidP="00FC7A11" w:rsidRDefault="007126F1" w14:paraId="6F7202C6" w14:textId="531219F2">
            <w:pPr>
              <w:keepNext/>
              <w:spacing w:after="0"/>
              <w:rPr>
                <w:b/>
                <w:sz w:val="20"/>
                <w:szCs w:val="20"/>
              </w:rPr>
            </w:pPr>
            <w:r w:rsidRPr="00485667">
              <w:rPr>
                <w:rFonts w:eastAsia="Calibri"/>
                <w:b/>
                <w:sz w:val="20"/>
                <w:szCs w:val="20"/>
              </w:rPr>
              <w:t>$2</w:t>
            </w:r>
            <w:r w:rsidR="00302399">
              <w:rPr>
                <w:rFonts w:eastAsia="Calibri"/>
                <w:b/>
                <w:sz w:val="20"/>
                <w:szCs w:val="20"/>
              </w:rPr>
              <w:t>25,995</w:t>
            </w:r>
          </w:p>
        </w:tc>
      </w:tr>
    </w:tbl>
    <w:p w:rsidR="002E5262" w:rsidP="00FC7A11" w:rsidRDefault="002E5262" w14:paraId="04A9941C" w14:textId="77777777">
      <w:pPr>
        <w:pStyle w:val="Heading2"/>
        <w:numPr>
          <w:ilvl w:val="0"/>
          <w:numId w:val="0"/>
        </w:numPr>
        <w:ind w:left="360"/>
      </w:pPr>
    </w:p>
    <w:p w:rsidR="002E5262" w:rsidRDefault="002E5262" w14:paraId="36F59667" w14:textId="77777777">
      <w:pPr>
        <w:rPr>
          <w:rFonts w:eastAsiaTheme="majorEastAsia" w:cstheme="majorBidi"/>
          <w:snapToGrid w:val="0"/>
          <w:szCs w:val="26"/>
          <w:u w:val="single"/>
        </w:rPr>
      </w:pPr>
      <w:r>
        <w:br w:type="page"/>
      </w:r>
    </w:p>
    <w:p w:rsidR="00F36F52" w:rsidP="00FC7A11" w:rsidRDefault="00242348" w14:paraId="0291418E" w14:textId="78A39770">
      <w:pPr>
        <w:pStyle w:val="Heading2"/>
        <w:numPr>
          <w:ilvl w:val="0"/>
          <w:numId w:val="0"/>
        </w:numPr>
        <w:ind w:left="360"/>
      </w:pPr>
      <w:r w:rsidRPr="004F66BE">
        <w:t>Burden Summary</w:t>
      </w:r>
    </w:p>
    <w:p w:rsidRPr="00117B2D" w:rsidR="00117B2D" w:rsidP="00FC7A11" w:rsidRDefault="00117B2D" w14:paraId="60AA83D2" w14:textId="49E87CA7">
      <w:pPr>
        <w:keepNext/>
        <w:spacing w:after="0"/>
        <w:jc w:val="center"/>
        <w:rPr>
          <w:b/>
          <w:bCs/>
        </w:rPr>
      </w:pPr>
      <w:r w:rsidRPr="00C47150">
        <w:rPr>
          <w:b/>
          <w:bCs/>
        </w:rPr>
        <w:t xml:space="preserve">TABLE </w:t>
      </w:r>
      <w:r>
        <w:rPr>
          <w:b/>
          <w:bCs/>
        </w:rPr>
        <w:t>28</w:t>
      </w:r>
      <w:r w:rsidRPr="00C47150">
        <w:rPr>
          <w:b/>
          <w:bCs/>
        </w:rPr>
        <w:t xml:space="preserve">: </w:t>
      </w:r>
      <w:r>
        <w:rPr>
          <w:b/>
          <w:bCs/>
        </w:rPr>
        <w:t>Burden Summary</w:t>
      </w:r>
    </w:p>
    <w:tbl>
      <w:tblPr>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460"/>
        <w:gridCol w:w="1145"/>
        <w:gridCol w:w="1145"/>
        <w:gridCol w:w="1388"/>
        <w:gridCol w:w="1492"/>
        <w:gridCol w:w="1170"/>
        <w:gridCol w:w="1584"/>
      </w:tblGrid>
      <w:tr w:rsidRPr="00732012" w:rsidR="00AF31C6" w:rsidTr="00FF0944" w14:paraId="050B8D0D" w14:textId="77777777">
        <w:trPr>
          <w:cantSplit/>
          <w:tblHeader/>
          <w:jc w:val="center"/>
        </w:trPr>
        <w:tc>
          <w:tcPr>
            <w:tcW w:w="1460" w:type="dxa"/>
            <w:vAlign w:val="bottom"/>
          </w:tcPr>
          <w:p w:rsidRPr="00732012" w:rsidR="00AF31C6" w:rsidP="000A6E3E" w:rsidRDefault="00AF31C6" w14:paraId="1DBC758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Regulation Section(s) Under Title 42 of the CFR</w:t>
            </w:r>
          </w:p>
        </w:tc>
        <w:tc>
          <w:tcPr>
            <w:tcW w:w="1145" w:type="dxa"/>
          </w:tcPr>
          <w:p w:rsidRPr="00732012" w:rsidR="00AF31C6" w:rsidP="000A6E3E" w:rsidRDefault="00AF31C6" w14:paraId="0F297550" w14:textId="3407F17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Table No.</w:t>
            </w:r>
          </w:p>
        </w:tc>
        <w:tc>
          <w:tcPr>
            <w:tcW w:w="1145" w:type="dxa"/>
            <w:vAlign w:val="bottom"/>
          </w:tcPr>
          <w:p w:rsidRPr="00732012" w:rsidR="00AF31C6" w:rsidP="000A6E3E" w:rsidRDefault="00AF31C6" w14:paraId="61F653C0" w14:textId="0DE1168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Responses</w:t>
            </w:r>
          </w:p>
        </w:tc>
        <w:tc>
          <w:tcPr>
            <w:tcW w:w="1388" w:type="dxa"/>
            <w:vAlign w:val="bottom"/>
          </w:tcPr>
          <w:p w:rsidRPr="00732012" w:rsidR="00AF31C6" w:rsidP="000A6E3E" w:rsidRDefault="00AF31C6" w14:paraId="41F7C91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Burden per Response (hours)</w:t>
            </w:r>
          </w:p>
        </w:tc>
        <w:tc>
          <w:tcPr>
            <w:tcW w:w="1492" w:type="dxa"/>
            <w:vAlign w:val="bottom"/>
          </w:tcPr>
          <w:p w:rsidRPr="00732012" w:rsidR="00AF31C6" w:rsidP="000A6E3E" w:rsidRDefault="00AF31C6" w14:paraId="59E93C4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Total Annual Burden (hours)</w:t>
            </w:r>
          </w:p>
        </w:tc>
        <w:tc>
          <w:tcPr>
            <w:tcW w:w="1170" w:type="dxa"/>
            <w:vAlign w:val="bottom"/>
          </w:tcPr>
          <w:p w:rsidRPr="00732012" w:rsidR="00AF31C6" w:rsidP="000A6E3E" w:rsidRDefault="00AF31C6" w14:paraId="63B99AD3" w14:textId="77777777">
            <w:pPr>
              <w:keepNext/>
              <w:keepLines/>
              <w:spacing w:after="0"/>
              <w:jc w:val="center"/>
              <w:rPr>
                <w:b/>
                <w:bCs/>
                <w:color w:val="000000"/>
                <w:sz w:val="20"/>
                <w:szCs w:val="20"/>
              </w:rPr>
            </w:pPr>
            <w:r w:rsidRPr="00732012">
              <w:rPr>
                <w:b/>
                <w:bCs/>
                <w:color w:val="000000"/>
                <w:sz w:val="20"/>
                <w:szCs w:val="20"/>
              </w:rPr>
              <w:t>Labor</w:t>
            </w:r>
          </w:p>
          <w:p w:rsidRPr="00732012" w:rsidR="00AF31C6" w:rsidP="000A6E3E" w:rsidRDefault="00AF31C6" w14:paraId="62756B3D" w14:textId="77777777">
            <w:pPr>
              <w:keepNext/>
              <w:keepLines/>
              <w:spacing w:after="0"/>
              <w:jc w:val="center"/>
              <w:rPr>
                <w:b/>
                <w:bCs/>
                <w:color w:val="000000"/>
                <w:sz w:val="20"/>
                <w:szCs w:val="20"/>
              </w:rPr>
            </w:pPr>
            <w:r w:rsidRPr="00732012">
              <w:rPr>
                <w:b/>
                <w:bCs/>
                <w:color w:val="000000"/>
                <w:sz w:val="20"/>
                <w:szCs w:val="20"/>
              </w:rPr>
              <w:t>Cost of</w:t>
            </w:r>
          </w:p>
          <w:p w:rsidRPr="00732012" w:rsidR="00AF31C6" w:rsidP="000A6E3E" w:rsidRDefault="00AF31C6" w14:paraId="4D9FF427" w14:textId="77777777">
            <w:pPr>
              <w:keepNext/>
              <w:keepLines/>
              <w:spacing w:after="0"/>
              <w:jc w:val="center"/>
              <w:rPr>
                <w:b/>
                <w:bCs/>
                <w:color w:val="000000"/>
                <w:sz w:val="20"/>
                <w:szCs w:val="20"/>
              </w:rPr>
            </w:pPr>
            <w:r w:rsidRPr="00732012">
              <w:rPr>
                <w:b/>
                <w:bCs/>
                <w:color w:val="000000"/>
                <w:sz w:val="20"/>
                <w:szCs w:val="20"/>
              </w:rPr>
              <w:t>Reporting</w:t>
            </w:r>
          </w:p>
          <w:p w:rsidRPr="00732012" w:rsidR="00AF31C6" w:rsidP="000A6E3E" w:rsidRDefault="00AF31C6" w14:paraId="0C6652B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($/hr)</w:t>
            </w:r>
          </w:p>
        </w:tc>
        <w:tc>
          <w:tcPr>
            <w:tcW w:w="1584" w:type="dxa"/>
            <w:vAlign w:val="bottom"/>
          </w:tcPr>
          <w:p w:rsidRPr="00732012" w:rsidR="00AF31C6" w:rsidP="000A6E3E" w:rsidRDefault="00AF31C6" w14:paraId="4C7FE21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Total Cost</w:t>
            </w:r>
          </w:p>
          <w:p w:rsidRPr="00732012" w:rsidR="00AF31C6" w:rsidP="000A6E3E" w:rsidRDefault="00AF31C6" w14:paraId="61115B4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w:t>
            </w:r>
          </w:p>
        </w:tc>
      </w:tr>
      <w:tr w:rsidRPr="00732012" w:rsidR="00AF31C6" w:rsidTr="00FF0944" w14:paraId="14134D47" w14:textId="77777777">
        <w:trPr>
          <w:cantSplit/>
          <w:jc w:val="center"/>
        </w:trPr>
        <w:tc>
          <w:tcPr>
            <w:tcW w:w="1460" w:type="dxa"/>
          </w:tcPr>
          <w:p w:rsidRPr="00732012" w:rsidR="00AF31C6" w:rsidP="000A6E3E" w:rsidRDefault="00AF31C6" w14:paraId="272EE7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(Registry self- nomination)</w:t>
            </w:r>
          </w:p>
        </w:tc>
        <w:tc>
          <w:tcPr>
            <w:tcW w:w="1145" w:type="dxa"/>
          </w:tcPr>
          <w:p w:rsidR="00AF31C6" w:rsidP="000A6E3E" w:rsidRDefault="00AF31C6" w14:paraId="69FC5A41" w14:textId="178A88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w:t>
            </w:r>
          </w:p>
        </w:tc>
        <w:tc>
          <w:tcPr>
            <w:tcW w:w="1145" w:type="dxa"/>
          </w:tcPr>
          <w:p w:rsidRPr="00732012" w:rsidR="00AF31C6" w:rsidP="000A6E3E" w:rsidRDefault="00AF31C6" w14:paraId="4D748AD8" w14:textId="448629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153</w:t>
            </w:r>
          </w:p>
        </w:tc>
        <w:tc>
          <w:tcPr>
            <w:tcW w:w="1388" w:type="dxa"/>
          </w:tcPr>
          <w:p w:rsidRPr="00732012" w:rsidR="00AF31C6" w:rsidP="000A6E3E" w:rsidRDefault="00AF31C6" w14:paraId="0AFF5C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w:t>
            </w:r>
          </w:p>
        </w:tc>
        <w:tc>
          <w:tcPr>
            <w:tcW w:w="1492" w:type="dxa"/>
          </w:tcPr>
          <w:p w:rsidRPr="00732012" w:rsidR="00AF31C6" w:rsidP="000A6E3E" w:rsidRDefault="00AF31C6" w14:paraId="0197361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459</w:t>
            </w:r>
          </w:p>
        </w:tc>
        <w:tc>
          <w:tcPr>
            <w:tcW w:w="1170" w:type="dxa"/>
          </w:tcPr>
          <w:p w:rsidRPr="00732012" w:rsidR="00AF31C6" w:rsidP="000A6E3E" w:rsidRDefault="00AF31C6" w14:paraId="21036E4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1BAB0DD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41,319</w:t>
            </w:r>
          </w:p>
        </w:tc>
      </w:tr>
      <w:tr w:rsidRPr="00732012" w:rsidR="00AF31C6" w:rsidTr="00FF0944" w14:paraId="0D0A4FC9" w14:textId="77777777">
        <w:trPr>
          <w:cantSplit/>
          <w:jc w:val="center"/>
        </w:trPr>
        <w:tc>
          <w:tcPr>
            <w:tcW w:w="1460" w:type="dxa"/>
          </w:tcPr>
          <w:p w:rsidRPr="00732012" w:rsidR="00AF31C6" w:rsidP="000A6E3E" w:rsidRDefault="00AF31C6" w14:paraId="438858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(QCDR self-nomination)</w:t>
            </w:r>
          </w:p>
        </w:tc>
        <w:tc>
          <w:tcPr>
            <w:tcW w:w="1145" w:type="dxa"/>
          </w:tcPr>
          <w:p w:rsidR="00AF31C6" w:rsidP="000A6E3E" w:rsidRDefault="00AF31C6" w14:paraId="793D6E34" w14:textId="0D81F36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w:t>
            </w:r>
          </w:p>
        </w:tc>
        <w:tc>
          <w:tcPr>
            <w:tcW w:w="1145" w:type="dxa"/>
          </w:tcPr>
          <w:p w:rsidRPr="00732012" w:rsidR="00AF31C6" w:rsidP="000A6E3E" w:rsidRDefault="00AF31C6" w14:paraId="60B58AA4" w14:textId="111F4F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76</w:t>
            </w:r>
          </w:p>
        </w:tc>
        <w:tc>
          <w:tcPr>
            <w:tcW w:w="1388" w:type="dxa"/>
          </w:tcPr>
          <w:p w:rsidRPr="00732012" w:rsidR="00AF31C6" w:rsidP="000A6E3E" w:rsidRDefault="00AF31C6" w14:paraId="2F949A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w:t>
            </w:r>
          </w:p>
        </w:tc>
        <w:tc>
          <w:tcPr>
            <w:tcW w:w="1492" w:type="dxa"/>
          </w:tcPr>
          <w:p w:rsidRPr="00732012" w:rsidR="00AF31C6" w:rsidP="000A6E3E" w:rsidRDefault="00AF31C6" w14:paraId="72E9DB0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608</w:t>
            </w:r>
          </w:p>
        </w:tc>
        <w:tc>
          <w:tcPr>
            <w:tcW w:w="1170" w:type="dxa"/>
          </w:tcPr>
          <w:p w:rsidRPr="00732012" w:rsidR="00AF31C6" w:rsidP="000A6E3E" w:rsidRDefault="00AF31C6" w14:paraId="10854D4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64F16D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54,732</w:t>
            </w:r>
          </w:p>
        </w:tc>
      </w:tr>
      <w:tr w:rsidRPr="00732012" w:rsidR="00AF31C6" w:rsidTr="00FF0944" w14:paraId="6410520B" w14:textId="77777777">
        <w:trPr>
          <w:cantSplit/>
          <w:jc w:val="center"/>
        </w:trPr>
        <w:tc>
          <w:tcPr>
            <w:tcW w:w="1460" w:type="dxa"/>
          </w:tcPr>
          <w:p w:rsidRPr="00732012" w:rsidR="00AF31C6" w:rsidP="000A6E3E" w:rsidRDefault="00AF31C6" w14:paraId="5FA38E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w:t>
            </w:r>
            <w:r>
              <w:rPr>
                <w:sz w:val="20"/>
                <w:szCs w:val="20"/>
              </w:rPr>
              <w:t>QPP Identity Management Application Process</w:t>
            </w:r>
            <w:r w:rsidRPr="001D15B8">
              <w:rPr>
                <w:sz w:val="20"/>
                <w:szCs w:val="20"/>
              </w:rPr>
              <w:t>)</w:t>
            </w:r>
          </w:p>
        </w:tc>
        <w:tc>
          <w:tcPr>
            <w:tcW w:w="1145" w:type="dxa"/>
          </w:tcPr>
          <w:p w:rsidRPr="001D15B8" w:rsidR="00AF31C6" w:rsidP="000A6E3E" w:rsidRDefault="00AF31C6" w14:paraId="2639FB92" w14:textId="788829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p>
        </w:tc>
        <w:tc>
          <w:tcPr>
            <w:tcW w:w="1145" w:type="dxa"/>
          </w:tcPr>
          <w:p w:rsidRPr="00732012" w:rsidR="00AF31C6" w:rsidP="000A6E3E" w:rsidRDefault="00AF31C6" w14:paraId="20929BCF" w14:textId="44B9C7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3,741</w:t>
            </w:r>
          </w:p>
        </w:tc>
        <w:tc>
          <w:tcPr>
            <w:tcW w:w="1388" w:type="dxa"/>
          </w:tcPr>
          <w:p w:rsidRPr="00732012" w:rsidR="00AF31C6" w:rsidP="000A6E3E" w:rsidRDefault="00AF31C6" w14:paraId="33701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w:t>
            </w:r>
          </w:p>
        </w:tc>
        <w:tc>
          <w:tcPr>
            <w:tcW w:w="1492" w:type="dxa"/>
          </w:tcPr>
          <w:p w:rsidRPr="00732012" w:rsidR="00AF31C6" w:rsidP="000A6E3E" w:rsidRDefault="00AF31C6" w14:paraId="6EEB66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3,741</w:t>
            </w:r>
          </w:p>
        </w:tc>
        <w:tc>
          <w:tcPr>
            <w:tcW w:w="1170" w:type="dxa"/>
          </w:tcPr>
          <w:p w:rsidRPr="00732012" w:rsidR="00AF31C6" w:rsidP="000A6E3E" w:rsidRDefault="00AF31C6" w14:paraId="57CBFB2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477020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33</w:t>
            </w:r>
            <w:r>
              <w:rPr>
                <w:sz w:val="20"/>
                <w:szCs w:val="20"/>
              </w:rPr>
              <w:t>6,765</w:t>
            </w:r>
          </w:p>
        </w:tc>
      </w:tr>
      <w:tr w:rsidRPr="00732012" w:rsidR="00AF31C6" w:rsidTr="00FF0944" w14:paraId="38D78CAC" w14:textId="77777777">
        <w:trPr>
          <w:cantSplit/>
          <w:jc w:val="center"/>
        </w:trPr>
        <w:tc>
          <w:tcPr>
            <w:tcW w:w="1460" w:type="dxa"/>
          </w:tcPr>
          <w:p w:rsidRPr="00732012" w:rsidR="00AF31C6" w:rsidP="000A6E3E" w:rsidRDefault="00AF31C6" w14:paraId="61286A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Claims Collection Type]</w:t>
            </w:r>
          </w:p>
        </w:tc>
        <w:tc>
          <w:tcPr>
            <w:tcW w:w="1145" w:type="dxa"/>
          </w:tcPr>
          <w:p w:rsidR="00AF31C6" w:rsidP="000A6E3E" w:rsidRDefault="00AF31C6" w14:paraId="3123FD9E" w14:textId="76CA441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145" w:type="dxa"/>
          </w:tcPr>
          <w:p w:rsidRPr="00732012" w:rsidR="00AF31C6" w:rsidP="000A6E3E" w:rsidRDefault="00AF31C6" w14:paraId="667F308B" w14:textId="1974CE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94,846</w:t>
            </w:r>
          </w:p>
        </w:tc>
        <w:tc>
          <w:tcPr>
            <w:tcW w:w="1388" w:type="dxa"/>
          </w:tcPr>
          <w:p w:rsidRPr="00732012" w:rsidR="00AF31C6" w:rsidP="000A6E3E" w:rsidRDefault="00AF31C6" w14:paraId="38763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14.2</w:t>
            </w:r>
          </w:p>
        </w:tc>
        <w:tc>
          <w:tcPr>
            <w:tcW w:w="1492" w:type="dxa"/>
          </w:tcPr>
          <w:p w:rsidRPr="00732012" w:rsidR="00AF31C6" w:rsidP="000A6E3E" w:rsidRDefault="00AF31C6" w14:paraId="29CF34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1,346,813</w:t>
            </w:r>
          </w:p>
        </w:tc>
        <w:tc>
          <w:tcPr>
            <w:tcW w:w="1170" w:type="dxa"/>
          </w:tcPr>
          <w:p w:rsidRPr="00732012" w:rsidR="00AF31C6" w:rsidP="000A6E3E" w:rsidRDefault="00AF31C6" w14:paraId="0D191F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10)</w:t>
            </w:r>
          </w:p>
        </w:tc>
        <w:tc>
          <w:tcPr>
            <w:tcW w:w="1584" w:type="dxa"/>
          </w:tcPr>
          <w:p w:rsidRPr="00732012" w:rsidR="00AF31C6" w:rsidP="000A6E3E" w:rsidRDefault="00AF31C6" w14:paraId="17E65F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128,264,419</w:t>
            </w:r>
          </w:p>
        </w:tc>
      </w:tr>
      <w:tr w:rsidRPr="00732012" w:rsidR="00AF31C6" w:rsidTr="00FF0944" w14:paraId="3C2B4217" w14:textId="77777777">
        <w:trPr>
          <w:cantSplit/>
          <w:jc w:val="center"/>
        </w:trPr>
        <w:tc>
          <w:tcPr>
            <w:tcW w:w="1460" w:type="dxa"/>
          </w:tcPr>
          <w:p w:rsidRPr="00732012" w:rsidR="00AF31C6" w:rsidP="000A6E3E" w:rsidRDefault="00AF31C6" w14:paraId="403C7F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QCDR/</w:t>
            </w:r>
            <w:r>
              <w:rPr>
                <w:sz w:val="20"/>
                <w:szCs w:val="20"/>
              </w:rPr>
              <w:t>MIPS CQM</w:t>
            </w:r>
            <w:r w:rsidRPr="001D15B8">
              <w:rPr>
                <w:sz w:val="20"/>
                <w:szCs w:val="20"/>
              </w:rPr>
              <w:t xml:space="preserve"> Collection Type]</w:t>
            </w:r>
          </w:p>
        </w:tc>
        <w:tc>
          <w:tcPr>
            <w:tcW w:w="1145" w:type="dxa"/>
          </w:tcPr>
          <w:p w:rsidR="00AF31C6" w:rsidP="000A6E3E" w:rsidRDefault="00AF31C6" w14:paraId="48D23AFC" w14:textId="0741DB4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w:t>
            </w:r>
          </w:p>
        </w:tc>
        <w:tc>
          <w:tcPr>
            <w:tcW w:w="1145" w:type="dxa"/>
          </w:tcPr>
          <w:p w:rsidRPr="00732012" w:rsidR="00AF31C6" w:rsidP="000A6E3E" w:rsidRDefault="00AF31C6" w14:paraId="6BF5E843" w14:textId="4CC5517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111,218</w:t>
            </w:r>
          </w:p>
        </w:tc>
        <w:tc>
          <w:tcPr>
            <w:tcW w:w="1388" w:type="dxa"/>
          </w:tcPr>
          <w:p w:rsidRPr="00732012" w:rsidR="00AF31C6" w:rsidP="000A6E3E" w:rsidRDefault="00AF31C6" w14:paraId="53DC3A5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9.083</w:t>
            </w:r>
          </w:p>
        </w:tc>
        <w:tc>
          <w:tcPr>
            <w:tcW w:w="1492" w:type="dxa"/>
          </w:tcPr>
          <w:p w:rsidRPr="00732012" w:rsidR="00AF31C6" w:rsidP="000A6E3E" w:rsidRDefault="00AF31C6" w14:paraId="42B6F9F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1,010,193</w:t>
            </w:r>
          </w:p>
        </w:tc>
        <w:tc>
          <w:tcPr>
            <w:tcW w:w="1170" w:type="dxa"/>
          </w:tcPr>
          <w:p w:rsidRPr="00732012" w:rsidR="00AF31C6" w:rsidP="000A6E3E" w:rsidRDefault="00AF31C6" w14:paraId="009F605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11)</w:t>
            </w:r>
          </w:p>
        </w:tc>
        <w:tc>
          <w:tcPr>
            <w:tcW w:w="1584" w:type="dxa"/>
          </w:tcPr>
          <w:p w:rsidRPr="00732012" w:rsidR="00AF31C6" w:rsidP="000A6E3E" w:rsidRDefault="00AF31C6" w14:paraId="7D3F3E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97,023,431</w:t>
            </w:r>
          </w:p>
        </w:tc>
      </w:tr>
      <w:tr w:rsidRPr="00732012" w:rsidR="00AF31C6" w:rsidTr="00FF0944" w14:paraId="0F30198C" w14:textId="77777777">
        <w:trPr>
          <w:cantSplit/>
          <w:jc w:val="center"/>
        </w:trPr>
        <w:tc>
          <w:tcPr>
            <w:tcW w:w="1460" w:type="dxa"/>
          </w:tcPr>
          <w:p w:rsidRPr="00732012" w:rsidR="00AF31C6" w:rsidP="000A6E3E" w:rsidRDefault="00AF31C6" w14:paraId="62933CA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eCQM Collection Type]</w:t>
            </w:r>
          </w:p>
        </w:tc>
        <w:tc>
          <w:tcPr>
            <w:tcW w:w="1145" w:type="dxa"/>
          </w:tcPr>
          <w:p w:rsidR="00AF31C6" w:rsidP="000A6E3E" w:rsidRDefault="00AF31C6" w14:paraId="287A5175" w14:textId="1BB6FC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w:t>
            </w:r>
          </w:p>
        </w:tc>
        <w:tc>
          <w:tcPr>
            <w:tcW w:w="1145" w:type="dxa"/>
          </w:tcPr>
          <w:p w:rsidRPr="00732012" w:rsidR="00AF31C6" w:rsidP="000A6E3E" w:rsidRDefault="00AF31C6" w14:paraId="458BAE43" w14:textId="442DB4B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43,333</w:t>
            </w:r>
          </w:p>
        </w:tc>
        <w:tc>
          <w:tcPr>
            <w:tcW w:w="1388" w:type="dxa"/>
          </w:tcPr>
          <w:p w:rsidRPr="00732012" w:rsidR="00AF31C6" w:rsidP="000A6E3E" w:rsidRDefault="00AF31C6" w14:paraId="1AA90C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8.0</w:t>
            </w:r>
          </w:p>
        </w:tc>
        <w:tc>
          <w:tcPr>
            <w:tcW w:w="1492" w:type="dxa"/>
          </w:tcPr>
          <w:p w:rsidRPr="00732012" w:rsidR="00AF31C6" w:rsidP="000A6E3E" w:rsidRDefault="00AF31C6" w14:paraId="623EE0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346,664</w:t>
            </w:r>
          </w:p>
        </w:tc>
        <w:tc>
          <w:tcPr>
            <w:tcW w:w="1170" w:type="dxa"/>
          </w:tcPr>
          <w:p w:rsidRPr="00732012" w:rsidR="00AF31C6" w:rsidP="000A6E3E" w:rsidRDefault="00AF31C6" w14:paraId="2143E3A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12)</w:t>
            </w:r>
          </w:p>
        </w:tc>
        <w:tc>
          <w:tcPr>
            <w:tcW w:w="1584" w:type="dxa"/>
          </w:tcPr>
          <w:p w:rsidRPr="00732012" w:rsidR="00AF31C6" w:rsidP="000A6E3E" w:rsidRDefault="00AF31C6" w14:paraId="4481782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33,577,875</w:t>
            </w:r>
          </w:p>
        </w:tc>
      </w:tr>
      <w:tr w:rsidRPr="00732012" w:rsidR="00AF31C6" w:rsidTr="00FF0944" w14:paraId="6CC43E6E" w14:textId="77777777">
        <w:trPr>
          <w:cantSplit/>
          <w:jc w:val="center"/>
        </w:trPr>
        <w:tc>
          <w:tcPr>
            <w:tcW w:w="1460" w:type="dxa"/>
          </w:tcPr>
          <w:p w:rsidRPr="00B44D00" w:rsidR="00AF31C6" w:rsidP="000A6E3E" w:rsidRDefault="00AF31C6" w14:paraId="4350DAB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B44D00">
              <w:rPr>
                <w:sz w:val="20"/>
                <w:szCs w:val="20"/>
              </w:rPr>
              <w:t>§414.1325 and 414.1335 [(Quality Performance Category) CMS Web Interface Submission Type]</w:t>
            </w:r>
          </w:p>
        </w:tc>
        <w:tc>
          <w:tcPr>
            <w:tcW w:w="1145" w:type="dxa"/>
          </w:tcPr>
          <w:p w:rsidR="00AF31C6" w:rsidP="000A6E3E" w:rsidRDefault="00AF31C6" w14:paraId="78DA3EED" w14:textId="218ABC6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w:t>
            </w:r>
          </w:p>
        </w:tc>
        <w:tc>
          <w:tcPr>
            <w:tcW w:w="1145" w:type="dxa"/>
          </w:tcPr>
          <w:p w:rsidRPr="00B44D00" w:rsidR="00AF31C6" w:rsidP="000A6E3E" w:rsidRDefault="00AF31C6" w14:paraId="0FE36391" w14:textId="7793B6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104</w:t>
            </w:r>
          </w:p>
        </w:tc>
        <w:tc>
          <w:tcPr>
            <w:tcW w:w="1388" w:type="dxa"/>
          </w:tcPr>
          <w:p w:rsidRPr="00B44D00" w:rsidR="00AF31C6" w:rsidP="000A6E3E" w:rsidRDefault="00AF31C6" w14:paraId="216F77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61.7</w:t>
            </w:r>
          </w:p>
        </w:tc>
        <w:tc>
          <w:tcPr>
            <w:tcW w:w="1492" w:type="dxa"/>
          </w:tcPr>
          <w:p w:rsidRPr="00B44D00" w:rsidR="00AF31C6" w:rsidP="000A6E3E" w:rsidRDefault="001336B0" w14:paraId="4C3FFB8B" w14:textId="3D7990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6,413</w:t>
            </w:r>
          </w:p>
        </w:tc>
        <w:tc>
          <w:tcPr>
            <w:tcW w:w="1170" w:type="dxa"/>
          </w:tcPr>
          <w:p w:rsidRPr="00B44D00" w:rsidR="00AF31C6" w:rsidP="000A6E3E" w:rsidRDefault="00AF31C6" w14:paraId="4DA1DD0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B44D00" w:rsidR="00AF31C6" w:rsidP="000A6E3E" w:rsidRDefault="00AF31C6" w14:paraId="55A97E6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577,359</w:t>
            </w:r>
          </w:p>
        </w:tc>
      </w:tr>
      <w:tr w:rsidRPr="00732012" w:rsidR="00AF31C6" w:rsidTr="00FF0944" w14:paraId="24C7EA18" w14:textId="77777777">
        <w:trPr>
          <w:cantSplit/>
          <w:jc w:val="center"/>
        </w:trPr>
        <w:tc>
          <w:tcPr>
            <w:tcW w:w="1460" w:type="dxa"/>
          </w:tcPr>
          <w:p w:rsidRPr="00732012" w:rsidR="00AF31C6" w:rsidP="000A6E3E" w:rsidRDefault="00AF31C6" w14:paraId="3F9BF9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Registration and Enrollment for CMS Web Interface]</w:t>
            </w:r>
          </w:p>
        </w:tc>
        <w:tc>
          <w:tcPr>
            <w:tcW w:w="1145" w:type="dxa"/>
          </w:tcPr>
          <w:p w:rsidR="00AF31C6" w:rsidP="000A6E3E" w:rsidRDefault="00AF31C6" w14:paraId="751D75F5" w14:textId="1212A6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w:t>
            </w:r>
          </w:p>
        </w:tc>
        <w:tc>
          <w:tcPr>
            <w:tcW w:w="1145" w:type="dxa"/>
          </w:tcPr>
          <w:p w:rsidRPr="00732012" w:rsidR="00AF31C6" w:rsidP="000A6E3E" w:rsidRDefault="00AF31C6" w14:paraId="5DD2852D" w14:textId="67AD0E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69</w:t>
            </w:r>
          </w:p>
        </w:tc>
        <w:tc>
          <w:tcPr>
            <w:tcW w:w="1388" w:type="dxa"/>
          </w:tcPr>
          <w:p w:rsidRPr="00732012" w:rsidR="00AF31C6" w:rsidP="000A6E3E" w:rsidRDefault="00AF31C6" w14:paraId="704BEB8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rsidRPr="00732012" w:rsidR="00AF31C6" w:rsidP="000A6E3E" w:rsidRDefault="00AF31C6" w14:paraId="2B96C41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17.25</w:t>
            </w:r>
          </w:p>
        </w:tc>
        <w:tc>
          <w:tcPr>
            <w:tcW w:w="1170" w:type="dxa"/>
          </w:tcPr>
          <w:p w:rsidRPr="00732012" w:rsidR="00AF31C6" w:rsidP="000A6E3E" w:rsidRDefault="00AF31C6" w14:paraId="51EDE63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2EA6DF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1,553</w:t>
            </w:r>
          </w:p>
        </w:tc>
      </w:tr>
      <w:tr w:rsidRPr="00732012" w:rsidR="00AF31C6" w:rsidTr="00FF0944" w14:paraId="46265663" w14:textId="77777777">
        <w:trPr>
          <w:cantSplit/>
          <w:jc w:val="center"/>
        </w:trPr>
        <w:tc>
          <w:tcPr>
            <w:tcW w:w="1460" w:type="dxa"/>
          </w:tcPr>
          <w:p w:rsidRPr="001D15B8" w:rsidR="00AF31C6" w:rsidP="000A6E3E" w:rsidRDefault="00AF31C6" w14:paraId="246C51DE" w14:textId="77777777">
            <w:pPr>
              <w:spacing w:after="0"/>
              <w:rPr>
                <w:sz w:val="20"/>
                <w:szCs w:val="20"/>
              </w:rPr>
            </w:pPr>
            <w:r w:rsidRPr="001D15B8">
              <w:rPr>
                <w:sz w:val="20"/>
                <w:szCs w:val="20"/>
              </w:rPr>
              <w:t>[(Quality Performance Category)</w:t>
            </w:r>
          </w:p>
          <w:p w:rsidRPr="00732012" w:rsidR="00AF31C6" w:rsidP="000A6E3E" w:rsidRDefault="00AF31C6" w14:paraId="6A8D7F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Call for Quality Measures]</w:t>
            </w:r>
          </w:p>
        </w:tc>
        <w:tc>
          <w:tcPr>
            <w:tcW w:w="1145" w:type="dxa"/>
          </w:tcPr>
          <w:p w:rsidR="00AF31C6" w:rsidP="000A6E3E" w:rsidRDefault="00AF31C6" w14:paraId="5A3ACD4F" w14:textId="6EC76C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w:t>
            </w:r>
          </w:p>
        </w:tc>
        <w:tc>
          <w:tcPr>
            <w:tcW w:w="1145" w:type="dxa"/>
          </w:tcPr>
          <w:p w:rsidRPr="00732012" w:rsidR="00AF31C6" w:rsidP="000A6E3E" w:rsidRDefault="00AF31C6" w14:paraId="516120C6" w14:textId="06432DA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w:t>
            </w:r>
          </w:p>
        </w:tc>
        <w:tc>
          <w:tcPr>
            <w:tcW w:w="1388" w:type="dxa"/>
          </w:tcPr>
          <w:p w:rsidRPr="00732012" w:rsidR="00AF31C6" w:rsidP="000A6E3E" w:rsidRDefault="00AF31C6" w14:paraId="16332C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w:t>
            </w:r>
            <w:r w:rsidRPr="001D15B8">
              <w:rPr>
                <w:sz w:val="20"/>
                <w:szCs w:val="20"/>
              </w:rPr>
              <w:t>.5</w:t>
            </w:r>
          </w:p>
        </w:tc>
        <w:tc>
          <w:tcPr>
            <w:tcW w:w="1492" w:type="dxa"/>
          </w:tcPr>
          <w:p w:rsidRPr="00732012" w:rsidR="00AF31C6" w:rsidP="000A6E3E" w:rsidRDefault="00AF31C6" w14:paraId="443F7C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154</w:t>
            </w:r>
          </w:p>
        </w:tc>
        <w:tc>
          <w:tcPr>
            <w:tcW w:w="1170" w:type="dxa"/>
          </w:tcPr>
          <w:p w:rsidRPr="00732012" w:rsidR="00AF31C6" w:rsidP="000A6E3E" w:rsidRDefault="00AF31C6" w14:paraId="529BDF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15)</w:t>
            </w:r>
          </w:p>
        </w:tc>
        <w:tc>
          <w:tcPr>
            <w:tcW w:w="1584" w:type="dxa"/>
          </w:tcPr>
          <w:p w:rsidRPr="00732012" w:rsidR="00AF31C6" w:rsidP="000A6E3E" w:rsidRDefault="00AF31C6" w14:paraId="40E212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28,884</w:t>
            </w:r>
          </w:p>
        </w:tc>
      </w:tr>
      <w:tr w:rsidRPr="00732012" w:rsidR="00AF31C6" w:rsidTr="00FF0944" w14:paraId="52169EBD" w14:textId="77777777">
        <w:trPr>
          <w:cantSplit/>
          <w:jc w:val="center"/>
        </w:trPr>
        <w:tc>
          <w:tcPr>
            <w:tcW w:w="1460" w:type="dxa"/>
          </w:tcPr>
          <w:p w:rsidRPr="00732012" w:rsidR="00AF31C6" w:rsidP="000A6E3E" w:rsidRDefault="00AF31C6" w14:paraId="47CCD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§414.1375 </w:t>
            </w:r>
            <w:r>
              <w:rPr>
                <w:sz w:val="20"/>
                <w:szCs w:val="20"/>
              </w:rPr>
              <w:t>and 414.1380</w:t>
            </w:r>
            <w:r w:rsidRPr="001D15B8">
              <w:rPr>
                <w:sz w:val="20"/>
                <w:szCs w:val="20"/>
              </w:rPr>
              <w:t xml:space="preserve">[(PI Performance Category) </w:t>
            </w:r>
            <w:r>
              <w:rPr>
                <w:sz w:val="20"/>
                <w:szCs w:val="20"/>
              </w:rPr>
              <w:t xml:space="preserve">Reweighting Applications for Promoting Interoperability and Other Performance Categories </w:t>
            </w:r>
          </w:p>
        </w:tc>
        <w:tc>
          <w:tcPr>
            <w:tcW w:w="1145" w:type="dxa"/>
          </w:tcPr>
          <w:p w:rsidR="00AF31C6" w:rsidP="000A6E3E" w:rsidRDefault="00AF31C6" w14:paraId="549A63D3" w14:textId="1A89F7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w:t>
            </w:r>
          </w:p>
        </w:tc>
        <w:tc>
          <w:tcPr>
            <w:tcW w:w="1145" w:type="dxa"/>
          </w:tcPr>
          <w:p w:rsidRPr="00732012" w:rsidR="00AF31C6" w:rsidP="000A6E3E" w:rsidRDefault="00AF31C6" w14:paraId="19398720" w14:textId="1CE33CA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30,620</w:t>
            </w:r>
          </w:p>
        </w:tc>
        <w:tc>
          <w:tcPr>
            <w:tcW w:w="1388" w:type="dxa"/>
          </w:tcPr>
          <w:p w:rsidRPr="00732012" w:rsidR="00AF31C6" w:rsidP="000A6E3E" w:rsidRDefault="00AF31C6" w14:paraId="4F01A0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rsidRPr="00732012" w:rsidR="00AF31C6" w:rsidP="000A6E3E" w:rsidRDefault="00AF31C6" w14:paraId="0C7D123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7,655</w:t>
            </w:r>
          </w:p>
        </w:tc>
        <w:tc>
          <w:tcPr>
            <w:tcW w:w="1170" w:type="dxa"/>
          </w:tcPr>
          <w:p w:rsidRPr="00732012" w:rsidR="00AF31C6" w:rsidP="000A6E3E" w:rsidRDefault="00AF31C6" w14:paraId="352FAE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01418B2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689,103</w:t>
            </w:r>
          </w:p>
        </w:tc>
      </w:tr>
      <w:tr w:rsidRPr="00732012" w:rsidR="00AF31C6" w:rsidTr="00FF0944" w14:paraId="4A5FCD5F" w14:textId="77777777">
        <w:trPr>
          <w:cantSplit/>
          <w:jc w:val="center"/>
        </w:trPr>
        <w:tc>
          <w:tcPr>
            <w:tcW w:w="1460" w:type="dxa"/>
          </w:tcPr>
          <w:p w:rsidRPr="00AE0A50" w:rsidR="00AF31C6" w:rsidP="000A6E3E" w:rsidRDefault="00AF31C6" w14:paraId="48D4A5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§414.1375 [(PI Performance Category) Data Submission]</w:t>
            </w:r>
          </w:p>
        </w:tc>
        <w:tc>
          <w:tcPr>
            <w:tcW w:w="1145" w:type="dxa"/>
          </w:tcPr>
          <w:p w:rsidR="00AF31C6" w:rsidP="000A6E3E" w:rsidRDefault="00AF31C6" w14:paraId="5CD2BF00" w14:textId="424BF5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w:t>
            </w:r>
          </w:p>
        </w:tc>
        <w:tc>
          <w:tcPr>
            <w:tcW w:w="1145" w:type="dxa"/>
          </w:tcPr>
          <w:p w:rsidRPr="00AE0A50" w:rsidR="00AF31C6" w:rsidP="000A6E3E" w:rsidRDefault="00AF31C6" w14:paraId="20E20932" w14:textId="41F486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74,281</w:t>
            </w:r>
          </w:p>
        </w:tc>
        <w:tc>
          <w:tcPr>
            <w:tcW w:w="1388" w:type="dxa"/>
          </w:tcPr>
          <w:p w:rsidRPr="00AE0A50" w:rsidR="00AF31C6" w:rsidP="000A6E3E" w:rsidRDefault="00AF31C6" w14:paraId="1A878D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2.67</w:t>
            </w:r>
          </w:p>
        </w:tc>
        <w:tc>
          <w:tcPr>
            <w:tcW w:w="1492" w:type="dxa"/>
          </w:tcPr>
          <w:p w:rsidRPr="00AE0A50" w:rsidR="00AF31C6" w:rsidP="000A6E3E" w:rsidRDefault="00AF31C6" w14:paraId="5D4BFBC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198,083</w:t>
            </w:r>
          </w:p>
        </w:tc>
        <w:tc>
          <w:tcPr>
            <w:tcW w:w="1170" w:type="dxa"/>
          </w:tcPr>
          <w:p w:rsidRPr="00AE0A50" w:rsidR="00AF31C6" w:rsidP="000A6E3E" w:rsidRDefault="00AF31C6" w14:paraId="4707F0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AE0A50" w:rsidR="00AF31C6" w:rsidP="000A6E3E" w:rsidRDefault="00AF31C6" w14:paraId="169A3A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17,831,402</w:t>
            </w:r>
          </w:p>
        </w:tc>
      </w:tr>
      <w:tr w:rsidRPr="00732012" w:rsidR="00AF31C6" w:rsidTr="00FF0944" w14:paraId="070C3CC0" w14:textId="77777777">
        <w:trPr>
          <w:cantSplit/>
          <w:jc w:val="center"/>
        </w:trPr>
        <w:tc>
          <w:tcPr>
            <w:tcW w:w="1460" w:type="dxa"/>
          </w:tcPr>
          <w:p w:rsidRPr="00732012" w:rsidR="00AF31C6" w:rsidP="000A6E3E" w:rsidRDefault="00AF31C6" w14:paraId="58568A8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[(PI Performance Category) Call for Promoting Interoperability Measures]</w:t>
            </w:r>
          </w:p>
        </w:tc>
        <w:tc>
          <w:tcPr>
            <w:tcW w:w="1145" w:type="dxa"/>
          </w:tcPr>
          <w:p w:rsidR="00AF31C6" w:rsidP="000A6E3E" w:rsidRDefault="00AF31C6" w14:paraId="51D366E7" w14:textId="1E1E8DC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145" w:type="dxa"/>
          </w:tcPr>
          <w:p w:rsidRPr="00732012" w:rsidR="00AF31C6" w:rsidP="000A6E3E" w:rsidRDefault="00AF31C6" w14:paraId="0B0E49A6" w14:textId="1BF6457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388" w:type="dxa"/>
          </w:tcPr>
          <w:p w:rsidRPr="00732012" w:rsidR="00AF31C6" w:rsidP="000A6E3E" w:rsidRDefault="00AF31C6" w14:paraId="3E2C1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0.5</w:t>
            </w:r>
          </w:p>
        </w:tc>
        <w:tc>
          <w:tcPr>
            <w:tcW w:w="1492" w:type="dxa"/>
          </w:tcPr>
          <w:p w:rsidRPr="00732012" w:rsidR="00AF31C6" w:rsidP="000A6E3E" w:rsidRDefault="00AF31C6" w14:paraId="3BF64B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5</w:t>
            </w:r>
          </w:p>
        </w:tc>
        <w:tc>
          <w:tcPr>
            <w:tcW w:w="1170" w:type="dxa"/>
          </w:tcPr>
          <w:p w:rsidRPr="00732012" w:rsidR="00AF31C6" w:rsidP="000A6E3E" w:rsidRDefault="00AF31C6" w14:paraId="72B6B58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19)</w:t>
            </w:r>
          </w:p>
        </w:tc>
        <w:tc>
          <w:tcPr>
            <w:tcW w:w="1584" w:type="dxa"/>
          </w:tcPr>
          <w:p w:rsidRPr="00732012" w:rsidR="00AF31C6" w:rsidP="000A6E3E" w:rsidRDefault="00AF31C6" w14:paraId="6660095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734</w:t>
            </w:r>
          </w:p>
        </w:tc>
      </w:tr>
      <w:tr w:rsidRPr="00732012" w:rsidR="00AF31C6" w:rsidTr="00FF0944" w14:paraId="3277BDF4" w14:textId="77777777">
        <w:trPr>
          <w:cantSplit/>
          <w:jc w:val="center"/>
        </w:trPr>
        <w:tc>
          <w:tcPr>
            <w:tcW w:w="1460" w:type="dxa"/>
          </w:tcPr>
          <w:p w:rsidRPr="00732012" w:rsidR="00AF31C6" w:rsidP="000A6E3E" w:rsidRDefault="00AF31C6" w14:paraId="7B8345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Data Submission]</w:t>
            </w:r>
          </w:p>
        </w:tc>
        <w:tc>
          <w:tcPr>
            <w:tcW w:w="1145" w:type="dxa"/>
          </w:tcPr>
          <w:p w:rsidR="00AF31C6" w:rsidP="000A6E3E" w:rsidRDefault="00AF31C6" w14:paraId="76016B1D" w14:textId="233A08E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w:t>
            </w:r>
          </w:p>
        </w:tc>
        <w:tc>
          <w:tcPr>
            <w:tcW w:w="1145" w:type="dxa"/>
          </w:tcPr>
          <w:p w:rsidRPr="00732012" w:rsidR="00AF31C6" w:rsidP="000A6E3E" w:rsidRDefault="00AF31C6" w14:paraId="7611F318" w14:textId="361F9E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103,813</w:t>
            </w:r>
          </w:p>
        </w:tc>
        <w:tc>
          <w:tcPr>
            <w:tcW w:w="1388" w:type="dxa"/>
          </w:tcPr>
          <w:p w:rsidRPr="00732012" w:rsidR="00AF31C6" w:rsidP="000A6E3E" w:rsidRDefault="00AF31C6" w14:paraId="29A7CA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0.083</w:t>
            </w:r>
          </w:p>
        </w:tc>
        <w:tc>
          <w:tcPr>
            <w:tcW w:w="1492" w:type="dxa"/>
          </w:tcPr>
          <w:p w:rsidRPr="00732012" w:rsidR="00AF31C6" w:rsidP="000A6E3E" w:rsidRDefault="00AF31C6" w14:paraId="252156B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8,651</w:t>
            </w:r>
          </w:p>
        </w:tc>
        <w:tc>
          <w:tcPr>
            <w:tcW w:w="1170" w:type="dxa"/>
          </w:tcPr>
          <w:p w:rsidRPr="00732012" w:rsidR="00AF31C6" w:rsidP="000A6E3E" w:rsidRDefault="00AF31C6" w14:paraId="0B07A7A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3FB7AC5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778,771</w:t>
            </w:r>
          </w:p>
        </w:tc>
      </w:tr>
      <w:tr w:rsidRPr="00732012" w:rsidR="00AF31C6" w:rsidTr="00FF0944" w14:paraId="44B8E438" w14:textId="77777777">
        <w:trPr>
          <w:cantSplit/>
          <w:jc w:val="center"/>
        </w:trPr>
        <w:tc>
          <w:tcPr>
            <w:tcW w:w="1460" w:type="dxa"/>
          </w:tcPr>
          <w:p w:rsidRPr="00732012" w:rsidR="00AF31C6" w:rsidP="000A6E3E" w:rsidRDefault="00AF31C6" w14:paraId="36BEFD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Nomination of Improvement Activities]</w:t>
            </w:r>
          </w:p>
        </w:tc>
        <w:tc>
          <w:tcPr>
            <w:tcW w:w="1145" w:type="dxa"/>
          </w:tcPr>
          <w:p w:rsidR="00AF31C6" w:rsidP="000A6E3E" w:rsidRDefault="00AF31C6" w14:paraId="0C123A71" w14:textId="31DD170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w:t>
            </w:r>
          </w:p>
        </w:tc>
        <w:tc>
          <w:tcPr>
            <w:tcW w:w="1145" w:type="dxa"/>
          </w:tcPr>
          <w:p w:rsidRPr="00732012" w:rsidR="00AF31C6" w:rsidP="000A6E3E" w:rsidRDefault="00AF31C6" w14:paraId="580E0D60" w14:textId="2F773A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w:t>
            </w:r>
          </w:p>
        </w:tc>
        <w:tc>
          <w:tcPr>
            <w:tcW w:w="1388" w:type="dxa"/>
          </w:tcPr>
          <w:p w:rsidRPr="00732012" w:rsidR="00AF31C6" w:rsidP="000A6E3E" w:rsidRDefault="00AF31C6" w14:paraId="2E240B9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Pr="001D15B8">
              <w:rPr>
                <w:sz w:val="20"/>
                <w:szCs w:val="20"/>
              </w:rPr>
              <w:t>.0</w:t>
            </w:r>
          </w:p>
        </w:tc>
        <w:tc>
          <w:tcPr>
            <w:tcW w:w="1492" w:type="dxa"/>
          </w:tcPr>
          <w:p w:rsidRPr="00732012" w:rsidR="00AF31C6" w:rsidP="000A6E3E" w:rsidRDefault="00AF31C6" w14:paraId="37DD996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62</w:t>
            </w:r>
          </w:p>
        </w:tc>
        <w:tc>
          <w:tcPr>
            <w:tcW w:w="1170" w:type="dxa"/>
          </w:tcPr>
          <w:p w:rsidRPr="00732012" w:rsidR="00AF31C6" w:rsidP="000A6E3E" w:rsidRDefault="00AF31C6" w14:paraId="4B525CA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22)</w:t>
            </w:r>
          </w:p>
        </w:tc>
        <w:tc>
          <w:tcPr>
            <w:tcW w:w="1584" w:type="dxa"/>
          </w:tcPr>
          <w:p w:rsidRPr="00732012" w:rsidR="00AF31C6" w:rsidP="000A6E3E" w:rsidRDefault="00AF31C6" w14:paraId="31B87B6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9,099</w:t>
            </w:r>
          </w:p>
        </w:tc>
      </w:tr>
      <w:tr w:rsidRPr="00732012" w:rsidR="00AF31C6" w:rsidTr="00FF0944" w14:paraId="6DBE5AC3" w14:textId="77777777">
        <w:trPr>
          <w:cantSplit/>
          <w:jc w:val="center"/>
        </w:trPr>
        <w:tc>
          <w:tcPr>
            <w:tcW w:w="1460" w:type="dxa"/>
          </w:tcPr>
          <w:p w:rsidRPr="00732012" w:rsidR="00AF31C6" w:rsidP="000A6E3E" w:rsidRDefault="00AF31C6" w14:paraId="04180B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§414.1430 [Partial Qualifying APM Participant (QP) Election]</w:t>
            </w:r>
          </w:p>
        </w:tc>
        <w:tc>
          <w:tcPr>
            <w:tcW w:w="1145" w:type="dxa"/>
          </w:tcPr>
          <w:p w:rsidR="00AF31C6" w:rsidP="000A6E3E" w:rsidRDefault="00AF31C6" w14:paraId="110105FC" w14:textId="0D2CB64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23</w:t>
            </w:r>
          </w:p>
        </w:tc>
        <w:tc>
          <w:tcPr>
            <w:tcW w:w="1145" w:type="dxa"/>
          </w:tcPr>
          <w:p w:rsidRPr="00732012" w:rsidR="00AF31C6" w:rsidP="000A6E3E" w:rsidRDefault="00AF31C6" w14:paraId="298FD17B" w14:textId="3258BA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2,022</w:t>
            </w:r>
          </w:p>
        </w:tc>
        <w:tc>
          <w:tcPr>
            <w:tcW w:w="1388" w:type="dxa"/>
          </w:tcPr>
          <w:p w:rsidRPr="00732012" w:rsidR="00AF31C6" w:rsidP="000A6E3E" w:rsidRDefault="00AF31C6" w14:paraId="0D6431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rsidRPr="00732012" w:rsidR="00AF31C6" w:rsidP="000A6E3E" w:rsidRDefault="00AF31C6" w14:paraId="57D94DB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505.5</w:t>
            </w:r>
          </w:p>
        </w:tc>
        <w:tc>
          <w:tcPr>
            <w:tcW w:w="1170" w:type="dxa"/>
          </w:tcPr>
          <w:p w:rsidRPr="00732012" w:rsidR="00AF31C6" w:rsidP="000A6E3E" w:rsidRDefault="00AF31C6" w14:paraId="46863C7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26C99D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45,505</w:t>
            </w:r>
          </w:p>
        </w:tc>
      </w:tr>
      <w:tr w:rsidRPr="00732012" w:rsidR="00AF31C6" w:rsidTr="00FF0944" w14:paraId="67CAF06D" w14:textId="77777777">
        <w:trPr>
          <w:cantSplit/>
          <w:jc w:val="center"/>
        </w:trPr>
        <w:tc>
          <w:tcPr>
            <w:tcW w:w="1460" w:type="dxa"/>
          </w:tcPr>
          <w:p w:rsidRPr="00732012" w:rsidR="00AF31C6" w:rsidP="000A6E3E" w:rsidRDefault="00AF31C6" w14:paraId="3AAC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§414.1440 [Other Payer Advanced APM Identification: Payer Initiated Process]</w:t>
            </w:r>
          </w:p>
        </w:tc>
        <w:tc>
          <w:tcPr>
            <w:tcW w:w="1145" w:type="dxa"/>
          </w:tcPr>
          <w:p w:rsidR="00AF31C6" w:rsidP="000A6E3E" w:rsidRDefault="00AF31C6" w14:paraId="4FF53B11" w14:textId="71501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24</w:t>
            </w:r>
          </w:p>
        </w:tc>
        <w:tc>
          <w:tcPr>
            <w:tcW w:w="1145" w:type="dxa"/>
          </w:tcPr>
          <w:p w:rsidRPr="00732012" w:rsidR="00AF31C6" w:rsidP="000A6E3E" w:rsidRDefault="00AF31C6" w14:paraId="130781AF" w14:textId="6F4F4A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110</w:t>
            </w:r>
          </w:p>
        </w:tc>
        <w:tc>
          <w:tcPr>
            <w:tcW w:w="1388" w:type="dxa"/>
          </w:tcPr>
          <w:p w:rsidRPr="00732012" w:rsidR="00AF31C6" w:rsidP="000A6E3E" w:rsidRDefault="00AF31C6" w14:paraId="2206C3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492" w:type="dxa"/>
          </w:tcPr>
          <w:p w:rsidRPr="00732012" w:rsidR="00AF31C6" w:rsidP="000A6E3E" w:rsidRDefault="00AF31C6" w14:paraId="788DD1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1,100</w:t>
            </w:r>
          </w:p>
        </w:tc>
        <w:tc>
          <w:tcPr>
            <w:tcW w:w="1170" w:type="dxa"/>
          </w:tcPr>
          <w:p w:rsidRPr="00732012" w:rsidR="00AF31C6" w:rsidP="000A6E3E" w:rsidRDefault="00AF31C6" w14:paraId="73A6A15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5A89B49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99,022</w:t>
            </w:r>
          </w:p>
        </w:tc>
      </w:tr>
      <w:tr w:rsidRPr="00732012" w:rsidR="00AF31C6" w:rsidTr="00FF0944" w14:paraId="056B0511" w14:textId="77777777">
        <w:trPr>
          <w:cantSplit/>
          <w:jc w:val="center"/>
        </w:trPr>
        <w:tc>
          <w:tcPr>
            <w:tcW w:w="1460" w:type="dxa"/>
          </w:tcPr>
          <w:p w:rsidRPr="001D15B8" w:rsidR="00AF31C6" w:rsidP="000A6E3E" w:rsidRDefault="00AF31C6" w14:paraId="6F766906" w14:textId="77777777">
            <w:pPr>
              <w:spacing w:after="0"/>
              <w:rPr>
                <w:sz w:val="20"/>
                <w:szCs w:val="20"/>
              </w:rPr>
            </w:pPr>
            <w:r w:rsidRPr="001D15B8">
              <w:rPr>
                <w:sz w:val="20"/>
                <w:szCs w:val="20"/>
              </w:rPr>
              <w:t>§414.1445 [Other Payer Advanced APM Identification: Clinician Initiated Process]</w:t>
            </w:r>
          </w:p>
          <w:p w:rsidRPr="0047482B" w:rsidR="00AF31C6" w:rsidP="000A6E3E" w:rsidRDefault="00AF31C6" w14:paraId="2CA80C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145" w:type="dxa"/>
          </w:tcPr>
          <w:p w:rsidRPr="001D15B8" w:rsidR="00AF31C6" w:rsidP="000A6E3E" w:rsidRDefault="00AF31C6" w14:paraId="11FACB18" w14:textId="386ADB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w:t>
            </w:r>
          </w:p>
        </w:tc>
        <w:tc>
          <w:tcPr>
            <w:tcW w:w="1145" w:type="dxa"/>
          </w:tcPr>
          <w:p w:rsidRPr="00732012" w:rsidR="00AF31C6" w:rsidP="000A6E3E" w:rsidRDefault="00AF31C6" w14:paraId="46001DF7" w14:textId="0DE7D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388" w:type="dxa"/>
          </w:tcPr>
          <w:p w:rsidRPr="00732012" w:rsidR="00AF31C6" w:rsidP="000A6E3E" w:rsidRDefault="00AF31C6" w14:paraId="0D8A727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492" w:type="dxa"/>
          </w:tcPr>
          <w:p w:rsidRPr="00732012" w:rsidR="00AF31C6" w:rsidP="000A6E3E" w:rsidRDefault="00AF31C6" w14:paraId="1356C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1,500</w:t>
            </w:r>
          </w:p>
        </w:tc>
        <w:tc>
          <w:tcPr>
            <w:tcW w:w="1170" w:type="dxa"/>
          </w:tcPr>
          <w:p w:rsidRPr="00732012" w:rsidR="00AF31C6" w:rsidP="000A6E3E" w:rsidRDefault="00AF31C6" w14:paraId="03E2A42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732012" w:rsidR="00AF31C6" w:rsidP="000A6E3E" w:rsidRDefault="00AF31C6" w14:paraId="28BF1CB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13</w:t>
            </w:r>
            <w:r>
              <w:rPr>
                <w:sz w:val="20"/>
                <w:szCs w:val="20"/>
              </w:rPr>
              <w:t>5,030</w:t>
            </w:r>
          </w:p>
        </w:tc>
      </w:tr>
      <w:tr w:rsidRPr="00AE0A50" w:rsidR="00AF31C6" w:rsidTr="00FF0944" w14:paraId="1205A9C4" w14:textId="77777777">
        <w:trPr>
          <w:cantSplit/>
          <w:jc w:val="center"/>
        </w:trPr>
        <w:tc>
          <w:tcPr>
            <w:tcW w:w="1460" w:type="dxa"/>
          </w:tcPr>
          <w:p w:rsidRPr="00AE0A50" w:rsidR="00AF31C6" w:rsidP="000A6E3E" w:rsidRDefault="00AF31C6" w14:paraId="75AE0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§414.1440 [Submission of Data for All-Payer QP Determinations under the All-Payer Combination Option]</w:t>
            </w:r>
          </w:p>
        </w:tc>
        <w:tc>
          <w:tcPr>
            <w:tcW w:w="1145" w:type="dxa"/>
          </w:tcPr>
          <w:p w:rsidR="00AF31C6" w:rsidP="000A6E3E" w:rsidRDefault="00AF31C6" w14:paraId="16CE064E" w14:textId="59E27B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p>
        </w:tc>
        <w:tc>
          <w:tcPr>
            <w:tcW w:w="1145" w:type="dxa"/>
          </w:tcPr>
          <w:p w:rsidRPr="00AE0A50" w:rsidR="00AF31C6" w:rsidP="000A6E3E" w:rsidRDefault="00AF31C6" w14:paraId="3115301A" w14:textId="5D4E10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551</w:t>
            </w:r>
          </w:p>
        </w:tc>
        <w:tc>
          <w:tcPr>
            <w:tcW w:w="1388" w:type="dxa"/>
          </w:tcPr>
          <w:p w:rsidRPr="00AE0A50" w:rsidR="00AF31C6" w:rsidP="000A6E3E" w:rsidRDefault="00AF31C6" w14:paraId="14E319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5</w:t>
            </w:r>
          </w:p>
        </w:tc>
        <w:tc>
          <w:tcPr>
            <w:tcW w:w="1492" w:type="dxa"/>
          </w:tcPr>
          <w:p w:rsidRPr="00AE0A50" w:rsidR="00AF31C6" w:rsidP="000A6E3E" w:rsidRDefault="00AF31C6" w14:paraId="675DFA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2,755</w:t>
            </w:r>
          </w:p>
        </w:tc>
        <w:tc>
          <w:tcPr>
            <w:tcW w:w="1170" w:type="dxa"/>
          </w:tcPr>
          <w:p w:rsidRPr="00AE0A50" w:rsidR="00AF31C6" w:rsidP="000A6E3E" w:rsidRDefault="00AF31C6" w14:paraId="1B5D71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109.36</w:t>
            </w:r>
          </w:p>
        </w:tc>
        <w:tc>
          <w:tcPr>
            <w:tcW w:w="1584" w:type="dxa"/>
          </w:tcPr>
          <w:p w:rsidRPr="00AE0A50" w:rsidR="00AF31C6" w:rsidP="000A6E3E" w:rsidRDefault="00AF31C6" w14:paraId="6ADEF5A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301,287</w:t>
            </w:r>
          </w:p>
        </w:tc>
      </w:tr>
      <w:tr w:rsidRPr="00AE0A50" w:rsidR="00AF31C6" w:rsidTr="00FF0944" w14:paraId="64FCCACA" w14:textId="77777777">
        <w:trPr>
          <w:cantSplit/>
          <w:jc w:val="center"/>
        </w:trPr>
        <w:tc>
          <w:tcPr>
            <w:tcW w:w="1460" w:type="dxa"/>
          </w:tcPr>
          <w:p w:rsidRPr="00AE0A50" w:rsidR="00AF31C6" w:rsidP="000A6E3E" w:rsidRDefault="00AF31C6" w14:paraId="7E4E75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§414.1395 [(Physician Compare) Opt Out for Voluntary Participants]</w:t>
            </w:r>
          </w:p>
        </w:tc>
        <w:tc>
          <w:tcPr>
            <w:tcW w:w="1145" w:type="dxa"/>
          </w:tcPr>
          <w:p w:rsidR="00AF31C6" w:rsidP="000A6E3E" w:rsidRDefault="00AF31C6" w14:paraId="0D5530F6" w14:textId="547B27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145" w:type="dxa"/>
          </w:tcPr>
          <w:p w:rsidRPr="00AE0A50" w:rsidR="00AF31C6" w:rsidP="000A6E3E" w:rsidRDefault="00AF31C6" w14:paraId="22FBE3C4" w14:textId="78D48DE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10,042</w:t>
            </w:r>
          </w:p>
        </w:tc>
        <w:tc>
          <w:tcPr>
            <w:tcW w:w="1388" w:type="dxa"/>
          </w:tcPr>
          <w:p w:rsidRPr="00AE0A50" w:rsidR="00AF31C6" w:rsidP="000A6E3E" w:rsidRDefault="00AF31C6" w14:paraId="345D9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rsidRPr="00AE0A50" w:rsidR="00AF31C6" w:rsidP="000A6E3E" w:rsidRDefault="00AF31C6" w14:paraId="04AE1B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2,511</w:t>
            </w:r>
          </w:p>
        </w:tc>
        <w:tc>
          <w:tcPr>
            <w:tcW w:w="1170" w:type="dxa"/>
          </w:tcPr>
          <w:p w:rsidRPr="00AE0A50" w:rsidR="00AF31C6" w:rsidP="000A6E3E" w:rsidRDefault="00AF31C6" w14:paraId="2671C8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rsidRPr="00AE0A50" w:rsidR="00AF31C6" w:rsidP="000A6E3E" w:rsidRDefault="00AF31C6" w14:paraId="762CB1E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225,995</w:t>
            </w:r>
          </w:p>
        </w:tc>
      </w:tr>
      <w:tr w:rsidRPr="005A5256" w:rsidR="00AF31C6" w:rsidTr="00FF0944" w14:paraId="22AFC88D" w14:textId="77777777">
        <w:trPr>
          <w:cantSplit/>
          <w:jc w:val="center"/>
        </w:trPr>
        <w:tc>
          <w:tcPr>
            <w:tcW w:w="1460" w:type="dxa"/>
            <w:shd w:val="clear" w:color="auto" w:fill="D9D9D9" w:themeFill="background1" w:themeFillShade="D9"/>
          </w:tcPr>
          <w:p w:rsidRPr="00AE0A50" w:rsidR="00AF31C6" w:rsidP="000A6E3E" w:rsidRDefault="00AF31C6" w14:paraId="50FC8844" w14:textId="77777777">
            <w:pPr>
              <w:spacing w:after="0"/>
              <w:rPr>
                <w:b/>
                <w:sz w:val="20"/>
                <w:szCs w:val="20"/>
              </w:rPr>
            </w:pPr>
            <w:r w:rsidRPr="00AE0A50">
              <w:rPr>
                <w:b/>
                <w:sz w:val="20"/>
                <w:szCs w:val="20"/>
              </w:rPr>
              <w:t>TOTAL</w:t>
            </w:r>
          </w:p>
        </w:tc>
        <w:tc>
          <w:tcPr>
            <w:tcW w:w="1145" w:type="dxa"/>
            <w:shd w:val="clear" w:color="auto" w:fill="D9D9D9" w:themeFill="background1" w:themeFillShade="D9"/>
          </w:tcPr>
          <w:p w:rsidR="00AF31C6" w:rsidP="000A6E3E" w:rsidRDefault="00AF31C6" w14:paraId="073409D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p>
        </w:tc>
        <w:tc>
          <w:tcPr>
            <w:tcW w:w="1145" w:type="dxa"/>
            <w:shd w:val="clear" w:color="auto" w:fill="D9D9D9" w:themeFill="background1" w:themeFillShade="D9"/>
          </w:tcPr>
          <w:p w:rsidRPr="00AE0A50" w:rsidR="00AF31C6" w:rsidP="000A6E3E" w:rsidRDefault="00AF31C6" w14:paraId="03046D3A" w14:textId="184417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475,198</w:t>
            </w:r>
          </w:p>
        </w:tc>
        <w:tc>
          <w:tcPr>
            <w:tcW w:w="1388" w:type="dxa"/>
            <w:shd w:val="clear" w:color="auto" w:fill="D9D9D9" w:themeFill="background1" w:themeFillShade="D9"/>
          </w:tcPr>
          <w:p w:rsidRPr="00AE0A50" w:rsidR="00AF31C6" w:rsidP="000A6E3E" w:rsidRDefault="00AF31C6" w14:paraId="5BDEF95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V</w:t>
            </w:r>
            <w:r w:rsidRPr="00AE0A50">
              <w:rPr>
                <w:b/>
                <w:sz w:val="20"/>
                <w:szCs w:val="20"/>
              </w:rPr>
              <w:t>aries</w:t>
            </w:r>
          </w:p>
        </w:tc>
        <w:tc>
          <w:tcPr>
            <w:tcW w:w="1492" w:type="dxa"/>
            <w:shd w:val="clear" w:color="auto" w:fill="D9D9D9" w:themeFill="background1" w:themeFillShade="D9"/>
          </w:tcPr>
          <w:p w:rsidRPr="00AE0A50" w:rsidR="00AF31C6" w:rsidP="000A6E3E" w:rsidRDefault="00AF31C6" w14:paraId="1410BCC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Pr>
                <w:b/>
                <w:sz w:val="20"/>
                <w:szCs w:val="20"/>
              </w:rPr>
              <w:t>2,937,890</w:t>
            </w:r>
          </w:p>
        </w:tc>
        <w:tc>
          <w:tcPr>
            <w:tcW w:w="1170" w:type="dxa"/>
            <w:shd w:val="clear" w:color="auto" w:fill="D9D9D9" w:themeFill="background1" w:themeFillShade="D9"/>
          </w:tcPr>
          <w:p w:rsidRPr="00AE0A50" w:rsidR="00AF31C6" w:rsidP="000A6E3E" w:rsidRDefault="00AF31C6" w14:paraId="6126E8E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Varies</w:t>
            </w:r>
          </w:p>
        </w:tc>
        <w:tc>
          <w:tcPr>
            <w:tcW w:w="1584" w:type="dxa"/>
            <w:shd w:val="clear" w:color="auto" w:fill="D9D9D9" w:themeFill="background1" w:themeFillShade="D9"/>
          </w:tcPr>
          <w:p w:rsidRPr="00AE0A50" w:rsidR="00AF31C6" w:rsidP="000A6E3E" w:rsidRDefault="00AF31C6" w14:paraId="2CC27C4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280,022,285</w:t>
            </w:r>
          </w:p>
        </w:tc>
      </w:tr>
    </w:tbl>
    <w:p w:rsidRPr="00732012" w:rsidR="0071054B" w:rsidP="0071054B" w:rsidRDefault="0071054B" w14:paraId="4CAD967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r w:rsidRPr="00732012">
        <w:rPr>
          <w:sz w:val="18"/>
          <w:szCs w:val="18"/>
        </w:rPr>
        <w:t>*With respect to the PRA, th</w:t>
      </w:r>
      <w:r>
        <w:rPr>
          <w:sz w:val="18"/>
          <w:szCs w:val="18"/>
        </w:rPr>
        <w:t>e CY 2020 PFS final rule does</w:t>
      </w:r>
      <w:r w:rsidRPr="00732012">
        <w:rPr>
          <w:sz w:val="18"/>
          <w:szCs w:val="18"/>
        </w:rPr>
        <w:t xml:space="preserve"> not impose any non-labor costs.</w:t>
      </w:r>
    </w:p>
    <w:p w:rsidR="008D1460" w:rsidP="00BA2FFA" w:rsidRDefault="008D1460" w14:paraId="06DFE963" w14:textId="77777777">
      <w:pPr>
        <w:rPr>
          <w:i/>
        </w:rPr>
      </w:pPr>
    </w:p>
    <w:p w:rsidR="00334306" w:rsidP="00BA2FFA" w:rsidRDefault="00BA2FFA" w14:paraId="6259403B" w14:textId="2D96A25F">
      <w:pPr>
        <w:rPr>
          <w:i/>
        </w:rPr>
      </w:pPr>
      <w:r w:rsidRPr="0095356F">
        <w:rPr>
          <w:i/>
        </w:rPr>
        <w:t>Information Collection Instruments/Instructions</w:t>
      </w:r>
    </w:p>
    <w:p w:rsidR="00BA2FFA" w:rsidP="00BA2FFA" w:rsidRDefault="00BA2FFA" w14:paraId="6534995B" w14:textId="1854EF2A">
      <w:r w:rsidRPr="00947686">
        <w:t xml:space="preserve">Appendix </w:t>
      </w:r>
      <w:r w:rsidRPr="00947686" w:rsidR="00686195">
        <w:t>A</w:t>
      </w:r>
      <w:r w:rsidRPr="00947686" w:rsidR="00BD5393">
        <w:t xml:space="preserve"> (See Table </w:t>
      </w:r>
      <w:r w:rsidRPr="00947686" w:rsidR="008E6B13">
        <w:t>3)</w:t>
      </w:r>
      <w:r w:rsidRPr="00947686">
        <w:t xml:space="preserve">: </w:t>
      </w:r>
      <w:r w:rsidRPr="00947686" w:rsidR="00686195">
        <w:t>20</w:t>
      </w:r>
      <w:r w:rsidR="0090246D">
        <w:t>20</w:t>
      </w:r>
      <w:r w:rsidRPr="00947686" w:rsidR="00686195">
        <w:t xml:space="preserve"> Qualified Registry Fact Sheet</w:t>
      </w:r>
      <w:r w:rsidRPr="00947686">
        <w:t xml:space="preserve"> (</w:t>
      </w:r>
      <w:r w:rsidR="0090246D">
        <w:t>Revised</w:t>
      </w:r>
      <w:r w:rsidRPr="00947686">
        <w:t>)</w:t>
      </w:r>
    </w:p>
    <w:p w:rsidR="00C03AC3" w:rsidP="00BA2FFA" w:rsidRDefault="00C03AC3" w14:paraId="0D67CD9E" w14:textId="03AA7C96">
      <w:r>
        <w:t>Appendix B</w:t>
      </w:r>
      <w:r w:rsidR="004420C0">
        <w:t xml:space="preserve"> </w:t>
      </w:r>
      <w:r w:rsidRPr="00947686" w:rsidR="004420C0">
        <w:t>(See Table 3)</w:t>
      </w:r>
      <w:r>
        <w:t xml:space="preserve">: </w:t>
      </w:r>
      <w:r w:rsidRPr="00947686">
        <w:t>20</w:t>
      </w:r>
      <w:r>
        <w:t>20</w:t>
      </w:r>
      <w:r w:rsidRPr="00947686">
        <w:t xml:space="preserve"> Qualified Registry Fact Sheet</w:t>
      </w:r>
      <w:r>
        <w:t xml:space="preserve"> Crosswalk</w:t>
      </w:r>
    </w:p>
    <w:p w:rsidR="00BA2FFA" w:rsidP="00BA2FFA" w:rsidRDefault="00BA2FFA" w14:paraId="2DEC2AED" w14:textId="7C44BAC6">
      <w:r w:rsidRPr="00947686">
        <w:t xml:space="preserve">Appendix </w:t>
      </w:r>
      <w:r w:rsidR="00C03AC3">
        <w:t>C</w:t>
      </w:r>
      <w:r w:rsidRPr="00947686" w:rsidR="00BD5393">
        <w:t xml:space="preserve"> (See Table </w:t>
      </w:r>
      <w:r w:rsidRPr="00947686" w:rsidR="008E6B13">
        <w:t>4</w:t>
      </w:r>
      <w:r w:rsidRPr="00947686" w:rsidR="00BD5393">
        <w:t>)</w:t>
      </w:r>
      <w:r w:rsidRPr="00947686">
        <w:t xml:space="preserve">: </w:t>
      </w:r>
      <w:r w:rsidRPr="00947686" w:rsidR="00E5343C">
        <w:t>20</w:t>
      </w:r>
      <w:r w:rsidR="0090246D">
        <w:t>20</w:t>
      </w:r>
      <w:r w:rsidRPr="00947686" w:rsidR="00E5343C">
        <w:t xml:space="preserve"> Qualified Clinical Data Registry (QCDR) Fact Sheet</w:t>
      </w:r>
      <w:r w:rsidRPr="00947686">
        <w:t xml:space="preserve"> (</w:t>
      </w:r>
      <w:r w:rsidR="0090246D">
        <w:t>Revised</w:t>
      </w:r>
      <w:r w:rsidRPr="00947686">
        <w:t>)</w:t>
      </w:r>
    </w:p>
    <w:p w:rsidR="00C03AC3" w:rsidP="00BA2FFA" w:rsidRDefault="00C03AC3" w14:paraId="10CB1AC8" w14:textId="1C82BA08">
      <w:r>
        <w:t>Appendix D</w:t>
      </w:r>
      <w:r w:rsidR="004420C0">
        <w:t xml:space="preserve"> </w:t>
      </w:r>
      <w:r w:rsidRPr="00947686" w:rsidR="004420C0">
        <w:t>(See Table 4)</w:t>
      </w:r>
      <w:r>
        <w:t xml:space="preserve">: </w:t>
      </w:r>
      <w:r w:rsidRPr="00947686">
        <w:t>20</w:t>
      </w:r>
      <w:r>
        <w:t>20</w:t>
      </w:r>
      <w:r w:rsidRPr="00947686">
        <w:t xml:space="preserve"> Qualified Clinical Data Registry (QCDR) Fact Sheet</w:t>
      </w:r>
      <w:r>
        <w:t xml:space="preserve"> Crosswalk</w:t>
      </w:r>
    </w:p>
    <w:p w:rsidR="0090246D" w:rsidP="00BA2FFA" w:rsidRDefault="0090246D" w14:paraId="6C9D368A" w14:textId="73BE4639">
      <w:r>
        <w:t xml:space="preserve">Appendix </w:t>
      </w:r>
      <w:r w:rsidR="00C03AC3">
        <w:t>E</w:t>
      </w:r>
      <w:r>
        <w:t xml:space="preserve"> (Table 4): 2020 Qualified Clinical Data Registry (QCDR</w:t>
      </w:r>
      <w:r w:rsidR="00600332">
        <w:t>) Measure Submission Template</w:t>
      </w:r>
      <w:r w:rsidR="00D96352">
        <w:t xml:space="preserve"> (New)</w:t>
      </w:r>
    </w:p>
    <w:p w:rsidR="00C03AC3" w:rsidP="00BA2FFA" w:rsidRDefault="00BA2FFA" w14:paraId="49F86A82" w14:textId="6598E221">
      <w:r w:rsidRPr="00B4441F">
        <w:t xml:space="preserve">Appendix </w:t>
      </w:r>
      <w:r w:rsidR="00C03AC3">
        <w:t>F</w:t>
      </w:r>
      <w:r w:rsidRPr="00B4441F" w:rsidR="00BD5393">
        <w:t xml:space="preserve"> (See Table </w:t>
      </w:r>
      <w:r w:rsidRPr="00B4441F" w:rsidR="008E6B13">
        <w:t>14</w:t>
      </w:r>
      <w:r w:rsidRPr="00B4441F" w:rsidR="00BD5393">
        <w:t>)</w:t>
      </w:r>
      <w:r w:rsidRPr="00B4441F">
        <w:t xml:space="preserve">: </w:t>
      </w:r>
      <w:r w:rsidRPr="00B4441F" w:rsidR="000A4653">
        <w:t>201</w:t>
      </w:r>
      <w:r w:rsidRPr="00B4441F" w:rsidR="00371447">
        <w:t>9</w:t>
      </w:r>
      <w:r w:rsidRPr="00B4441F" w:rsidR="000A4653">
        <w:t xml:space="preserve"> Registration Guide for the CMS Web Interface and CAHPS for MIPS Survey</w:t>
      </w:r>
      <w:r w:rsidRPr="00B4441F">
        <w:t xml:space="preserve"> (</w:t>
      </w:r>
      <w:r w:rsidRPr="00B4441F" w:rsidR="00371447">
        <w:t>Revised</w:t>
      </w:r>
      <w:r w:rsidR="00C03AC3">
        <w:t>)</w:t>
      </w:r>
    </w:p>
    <w:p w:rsidRPr="00B4441F" w:rsidR="00C03AC3" w:rsidP="00BA2FFA" w:rsidRDefault="00C03AC3" w14:paraId="79AFB1CD" w14:textId="30618EF5">
      <w:r>
        <w:t>Appendix G</w:t>
      </w:r>
      <w:r w:rsidR="000D3C24">
        <w:t xml:space="preserve"> </w:t>
      </w:r>
      <w:r w:rsidRPr="00B4441F" w:rsidR="000D3C24">
        <w:t>(See Table 14)</w:t>
      </w:r>
      <w:r>
        <w:t xml:space="preserve">: </w:t>
      </w:r>
      <w:r w:rsidRPr="00B4441F">
        <w:t>2019 Registration Guide for the CMS Web Interface and CAHPS for MIPS Survey</w:t>
      </w:r>
      <w:r>
        <w:t xml:space="preserve"> Crosswalk</w:t>
      </w:r>
    </w:p>
    <w:p w:rsidR="00466862" w:rsidP="00466862" w:rsidRDefault="00466862" w14:paraId="785E060D" w14:textId="301D174D">
      <w:r w:rsidRPr="00947686">
        <w:t xml:space="preserve">Appendix </w:t>
      </w:r>
      <w:r>
        <w:t xml:space="preserve"> </w:t>
      </w:r>
      <w:r w:rsidR="00C22EA4">
        <w:t>H</w:t>
      </w:r>
      <w:r w:rsidRPr="00947686">
        <w:t xml:space="preserve"> (See Table 24): Submission Form for Other Payer Requests for Other Payer Advanced Alternative Payment Model Determinations (Payer Initiated Submission Form) (</w:t>
      </w:r>
      <w:r w:rsidR="00BB0B30">
        <w:t>Revised</w:t>
      </w:r>
      <w:r w:rsidRPr="00947686">
        <w:t>)</w:t>
      </w:r>
    </w:p>
    <w:p w:rsidRPr="00947686" w:rsidR="00EE6B71" w:rsidP="00466862" w:rsidRDefault="00EE6B71" w14:paraId="23D2EBBD" w14:textId="3E425627">
      <w:r w:rsidRPr="00947686">
        <w:t xml:space="preserve">Appendix </w:t>
      </w:r>
      <w:r>
        <w:t xml:space="preserve"> </w:t>
      </w:r>
      <w:r w:rsidR="00BB0B30">
        <w:t>I</w:t>
      </w:r>
      <w:r w:rsidRPr="00947686">
        <w:t xml:space="preserve"> (See Table 24): Submission Form for Other Payer Requests for Other Payer Advanced Alternative Payment Model Determinations (Payer Initiated Submission Form) </w:t>
      </w:r>
      <w:r w:rsidR="000939FB">
        <w:t>Crosswalk</w:t>
      </w:r>
    </w:p>
    <w:p w:rsidR="00BA2FFA" w:rsidP="00BA2FFA" w:rsidRDefault="00BA2FFA" w14:paraId="65DD8FF0" w14:textId="024C5DE1">
      <w:r w:rsidRPr="00947686">
        <w:t xml:space="preserve">Appendix </w:t>
      </w:r>
      <w:r w:rsidR="00BB0B30">
        <w:t>J</w:t>
      </w:r>
      <w:r w:rsidRPr="00947686" w:rsidR="00BD5393">
        <w:t xml:space="preserve"> (See Table </w:t>
      </w:r>
      <w:r w:rsidRPr="00947686" w:rsidR="008E6B13">
        <w:t>25</w:t>
      </w:r>
      <w:r w:rsidRPr="00947686" w:rsidR="00BD5393">
        <w:t>)</w:t>
      </w:r>
      <w:r w:rsidRPr="00947686">
        <w:t xml:space="preserve">: </w:t>
      </w:r>
      <w:r w:rsidRPr="00947686" w:rsidR="00290BB7">
        <w:t xml:space="preserve"> Submission Form for Eligible Clinician and APM Entity Requests for Other Payer Advanced Alternative Payment Model Determinations (Eligible Clinician Initiated Submission Form)</w:t>
      </w:r>
      <w:r w:rsidRPr="00947686">
        <w:t xml:space="preserve"> (</w:t>
      </w:r>
      <w:r w:rsidR="009A59C6">
        <w:t>Revised</w:t>
      </w:r>
      <w:r w:rsidRPr="00947686">
        <w:t>)</w:t>
      </w:r>
    </w:p>
    <w:p w:rsidRPr="00947686" w:rsidR="00C22EA4" w:rsidP="00BA2FFA" w:rsidRDefault="00C22EA4" w14:paraId="7251EFC1" w14:textId="11EFE538">
      <w:r>
        <w:t xml:space="preserve">Appendix </w:t>
      </w:r>
      <w:r w:rsidR="00BB0B30">
        <w:t>K</w:t>
      </w:r>
      <w:r w:rsidR="000D696E">
        <w:t xml:space="preserve"> (See Table 25)</w:t>
      </w:r>
      <w:r>
        <w:t xml:space="preserve">: </w:t>
      </w:r>
      <w:r w:rsidRPr="00947686">
        <w:t>Submission Form for Eligible Clinician and APM Entity Requests for Other Payer Advanced Alternative Payment Model Determinations (Eligible Clinician Initiated Submission Form)</w:t>
      </w:r>
      <w:r>
        <w:t xml:space="preserve"> Crosswalk</w:t>
      </w:r>
    </w:p>
    <w:p w:rsidR="00964ADF" w:rsidP="00964ADF" w:rsidRDefault="002B0123" w14:paraId="2B0588D0" w14:textId="72FB966D">
      <w:r w:rsidRPr="00947686">
        <w:t xml:space="preserve">Appendix </w:t>
      </w:r>
      <w:r w:rsidR="00BB0B30">
        <w:t>L</w:t>
      </w:r>
      <w:r w:rsidRPr="00947686" w:rsidR="00BD5393">
        <w:t xml:space="preserve"> (See Table </w:t>
      </w:r>
      <w:r w:rsidRPr="00947686" w:rsidR="008E6B13">
        <w:t>26</w:t>
      </w:r>
      <w:r w:rsidRPr="00947686" w:rsidR="00BD5393">
        <w:t>)</w:t>
      </w:r>
      <w:r w:rsidRPr="00947686">
        <w:t xml:space="preserve">: </w:t>
      </w:r>
      <w:r w:rsidRPr="00947686" w:rsidR="00964ADF">
        <w:t xml:space="preserve"> </w:t>
      </w:r>
      <w:r w:rsidRPr="00947686" w:rsidR="00D8597D">
        <w:t>S</w:t>
      </w:r>
      <w:r w:rsidRPr="00947686" w:rsidR="00964ADF">
        <w:t xml:space="preserve">ubmission Form for Requests for Qualifying Alternative Payment Model Participant (QP) Determinations under the All-Payer Combination Option </w:t>
      </w:r>
      <w:r w:rsidRPr="00947686" w:rsidR="00D8597D">
        <w:t>(</w:t>
      </w:r>
      <w:r w:rsidR="009A59C6">
        <w:t>Revised</w:t>
      </w:r>
      <w:r w:rsidRPr="00947686" w:rsidR="00D8597D">
        <w:t>)</w:t>
      </w:r>
    </w:p>
    <w:p w:rsidRPr="00947686" w:rsidR="00C22EA4" w:rsidP="00964ADF" w:rsidRDefault="00C22EA4" w14:paraId="62D26811" w14:textId="3B396106">
      <w:r>
        <w:t xml:space="preserve">Appendix </w:t>
      </w:r>
      <w:r w:rsidR="000D696E">
        <w:t>M (See Table 26)</w:t>
      </w:r>
      <w:r>
        <w:t xml:space="preserve">: </w:t>
      </w:r>
      <w:r w:rsidRPr="00947686">
        <w:t>Submission Form for Requests for Qualifying Alternative Payment Model Participant (QP) Determinations under the All-Payer Combination Option</w:t>
      </w:r>
      <w:r>
        <w:t xml:space="preserve"> Crosswalk </w:t>
      </w:r>
    </w:p>
    <w:p w:rsidR="002B0123" w:rsidP="002B0123" w:rsidRDefault="002B0123" w14:paraId="7DA048CA" w14:textId="3AC17EF2">
      <w:r w:rsidRPr="00371447">
        <w:t xml:space="preserve">Appendix </w:t>
      </w:r>
      <w:r w:rsidR="000D696E">
        <w:t>N</w:t>
      </w:r>
      <w:r w:rsidRPr="00371447" w:rsidR="00BD5393">
        <w:t xml:space="preserve"> (See Table </w:t>
      </w:r>
      <w:r w:rsidRPr="00371447" w:rsidR="008E6B13">
        <w:t>15</w:t>
      </w:r>
      <w:r w:rsidRPr="00371447" w:rsidR="00BD5393">
        <w:t>)</w:t>
      </w:r>
      <w:r w:rsidRPr="00371447">
        <w:t xml:space="preserve">: </w:t>
      </w:r>
      <w:r w:rsidRPr="00371447" w:rsidR="00957184">
        <w:t xml:space="preserve"> Measures under Consideration 20</w:t>
      </w:r>
      <w:r w:rsidRPr="00371447" w:rsidR="00371447">
        <w:t>19</w:t>
      </w:r>
      <w:r w:rsidRPr="00371447" w:rsidR="00957184">
        <w:t>, Data Template for Candidate Measures</w:t>
      </w:r>
      <w:r w:rsidRPr="00371447">
        <w:t xml:space="preserve"> (Revised)</w:t>
      </w:r>
    </w:p>
    <w:p w:rsidRPr="00371447" w:rsidR="00397B1C" w:rsidP="002B0123" w:rsidRDefault="00397B1C" w14:paraId="743CFB8E" w14:textId="234BE831">
      <w:r>
        <w:t xml:space="preserve">Appendix </w:t>
      </w:r>
      <w:r w:rsidR="000D696E">
        <w:t>O (See Table 15)</w:t>
      </w:r>
      <w:r>
        <w:t xml:space="preserve">: </w:t>
      </w:r>
      <w:r w:rsidRPr="00371447">
        <w:t>Measures under Consideration 2019, Data Template for Candidate Measures</w:t>
      </w:r>
      <w:r>
        <w:t xml:space="preserve"> Crosswalk</w:t>
      </w:r>
    </w:p>
    <w:p w:rsidR="002B0123" w:rsidP="00C540B4" w:rsidRDefault="002B0123" w14:paraId="0915741C" w14:textId="1694FC55">
      <w:r w:rsidRPr="002A549A">
        <w:t xml:space="preserve">Appendix </w:t>
      </w:r>
      <w:r w:rsidR="000D696E">
        <w:t>P</w:t>
      </w:r>
      <w:r w:rsidRPr="002A549A" w:rsidR="00BD5393">
        <w:t xml:space="preserve"> (See Table </w:t>
      </w:r>
      <w:r w:rsidRPr="002A549A" w:rsidR="008E6B13">
        <w:t>19</w:t>
      </w:r>
      <w:r w:rsidRPr="002A549A" w:rsidR="00BD5393">
        <w:t>)</w:t>
      </w:r>
      <w:r w:rsidRPr="002A549A">
        <w:t xml:space="preserve">: </w:t>
      </w:r>
      <w:r w:rsidRPr="002A549A" w:rsidR="00C540B4">
        <w:t xml:space="preserve"> Promoting Interoperability Performance Category, </w:t>
      </w:r>
      <w:r w:rsidR="00B4441F">
        <w:t>20</w:t>
      </w:r>
      <w:r w:rsidR="00313BF4">
        <w:t>20</w:t>
      </w:r>
      <w:r w:rsidR="00B4441F">
        <w:t xml:space="preserve"> </w:t>
      </w:r>
      <w:r w:rsidRPr="002A549A" w:rsidR="00C540B4">
        <w:t>Call for Measures Submission Form</w:t>
      </w:r>
      <w:r w:rsidRPr="002A549A">
        <w:t xml:space="preserve"> </w:t>
      </w:r>
    </w:p>
    <w:p w:rsidRPr="002A549A" w:rsidR="00313BF4" w:rsidP="00C540B4" w:rsidRDefault="00313BF4" w14:paraId="564289F0" w14:textId="5D15AA56">
      <w:r>
        <w:t xml:space="preserve">Appendix </w:t>
      </w:r>
      <w:r w:rsidR="000D696E">
        <w:t>Q</w:t>
      </w:r>
      <w:r>
        <w:t xml:space="preserve"> (See Table 19): Promoting Interoperability Performance Category, 2020 Call for Measures Submiss</w:t>
      </w:r>
      <w:r w:rsidR="003232DC">
        <w:t>ion Form Crosswalk</w:t>
      </w:r>
    </w:p>
    <w:p w:rsidR="002B0123" w:rsidP="00AF6380" w:rsidRDefault="002B0123" w14:paraId="67B5BDBE" w14:textId="42F56756">
      <w:r w:rsidRPr="006777A9">
        <w:t xml:space="preserve">Appendix </w:t>
      </w:r>
      <w:r w:rsidR="000D696E">
        <w:t>R</w:t>
      </w:r>
      <w:r w:rsidRPr="006777A9" w:rsidR="00BD5393">
        <w:t xml:space="preserve"> (See Table </w:t>
      </w:r>
      <w:r w:rsidRPr="006777A9" w:rsidR="008E6B13">
        <w:t>22</w:t>
      </w:r>
      <w:r w:rsidRPr="006777A9" w:rsidR="00BD5393">
        <w:t>)</w:t>
      </w:r>
      <w:r w:rsidRPr="006777A9">
        <w:t xml:space="preserve">: </w:t>
      </w:r>
      <w:r w:rsidRPr="006777A9" w:rsidR="00AF6380">
        <w:t xml:space="preserve"> Improvement Activities Performance Category, </w:t>
      </w:r>
      <w:r w:rsidR="00B4441F">
        <w:t>20</w:t>
      </w:r>
      <w:r w:rsidR="003C4278">
        <w:t>20</w:t>
      </w:r>
      <w:r w:rsidR="00B4441F">
        <w:t xml:space="preserve"> </w:t>
      </w:r>
      <w:r w:rsidRPr="006777A9" w:rsidR="00AF6380">
        <w:t>Call for Activities Submission Form</w:t>
      </w:r>
      <w:r w:rsidRPr="006777A9">
        <w:t xml:space="preserve"> (</w:t>
      </w:r>
      <w:r w:rsidR="003C4278">
        <w:t>Revised</w:t>
      </w:r>
      <w:r w:rsidRPr="006777A9">
        <w:t>)</w:t>
      </w:r>
    </w:p>
    <w:p w:rsidRPr="006777A9" w:rsidR="003C4278" w:rsidP="00AF6380" w:rsidRDefault="003C4278" w14:paraId="666D088C" w14:textId="6CA10232">
      <w:r>
        <w:t xml:space="preserve">Appendxi </w:t>
      </w:r>
      <w:r w:rsidR="000D696E">
        <w:t>S</w:t>
      </w:r>
      <w:r>
        <w:t xml:space="preserve"> (See Table 22): Improvement Activities Performance Category, 2020 Call for Activities Submission Form</w:t>
      </w:r>
      <w:r w:rsidR="00431F71">
        <w:t xml:space="preserve"> Crosswalk</w:t>
      </w:r>
    </w:p>
    <w:p w:rsidR="002B0123" w:rsidP="002B0123" w:rsidRDefault="002B0123" w14:paraId="423D14AA" w14:textId="3E38B810">
      <w:r w:rsidRPr="00385E1B">
        <w:t xml:space="preserve">Appendix </w:t>
      </w:r>
      <w:r w:rsidR="000D696E">
        <w:t>T</w:t>
      </w:r>
      <w:r w:rsidRPr="00385E1B" w:rsidR="00BD5393">
        <w:t xml:space="preserve"> (See Table </w:t>
      </w:r>
      <w:r w:rsidRPr="00385E1B" w:rsidR="008E6B13">
        <w:t>1</w:t>
      </w:r>
      <w:r w:rsidRPr="00385E1B" w:rsidR="00811F9E">
        <w:t>5</w:t>
      </w:r>
      <w:r w:rsidRPr="00385E1B" w:rsidR="00BD5393">
        <w:t>)</w:t>
      </w:r>
      <w:r w:rsidRPr="00385E1B">
        <w:t xml:space="preserve">: </w:t>
      </w:r>
      <w:r w:rsidRPr="00385E1B" w:rsidR="003B1AC4">
        <w:t xml:space="preserve"> Peer Reviewed Journal Article Requirement Template</w:t>
      </w:r>
      <w:r w:rsidRPr="00385E1B">
        <w:t xml:space="preserve"> (</w:t>
      </w:r>
      <w:r w:rsidR="00622A6E">
        <w:t>No Changes</w:t>
      </w:r>
      <w:r w:rsidRPr="00385E1B">
        <w:t>)</w:t>
      </w:r>
    </w:p>
    <w:p w:rsidR="00CE3A0A" w:rsidP="00CE3A0A" w:rsidRDefault="00CE3A0A" w14:paraId="487E1206" w14:textId="26D9401F">
      <w:r>
        <w:t xml:space="preserve">Appendix </w:t>
      </w:r>
      <w:r w:rsidR="000D696E">
        <w:t>U</w:t>
      </w:r>
      <w:r>
        <w:t xml:space="preserve"> (See Table 16): Hardshi</w:t>
      </w:r>
      <w:r w:rsidR="00632BCD">
        <w:t>p Exception Application Form (New)</w:t>
      </w:r>
    </w:p>
    <w:p w:rsidRPr="00B9686B" w:rsidR="00640932" w:rsidP="00CE3A0A" w:rsidRDefault="00CE3A0A" w14:paraId="448ADFDC" w14:textId="3265DBED">
      <w:r>
        <w:t xml:space="preserve">Appendix </w:t>
      </w:r>
      <w:r w:rsidR="000D696E">
        <w:t>V</w:t>
      </w:r>
      <w:r>
        <w:t xml:space="preserve"> (See Table 16): </w:t>
      </w:r>
      <w:r w:rsidR="00632BCD">
        <w:t>Extreme and Uncontrollable Circumstances Application Form (New)</w:t>
      </w:r>
    </w:p>
    <w:p w:rsidRPr="004F66BE" w:rsidR="00E10E3A" w:rsidP="00811F9E" w:rsidRDefault="00E10E3A" w14:paraId="34D30478" w14:textId="21C45AC4">
      <w:pPr>
        <w:pStyle w:val="Heading2"/>
      </w:pPr>
      <w:r w:rsidRPr="004F66BE">
        <w:t>Capital Costs</w:t>
      </w:r>
    </w:p>
    <w:p w:rsidR="000A50C8" w:rsidP="00E12B53" w:rsidRDefault="000A4377" w14:paraId="1C0E5AD4" w14:textId="6F0836D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 xml:space="preserve">We believe that third parties who submit data on behalf of clinicians could incur additional costs as a result of policies finalized in the CY 2020 PFS </w:t>
      </w:r>
      <w:r w:rsidR="00DB7C53">
        <w:t>final</w:t>
      </w:r>
      <w:r>
        <w:t xml:space="preserve"> rule.  </w:t>
      </w:r>
      <w:r w:rsidRPr="00E943EC" w:rsidR="00E943EC">
        <w:t>In secti</w:t>
      </w:r>
      <w:r w:rsidR="00166368">
        <w:t xml:space="preserve">ons </w:t>
      </w:r>
      <w:r w:rsidRPr="00A3122C" w:rsidR="00166368">
        <w:rPr>
          <w:rFonts w:eastAsia="Calibri"/>
        </w:rPr>
        <w:t xml:space="preserve">III.K.3.g.(3)(a)(i) and III.K.3.g.(4)(a)(i) </w:t>
      </w:r>
      <w:r w:rsidRPr="00E943EC" w:rsidR="00E943EC">
        <w:t>of th</w:t>
      </w:r>
      <w:r w:rsidR="005C2F87">
        <w:t>e</w:t>
      </w:r>
      <w:r w:rsidRPr="00E943EC" w:rsidR="00E943EC">
        <w:t xml:space="preserve"> </w:t>
      </w:r>
      <w:r w:rsidR="005C2F87">
        <w:t xml:space="preserve">CY 2020 PFS </w:t>
      </w:r>
      <w:r w:rsidR="00DB7C53">
        <w:t>final</w:t>
      </w:r>
      <w:r w:rsidRPr="00E943EC" w:rsidR="00E943EC">
        <w:t xml:space="preserve"> rule, </w:t>
      </w:r>
      <w:r w:rsidRPr="00166368" w:rsidR="00166368">
        <w:t>beginning with the 202</w:t>
      </w:r>
      <w:r w:rsidR="00A5121C">
        <w:t>3</w:t>
      </w:r>
      <w:r w:rsidRPr="00166368" w:rsidR="00166368">
        <w:t xml:space="preserve"> </w:t>
      </w:r>
      <w:r w:rsidR="00A5121C">
        <w:t>payment year</w:t>
      </w:r>
      <w:r w:rsidRPr="00166368" w:rsidR="00166368">
        <w:t xml:space="preserve">, we are </w:t>
      </w:r>
      <w:r w:rsidR="00D467D1">
        <w:t>finaliz</w:t>
      </w:r>
      <w:r w:rsidRPr="00166368" w:rsidR="00166368">
        <w:t xml:space="preserve">ing to require qualified registries </w:t>
      </w:r>
      <w:r w:rsidR="00A54B59">
        <w:t xml:space="preserve">and QCDRs </w:t>
      </w:r>
      <w:r w:rsidRPr="00166368" w:rsidR="00166368">
        <w:t xml:space="preserve">to </w:t>
      </w:r>
      <w:r w:rsidR="0091455F">
        <w:t>be able to submit data for each of the</w:t>
      </w:r>
      <w:r w:rsidRPr="00166368" w:rsidR="00166368">
        <w:t xml:space="preserve"> quality, improvement activities, and Promoting Interoperability</w:t>
      </w:r>
      <w:r w:rsidR="0091455F">
        <w:t xml:space="preserve"> performance categories</w:t>
      </w:r>
      <w:r w:rsidR="00ED7AD0">
        <w:t xml:space="preserve"> </w:t>
      </w:r>
      <w:r w:rsidRPr="00CC2BFB" w:rsidR="00ED7AD0">
        <w:t xml:space="preserve">with the </w:t>
      </w:r>
      <w:r w:rsidR="00ED7AD0">
        <w:t>stipulation</w:t>
      </w:r>
      <w:r w:rsidRPr="00CC2BFB" w:rsidR="00ED7AD0">
        <w:t xml:space="preserve"> that based on the amendment to § 414.1400(a)(2)(iii) </w:t>
      </w:r>
      <w:r w:rsidRPr="004119E5" w:rsidR="00ED7AD0">
        <w:t>a third party could be excepted from this requirement if its MIPS eligible clinicians, groups or virtual groups fall under the reweighting policies at § 414.1380(c)(2)(i)(A)(4) or (5) or § 414.1380(c)(2)(i)(C)(1) through (7) or § 414.1380(c)(2)(i)(C)(9))</w:t>
      </w:r>
      <w:r w:rsidRPr="00E943EC" w:rsidR="00E943EC">
        <w:t xml:space="preserve">.  </w:t>
      </w:r>
      <w:r w:rsidR="005647E1">
        <w:t xml:space="preserve">Currently, qualified registries and QCDRs are only required to support the quality performance category while supporting improvement activities and Promoting Interoperability performance categories is optional.  </w:t>
      </w:r>
      <w:r w:rsidRPr="002A3392" w:rsidR="002A3392">
        <w:t xml:space="preserve">Based on our review of qualified registries and QCDRs approved to submit data for the 2019 MIPS performance period, 70 percent of qualified registries and 72 percent of QCDRs </w:t>
      </w:r>
      <w:r w:rsidR="00ED7AD0">
        <w:t xml:space="preserve">are </w:t>
      </w:r>
      <w:r w:rsidRPr="002A3392" w:rsidR="002A3392">
        <w:t xml:space="preserve">already </w:t>
      </w:r>
      <w:r w:rsidR="00ED7AD0">
        <w:t>able to submit data</w:t>
      </w:r>
      <w:r w:rsidRPr="002A3392" w:rsidR="002A3392">
        <w:t xml:space="preserve"> for the quality, improvement activities, and Promoting Interoperability performance categories.  </w:t>
      </w:r>
      <w:r w:rsidRPr="00066EA3" w:rsidR="00066EA3">
        <w:t xml:space="preserve">We believe this </w:t>
      </w:r>
      <w:r w:rsidR="00DB7C53">
        <w:t>requirement</w:t>
      </w:r>
      <w:r w:rsidRPr="00066EA3" w:rsidR="00066EA3">
        <w:t xml:space="preserve"> could result in the remaining qualified registries and QCDRs incurring additional costs to upgrade information technology systems in order to make this ability available to clinicians</w:t>
      </w:r>
      <w:r w:rsidR="00EC20BC">
        <w:rPr>
          <w:rFonts w:eastAsia="Calibri"/>
        </w:rPr>
        <w:t>, with less cost incurred by entities who would be subject to an exception for the Promoting Interoperability performance category</w:t>
      </w:r>
      <w:r w:rsidRPr="00066EA3" w:rsidR="00066EA3">
        <w:t>.  However, given that each of these entities and their information technology systems are unique, and there is no method of determining which entities may have already begun the process of developing this ability, we are unable to determine the impact of transitioning from allowing this ability as an option to requiring it.  Also, given that the majority of these entities have already begun offering the ability to submit data on behalf of the improvement activities and Promoting Interoperability performance categories, we assume they have done so because they believe the benefits outweigh the costs and is therefore, in their best financial interests to do so.</w:t>
      </w:r>
      <w:r w:rsidR="007E6C5A">
        <w:t xml:space="preserve"> </w:t>
      </w:r>
      <w:r w:rsidRPr="000A50C8" w:rsidR="000A50C8">
        <w:t xml:space="preserve">We are also </w:t>
      </w:r>
      <w:r w:rsidR="00B44D62">
        <w:t>finaliz</w:t>
      </w:r>
      <w:r w:rsidRPr="000A50C8" w:rsidR="000A50C8">
        <w:t>ing</w:t>
      </w:r>
      <w:r w:rsidR="00B6718B">
        <w:t xml:space="preserve"> in section III.K.3.g.(3)(a)(ii) of the CY 2020 PFS </w:t>
      </w:r>
      <w:r w:rsidR="00B44D62">
        <w:t>final</w:t>
      </w:r>
      <w:r w:rsidR="00B6718B">
        <w:t xml:space="preserve"> rule</w:t>
      </w:r>
      <w:r w:rsidRPr="000A50C8" w:rsidR="000A50C8">
        <w:t xml:space="preserve">, beginning with the 2021 performance period, to require qualified registries and QCDRs to provide the following as part of the performance feedback given at least 4 times a year: feedback to their clinicians and groups on how they compare to other clinicians who have submitted data on a given measure (MIPS quality measure and/or QCDR measure) within the </w:t>
      </w:r>
      <w:r w:rsidR="00A54B59">
        <w:t xml:space="preserve">qualified registry or </w:t>
      </w:r>
      <w:r w:rsidRPr="000A50C8" w:rsidR="000A50C8">
        <w:t>QCDR.</w:t>
      </w:r>
      <w:r w:rsidRPr="00A72A71" w:rsidR="00A72A71">
        <w:t xml:space="preserve"> </w:t>
      </w:r>
      <w:r w:rsidR="00A72A71">
        <w:t xml:space="preserve">We understand that QCDRs can only provide feedback on data they have collected on their clinicians and groups, and realize the comparison would be limited to that data and not reflect the larger sample of those that have submitted on the measure for MIPS, which the QCDR does not have access to.  </w:t>
      </w:r>
      <w:r w:rsidRPr="000A50C8" w:rsidR="000A50C8">
        <w:t xml:space="preserve">As finalized in the CY 2017 and CY 2018 Quality Payment Program final rules (81 FR 77367 through 77386 and 82 FR 53812), qualified registries and QCDRs are required to provide feedback on all of the MIPS performance categories that the qualified registry or QCDR reports at least 4 times a year.  Given that we are not </w:t>
      </w:r>
      <w:r w:rsidR="003C1775">
        <w:t>requiring</w:t>
      </w:r>
      <w:r w:rsidRPr="000A50C8" w:rsidR="003C1775">
        <w:t xml:space="preserve"> </w:t>
      </w:r>
      <w:r w:rsidRPr="000A50C8" w:rsidR="000A50C8">
        <w:t>a significant change but are instead modify</w:t>
      </w:r>
      <w:r w:rsidR="003C1775">
        <w:t>ing</w:t>
      </w:r>
      <w:r w:rsidRPr="000A50C8" w:rsidR="000A50C8">
        <w:t xml:space="preserve"> and strengthen</w:t>
      </w:r>
      <w:r w:rsidR="003C1775">
        <w:t>ing</w:t>
      </w:r>
      <w:r w:rsidRPr="000A50C8" w:rsidR="000A50C8">
        <w:t xml:space="preserve"> the existing policy, we do not anticipate a significant increase in cost or effort for Third Party Intermediaries to comply with this </w:t>
      </w:r>
      <w:r w:rsidR="003C1775">
        <w:t>policy</w:t>
      </w:r>
      <w:r w:rsidRPr="000A50C8" w:rsidR="000A50C8">
        <w:t xml:space="preserve">.  </w:t>
      </w:r>
    </w:p>
    <w:p w:rsidR="00727ACC" w:rsidP="00E12B53" w:rsidRDefault="00727ACC" w14:paraId="64C613A3" w14:textId="168F718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727ACC">
        <w:t>In section III.K.3.g.(</w:t>
      </w:r>
      <w:r w:rsidR="00DC0EC3">
        <w:t>3</w:t>
      </w:r>
      <w:r w:rsidRPr="00727ACC">
        <w:t>)(c)(i)(B)(</w:t>
      </w:r>
      <w:r w:rsidR="00DC0EC3">
        <w:t>cc</w:t>
      </w:r>
      <w:r w:rsidRPr="00727ACC">
        <w:t>)</w:t>
      </w:r>
      <w:r>
        <w:t xml:space="preserve"> of the CY 2020 PFS </w:t>
      </w:r>
      <w:r w:rsidR="004838D1">
        <w:t xml:space="preserve">final </w:t>
      </w:r>
      <w:r>
        <w:t>rule</w:t>
      </w:r>
      <w:r w:rsidRPr="00727ACC">
        <w:t xml:space="preserve">, we </w:t>
      </w:r>
      <w:r w:rsidR="004838D1">
        <w:t>finaliz</w:t>
      </w:r>
      <w:r w:rsidR="00630108">
        <w:t>ed</w:t>
      </w:r>
      <w:r w:rsidRPr="00727ACC" w:rsidR="004838D1">
        <w:t xml:space="preserve"> </w:t>
      </w:r>
      <w:r w:rsidRPr="00727ACC">
        <w:t xml:space="preserve">that in order for a QCDR measure to be considered for use in the program beginning with the 2021 performance period and future years, all QCDR measures submitted for self-nomination must be fully developed with completed testing results at the clinician level, as defined by the CMS Blueprint for the CMS Measures Management System, as used in the testing of MIPS quality measures prior to the submission of those measures to the Call for Measures.  Beginning with the 2021 performance period and future years, we are </w:t>
      </w:r>
      <w:r w:rsidR="004838D1">
        <w:t>finaliz</w:t>
      </w:r>
      <w:r w:rsidR="00630108">
        <w:t>ed</w:t>
      </w:r>
      <w:r w:rsidRPr="00727ACC">
        <w:t xml:space="preserve"> in section III.K.3.g.(</w:t>
      </w:r>
      <w:r w:rsidR="00DC0EC3">
        <w:t>3</w:t>
      </w:r>
      <w:r w:rsidRPr="00727ACC">
        <w:t>)(c)(i)(B)(</w:t>
      </w:r>
      <w:r w:rsidR="005E1991">
        <w:t>dd</w:t>
      </w:r>
      <w:r w:rsidRPr="00727ACC">
        <w:t>) to also require QCDRs to collect data on the potential QCDR measure, appropriate to the measure type, as defined in the CMS Blueprint for the CMS Measures Management System, prior to self-nomination.  The testing process for quality measures is dependent on the measure type (for example, a measure that is specified as an eCQM measure has additional steps it must undergo when compared to other measure types).  The National Quality Forum (NQF) has developed guides for measure testing criteria and standards which further illustrate these differences based on measure type .  Additionally, the costs associated with testing vary based on the complexity of the measure and the developing organization.  The Journal of the American Medical Association states that the costs associated with quality measures are generally unknown or unreported</w:t>
      </w:r>
      <w:r w:rsidR="00A07C5C">
        <w:rPr>
          <w:rStyle w:val="FootnoteReference"/>
        </w:rPr>
        <w:footnoteReference w:id="12"/>
      </w:r>
      <w:r w:rsidRPr="00727ACC">
        <w:t xml:space="preserve">.  While we understand the </w:t>
      </w:r>
      <w:r w:rsidR="00D467D1">
        <w:t>finaliz</w:t>
      </w:r>
      <w:r w:rsidRPr="00727ACC">
        <w:t xml:space="preserve">ed policy will result in additional costs for QCDRs to develop measures, given the uncertainty regarding the number and types of measures that will be </w:t>
      </w:r>
      <w:r w:rsidR="00D467D1">
        <w:t>nominat</w:t>
      </w:r>
      <w:r w:rsidRPr="00727ACC">
        <w:t xml:space="preserve">ed in future performance periods coupled with the lack of available cost data on measure development and testing, we are unable to determine the financial impact of this </w:t>
      </w:r>
      <w:r w:rsidR="00D467D1">
        <w:t>requirement</w:t>
      </w:r>
      <w:r w:rsidRPr="00727ACC" w:rsidR="00D467D1">
        <w:t xml:space="preserve"> </w:t>
      </w:r>
      <w:r w:rsidRPr="00727ACC">
        <w:t>on QCDRs beyond the likelihood of it being more than trivial.  Likewise, we understand that some QCDRs already perform measure testing prior to submission for approval while others do not.  This variability makes it difficult to estimate the incremental impact of this regulation.</w:t>
      </w:r>
    </w:p>
    <w:p w:rsidR="00363C84" w:rsidP="00E12B53" w:rsidRDefault="00363C84" w14:paraId="4D217DE7" w14:textId="66A3EF1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363C84">
        <w:t>In section III.K.3.g.(</w:t>
      </w:r>
      <w:r w:rsidR="005E1991">
        <w:t>3</w:t>
      </w:r>
      <w:r w:rsidRPr="00363C84">
        <w:t>)(c)(i)(A)(</w:t>
      </w:r>
      <w:r w:rsidR="005E1991">
        <w:t>bb</w:t>
      </w:r>
      <w:r w:rsidRPr="00363C84">
        <w:t>) of th</w:t>
      </w:r>
      <w:r>
        <w:t xml:space="preserve">e CY 2020 PFS </w:t>
      </w:r>
      <w:r w:rsidR="004838D1">
        <w:t>final</w:t>
      </w:r>
      <w:r w:rsidRPr="00363C84" w:rsidR="004838D1">
        <w:t xml:space="preserve"> </w:t>
      </w:r>
      <w:r w:rsidRPr="00363C84">
        <w:t xml:space="preserve">rule, we </w:t>
      </w:r>
      <w:r w:rsidR="004838D1">
        <w:t>finaliz</w:t>
      </w:r>
      <w:r w:rsidR="00630108">
        <w:t>ed</w:t>
      </w:r>
      <w:r w:rsidRPr="00363C84" w:rsidR="004838D1">
        <w:t xml:space="preserve"> </w:t>
      </w:r>
      <w:r w:rsidRPr="00363C84">
        <w:t>to state that CMS may consider the extent to which a QCDR measure is available to MIPS eligible clinicians reporting through QCDRs other than the QCDR measure owner for purposes of MIPS.  If CMS determines that a QCDR measure is not available to MIPS eligible clinicians, groups, and virtual groups reporting through other QCDRs, CMS may not approve the measure.  Because the choice to license a QCDR measure is an elective business decision made by individual QCDRs and we have little insight into both the specific terms and frequency of agreements made between entities, we are unable to account for the financial impact of licensing QCDR measures for each QCDR.  In aggregate across all QCDRs, the financial impact would be zero as fees paid by one QCDR will be collected by another QCDR.</w:t>
      </w:r>
    </w:p>
    <w:p w:rsidR="002406BF" w:rsidP="00E12B53" w:rsidRDefault="00A723E4" w14:paraId="00935E51" w14:textId="2FB1329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We finaliz</w:t>
      </w:r>
      <w:r w:rsidR="00630108">
        <w:t>ed</w:t>
      </w:r>
      <w:r>
        <w:t xml:space="preserve"> i</w:t>
      </w:r>
      <w:r w:rsidRPr="002406BF" w:rsidR="002406BF">
        <w:t>n section III.K.3.g.(</w:t>
      </w:r>
      <w:r w:rsidR="005E1991">
        <w:t>3</w:t>
      </w:r>
      <w:r w:rsidRPr="002406BF" w:rsidR="002406BF">
        <w:t>)(c)(i)(B)(</w:t>
      </w:r>
      <w:r w:rsidR="005E1991">
        <w:t>ee</w:t>
      </w:r>
      <w:r w:rsidRPr="002406BF" w:rsidR="002406BF">
        <w:t>) of th</w:t>
      </w:r>
      <w:r w:rsidR="002406BF">
        <w:t xml:space="preserve">e CY 2020 PFS </w:t>
      </w:r>
      <w:r>
        <w:t>final</w:t>
      </w:r>
      <w:r w:rsidRPr="002406BF">
        <w:t xml:space="preserve"> </w:t>
      </w:r>
      <w:r w:rsidRPr="002406BF" w:rsidR="002406BF">
        <w:t xml:space="preserve">rule, beginning with the 2020 performance period, that after the self-nomination period closes each year, we will review newly self-nominated and previously approved QCDR measures based on considerations as described in the CY 2019 PFS final rule (83 FR 59900 through 59902).  In instances in which multiple, similar QCDR measures exist that warrant approval, we may provisionally approve the individual QCDR measures for 1 year with the condition that QCDRs address certain areas of duplication with other approved QCDR measures in order to be considered for the program in subsequent years.  The QCDR could do so by harmonizing its measure with, or significantly differentiating its measure from, other similar QCDR measures. QCDR measure harmonization </w:t>
      </w:r>
      <w:r w:rsidR="005E1991">
        <w:t>may</w:t>
      </w:r>
      <w:r w:rsidRPr="002406BF" w:rsidR="002406BF">
        <w:t xml:space="preserve"> require two or more QCDRs to work collaboratively to develop one cohesive QCDR measure that is representative of their similar yet, individual measures. We are unable to account for the financial impact of measure harmonization, as the process and outcomes will likely vary substantially depending on a number of factors, including: extent of duplication with other measures, number of QCDRs involved in harmonizing toward a single measure, and number of measures being harmonized among the same QCDRs.  We intend to identify only those QCDR measures which are duplicative to such an extent as to assume harmonization will not be overly burdensome, however, because the harmonization process will occur between QCDRs without our involvement, we are unable to predict or quantify the associated effort.</w:t>
      </w:r>
    </w:p>
    <w:p w:rsidRPr="00BB54CB" w:rsidR="00A64ED4" w:rsidP="002E5262" w:rsidRDefault="00A64ED4" w14:paraId="227C2A60" w14:textId="546381C2">
      <w:pPr>
        <w:pStyle w:val="Heading2"/>
      </w:pPr>
      <w:r w:rsidRPr="00BB54CB">
        <w:t>Cost to Federal Government</w:t>
      </w:r>
    </w:p>
    <w:p w:rsidRPr="00117B2D" w:rsidR="003C4605" w:rsidP="002E5262" w:rsidRDefault="0078551D" w14:paraId="0755C832" w14:textId="6D955953">
      <w:pPr>
        <w:keepNext/>
        <w:keepLines/>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Pr="00BB54CB" w:rsidR="005F4B49" w:rsidP="00E12B53" w:rsidRDefault="005F4B49" w14:paraId="56F3C625" w14:textId="77777777">
      <w:pPr>
        <w:pStyle w:val="Heading2"/>
        <w:keepNext w:val="0"/>
        <w:keepLines w:val="0"/>
      </w:pPr>
      <w:r w:rsidRPr="00BB54CB">
        <w:t>Program or Burden Changes</w:t>
      </w:r>
    </w:p>
    <w:p w:rsidR="00193562" w:rsidP="00FF0944" w:rsidRDefault="000A6E3E" w14:paraId="01210F82" w14:textId="77777777">
      <w:r w:rsidRPr="00E33329">
        <w:t xml:space="preserve">Two </w:t>
      </w:r>
      <w:r>
        <w:t>information collection requests (</w:t>
      </w:r>
      <w:r w:rsidRPr="00E33329">
        <w:t>ICRs</w:t>
      </w:r>
      <w:r>
        <w:t>)</w:t>
      </w:r>
      <w:r w:rsidRPr="00E33329">
        <w:t xml:space="preserve"> show an increase in burden due to </w:t>
      </w:r>
      <w:r>
        <w:t>finaliz</w:t>
      </w:r>
      <w:r w:rsidRPr="00E33329">
        <w:t xml:space="preserve">ed changes in policies: QCDR self-nomination applications and Call for Quality Measures.  </w:t>
      </w:r>
    </w:p>
    <w:p w:rsidR="00193562" w:rsidP="0054258F" w:rsidRDefault="000A6E3E" w14:paraId="725B1E3B" w14:textId="77777777">
      <w:pPr>
        <w:ind w:firstLine="720"/>
      </w:pPr>
      <w:r w:rsidRPr="00E33329">
        <w:t xml:space="preserve">For the QCDR self-nomination applications ICR, we have increased our estimate of the time required to submit a QCDR measure by 1.5 hour due to the </w:t>
      </w:r>
      <w:r>
        <w:t xml:space="preserve">finalized </w:t>
      </w:r>
      <w:r w:rsidRPr="00E33329">
        <w:t>require</w:t>
      </w:r>
      <w:r>
        <w:t>ment for</w:t>
      </w:r>
      <w:r w:rsidRPr="00E33329">
        <w:t xml:space="preserve"> QCDRs to link their QCDR measures </w:t>
      </w:r>
      <w:r>
        <w:t>as feasible to at least one</w:t>
      </w:r>
      <w:r w:rsidRPr="00E33329">
        <w:t xml:space="preserve">related cost measure, </w:t>
      </w:r>
      <w:r>
        <w:t>i</w:t>
      </w:r>
      <w:r w:rsidRPr="00E33329">
        <w:t xml:space="preserve">mprovement </w:t>
      </w:r>
      <w:r>
        <w:t>a</w:t>
      </w:r>
      <w:r w:rsidRPr="00E33329">
        <w:t>ctivit</w:t>
      </w:r>
      <w:r>
        <w:t>y</w:t>
      </w:r>
      <w:r w:rsidRPr="00E33329">
        <w:t xml:space="preserve">, </w:t>
      </w:r>
      <w:r>
        <w:t>or</w:t>
      </w:r>
      <w:r w:rsidRPr="00E33329">
        <w:t xml:space="preserve"> MIPS Value Pathway starting with the 2021 self-nomination period (+1 hour); and the </w:t>
      </w:r>
      <w:r>
        <w:t xml:space="preserve">finalized </w:t>
      </w:r>
      <w:r w:rsidRPr="00E33329">
        <w:t>require</w:t>
      </w:r>
      <w:r>
        <w:t>ment for</w:t>
      </w:r>
      <w:r w:rsidRPr="00E33329">
        <w:t xml:space="preserve"> QCDR measure stewards to submit measure testing data as part of the self-nomination process for each QCDR measure (+0.5 hours).  </w:t>
      </w:r>
    </w:p>
    <w:p w:rsidR="000A6E3E" w:rsidP="0054258F" w:rsidRDefault="000A6E3E" w14:paraId="14519FA0" w14:textId="00525A34">
      <w:pPr>
        <w:ind w:firstLine="720"/>
      </w:pPr>
      <w:r w:rsidRPr="00E33329">
        <w:t xml:space="preserve">For the Call for Quality Measures, we have increased our estimate of the time required to nominate a quality measure for consideration by 1 hour due to the </w:t>
      </w:r>
      <w:r>
        <w:t>finalized</w:t>
      </w:r>
      <w:r w:rsidRPr="00E33329">
        <w:t xml:space="preserve"> require</w:t>
      </w:r>
      <w:r>
        <w:t>ment</w:t>
      </w:r>
      <w:r w:rsidRPr="00E33329">
        <w:t xml:space="preserve"> that MIPS quality measure stewards link their MIPS quality measures to existing and related cost measures and improvement activities and provide rationale for the linkage.  The remaining changes to currently approved burden estimates are adjustments to reflect better understanding of the impacts of policies finalized in previous rules as well as the use of updated data sources available at the time of publication of this </w:t>
      </w:r>
      <w:r>
        <w:t>final</w:t>
      </w:r>
      <w:r w:rsidRPr="00E33329">
        <w:t xml:space="preserve"> rule.  </w:t>
      </w:r>
    </w:p>
    <w:p w:rsidR="00B9683B" w:rsidP="00E12B53" w:rsidRDefault="001B616F" w14:paraId="48060F87" w14:textId="4481FAD7">
      <w:pPr>
        <w:tabs>
          <w:tab w:val="left" w:pos="6030"/>
        </w:tabs>
        <w:spacing w:line="276" w:lineRule="auto"/>
      </w:pPr>
      <w:r>
        <w:t>W</w:t>
      </w:r>
      <w:r w:rsidRPr="00DC5CE4" w:rsidR="00202E1C">
        <w:t xml:space="preserve">e have </w:t>
      </w:r>
      <w:r>
        <w:t>revised</w:t>
      </w:r>
      <w:r w:rsidR="00ED4627">
        <w:t xml:space="preserve"> </w:t>
      </w:r>
      <w:r>
        <w:t>A</w:t>
      </w:r>
      <w:r w:rsidRPr="00DC5CE4" w:rsidR="002B0FCA">
        <w:t xml:space="preserve">ppendices </w:t>
      </w:r>
      <w:r>
        <w:t>A</w:t>
      </w:r>
      <w:r w:rsidR="00671C9C">
        <w:t xml:space="preserve"> (2020 Qualified Registry Fact Sheet)</w:t>
      </w:r>
      <w:r>
        <w:t xml:space="preserve">, </w:t>
      </w:r>
      <w:r w:rsidR="00EC4486">
        <w:t>C</w:t>
      </w:r>
      <w:r w:rsidR="000D7D76">
        <w:t xml:space="preserve"> (2020 QCDR Fact Sheet)</w:t>
      </w:r>
      <w:r>
        <w:t xml:space="preserve">, </w:t>
      </w:r>
      <w:r w:rsidR="00EB7062">
        <w:t>F</w:t>
      </w:r>
      <w:r w:rsidR="000D7D76">
        <w:t xml:space="preserve"> (2019 Registration Guide for CMS Web Interface and CAHPS for MIPS Survey)</w:t>
      </w:r>
      <w:r>
        <w:t xml:space="preserve">, </w:t>
      </w:r>
      <w:r w:rsidR="0066529B">
        <w:t>H (</w:t>
      </w:r>
      <w:r w:rsidR="00F04FF6">
        <w:t>Payer Initiated Submission Form), J</w:t>
      </w:r>
      <w:r w:rsidR="000D7D76">
        <w:t xml:space="preserve"> (</w:t>
      </w:r>
      <w:r w:rsidRPr="00947686" w:rsidR="000D7D76">
        <w:t>Eligible Clinician Initiated Submission Form</w:t>
      </w:r>
      <w:r w:rsidR="000D7D76">
        <w:t>)</w:t>
      </w:r>
      <w:r>
        <w:t xml:space="preserve">, </w:t>
      </w:r>
      <w:r w:rsidR="00F04FF6">
        <w:t>L</w:t>
      </w:r>
      <w:r w:rsidR="00FE476D">
        <w:t xml:space="preserve"> (</w:t>
      </w:r>
      <w:r w:rsidRPr="00947686" w:rsidR="00FE476D">
        <w:t xml:space="preserve">Requests </w:t>
      </w:r>
      <w:r w:rsidR="00FE476D">
        <w:t>form for QP</w:t>
      </w:r>
      <w:r w:rsidRPr="00947686" w:rsidR="00FE476D">
        <w:t xml:space="preserve"> Determinations under the All-Payer Combination Option</w:t>
      </w:r>
      <w:r w:rsidR="00FE476D">
        <w:t>)</w:t>
      </w:r>
      <w:r>
        <w:t xml:space="preserve">, </w:t>
      </w:r>
      <w:r w:rsidR="00F04FF6">
        <w:t>N</w:t>
      </w:r>
      <w:r w:rsidR="00FE476D">
        <w:t xml:space="preserve"> (2019 Measures Under Consideration Data Template)</w:t>
      </w:r>
      <w:r w:rsidR="006069E3">
        <w:t>,</w:t>
      </w:r>
      <w:r w:rsidR="001544C5">
        <w:t xml:space="preserve"> </w:t>
      </w:r>
      <w:r w:rsidR="0009568B">
        <w:t>P</w:t>
      </w:r>
      <w:r w:rsidR="001544C5">
        <w:t xml:space="preserve"> (2020 Promoting Interoperability Call for Measures Submission Form),</w:t>
      </w:r>
      <w:r w:rsidR="006069E3">
        <w:t xml:space="preserve"> and </w:t>
      </w:r>
      <w:r w:rsidR="0009568B">
        <w:t>R</w:t>
      </w:r>
      <w:r w:rsidR="006069E3">
        <w:t xml:space="preserve"> (2020 Improvement Activities Call for Activities Submission Form)</w:t>
      </w:r>
      <w:r w:rsidR="00FE476D">
        <w:t xml:space="preserve"> </w:t>
      </w:r>
      <w:r w:rsidR="00E47550">
        <w:t xml:space="preserve">which are </w:t>
      </w:r>
      <w:r w:rsidRPr="00DC5CE4" w:rsidR="002B0FCA">
        <w:t xml:space="preserve">included in this PRA submittal to reflect changes due to </w:t>
      </w:r>
      <w:r w:rsidR="00F976BE">
        <w:t>finalized</w:t>
      </w:r>
      <w:r w:rsidRPr="00DC5CE4" w:rsidR="002B0FCA">
        <w:t xml:space="preserve"> requirements</w:t>
      </w:r>
      <w:r w:rsidR="00665CED">
        <w:t xml:space="preserve"> and</w:t>
      </w:r>
      <w:r w:rsidRPr="00DC5CE4" w:rsidR="002B0FCA">
        <w:t xml:space="preserve"> revised terminology</w:t>
      </w:r>
      <w:r w:rsidR="005A140B">
        <w:t xml:space="preserve"> as well as to provide additional clarity</w:t>
      </w:r>
      <w:r w:rsidRPr="00DC5CE4" w:rsidR="002B0FCA">
        <w:t>.</w:t>
      </w:r>
      <w:r w:rsidR="002B0FCA">
        <w:t xml:space="preserve">  </w:t>
      </w:r>
      <w:r w:rsidR="005A140B">
        <w:t xml:space="preserve">Crosswalks </w:t>
      </w:r>
      <w:r w:rsidR="009A632C">
        <w:t xml:space="preserve">have been provided </w:t>
      </w:r>
      <w:r w:rsidR="00270DC1">
        <w:t xml:space="preserve">in Appendices B, D, G, </w:t>
      </w:r>
      <w:r w:rsidR="00C73F9E">
        <w:t>I, K</w:t>
      </w:r>
      <w:r w:rsidR="00A74CE8">
        <w:t xml:space="preserve">, </w:t>
      </w:r>
      <w:r w:rsidR="00C73F9E">
        <w:t>M</w:t>
      </w:r>
      <w:r w:rsidR="00270DC1">
        <w:t xml:space="preserve">, </w:t>
      </w:r>
      <w:r w:rsidR="00C73F9E">
        <w:t>O</w:t>
      </w:r>
      <w:r w:rsidR="006069E3">
        <w:t xml:space="preserve">, </w:t>
      </w:r>
      <w:r w:rsidR="00C73F9E">
        <w:t>Q</w:t>
      </w:r>
      <w:r w:rsidR="00313BF4">
        <w:t xml:space="preserve">, and </w:t>
      </w:r>
      <w:r w:rsidR="00C73F9E">
        <w:t>S</w:t>
      </w:r>
      <w:r w:rsidR="00270DC1">
        <w:t xml:space="preserve"> </w:t>
      </w:r>
      <w:r w:rsidR="009A632C">
        <w:t>which clearly describe a</w:t>
      </w:r>
      <w:r w:rsidR="00A74CE8">
        <w:t>ll</w:t>
      </w:r>
      <w:r w:rsidR="009A632C">
        <w:t xml:space="preserve"> changes from previous submittals.  </w:t>
      </w:r>
      <w:r w:rsidR="00382FBF">
        <w:t>Also included in this PR</w:t>
      </w:r>
      <w:r w:rsidR="00671C9C">
        <w:t>A</w:t>
      </w:r>
      <w:r w:rsidR="00382FBF">
        <w:t xml:space="preserve"> are three new Appendices:</w:t>
      </w:r>
      <w:r w:rsidR="00236153">
        <w:t xml:space="preserve"> C</w:t>
      </w:r>
      <w:r w:rsidR="00D7186D">
        <w:t xml:space="preserve"> (2020 QCDR Measure Submission Template)</w:t>
      </w:r>
      <w:r w:rsidR="00236153">
        <w:t>, L</w:t>
      </w:r>
      <w:r w:rsidR="00D7186D">
        <w:t xml:space="preserve"> (Hardship Exception Application Form)</w:t>
      </w:r>
      <w:r w:rsidR="00236153">
        <w:t>, and M</w:t>
      </w:r>
      <w:r w:rsidR="00D7186D">
        <w:t xml:space="preserve"> (Extreme and Uncontrollable Circumstances Application Form)</w:t>
      </w:r>
      <w:r w:rsidR="00236153">
        <w:t xml:space="preserve">.  These three appendices were </w:t>
      </w:r>
      <w:r w:rsidR="007B1E7C">
        <w:t xml:space="preserve">erroneously omitted from </w:t>
      </w:r>
      <w:r w:rsidR="00671C9C">
        <w:t xml:space="preserve">our previously approved PRA submission and are included here for completeness.  </w:t>
      </w:r>
    </w:p>
    <w:p w:rsidR="00820C12" w:rsidP="00E12B53" w:rsidRDefault="003879F0" w14:paraId="003EC2DE" w14:textId="4AE3C3D8">
      <w:pPr>
        <w:tabs>
          <w:tab w:val="left" w:pos="6030"/>
        </w:tabs>
        <w:spacing w:line="276" w:lineRule="auto"/>
      </w:pPr>
      <w:r w:rsidRPr="003856DB">
        <w:t>Table 2</w:t>
      </w:r>
      <w:r w:rsidR="00117B2D">
        <w:t>9</w:t>
      </w:r>
      <w:r w:rsidRPr="003856DB" w:rsidR="00820C12">
        <w:t xml:space="preserve"> includes our </w:t>
      </w:r>
      <w:r w:rsidR="005C2F87">
        <w:t xml:space="preserve">CY 2020 PFS </w:t>
      </w:r>
      <w:r w:rsidR="00D87DC8">
        <w:t>final</w:t>
      </w:r>
      <w:r w:rsidR="00117B2D">
        <w:t xml:space="preserve"> rule</w:t>
      </w:r>
      <w:r w:rsidRPr="003856DB" w:rsidR="00820C12">
        <w:t xml:space="preserve"> burden estimates for the Quality Payment Program.  The total estimated burden is </w:t>
      </w:r>
      <w:r w:rsidR="005C0AA8">
        <w:t>2,937,890</w:t>
      </w:r>
      <w:r w:rsidRPr="003856DB" w:rsidR="00820C12">
        <w:t xml:space="preserve"> hours </w:t>
      </w:r>
      <w:r w:rsidRPr="003856DB" w:rsidR="00B9683B">
        <w:t xml:space="preserve">at a </w:t>
      </w:r>
      <w:r w:rsidRPr="003856DB" w:rsidR="00820C12">
        <w:t>cost of $</w:t>
      </w:r>
      <w:r w:rsidR="005C0AA8">
        <w:t>280,022,285</w:t>
      </w:r>
      <w:r w:rsidRPr="003856DB" w:rsidR="00B9683B">
        <w:t xml:space="preserve"> (see </w:t>
      </w:r>
      <w:r w:rsidRPr="003856DB">
        <w:t>Tables 2</w:t>
      </w:r>
      <w:r w:rsidR="00117B2D">
        <w:t>9</w:t>
      </w:r>
      <w:r w:rsidRPr="003856DB">
        <w:t xml:space="preserve"> and </w:t>
      </w:r>
      <w:r w:rsidR="00117B2D">
        <w:t>30</w:t>
      </w:r>
      <w:r w:rsidRPr="003856DB" w:rsidR="00B9683B">
        <w:t>)</w:t>
      </w:r>
      <w:r w:rsidRPr="003856DB" w:rsidR="00820C12">
        <w:t>.</w:t>
      </w:r>
      <w:r w:rsidR="00820C12">
        <w:t xml:space="preserve"> </w:t>
      </w:r>
    </w:p>
    <w:p w:rsidRPr="003856DB" w:rsidR="00820C12" w:rsidP="00E12B53" w:rsidRDefault="00820C12" w14:paraId="14766BE2" w14:textId="6B8A8809">
      <w:pPr>
        <w:tabs>
          <w:tab w:val="left" w:pos="6030"/>
        </w:tabs>
        <w:spacing w:line="276" w:lineRule="auto"/>
      </w:pPr>
      <w:r w:rsidRPr="00820C12">
        <w:t xml:space="preserve">In order to understand the burden implications of the policies </w:t>
      </w:r>
      <w:r w:rsidR="003879F0">
        <w:t>finalized</w:t>
      </w:r>
      <w:r w:rsidRPr="00820C12">
        <w:t xml:space="preserve"> in </w:t>
      </w:r>
      <w:r w:rsidR="00B91642">
        <w:t>CY 20</w:t>
      </w:r>
      <w:r w:rsidR="00117B2D">
        <w:t>20</w:t>
      </w:r>
      <w:r w:rsidR="00B91642">
        <w:t xml:space="preserve"> PFS </w:t>
      </w:r>
      <w:r w:rsidR="005C0AA8">
        <w:t>final</w:t>
      </w:r>
      <w:r w:rsidR="00B91642">
        <w:t xml:space="preserve"> rule</w:t>
      </w:r>
      <w:r w:rsidRPr="00820C12">
        <w:t>, we have also estimated a baseline burden of continuing the policies and information collections set forth in the CY 201</w:t>
      </w:r>
      <w:r w:rsidR="00117B2D">
        <w:t>9</w:t>
      </w:r>
      <w:r w:rsidRPr="00820C12">
        <w:t xml:space="preserve"> </w:t>
      </w:r>
      <w:r w:rsidR="00117B2D">
        <w:t>PFS</w:t>
      </w:r>
      <w:r w:rsidRPr="00820C12">
        <w:t xml:space="preserve"> final rule into the 20</w:t>
      </w:r>
      <w:r w:rsidR="00117B2D">
        <w:t>20</w:t>
      </w:r>
      <w:r w:rsidRPr="00820C12">
        <w:t xml:space="preserve"> MIPS performance period.  </w:t>
      </w:r>
      <w:r w:rsidR="00C5592E">
        <w:t>As shown in Table 30, o</w:t>
      </w:r>
      <w:r w:rsidRPr="00820C12" w:rsidR="00C5592E">
        <w:t xml:space="preserve">ur estimated baseline burden estimates reflect the availability of </w:t>
      </w:r>
      <w:r w:rsidR="00C5592E">
        <w:t xml:space="preserve">more accurate </w:t>
      </w:r>
      <w:r w:rsidRPr="00820C12" w:rsidR="00C5592E">
        <w:t xml:space="preserve">data </w:t>
      </w:r>
      <w:r w:rsidR="00C5592E">
        <w:t>to account for all potential respondents and submissions across all the performance categories,</w:t>
      </w:r>
      <w:r w:rsidRPr="00820C12" w:rsidR="00C5592E">
        <w:t xml:space="preserve"> more accurately reflect the exclusion of QPs from all MIPS performance categories</w:t>
      </w:r>
      <w:r w:rsidR="003561BE">
        <w:t>,</w:t>
      </w:r>
      <w:r w:rsidR="00C5592E">
        <w:t xml:space="preserve"> and better estimate the number of third-parties likely to self-nominate as qualified registries and QCDRs as well as the number of </w:t>
      </w:r>
      <w:r w:rsidR="00FC51A9">
        <w:t>measures submitted per QCDR</w:t>
      </w:r>
      <w:r w:rsidRPr="00820C12" w:rsidR="00C5592E">
        <w:t xml:space="preserve">.  </w:t>
      </w:r>
      <w:r>
        <w:t xml:space="preserve">The baseline burden estimates employ the improved data and </w:t>
      </w:r>
      <w:r w:rsidR="00117B2D">
        <w:t>revised assumption</w:t>
      </w:r>
      <w:r>
        <w:t>s also used for our CY 20</w:t>
      </w:r>
      <w:r w:rsidR="00117B2D">
        <w:t>20</w:t>
      </w:r>
      <w:r>
        <w:t xml:space="preserve"> burden estimates. </w:t>
      </w:r>
      <w:r w:rsidR="006811E4">
        <w:t xml:space="preserve"> </w:t>
      </w:r>
      <w:r>
        <w:t xml:space="preserve">Because information collection requests related the CAHPS for MIPS survey and virtual groups elections information collection are submitted under separate OMB control numbers, the burden </w:t>
      </w:r>
      <w:r w:rsidRPr="003856DB">
        <w:t xml:space="preserve">calculations do not include the CAHPS for MIPS and virtual groups elections in this Supporting Statement A. </w:t>
      </w:r>
    </w:p>
    <w:p w:rsidRPr="003856DB" w:rsidR="00820C12" w:rsidP="00E12B53" w:rsidRDefault="00820C12" w14:paraId="3AF05567" w14:textId="5207F12D">
      <w:pPr>
        <w:tabs>
          <w:tab w:val="left" w:pos="6030"/>
        </w:tabs>
        <w:spacing w:line="276" w:lineRule="auto"/>
      </w:pPr>
      <w:r w:rsidRPr="003856DB">
        <w:t xml:space="preserve">The baseline burden estimate is </w:t>
      </w:r>
      <w:r w:rsidR="005C0AA8">
        <w:t>2,93</w:t>
      </w:r>
      <w:r w:rsidR="00727775">
        <w:t>8,166</w:t>
      </w:r>
      <w:r w:rsidRPr="003856DB">
        <w:t xml:space="preserve"> hours at a cost of </w:t>
      </w:r>
      <w:r w:rsidRPr="003856DB" w:rsidR="0000177A">
        <w:t>$</w:t>
      </w:r>
      <w:r w:rsidR="005C0AA8">
        <w:t>2</w:t>
      </w:r>
      <w:r w:rsidR="00727775">
        <w:t>80,045,542</w:t>
      </w:r>
      <w:r w:rsidRPr="003856DB">
        <w:t xml:space="preserve">. </w:t>
      </w:r>
      <w:r w:rsidR="006811E4">
        <w:t xml:space="preserve"> </w:t>
      </w:r>
      <w:r w:rsidRPr="003856DB">
        <w:t xml:space="preserve">This baseline burden estimate is </w:t>
      </w:r>
      <w:r w:rsidR="00B31932">
        <w:t>low</w:t>
      </w:r>
      <w:r w:rsidRPr="003856DB">
        <w:t>er than the burden approved for information collection related to the CY 20</w:t>
      </w:r>
      <w:r w:rsidR="00062D49">
        <w:t>19 PFS</w:t>
      </w:r>
      <w:r w:rsidRPr="003856DB">
        <w:t xml:space="preserve"> final rule due to updated data and assumptions.   </w:t>
      </w:r>
    </w:p>
    <w:p w:rsidR="0077352A" w:rsidP="00E12B53" w:rsidRDefault="00820C12" w14:paraId="0B87AE80" w14:textId="1B522742">
      <w:pPr>
        <w:tabs>
          <w:tab w:val="left" w:pos="6030"/>
        </w:tabs>
        <w:spacing w:line="276" w:lineRule="auto"/>
      </w:pPr>
      <w:r w:rsidRPr="003856DB">
        <w:t>As shown in Table 2</w:t>
      </w:r>
      <w:r w:rsidR="00DD34A1">
        <w:t>9</w:t>
      </w:r>
      <w:r w:rsidRPr="003856DB">
        <w:t xml:space="preserve">, this Supporting Statement A reflects a total of </w:t>
      </w:r>
      <w:r w:rsidR="004D4352">
        <w:t>475,198</w:t>
      </w:r>
      <w:r w:rsidRPr="003856DB">
        <w:t xml:space="preserve"> responses with an associated hours burden of </w:t>
      </w:r>
      <w:r w:rsidR="004D4352">
        <w:t>2,937,890</w:t>
      </w:r>
      <w:r w:rsidR="00B31932">
        <w:t>;</w:t>
      </w:r>
      <w:r w:rsidRPr="003856DB" w:rsidR="005841D7">
        <w:t xml:space="preserve"> this is a</w:t>
      </w:r>
      <w:r w:rsidR="00B31932">
        <w:t xml:space="preserve">n </w:t>
      </w:r>
      <w:r w:rsidR="00F74122">
        <w:t>de</w:t>
      </w:r>
      <w:r w:rsidR="00B31932">
        <w:t>crease</w:t>
      </w:r>
      <w:r w:rsidRPr="003856DB" w:rsidR="005841D7">
        <w:t xml:space="preserve"> of </w:t>
      </w:r>
      <w:r w:rsidR="00791657">
        <w:t>2</w:t>
      </w:r>
      <w:r w:rsidR="00F74122">
        <w:t>7</w:t>
      </w:r>
      <w:r w:rsidR="00791657">
        <w:t>6</w:t>
      </w:r>
      <w:r w:rsidRPr="003856DB" w:rsidR="006B69FC">
        <w:t xml:space="preserve"> </w:t>
      </w:r>
      <w:r w:rsidRPr="003856DB" w:rsidR="005841D7">
        <w:t>hours</w:t>
      </w:r>
      <w:r w:rsidRPr="003856DB" w:rsidR="00F23DF4">
        <w:t xml:space="preserve">.  As shown in Table </w:t>
      </w:r>
      <w:r w:rsidRPr="003856DB" w:rsidR="003879F0">
        <w:t>29</w:t>
      </w:r>
      <w:r w:rsidRPr="003856DB" w:rsidR="005841D7">
        <w:t xml:space="preserve">, we estimate </w:t>
      </w:r>
      <w:r w:rsidRPr="003856DB">
        <w:t xml:space="preserve">a total </w:t>
      </w:r>
      <w:r w:rsidRPr="003856DB" w:rsidR="0078522E">
        <w:t>burden</w:t>
      </w:r>
      <w:r w:rsidRPr="003856DB">
        <w:t xml:space="preserve"> of approximately $</w:t>
      </w:r>
      <w:r w:rsidR="00BA5348">
        <w:t>280,022,285</w:t>
      </w:r>
      <w:r w:rsidRPr="003856DB">
        <w:t xml:space="preserve"> million</w:t>
      </w:r>
      <w:r w:rsidR="00B31932">
        <w:t>;</w:t>
      </w:r>
      <w:r w:rsidRPr="003856DB" w:rsidR="005841D7">
        <w:t xml:space="preserve"> </w:t>
      </w:r>
      <w:r w:rsidRPr="003856DB" w:rsidR="006B69FC">
        <w:t>a</w:t>
      </w:r>
      <w:r w:rsidR="00B31932">
        <w:t>n</w:t>
      </w:r>
      <w:r w:rsidRPr="003856DB" w:rsidR="006B69FC">
        <w:t xml:space="preserve"> </w:t>
      </w:r>
      <w:r w:rsidR="00F74122">
        <w:t>de</w:t>
      </w:r>
      <w:r w:rsidR="00B31932">
        <w:t>crease</w:t>
      </w:r>
      <w:r w:rsidRPr="003856DB" w:rsidR="006B69FC">
        <w:t xml:space="preserve"> of</w:t>
      </w:r>
      <w:r w:rsidRPr="003856DB">
        <w:t xml:space="preserve"> </w:t>
      </w:r>
      <w:r w:rsidRPr="003856DB" w:rsidR="000F6DED">
        <w:t>$</w:t>
      </w:r>
      <w:r w:rsidR="00BA5348">
        <w:t>2</w:t>
      </w:r>
      <w:r w:rsidR="00F74122">
        <w:t>3,257</w:t>
      </w:r>
      <w:r w:rsidRPr="003856DB">
        <w:t xml:space="preserve">. </w:t>
      </w:r>
      <w:r w:rsidR="006811E4">
        <w:t xml:space="preserve"> </w:t>
      </w:r>
      <w:r w:rsidRPr="003856DB">
        <w:t>The</w:t>
      </w:r>
      <w:r>
        <w:t xml:space="preserve"> </w:t>
      </w:r>
      <w:r w:rsidR="00F74122">
        <w:t>de</w:t>
      </w:r>
      <w:r w:rsidR="00B31932">
        <w:t>crease</w:t>
      </w:r>
      <w:r>
        <w:t xml:space="preserve"> in burden for the 20</w:t>
      </w:r>
      <w:r w:rsidR="00B31932">
        <w:t>20</w:t>
      </w:r>
      <w:r>
        <w:t xml:space="preserve"> MIPS performance period is reflective of </w:t>
      </w:r>
      <w:r w:rsidR="0040454E">
        <w:rPr>
          <w:rFonts w:eastAsia="Calibri"/>
        </w:rPr>
        <w:t>impacts of finalized policies</w:t>
      </w:r>
      <w:r w:rsidRPr="00CC2BFB" w:rsidR="0040454E">
        <w:rPr>
          <w:rFonts w:eastAsia="Calibri"/>
        </w:rPr>
        <w:t xml:space="preserve"> to require QCDRs </w:t>
      </w:r>
      <w:r w:rsidR="0040454E">
        <w:rPr>
          <w:rFonts w:eastAsia="Calibri"/>
        </w:rPr>
        <w:t xml:space="preserve">to perform measure testing, partially offset by an increase in burden due to finalized policies requiring QCDRs </w:t>
      </w:r>
      <w:r w:rsidRPr="00CC2BFB" w:rsidR="0040454E">
        <w:rPr>
          <w:rFonts w:eastAsia="Calibri"/>
        </w:rPr>
        <w:t xml:space="preserve">to submit measure testing data </w:t>
      </w:r>
      <w:r w:rsidR="0040454E">
        <w:rPr>
          <w:rFonts w:eastAsia="Calibri"/>
        </w:rPr>
        <w:t xml:space="preserve">and </w:t>
      </w:r>
      <w:r w:rsidRPr="00CC2BFB" w:rsidR="0040454E">
        <w:rPr>
          <w:rFonts w:eastAsia="Calibri"/>
        </w:rPr>
        <w:t xml:space="preserve">to require quality measures and QCDR measures be linked to existing cost measures, improvement activities, and MIPS Value Pathways, </w:t>
      </w:r>
      <w:r w:rsidR="0040454E">
        <w:rPr>
          <w:rFonts w:eastAsia="Calibri"/>
        </w:rPr>
        <w:t>as feasible and applicable</w:t>
      </w:r>
      <w:r w:rsidRPr="00CC2BFB" w:rsidR="0040454E">
        <w:rPr>
          <w:rFonts w:eastAsia="Calibri"/>
        </w:rPr>
        <w:t xml:space="preserve"> at the time of self-nomination</w:t>
      </w:r>
      <w:r w:rsidR="00D82A7A">
        <w:t xml:space="preserve">.  </w:t>
      </w:r>
    </w:p>
    <w:p w:rsidR="009F0F33" w:rsidP="00E12B53" w:rsidRDefault="009F0F33" w14:paraId="64C33A40" w14:textId="77777777">
      <w:pPr>
        <w:rPr>
          <w:b/>
          <w:bCs/>
        </w:rPr>
      </w:pPr>
      <w:r>
        <w:rPr>
          <w:b/>
          <w:bCs/>
        </w:rPr>
        <w:br w:type="page"/>
      </w:r>
    </w:p>
    <w:p w:rsidRPr="00C47150" w:rsidR="00423D13" w:rsidP="00FC7A11" w:rsidRDefault="00423D13" w14:paraId="78987D35" w14:textId="4980D1D0">
      <w:pPr>
        <w:spacing w:after="0"/>
        <w:jc w:val="center"/>
        <w:rPr>
          <w:b/>
          <w:bCs/>
        </w:rPr>
      </w:pPr>
      <w:r w:rsidRPr="00C47150">
        <w:rPr>
          <w:b/>
          <w:bCs/>
        </w:rPr>
        <w:t xml:space="preserve">TABLE </w:t>
      </w:r>
      <w:r w:rsidR="0089043D">
        <w:rPr>
          <w:b/>
          <w:bCs/>
        </w:rPr>
        <w:t>2</w:t>
      </w:r>
      <w:r w:rsidR="00174CCD">
        <w:rPr>
          <w:b/>
          <w:bCs/>
        </w:rPr>
        <w:t>9</w:t>
      </w:r>
      <w:r w:rsidRPr="00C47150">
        <w:rPr>
          <w:b/>
          <w:bCs/>
        </w:rPr>
        <w:t xml:space="preserve">: Annual </w:t>
      </w:r>
      <w:r w:rsidR="002566A1">
        <w:rPr>
          <w:b/>
          <w:bCs/>
        </w:rPr>
        <w:t>Burden Changes</w:t>
      </w:r>
      <w:r w:rsidRPr="00C47150" w:rsidDel="002566A1" w:rsidR="002566A1">
        <w:rPr>
          <w:b/>
          <w:bCs/>
        </w:rPr>
        <w:t xml:space="preserve"> </w:t>
      </w:r>
    </w:p>
    <w:tbl>
      <w:tblPr>
        <w:tblW w:w="11213" w:type="dxa"/>
        <w:jc w:val="center"/>
        <w:tblLayout w:type="fixed"/>
        <w:tblLook w:val="04A0" w:firstRow="1" w:lastRow="0" w:firstColumn="1" w:lastColumn="0" w:noHBand="0" w:noVBand="1"/>
      </w:tblPr>
      <w:tblGrid>
        <w:gridCol w:w="3145"/>
        <w:gridCol w:w="1350"/>
        <w:gridCol w:w="1350"/>
        <w:gridCol w:w="1350"/>
        <w:gridCol w:w="1270"/>
        <w:gridCol w:w="1374"/>
        <w:gridCol w:w="1374"/>
      </w:tblGrid>
      <w:tr w:rsidRPr="00C47150" w:rsidR="00423D13" w:rsidTr="00FC7A11" w14:paraId="1A7F065C" w14:textId="77777777">
        <w:trPr>
          <w:cantSplit/>
          <w:trHeight w:val="540"/>
          <w:tblHeader/>
          <w:jc w:val="center"/>
        </w:trPr>
        <w:tc>
          <w:tcPr>
            <w:tcW w:w="3145" w:type="dxa"/>
            <w:tcBorders>
              <w:top w:val="single" w:color="auto" w:sz="4" w:space="0"/>
              <w:left w:val="single" w:color="auto" w:sz="4" w:space="0"/>
              <w:bottom w:val="single" w:color="auto" w:sz="4" w:space="0"/>
              <w:right w:val="single" w:color="auto" w:sz="4" w:space="0"/>
            </w:tcBorders>
            <w:shd w:val="clear" w:color="auto" w:fill="auto"/>
            <w:hideMark/>
          </w:tcPr>
          <w:p w:rsidRPr="008771D2" w:rsidR="00423D13" w:rsidP="00FC7A11" w:rsidRDefault="00BB04F9" w14:paraId="0D08481A" w14:textId="4340D5E9">
            <w:pPr>
              <w:spacing w:after="0"/>
              <w:rPr>
                <w:b/>
                <w:sz w:val="20"/>
                <w:szCs w:val="20"/>
              </w:rPr>
            </w:pPr>
            <w:r w:rsidRPr="008771D2">
              <w:rPr>
                <w:b/>
                <w:sz w:val="20"/>
                <w:szCs w:val="20"/>
              </w:rPr>
              <w:t>Requirement</w:t>
            </w:r>
          </w:p>
        </w:tc>
        <w:tc>
          <w:tcPr>
            <w:tcW w:w="1350" w:type="dxa"/>
            <w:tcBorders>
              <w:top w:val="single" w:color="auto" w:sz="4" w:space="0"/>
              <w:left w:val="nil"/>
              <w:bottom w:val="single" w:color="auto" w:sz="4" w:space="0"/>
              <w:right w:val="single" w:color="auto" w:sz="4" w:space="0"/>
            </w:tcBorders>
            <w:shd w:val="clear" w:color="auto" w:fill="auto"/>
            <w:hideMark/>
          </w:tcPr>
          <w:p w:rsidRPr="0047482B" w:rsidR="00423D13" w:rsidP="00FC7A11" w:rsidRDefault="00423D13" w14:paraId="11C2CC03" w14:textId="0738ECFA">
            <w:pPr>
              <w:spacing w:after="0"/>
              <w:rPr>
                <w:b/>
                <w:sz w:val="20"/>
                <w:szCs w:val="20"/>
              </w:rPr>
            </w:pPr>
            <w:r>
              <w:rPr>
                <w:b/>
                <w:sz w:val="20"/>
                <w:szCs w:val="20"/>
              </w:rPr>
              <w:t>Currently Approved Respon</w:t>
            </w:r>
            <w:r w:rsidR="000F0838">
              <w:rPr>
                <w:b/>
                <w:sz w:val="20"/>
                <w:szCs w:val="20"/>
              </w:rPr>
              <w:t>se</w:t>
            </w:r>
            <w:r>
              <w:rPr>
                <w:b/>
                <w:sz w:val="20"/>
                <w:szCs w:val="20"/>
              </w:rPr>
              <w:t>s</w:t>
            </w:r>
          </w:p>
        </w:tc>
        <w:tc>
          <w:tcPr>
            <w:tcW w:w="1350" w:type="dxa"/>
            <w:tcBorders>
              <w:top w:val="single" w:color="auto" w:sz="4" w:space="0"/>
              <w:left w:val="nil"/>
              <w:bottom w:val="single" w:color="auto" w:sz="4" w:space="0"/>
              <w:right w:val="single" w:color="auto" w:sz="4" w:space="0"/>
            </w:tcBorders>
            <w:shd w:val="clear" w:color="auto" w:fill="auto"/>
            <w:hideMark/>
          </w:tcPr>
          <w:p w:rsidRPr="0047482B" w:rsidR="00423D13" w:rsidP="00FC7A11" w:rsidRDefault="00456EA0" w14:paraId="79195C43" w14:textId="1298A6F4">
            <w:pPr>
              <w:spacing w:after="0"/>
              <w:rPr>
                <w:b/>
                <w:sz w:val="20"/>
                <w:szCs w:val="20"/>
              </w:rPr>
            </w:pPr>
            <w:r>
              <w:rPr>
                <w:b/>
                <w:sz w:val="20"/>
                <w:szCs w:val="20"/>
              </w:rPr>
              <w:t>Finaliz</w:t>
            </w:r>
            <w:r w:rsidR="00F34D1C">
              <w:rPr>
                <w:b/>
                <w:sz w:val="20"/>
                <w:szCs w:val="20"/>
              </w:rPr>
              <w:t>e</w:t>
            </w:r>
            <w:r w:rsidR="00423D13">
              <w:rPr>
                <w:b/>
                <w:sz w:val="20"/>
                <w:szCs w:val="20"/>
              </w:rPr>
              <w:t>d Respon</w:t>
            </w:r>
            <w:r w:rsidR="000F0838">
              <w:rPr>
                <w:b/>
                <w:sz w:val="20"/>
                <w:szCs w:val="20"/>
              </w:rPr>
              <w:t>se</w:t>
            </w:r>
            <w:r w:rsidR="00423D13">
              <w:rPr>
                <w:b/>
                <w:sz w:val="20"/>
                <w:szCs w:val="20"/>
              </w:rPr>
              <w:t>s</w:t>
            </w:r>
            <w:r w:rsidR="00BD44BA">
              <w:rPr>
                <w:b/>
                <w:sz w:val="20"/>
                <w:szCs w:val="20"/>
              </w:rPr>
              <w:t xml:space="preserve"> in Section 12 (above)</w:t>
            </w:r>
          </w:p>
        </w:tc>
        <w:tc>
          <w:tcPr>
            <w:tcW w:w="1350" w:type="dxa"/>
            <w:tcBorders>
              <w:top w:val="single" w:color="auto" w:sz="4" w:space="0"/>
              <w:left w:val="nil"/>
              <w:bottom w:val="single" w:color="auto" w:sz="4" w:space="0"/>
              <w:right w:val="single" w:color="auto" w:sz="4" w:space="0"/>
            </w:tcBorders>
            <w:shd w:val="clear" w:color="auto" w:fill="auto"/>
            <w:hideMark/>
          </w:tcPr>
          <w:p w:rsidRPr="0047482B" w:rsidR="00423D13" w:rsidP="00FC7A11" w:rsidRDefault="00423D13" w14:paraId="5CF579FD" w14:textId="51403A96">
            <w:pPr>
              <w:spacing w:after="0"/>
              <w:rPr>
                <w:b/>
                <w:sz w:val="20"/>
                <w:szCs w:val="20"/>
              </w:rPr>
            </w:pPr>
            <w:r>
              <w:rPr>
                <w:b/>
                <w:sz w:val="20"/>
                <w:szCs w:val="20"/>
              </w:rPr>
              <w:t>Change in Respon</w:t>
            </w:r>
            <w:r w:rsidR="000F0838">
              <w:rPr>
                <w:b/>
                <w:sz w:val="20"/>
                <w:szCs w:val="20"/>
              </w:rPr>
              <w:t>se</w:t>
            </w:r>
            <w:r>
              <w:rPr>
                <w:b/>
                <w:sz w:val="20"/>
                <w:szCs w:val="20"/>
              </w:rPr>
              <w:t>s</w:t>
            </w:r>
          </w:p>
        </w:tc>
        <w:tc>
          <w:tcPr>
            <w:tcW w:w="1270" w:type="dxa"/>
            <w:tcBorders>
              <w:top w:val="single" w:color="auto" w:sz="4" w:space="0"/>
              <w:left w:val="nil"/>
              <w:bottom w:val="single" w:color="auto" w:sz="4" w:space="0"/>
              <w:right w:val="single" w:color="auto" w:sz="4" w:space="0"/>
            </w:tcBorders>
            <w:shd w:val="clear" w:color="auto" w:fill="auto"/>
            <w:hideMark/>
          </w:tcPr>
          <w:p w:rsidRPr="0047482B" w:rsidR="00423D13" w:rsidP="00FC7A11" w:rsidRDefault="00423D13" w14:paraId="5055BE4B" w14:textId="77777777">
            <w:pPr>
              <w:spacing w:after="0"/>
              <w:rPr>
                <w:b/>
                <w:sz w:val="20"/>
                <w:szCs w:val="20"/>
              </w:rPr>
            </w:pPr>
            <w:r>
              <w:rPr>
                <w:b/>
                <w:sz w:val="20"/>
                <w:szCs w:val="20"/>
              </w:rPr>
              <w:t>Currently Approved Total Burden Hours</w:t>
            </w:r>
          </w:p>
        </w:tc>
        <w:tc>
          <w:tcPr>
            <w:tcW w:w="1374" w:type="dxa"/>
            <w:tcBorders>
              <w:top w:val="single" w:color="auto" w:sz="4" w:space="0"/>
              <w:left w:val="nil"/>
              <w:bottom w:val="single" w:color="auto" w:sz="4" w:space="0"/>
              <w:right w:val="single" w:color="auto" w:sz="4" w:space="0"/>
            </w:tcBorders>
            <w:shd w:val="clear" w:color="auto" w:fill="auto"/>
            <w:hideMark/>
          </w:tcPr>
          <w:p w:rsidRPr="0047482B" w:rsidR="00423D13" w:rsidP="00FC7A11" w:rsidRDefault="00456EA0" w14:paraId="047225DB" w14:textId="79F5A65F">
            <w:pPr>
              <w:spacing w:after="0"/>
              <w:rPr>
                <w:b/>
                <w:sz w:val="20"/>
                <w:szCs w:val="20"/>
              </w:rPr>
            </w:pPr>
            <w:r>
              <w:rPr>
                <w:b/>
                <w:sz w:val="20"/>
                <w:szCs w:val="20"/>
              </w:rPr>
              <w:t>Finaliz</w:t>
            </w:r>
            <w:r w:rsidR="00423D13">
              <w:rPr>
                <w:b/>
                <w:sz w:val="20"/>
                <w:szCs w:val="20"/>
              </w:rPr>
              <w:t>ed Total Burden Hours</w:t>
            </w:r>
            <w:r w:rsidR="00BD44BA">
              <w:rPr>
                <w:b/>
                <w:sz w:val="20"/>
                <w:szCs w:val="20"/>
              </w:rPr>
              <w:t xml:space="preserve"> in Section 12 (above)</w:t>
            </w:r>
          </w:p>
        </w:tc>
        <w:tc>
          <w:tcPr>
            <w:tcW w:w="1374" w:type="dxa"/>
            <w:tcBorders>
              <w:top w:val="single" w:color="auto" w:sz="4" w:space="0"/>
              <w:left w:val="nil"/>
              <w:bottom w:val="single" w:color="auto" w:sz="4" w:space="0"/>
              <w:right w:val="single" w:color="auto" w:sz="4" w:space="0"/>
            </w:tcBorders>
          </w:tcPr>
          <w:p w:rsidRPr="0047482B" w:rsidR="00423D13" w:rsidP="00FC7A11" w:rsidRDefault="00423D13" w14:paraId="2A22F789" w14:textId="77777777">
            <w:pPr>
              <w:spacing w:after="0"/>
              <w:rPr>
                <w:b/>
                <w:bCs/>
                <w:sz w:val="20"/>
                <w:szCs w:val="20"/>
              </w:rPr>
            </w:pPr>
            <w:r>
              <w:rPr>
                <w:b/>
                <w:bCs/>
                <w:sz w:val="20"/>
                <w:szCs w:val="20"/>
              </w:rPr>
              <w:t>Change in Total Burden Hours</w:t>
            </w:r>
          </w:p>
        </w:tc>
      </w:tr>
      <w:tr w:rsidRPr="00C47150" w:rsidR="00C15A53" w:rsidTr="00FC7A11" w14:paraId="71359FF2" w14:textId="77777777">
        <w:trPr>
          <w:cantSplit/>
          <w:trHeight w:val="341"/>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C15A53" w:rsidP="00C15A53" w:rsidRDefault="00C15A53" w14:paraId="1623A4C2" w14:textId="435E7FD1">
            <w:pPr>
              <w:spacing w:after="0"/>
              <w:rPr>
                <w:sz w:val="20"/>
                <w:szCs w:val="20"/>
              </w:rPr>
            </w:pPr>
            <w:r w:rsidRPr="0047482B">
              <w:rPr>
                <w:sz w:val="20"/>
                <w:szCs w:val="20"/>
              </w:rPr>
              <w:t>§414.1400 Registry self- nomination</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15A53" w:rsidP="00C15A53" w:rsidRDefault="00C15A53" w14:paraId="707455D4" w14:textId="6B19D628">
            <w:pPr>
              <w:spacing w:after="0"/>
              <w:rPr>
                <w:sz w:val="20"/>
                <w:szCs w:val="20"/>
              </w:rPr>
            </w:pPr>
            <w:r w:rsidRPr="00CC2BFB">
              <w:rPr>
                <w:rFonts w:eastAsia="Calibri"/>
                <w:sz w:val="20"/>
                <w:szCs w:val="20"/>
              </w:rPr>
              <w:t>150</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15A53" w:rsidP="00C15A53" w:rsidRDefault="00C15A53" w14:paraId="3A0D9E6D" w14:textId="79C35649">
            <w:pPr>
              <w:spacing w:after="0"/>
              <w:rPr>
                <w:sz w:val="20"/>
                <w:szCs w:val="20"/>
              </w:rPr>
            </w:pPr>
            <w:r>
              <w:rPr>
                <w:rFonts w:eastAsia="Calibri"/>
                <w:sz w:val="20"/>
                <w:szCs w:val="20"/>
              </w:rPr>
              <w:t>153</w:t>
            </w:r>
            <w:r w:rsidR="00BD44BA">
              <w:rPr>
                <w:rFonts w:eastAsia="Calibri"/>
                <w:sz w:val="20"/>
                <w:szCs w:val="20"/>
              </w:rPr>
              <w:t xml:space="preserve"> (see Table 3)</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15A53" w:rsidP="00C15A53" w:rsidRDefault="00C15A53" w14:paraId="3783918B" w14:textId="49CD1310">
            <w:pPr>
              <w:spacing w:after="0"/>
              <w:rPr>
                <w:sz w:val="20"/>
                <w:szCs w:val="20"/>
              </w:rPr>
            </w:pPr>
            <w:r>
              <w:rPr>
                <w:rFonts w:eastAsia="Calibri"/>
                <w:sz w:val="20"/>
                <w:szCs w:val="20"/>
              </w:rPr>
              <w:t>3</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C15A53" w:rsidP="00C15A53" w:rsidRDefault="00C15A53" w14:paraId="4D734215" w14:textId="369962EC">
            <w:pPr>
              <w:spacing w:after="0"/>
              <w:rPr>
                <w:sz w:val="20"/>
                <w:szCs w:val="20"/>
              </w:rPr>
            </w:pPr>
            <w:r w:rsidRPr="00CC2BFB">
              <w:rPr>
                <w:rFonts w:eastAsia="Calibri"/>
                <w:sz w:val="20"/>
                <w:szCs w:val="20"/>
              </w:rPr>
              <w:t>450</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C15A53" w:rsidP="00C15A53" w:rsidRDefault="00C15A53" w14:paraId="59BB0F7F" w14:textId="49813AA8">
            <w:pPr>
              <w:spacing w:after="0"/>
              <w:rPr>
                <w:sz w:val="20"/>
                <w:szCs w:val="20"/>
              </w:rPr>
            </w:pPr>
            <w:r>
              <w:rPr>
                <w:rFonts w:eastAsia="Calibri"/>
                <w:sz w:val="20"/>
                <w:szCs w:val="20"/>
              </w:rPr>
              <w:t>459</w:t>
            </w:r>
            <w:r w:rsidR="00BD44BA">
              <w:rPr>
                <w:rFonts w:eastAsia="Calibri"/>
                <w:sz w:val="20"/>
                <w:szCs w:val="20"/>
              </w:rPr>
              <w:t xml:space="preserve">  (see Table 3)</w:t>
            </w:r>
          </w:p>
        </w:tc>
        <w:tc>
          <w:tcPr>
            <w:tcW w:w="1374" w:type="dxa"/>
            <w:tcBorders>
              <w:top w:val="nil"/>
              <w:left w:val="nil"/>
              <w:bottom w:val="single" w:color="auto" w:sz="4" w:space="0"/>
              <w:right w:val="single" w:color="auto" w:sz="4" w:space="0"/>
            </w:tcBorders>
            <w:vAlign w:val="center"/>
          </w:tcPr>
          <w:p w:rsidRPr="0047482B" w:rsidR="00C15A53" w:rsidP="00C15A53" w:rsidRDefault="00C15A53" w14:paraId="784E5C3E" w14:textId="7AE99F49">
            <w:pPr>
              <w:spacing w:after="0"/>
              <w:rPr>
                <w:sz w:val="20"/>
                <w:szCs w:val="20"/>
              </w:rPr>
            </w:pPr>
            <w:r>
              <w:rPr>
                <w:rFonts w:eastAsia="Calibri"/>
                <w:sz w:val="20"/>
                <w:szCs w:val="20"/>
              </w:rPr>
              <w:t>9</w:t>
            </w:r>
          </w:p>
        </w:tc>
      </w:tr>
      <w:tr w:rsidRPr="00C47150" w:rsidR="00C15A53" w:rsidTr="00FC7A11" w14:paraId="577D29F0" w14:textId="77777777">
        <w:trPr>
          <w:cantSplit/>
          <w:trHeight w:val="350"/>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C15A53" w:rsidP="00C15A53" w:rsidRDefault="00C15A53" w14:paraId="3145F6A2" w14:textId="530D4BF2">
            <w:pPr>
              <w:spacing w:after="0"/>
              <w:rPr>
                <w:sz w:val="20"/>
                <w:szCs w:val="20"/>
              </w:rPr>
            </w:pPr>
            <w:r w:rsidRPr="0047482B">
              <w:rPr>
                <w:sz w:val="20"/>
                <w:szCs w:val="20"/>
              </w:rPr>
              <w:t>§414.1400 QCDR self-nomination</w:t>
            </w:r>
          </w:p>
        </w:tc>
        <w:tc>
          <w:tcPr>
            <w:tcW w:w="1350" w:type="dxa"/>
            <w:tcBorders>
              <w:top w:val="nil"/>
              <w:left w:val="nil"/>
              <w:bottom w:val="single" w:color="auto" w:sz="4" w:space="0"/>
              <w:right w:val="single" w:color="auto" w:sz="4" w:space="0"/>
            </w:tcBorders>
            <w:shd w:val="clear" w:color="auto" w:fill="auto"/>
            <w:noWrap/>
            <w:vAlign w:val="center"/>
          </w:tcPr>
          <w:p w:rsidRPr="0047482B" w:rsidR="00C15A53" w:rsidP="00C15A53" w:rsidRDefault="00C15A53" w14:paraId="64137818" w14:textId="19CD9A1A">
            <w:pPr>
              <w:spacing w:after="0"/>
              <w:rPr>
                <w:sz w:val="20"/>
                <w:szCs w:val="20"/>
              </w:rPr>
            </w:pPr>
            <w:r w:rsidRPr="00CC2BFB">
              <w:rPr>
                <w:rFonts w:eastAsia="Calibri"/>
                <w:sz w:val="20"/>
                <w:szCs w:val="20"/>
              </w:rPr>
              <w:t>200</w:t>
            </w:r>
          </w:p>
        </w:tc>
        <w:tc>
          <w:tcPr>
            <w:tcW w:w="1350" w:type="dxa"/>
            <w:tcBorders>
              <w:top w:val="nil"/>
              <w:left w:val="nil"/>
              <w:bottom w:val="single" w:color="auto" w:sz="4" w:space="0"/>
              <w:right w:val="single" w:color="auto" w:sz="4" w:space="0"/>
            </w:tcBorders>
            <w:shd w:val="clear" w:color="auto" w:fill="auto"/>
            <w:noWrap/>
            <w:vAlign w:val="center"/>
          </w:tcPr>
          <w:p w:rsidRPr="0047482B" w:rsidR="00C15A53" w:rsidP="00BD44BA" w:rsidRDefault="00C15A53" w14:paraId="59F3295A" w14:textId="2444F1C0">
            <w:pPr>
              <w:spacing w:after="0"/>
              <w:rPr>
                <w:sz w:val="20"/>
                <w:szCs w:val="20"/>
              </w:rPr>
            </w:pPr>
            <w:r>
              <w:rPr>
                <w:rFonts w:eastAsia="Calibri"/>
                <w:sz w:val="20"/>
                <w:szCs w:val="20"/>
              </w:rPr>
              <w:t>76</w:t>
            </w:r>
            <w:r w:rsidR="00BD44BA">
              <w:rPr>
                <w:rFonts w:eastAsia="Calibri"/>
                <w:sz w:val="20"/>
                <w:szCs w:val="20"/>
              </w:rPr>
              <w:t xml:space="preserve">  (see Table 4)</w:t>
            </w:r>
          </w:p>
        </w:tc>
        <w:tc>
          <w:tcPr>
            <w:tcW w:w="1350" w:type="dxa"/>
            <w:tcBorders>
              <w:top w:val="nil"/>
              <w:left w:val="nil"/>
              <w:bottom w:val="single" w:color="auto" w:sz="4" w:space="0"/>
              <w:right w:val="single" w:color="auto" w:sz="4" w:space="0"/>
            </w:tcBorders>
            <w:shd w:val="clear" w:color="auto" w:fill="auto"/>
            <w:noWrap/>
            <w:vAlign w:val="center"/>
          </w:tcPr>
          <w:p w:rsidRPr="0047482B" w:rsidR="00C15A53" w:rsidP="00C15A53" w:rsidRDefault="00C15A53" w14:paraId="60864C77" w14:textId="1A22FB51">
            <w:pPr>
              <w:spacing w:after="0"/>
              <w:rPr>
                <w:sz w:val="20"/>
                <w:szCs w:val="20"/>
              </w:rPr>
            </w:pPr>
            <w:r w:rsidRPr="00CC2BFB">
              <w:rPr>
                <w:rFonts w:eastAsia="Calibri"/>
                <w:sz w:val="20"/>
                <w:szCs w:val="20"/>
              </w:rPr>
              <w:t>-1</w:t>
            </w:r>
            <w:r>
              <w:rPr>
                <w:rFonts w:eastAsia="Calibri"/>
                <w:sz w:val="20"/>
                <w:szCs w:val="20"/>
              </w:rPr>
              <w:t>24</w:t>
            </w:r>
          </w:p>
        </w:tc>
        <w:tc>
          <w:tcPr>
            <w:tcW w:w="1270" w:type="dxa"/>
            <w:tcBorders>
              <w:top w:val="nil"/>
              <w:left w:val="nil"/>
              <w:bottom w:val="single" w:color="auto" w:sz="4" w:space="0"/>
              <w:right w:val="single" w:color="auto" w:sz="4" w:space="0"/>
            </w:tcBorders>
            <w:shd w:val="clear" w:color="auto" w:fill="auto"/>
            <w:noWrap/>
            <w:vAlign w:val="center"/>
          </w:tcPr>
          <w:p w:rsidRPr="0047482B" w:rsidR="00C15A53" w:rsidP="00C15A53" w:rsidRDefault="00C15A53" w14:paraId="1B306B37" w14:textId="44BE928D">
            <w:pPr>
              <w:spacing w:after="0"/>
              <w:rPr>
                <w:sz w:val="20"/>
                <w:szCs w:val="20"/>
              </w:rPr>
            </w:pPr>
            <w:r w:rsidRPr="00CC2BFB">
              <w:rPr>
                <w:rFonts w:eastAsia="Calibri"/>
                <w:sz w:val="20"/>
                <w:szCs w:val="20"/>
              </w:rPr>
              <w:t>2,400</w:t>
            </w:r>
          </w:p>
        </w:tc>
        <w:tc>
          <w:tcPr>
            <w:tcW w:w="1374" w:type="dxa"/>
            <w:tcBorders>
              <w:top w:val="nil"/>
              <w:left w:val="nil"/>
              <w:bottom w:val="single" w:color="auto" w:sz="4" w:space="0"/>
              <w:right w:val="single" w:color="auto" w:sz="4" w:space="0"/>
            </w:tcBorders>
            <w:shd w:val="clear" w:color="auto" w:fill="auto"/>
            <w:noWrap/>
            <w:vAlign w:val="center"/>
          </w:tcPr>
          <w:p w:rsidRPr="0047482B" w:rsidR="00C15A53" w:rsidP="00BD44BA" w:rsidRDefault="00C15A53" w14:paraId="2B8DEBBB" w14:textId="1421DDEC">
            <w:pPr>
              <w:spacing w:after="0"/>
              <w:rPr>
                <w:sz w:val="20"/>
                <w:szCs w:val="20"/>
              </w:rPr>
            </w:pPr>
            <w:r>
              <w:rPr>
                <w:rFonts w:eastAsia="Calibri"/>
                <w:sz w:val="20"/>
                <w:szCs w:val="20"/>
              </w:rPr>
              <w:t>608</w:t>
            </w:r>
            <w:r w:rsidR="00BD44BA">
              <w:rPr>
                <w:rFonts w:eastAsia="Calibri"/>
                <w:sz w:val="20"/>
                <w:szCs w:val="20"/>
              </w:rPr>
              <w:t xml:space="preserve">  (see Table 4)</w:t>
            </w:r>
          </w:p>
        </w:tc>
        <w:tc>
          <w:tcPr>
            <w:tcW w:w="1374" w:type="dxa"/>
            <w:tcBorders>
              <w:top w:val="nil"/>
              <w:left w:val="nil"/>
              <w:bottom w:val="single" w:color="auto" w:sz="4" w:space="0"/>
              <w:right w:val="single" w:color="auto" w:sz="4" w:space="0"/>
            </w:tcBorders>
            <w:vAlign w:val="center"/>
          </w:tcPr>
          <w:p w:rsidRPr="0047482B" w:rsidR="00C15A53" w:rsidP="00C15A53" w:rsidRDefault="00C15A53" w14:paraId="7E993B19" w14:textId="77BE1A8D">
            <w:pPr>
              <w:spacing w:after="0"/>
              <w:rPr>
                <w:sz w:val="20"/>
                <w:szCs w:val="20"/>
              </w:rPr>
            </w:pPr>
            <w:r>
              <w:rPr>
                <w:rFonts w:eastAsia="Calibri"/>
                <w:sz w:val="20"/>
                <w:szCs w:val="20"/>
              </w:rPr>
              <w:t>-1,792</w:t>
            </w:r>
          </w:p>
        </w:tc>
      </w:tr>
      <w:tr w:rsidRPr="00C47150" w:rsidR="00DA3BC3" w:rsidTr="00FC7A11" w14:paraId="4DD7EC5A" w14:textId="77777777">
        <w:trPr>
          <w:cantSplit/>
          <w:trHeight w:val="530"/>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DA3BC3" w:rsidP="00FC7A11" w:rsidRDefault="00DA3BC3" w14:paraId="77BEBFC4" w14:textId="3F18502E">
            <w:pPr>
              <w:spacing w:after="0"/>
              <w:rPr>
                <w:sz w:val="20"/>
                <w:szCs w:val="20"/>
              </w:rPr>
            </w:pPr>
            <w:r w:rsidRPr="0047482B">
              <w:rPr>
                <w:sz w:val="20"/>
                <w:szCs w:val="20"/>
              </w:rPr>
              <w:t xml:space="preserve">§414.1325 and 414.1335 CMS </w:t>
            </w:r>
            <w:r>
              <w:rPr>
                <w:sz w:val="20"/>
                <w:szCs w:val="20"/>
              </w:rPr>
              <w:t>Quality Payment Program Identity Management Application Process</w:t>
            </w:r>
          </w:p>
        </w:tc>
        <w:tc>
          <w:tcPr>
            <w:tcW w:w="1350" w:type="dxa"/>
            <w:tcBorders>
              <w:top w:val="nil"/>
              <w:left w:val="nil"/>
              <w:bottom w:val="single" w:color="auto" w:sz="4" w:space="0"/>
              <w:right w:val="single" w:color="auto" w:sz="4" w:space="0"/>
            </w:tcBorders>
            <w:shd w:val="clear" w:color="auto" w:fill="auto"/>
            <w:noWrap/>
            <w:vAlign w:val="center"/>
          </w:tcPr>
          <w:p w:rsidRPr="0047482B" w:rsidR="00DA3BC3" w:rsidP="00FC7A11" w:rsidRDefault="00DA3BC3" w14:paraId="6BCFAB66" w14:textId="27197D8C">
            <w:pPr>
              <w:spacing w:after="0"/>
              <w:rPr>
                <w:sz w:val="20"/>
                <w:szCs w:val="20"/>
              </w:rPr>
            </w:pPr>
            <w:r w:rsidRPr="009C4D33">
              <w:rPr>
                <w:rFonts w:eastAsia="Calibri"/>
                <w:sz w:val="20"/>
                <w:szCs w:val="20"/>
              </w:rPr>
              <w:t>3,741</w:t>
            </w:r>
          </w:p>
        </w:tc>
        <w:tc>
          <w:tcPr>
            <w:tcW w:w="1350" w:type="dxa"/>
            <w:tcBorders>
              <w:top w:val="nil"/>
              <w:left w:val="nil"/>
              <w:bottom w:val="single" w:color="auto" w:sz="4" w:space="0"/>
              <w:right w:val="single" w:color="auto" w:sz="4" w:space="0"/>
            </w:tcBorders>
            <w:shd w:val="clear" w:color="auto" w:fill="auto"/>
            <w:noWrap/>
            <w:vAlign w:val="center"/>
          </w:tcPr>
          <w:p w:rsidRPr="0047482B" w:rsidR="00DA3BC3" w:rsidP="00BD44BA" w:rsidRDefault="00DA3BC3" w14:paraId="18EF6929" w14:textId="4E9BB78F">
            <w:pPr>
              <w:spacing w:after="0"/>
              <w:rPr>
                <w:sz w:val="20"/>
                <w:szCs w:val="20"/>
              </w:rPr>
            </w:pPr>
            <w:r>
              <w:rPr>
                <w:rFonts w:eastAsia="Calibri"/>
                <w:sz w:val="20"/>
                <w:szCs w:val="20"/>
              </w:rPr>
              <w:t>3,741</w:t>
            </w:r>
            <w:r w:rsidR="00BD44BA">
              <w:rPr>
                <w:rFonts w:eastAsia="Calibri"/>
                <w:sz w:val="20"/>
                <w:szCs w:val="20"/>
              </w:rPr>
              <w:t xml:space="preserve">  (see Table 9)</w:t>
            </w:r>
          </w:p>
        </w:tc>
        <w:tc>
          <w:tcPr>
            <w:tcW w:w="1350" w:type="dxa"/>
            <w:tcBorders>
              <w:top w:val="nil"/>
              <w:left w:val="nil"/>
              <w:bottom w:val="single" w:color="auto" w:sz="4" w:space="0"/>
              <w:right w:val="single" w:color="auto" w:sz="4" w:space="0"/>
            </w:tcBorders>
            <w:shd w:val="clear" w:color="auto" w:fill="auto"/>
            <w:noWrap/>
            <w:vAlign w:val="center"/>
          </w:tcPr>
          <w:p w:rsidRPr="0047482B" w:rsidR="00DA3BC3" w:rsidP="00FC7A11" w:rsidRDefault="00DA3BC3" w14:paraId="33A1FC2C" w14:textId="09C5058E">
            <w:pPr>
              <w:spacing w:after="0"/>
              <w:rPr>
                <w:sz w:val="20"/>
                <w:szCs w:val="20"/>
              </w:rPr>
            </w:pPr>
            <w:r>
              <w:rPr>
                <w:rFonts w:eastAsia="Calibri"/>
                <w:sz w:val="20"/>
                <w:szCs w:val="20"/>
              </w:rPr>
              <w:t>0</w:t>
            </w:r>
          </w:p>
        </w:tc>
        <w:tc>
          <w:tcPr>
            <w:tcW w:w="1270" w:type="dxa"/>
            <w:tcBorders>
              <w:top w:val="nil"/>
              <w:left w:val="nil"/>
              <w:bottom w:val="single" w:color="auto" w:sz="4" w:space="0"/>
              <w:right w:val="single" w:color="auto" w:sz="4" w:space="0"/>
            </w:tcBorders>
            <w:shd w:val="clear" w:color="auto" w:fill="auto"/>
            <w:noWrap/>
            <w:vAlign w:val="center"/>
          </w:tcPr>
          <w:p w:rsidRPr="0047482B" w:rsidR="00DA3BC3" w:rsidDel="004B0B5F" w:rsidP="00FC7A11" w:rsidRDefault="00DA3BC3" w14:paraId="6853F940" w14:textId="5E758330">
            <w:pPr>
              <w:spacing w:after="0"/>
              <w:rPr>
                <w:sz w:val="20"/>
                <w:szCs w:val="20"/>
              </w:rPr>
            </w:pPr>
            <w:r w:rsidRPr="009C4D33">
              <w:rPr>
                <w:rFonts w:eastAsia="Calibri"/>
                <w:sz w:val="20"/>
                <w:szCs w:val="20"/>
              </w:rPr>
              <w:t>3,741</w:t>
            </w:r>
          </w:p>
        </w:tc>
        <w:tc>
          <w:tcPr>
            <w:tcW w:w="1374" w:type="dxa"/>
            <w:tcBorders>
              <w:top w:val="nil"/>
              <w:left w:val="nil"/>
              <w:bottom w:val="single" w:color="auto" w:sz="4" w:space="0"/>
              <w:right w:val="single" w:color="auto" w:sz="4" w:space="0"/>
            </w:tcBorders>
            <w:shd w:val="clear" w:color="auto" w:fill="auto"/>
            <w:noWrap/>
            <w:vAlign w:val="center"/>
          </w:tcPr>
          <w:p w:rsidRPr="0047482B" w:rsidR="00DA3BC3" w:rsidP="00BD44BA" w:rsidRDefault="00DA3BC3" w14:paraId="788E0136" w14:textId="5C5C7585">
            <w:pPr>
              <w:spacing w:after="0"/>
              <w:rPr>
                <w:sz w:val="20"/>
                <w:szCs w:val="20"/>
              </w:rPr>
            </w:pPr>
            <w:r>
              <w:rPr>
                <w:rFonts w:eastAsia="Calibri"/>
                <w:sz w:val="20"/>
                <w:szCs w:val="20"/>
              </w:rPr>
              <w:t>3,741</w:t>
            </w:r>
            <w:r w:rsidR="00BD44BA">
              <w:rPr>
                <w:rFonts w:eastAsia="Calibri"/>
                <w:sz w:val="20"/>
                <w:szCs w:val="20"/>
              </w:rPr>
              <w:t xml:space="preserve">  (see Table 9)</w:t>
            </w:r>
          </w:p>
        </w:tc>
        <w:tc>
          <w:tcPr>
            <w:tcW w:w="1374" w:type="dxa"/>
            <w:tcBorders>
              <w:top w:val="nil"/>
              <w:left w:val="nil"/>
              <w:bottom w:val="single" w:color="auto" w:sz="4" w:space="0"/>
              <w:right w:val="single" w:color="auto" w:sz="4" w:space="0"/>
            </w:tcBorders>
            <w:vAlign w:val="center"/>
          </w:tcPr>
          <w:p w:rsidRPr="0047482B" w:rsidR="00DA3BC3" w:rsidP="00FC7A11" w:rsidRDefault="00DA3BC3" w14:paraId="7AD16335" w14:textId="68B38E07">
            <w:pPr>
              <w:spacing w:after="0"/>
              <w:rPr>
                <w:sz w:val="20"/>
                <w:szCs w:val="20"/>
              </w:rPr>
            </w:pPr>
            <w:r>
              <w:rPr>
                <w:rFonts w:eastAsia="Calibri"/>
                <w:sz w:val="20"/>
                <w:szCs w:val="20"/>
              </w:rPr>
              <w:t>0</w:t>
            </w:r>
          </w:p>
        </w:tc>
      </w:tr>
      <w:tr w:rsidRPr="00C47150" w:rsidR="000E19DB" w:rsidTr="00FC7A11" w14:paraId="5FFF6599" w14:textId="77777777">
        <w:trPr>
          <w:cantSplit/>
          <w:trHeight w:val="593"/>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0E19DB" w:rsidP="000E19DB" w:rsidRDefault="000E19DB" w14:paraId="6F931B86" w14:textId="77777777">
            <w:pPr>
              <w:spacing w:after="0"/>
              <w:rPr>
                <w:sz w:val="20"/>
                <w:szCs w:val="20"/>
              </w:rPr>
            </w:pPr>
            <w:r w:rsidRPr="0047482B">
              <w:rPr>
                <w:sz w:val="20"/>
                <w:szCs w:val="20"/>
              </w:rPr>
              <w:t xml:space="preserve">§414.1325 and 414.1335 (Quality Performance Category) Claims Collection Type </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7993D3EB" w14:textId="052721F1">
            <w:pPr>
              <w:spacing w:after="0"/>
              <w:rPr>
                <w:sz w:val="20"/>
                <w:szCs w:val="20"/>
              </w:rPr>
            </w:pPr>
            <w:r w:rsidRPr="00CC2BFB">
              <w:rPr>
                <w:rFonts w:eastAsia="Calibri"/>
                <w:sz w:val="20"/>
                <w:szCs w:val="20"/>
              </w:rPr>
              <w:t>257,260</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3735E278" w14:textId="1A71505A">
            <w:pPr>
              <w:spacing w:after="0"/>
              <w:rPr>
                <w:sz w:val="20"/>
                <w:szCs w:val="20"/>
              </w:rPr>
            </w:pPr>
            <w:r>
              <w:rPr>
                <w:rFonts w:eastAsia="Calibri"/>
                <w:sz w:val="20"/>
                <w:szCs w:val="20"/>
              </w:rPr>
              <w:t>94,846</w:t>
            </w:r>
            <w:r w:rsidR="00BD44BA">
              <w:rPr>
                <w:rFonts w:eastAsia="Calibri"/>
                <w:sz w:val="20"/>
                <w:szCs w:val="20"/>
              </w:rPr>
              <w:t xml:space="preserve">  (see Table 10)</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293DF86D" w14:textId="5E2D7418">
            <w:pPr>
              <w:spacing w:after="0"/>
              <w:rPr>
                <w:sz w:val="20"/>
                <w:szCs w:val="20"/>
              </w:rPr>
            </w:pPr>
            <w:r w:rsidRPr="00CC2BFB">
              <w:rPr>
                <w:rFonts w:eastAsia="Calibri"/>
                <w:sz w:val="20"/>
                <w:szCs w:val="20"/>
              </w:rPr>
              <w:t>-1</w:t>
            </w:r>
            <w:r>
              <w:rPr>
                <w:rFonts w:eastAsia="Calibri"/>
                <w:sz w:val="20"/>
                <w:szCs w:val="20"/>
              </w:rPr>
              <w:t>62,414</w:t>
            </w:r>
          </w:p>
        </w:tc>
        <w:tc>
          <w:tcPr>
            <w:tcW w:w="127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4970377A" w14:textId="7160CF52">
            <w:pPr>
              <w:spacing w:after="0"/>
              <w:rPr>
                <w:sz w:val="20"/>
                <w:szCs w:val="20"/>
              </w:rPr>
            </w:pPr>
            <w:r w:rsidRPr="00CC2BFB">
              <w:rPr>
                <w:rFonts w:eastAsia="Calibri"/>
                <w:sz w:val="20"/>
                <w:szCs w:val="20"/>
              </w:rPr>
              <w:t>3,653,092</w:t>
            </w:r>
          </w:p>
        </w:tc>
        <w:tc>
          <w:tcPr>
            <w:tcW w:w="1374"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710D20E7" w14:textId="3D4935A9">
            <w:pPr>
              <w:spacing w:after="0"/>
              <w:rPr>
                <w:sz w:val="20"/>
                <w:szCs w:val="20"/>
              </w:rPr>
            </w:pPr>
            <w:r w:rsidRPr="00CC2BFB">
              <w:rPr>
                <w:rFonts w:eastAsia="Calibri"/>
                <w:sz w:val="20"/>
                <w:szCs w:val="20"/>
              </w:rPr>
              <w:t>1,</w:t>
            </w:r>
            <w:r>
              <w:rPr>
                <w:rFonts w:eastAsia="Calibri"/>
                <w:sz w:val="20"/>
                <w:szCs w:val="20"/>
              </w:rPr>
              <w:t>346,813</w:t>
            </w:r>
            <w:r w:rsidR="00BD44BA">
              <w:rPr>
                <w:rFonts w:eastAsia="Calibri"/>
                <w:sz w:val="20"/>
                <w:szCs w:val="20"/>
              </w:rPr>
              <w:t xml:space="preserve">  (see Table 10)</w:t>
            </w:r>
          </w:p>
        </w:tc>
        <w:tc>
          <w:tcPr>
            <w:tcW w:w="1374" w:type="dxa"/>
            <w:tcBorders>
              <w:top w:val="nil"/>
              <w:left w:val="nil"/>
              <w:bottom w:val="single" w:color="auto" w:sz="4" w:space="0"/>
              <w:right w:val="single" w:color="auto" w:sz="4" w:space="0"/>
            </w:tcBorders>
            <w:vAlign w:val="center"/>
          </w:tcPr>
          <w:p w:rsidRPr="0047482B" w:rsidR="000E19DB" w:rsidP="000E19DB" w:rsidRDefault="000E19DB" w14:paraId="1FB4391A" w14:textId="3DE155CA">
            <w:pPr>
              <w:spacing w:after="0"/>
              <w:rPr>
                <w:sz w:val="20"/>
                <w:szCs w:val="20"/>
              </w:rPr>
            </w:pPr>
            <w:r w:rsidRPr="00CC2BFB">
              <w:rPr>
                <w:rFonts w:eastAsia="Calibri"/>
                <w:sz w:val="20"/>
                <w:szCs w:val="20"/>
              </w:rPr>
              <w:t>-2,</w:t>
            </w:r>
            <w:r>
              <w:rPr>
                <w:rFonts w:eastAsia="Calibri"/>
                <w:sz w:val="20"/>
                <w:szCs w:val="20"/>
              </w:rPr>
              <w:t>306,279</w:t>
            </w:r>
          </w:p>
        </w:tc>
      </w:tr>
      <w:tr w:rsidRPr="00C47150" w:rsidR="000E19DB" w:rsidTr="00FC7A11" w14:paraId="75146DE7" w14:textId="77777777">
        <w:trPr>
          <w:cantSplit/>
          <w:trHeight w:val="593"/>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0E19DB" w:rsidP="000E19DB" w:rsidRDefault="000E19DB" w14:paraId="63E97F8A" w14:textId="22C8C590">
            <w:pPr>
              <w:spacing w:after="0"/>
              <w:rPr>
                <w:sz w:val="20"/>
                <w:szCs w:val="20"/>
              </w:rPr>
            </w:pPr>
            <w:r w:rsidRPr="0047482B">
              <w:rPr>
                <w:sz w:val="20"/>
                <w:szCs w:val="20"/>
              </w:rPr>
              <w:t>§414.1325 and 414.1335 (Quality Performance Category) QCDR/</w:t>
            </w:r>
            <w:r>
              <w:rPr>
                <w:sz w:val="20"/>
                <w:szCs w:val="20"/>
              </w:rPr>
              <w:t>MIPS CQM</w:t>
            </w:r>
            <w:r w:rsidRPr="0047482B">
              <w:rPr>
                <w:sz w:val="20"/>
                <w:szCs w:val="20"/>
              </w:rPr>
              <w:t xml:space="preserve"> Collection Type </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0FCEACA0" w14:textId="3B2651FA">
            <w:pPr>
              <w:spacing w:after="0"/>
              <w:rPr>
                <w:sz w:val="20"/>
                <w:szCs w:val="20"/>
              </w:rPr>
            </w:pPr>
            <w:r w:rsidRPr="00CC2BFB">
              <w:rPr>
                <w:rFonts w:eastAsia="Calibri"/>
                <w:sz w:val="20"/>
                <w:szCs w:val="20"/>
              </w:rPr>
              <w:t>81,981</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06C1214A" w14:textId="36645DF8">
            <w:pPr>
              <w:spacing w:after="0"/>
              <w:rPr>
                <w:sz w:val="20"/>
                <w:szCs w:val="20"/>
              </w:rPr>
            </w:pPr>
            <w:r w:rsidRPr="00CC2BFB">
              <w:rPr>
                <w:rFonts w:eastAsia="Calibri"/>
                <w:sz w:val="20"/>
                <w:szCs w:val="20"/>
              </w:rPr>
              <w:t>11</w:t>
            </w:r>
            <w:r>
              <w:rPr>
                <w:rFonts w:eastAsia="Calibri"/>
                <w:sz w:val="20"/>
                <w:szCs w:val="20"/>
              </w:rPr>
              <w:t>1,218</w:t>
            </w:r>
            <w:r w:rsidR="00BD44BA">
              <w:rPr>
                <w:rFonts w:eastAsia="Calibri"/>
                <w:sz w:val="20"/>
                <w:szCs w:val="20"/>
              </w:rPr>
              <w:t xml:space="preserve">  (see Table 11)</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3A26B8F9" w14:textId="6F4F6065">
            <w:pPr>
              <w:spacing w:after="0"/>
              <w:rPr>
                <w:sz w:val="20"/>
                <w:szCs w:val="20"/>
              </w:rPr>
            </w:pPr>
            <w:r>
              <w:rPr>
                <w:rFonts w:eastAsia="Calibri"/>
                <w:sz w:val="20"/>
                <w:szCs w:val="20"/>
              </w:rPr>
              <w:t>29,237</w:t>
            </w:r>
          </w:p>
        </w:tc>
        <w:tc>
          <w:tcPr>
            <w:tcW w:w="127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7A92FEEC" w14:textId="40D0FB13">
            <w:pPr>
              <w:spacing w:after="0"/>
              <w:rPr>
                <w:sz w:val="20"/>
                <w:szCs w:val="20"/>
              </w:rPr>
            </w:pPr>
            <w:r w:rsidRPr="00CC2BFB">
              <w:rPr>
                <w:rFonts w:eastAsia="Calibri"/>
                <w:sz w:val="20"/>
                <w:szCs w:val="20"/>
              </w:rPr>
              <w:t>744,633</w:t>
            </w:r>
          </w:p>
        </w:tc>
        <w:tc>
          <w:tcPr>
            <w:tcW w:w="1374"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744A9519" w14:textId="60735434">
            <w:pPr>
              <w:spacing w:after="0"/>
              <w:rPr>
                <w:sz w:val="20"/>
                <w:szCs w:val="20"/>
              </w:rPr>
            </w:pPr>
            <w:r w:rsidRPr="00CC2BFB">
              <w:rPr>
                <w:rFonts w:eastAsia="Calibri"/>
                <w:sz w:val="20"/>
                <w:szCs w:val="20"/>
              </w:rPr>
              <w:t>1,0</w:t>
            </w:r>
            <w:r>
              <w:rPr>
                <w:rFonts w:eastAsia="Calibri"/>
                <w:sz w:val="20"/>
                <w:szCs w:val="20"/>
              </w:rPr>
              <w:t>10,193</w:t>
            </w:r>
            <w:r w:rsidR="00BD44BA">
              <w:rPr>
                <w:rFonts w:eastAsia="Calibri"/>
                <w:sz w:val="20"/>
                <w:szCs w:val="20"/>
              </w:rPr>
              <w:t xml:space="preserve">  (see Table 11)</w:t>
            </w:r>
          </w:p>
        </w:tc>
        <w:tc>
          <w:tcPr>
            <w:tcW w:w="1374" w:type="dxa"/>
            <w:tcBorders>
              <w:top w:val="nil"/>
              <w:left w:val="nil"/>
              <w:bottom w:val="single" w:color="auto" w:sz="4" w:space="0"/>
              <w:right w:val="single" w:color="auto" w:sz="4" w:space="0"/>
            </w:tcBorders>
            <w:vAlign w:val="center"/>
          </w:tcPr>
          <w:p w:rsidRPr="0047482B" w:rsidR="000E19DB" w:rsidP="000E19DB" w:rsidRDefault="000E19DB" w14:paraId="6C46D98A" w14:textId="04AE6959">
            <w:pPr>
              <w:spacing w:after="0"/>
              <w:rPr>
                <w:sz w:val="20"/>
                <w:szCs w:val="20"/>
              </w:rPr>
            </w:pPr>
            <w:r>
              <w:rPr>
                <w:rFonts w:eastAsia="Calibri"/>
                <w:sz w:val="20"/>
                <w:szCs w:val="20"/>
              </w:rPr>
              <w:t>265,560</w:t>
            </w:r>
          </w:p>
        </w:tc>
      </w:tr>
      <w:tr w:rsidRPr="00C47150" w:rsidR="000E19DB" w:rsidTr="00FC7A11" w14:paraId="0003A06A" w14:textId="77777777">
        <w:trPr>
          <w:cantSplit/>
          <w:trHeight w:val="593"/>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0E19DB" w:rsidP="000E19DB" w:rsidRDefault="000E19DB" w14:paraId="2BC930FA" w14:textId="77777777">
            <w:pPr>
              <w:spacing w:after="0"/>
              <w:rPr>
                <w:sz w:val="20"/>
                <w:szCs w:val="20"/>
              </w:rPr>
            </w:pPr>
            <w:r w:rsidRPr="0047482B">
              <w:rPr>
                <w:sz w:val="20"/>
                <w:szCs w:val="20"/>
              </w:rPr>
              <w:t xml:space="preserve">§414.1325 and 414.1335 (Quality Performance Category) eCQM Collection Type </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6068BC9D" w14:textId="1783B759">
            <w:pPr>
              <w:spacing w:after="0"/>
              <w:rPr>
                <w:sz w:val="20"/>
                <w:szCs w:val="20"/>
              </w:rPr>
            </w:pPr>
            <w:r w:rsidRPr="00CC2BFB">
              <w:rPr>
                <w:rFonts w:eastAsia="Calibri"/>
                <w:sz w:val="20"/>
                <w:szCs w:val="20"/>
              </w:rPr>
              <w:t>51,861</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2D18AC0D" w14:textId="0392659E">
            <w:pPr>
              <w:spacing w:after="0"/>
              <w:rPr>
                <w:sz w:val="20"/>
                <w:szCs w:val="20"/>
              </w:rPr>
            </w:pPr>
            <w:r>
              <w:rPr>
                <w:rFonts w:eastAsia="Calibri"/>
                <w:sz w:val="20"/>
                <w:szCs w:val="20"/>
              </w:rPr>
              <w:t>43,333</w:t>
            </w:r>
            <w:r w:rsidR="00BD44BA">
              <w:rPr>
                <w:rFonts w:eastAsia="Calibri"/>
                <w:sz w:val="20"/>
                <w:szCs w:val="20"/>
              </w:rPr>
              <w:t xml:space="preserve">  (see Table 12)</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268D4079" w14:textId="1C5A2339">
            <w:pPr>
              <w:spacing w:after="0"/>
              <w:rPr>
                <w:sz w:val="20"/>
                <w:szCs w:val="20"/>
              </w:rPr>
            </w:pPr>
            <w:r>
              <w:rPr>
                <w:rFonts w:eastAsia="Calibri"/>
                <w:sz w:val="20"/>
                <w:szCs w:val="20"/>
              </w:rPr>
              <w:t>-8,528</w:t>
            </w:r>
          </w:p>
        </w:tc>
        <w:tc>
          <w:tcPr>
            <w:tcW w:w="127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13EF1BF4" w14:textId="05EF0E7D">
            <w:pPr>
              <w:spacing w:after="0"/>
              <w:rPr>
                <w:sz w:val="20"/>
                <w:szCs w:val="20"/>
              </w:rPr>
            </w:pPr>
            <w:r w:rsidRPr="00CC2BFB">
              <w:rPr>
                <w:rFonts w:eastAsia="Calibri"/>
                <w:sz w:val="20"/>
                <w:szCs w:val="20"/>
              </w:rPr>
              <w:t>414,888</w:t>
            </w:r>
          </w:p>
        </w:tc>
        <w:tc>
          <w:tcPr>
            <w:tcW w:w="1374" w:type="dxa"/>
            <w:tcBorders>
              <w:top w:val="nil"/>
              <w:left w:val="nil"/>
              <w:bottom w:val="single" w:color="auto" w:sz="4" w:space="0"/>
              <w:right w:val="single" w:color="auto" w:sz="4" w:space="0"/>
            </w:tcBorders>
            <w:shd w:val="clear" w:color="auto" w:fill="auto"/>
            <w:noWrap/>
            <w:vAlign w:val="center"/>
          </w:tcPr>
          <w:p w:rsidRPr="0047482B" w:rsidR="000E19DB" w:rsidP="00BD44BA" w:rsidRDefault="000E19DB" w14:paraId="571029BE" w14:textId="6354AD6A">
            <w:pPr>
              <w:spacing w:after="0"/>
              <w:rPr>
                <w:sz w:val="20"/>
                <w:szCs w:val="20"/>
              </w:rPr>
            </w:pPr>
            <w:r>
              <w:rPr>
                <w:rFonts w:eastAsia="Calibri"/>
                <w:sz w:val="20"/>
                <w:szCs w:val="20"/>
              </w:rPr>
              <w:t>346,664</w:t>
            </w:r>
            <w:r w:rsidR="00BD44BA">
              <w:rPr>
                <w:rFonts w:eastAsia="Calibri"/>
                <w:sz w:val="20"/>
                <w:szCs w:val="20"/>
              </w:rPr>
              <w:t xml:space="preserve">  (see Table 12)</w:t>
            </w:r>
          </w:p>
        </w:tc>
        <w:tc>
          <w:tcPr>
            <w:tcW w:w="1374" w:type="dxa"/>
            <w:tcBorders>
              <w:top w:val="nil"/>
              <w:left w:val="nil"/>
              <w:bottom w:val="single" w:color="auto" w:sz="4" w:space="0"/>
              <w:right w:val="single" w:color="auto" w:sz="4" w:space="0"/>
            </w:tcBorders>
            <w:vAlign w:val="center"/>
          </w:tcPr>
          <w:p w:rsidRPr="0047482B" w:rsidR="000E19DB" w:rsidP="000E19DB" w:rsidRDefault="000E19DB" w14:paraId="221E5084" w14:textId="4C034C7A">
            <w:pPr>
              <w:spacing w:after="0"/>
              <w:rPr>
                <w:sz w:val="20"/>
                <w:szCs w:val="20"/>
              </w:rPr>
            </w:pPr>
            <w:r>
              <w:rPr>
                <w:rFonts w:eastAsia="Calibri"/>
                <w:sz w:val="20"/>
                <w:szCs w:val="20"/>
              </w:rPr>
              <w:t>-68,224</w:t>
            </w:r>
          </w:p>
        </w:tc>
      </w:tr>
      <w:tr w:rsidRPr="00C47150" w:rsidR="000E19DB" w:rsidTr="00FC7A11" w14:paraId="0FC73FEC" w14:textId="77777777">
        <w:trPr>
          <w:cantSplit/>
          <w:trHeight w:val="593"/>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0E19DB" w:rsidP="000E19DB" w:rsidRDefault="000E19DB" w14:paraId="262DA86C" w14:textId="65BAEF50">
            <w:pPr>
              <w:spacing w:after="0"/>
              <w:rPr>
                <w:sz w:val="20"/>
                <w:szCs w:val="20"/>
              </w:rPr>
            </w:pPr>
            <w:r w:rsidRPr="0047482B">
              <w:rPr>
                <w:sz w:val="20"/>
                <w:szCs w:val="20"/>
              </w:rPr>
              <w:t>§414.1325 and 414.1335 (Quality Performance Category) CMS Web Interfa</w:t>
            </w:r>
            <w:r>
              <w:rPr>
                <w:sz w:val="20"/>
                <w:szCs w:val="20"/>
              </w:rPr>
              <w:t xml:space="preserve">ce </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40A30DA1" w14:textId="65D0802F">
            <w:pPr>
              <w:spacing w:after="0"/>
              <w:rPr>
                <w:sz w:val="20"/>
                <w:szCs w:val="20"/>
              </w:rPr>
            </w:pPr>
            <w:r w:rsidRPr="00CC2BFB">
              <w:rPr>
                <w:rFonts w:eastAsia="Calibri"/>
                <w:sz w:val="20"/>
                <w:szCs w:val="20"/>
              </w:rPr>
              <w:t>286</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4A4EAB59" w14:textId="298DA0BB">
            <w:pPr>
              <w:spacing w:after="0"/>
              <w:rPr>
                <w:sz w:val="20"/>
                <w:szCs w:val="20"/>
              </w:rPr>
            </w:pPr>
            <w:r w:rsidRPr="00CC2BFB">
              <w:rPr>
                <w:rFonts w:eastAsia="Calibri"/>
                <w:sz w:val="20"/>
                <w:szCs w:val="20"/>
              </w:rPr>
              <w:t>104</w:t>
            </w:r>
            <w:r w:rsidR="002D6662">
              <w:rPr>
                <w:rFonts w:eastAsia="Calibri"/>
                <w:sz w:val="20"/>
                <w:szCs w:val="20"/>
              </w:rPr>
              <w:t xml:space="preserve">  (see Table 13)</w:t>
            </w:r>
          </w:p>
        </w:tc>
        <w:tc>
          <w:tcPr>
            <w:tcW w:w="135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47104CFF" w14:textId="2205CB95">
            <w:pPr>
              <w:spacing w:after="0"/>
              <w:rPr>
                <w:sz w:val="20"/>
                <w:szCs w:val="20"/>
              </w:rPr>
            </w:pPr>
            <w:r w:rsidRPr="00CC2BFB">
              <w:rPr>
                <w:rFonts w:eastAsia="Calibri"/>
                <w:sz w:val="20"/>
                <w:szCs w:val="20"/>
              </w:rPr>
              <w:t>-182</w:t>
            </w:r>
          </w:p>
        </w:tc>
        <w:tc>
          <w:tcPr>
            <w:tcW w:w="1270"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5766C068" w14:textId="210483ED">
            <w:pPr>
              <w:spacing w:after="0"/>
              <w:rPr>
                <w:sz w:val="20"/>
                <w:szCs w:val="20"/>
              </w:rPr>
            </w:pPr>
            <w:r w:rsidRPr="00CC2BFB">
              <w:rPr>
                <w:rFonts w:eastAsia="Calibri"/>
                <w:sz w:val="20"/>
                <w:szCs w:val="20"/>
              </w:rPr>
              <w:t>17,637.7</w:t>
            </w:r>
          </w:p>
        </w:tc>
        <w:tc>
          <w:tcPr>
            <w:tcW w:w="1374" w:type="dxa"/>
            <w:tcBorders>
              <w:top w:val="nil"/>
              <w:left w:val="nil"/>
              <w:bottom w:val="single" w:color="auto" w:sz="4" w:space="0"/>
              <w:right w:val="single" w:color="auto" w:sz="4" w:space="0"/>
            </w:tcBorders>
            <w:shd w:val="clear" w:color="auto" w:fill="auto"/>
            <w:noWrap/>
            <w:vAlign w:val="center"/>
          </w:tcPr>
          <w:p w:rsidRPr="0047482B" w:rsidR="000E19DB" w:rsidP="000E19DB" w:rsidRDefault="000E19DB" w14:paraId="1BF03398" w14:textId="6DFDEBE1">
            <w:pPr>
              <w:spacing w:after="0"/>
              <w:rPr>
                <w:sz w:val="20"/>
                <w:szCs w:val="20"/>
              </w:rPr>
            </w:pPr>
            <w:r w:rsidRPr="00CC2BFB">
              <w:rPr>
                <w:rFonts w:eastAsia="Calibri"/>
                <w:sz w:val="20"/>
                <w:szCs w:val="20"/>
              </w:rPr>
              <w:t>6,41</w:t>
            </w:r>
            <w:r w:rsidR="002D6662">
              <w:rPr>
                <w:rFonts w:eastAsia="Calibri"/>
                <w:sz w:val="20"/>
                <w:szCs w:val="20"/>
              </w:rPr>
              <w:t>4  (see Table 13)</w:t>
            </w:r>
          </w:p>
        </w:tc>
        <w:tc>
          <w:tcPr>
            <w:tcW w:w="1374" w:type="dxa"/>
            <w:tcBorders>
              <w:top w:val="nil"/>
              <w:left w:val="nil"/>
              <w:bottom w:val="single" w:color="auto" w:sz="4" w:space="0"/>
              <w:right w:val="single" w:color="auto" w:sz="4" w:space="0"/>
            </w:tcBorders>
            <w:vAlign w:val="center"/>
          </w:tcPr>
          <w:p w:rsidRPr="0047482B" w:rsidR="000E19DB" w:rsidP="000E19DB" w:rsidRDefault="000E19DB" w14:paraId="68F81194" w14:textId="7233E564">
            <w:pPr>
              <w:spacing w:after="0"/>
              <w:rPr>
                <w:sz w:val="20"/>
                <w:szCs w:val="20"/>
              </w:rPr>
            </w:pPr>
            <w:r w:rsidRPr="00CC2BFB">
              <w:rPr>
                <w:rFonts w:eastAsia="Calibri"/>
                <w:sz w:val="20"/>
                <w:szCs w:val="20"/>
              </w:rPr>
              <w:t>-11,224</w:t>
            </w:r>
          </w:p>
        </w:tc>
      </w:tr>
      <w:tr w:rsidRPr="00C47150" w:rsidR="004362E6" w:rsidTr="00FC7A11" w14:paraId="4FE7143A" w14:textId="77777777">
        <w:trPr>
          <w:cantSplit/>
          <w:trHeight w:val="773"/>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4362E6" w:rsidP="004362E6" w:rsidRDefault="004362E6" w14:paraId="0D7A0F59" w14:textId="77777777">
            <w:pPr>
              <w:spacing w:after="0"/>
              <w:rPr>
                <w:sz w:val="20"/>
                <w:szCs w:val="20"/>
              </w:rPr>
            </w:pPr>
            <w:r w:rsidRPr="0047482B">
              <w:rPr>
                <w:sz w:val="20"/>
                <w:szCs w:val="20"/>
              </w:rPr>
              <w:t xml:space="preserve">§414.1325 and 414.1335 (Quality Performance Category) Registration and Enrollment for CMS Web Interface </w:t>
            </w:r>
          </w:p>
        </w:tc>
        <w:tc>
          <w:tcPr>
            <w:tcW w:w="1350" w:type="dxa"/>
            <w:tcBorders>
              <w:top w:val="nil"/>
              <w:left w:val="nil"/>
              <w:bottom w:val="single" w:color="auto" w:sz="4" w:space="0"/>
              <w:right w:val="single" w:color="auto" w:sz="4" w:space="0"/>
            </w:tcBorders>
            <w:shd w:val="clear" w:color="auto" w:fill="FFFFFF" w:themeFill="background1"/>
            <w:noWrap/>
            <w:vAlign w:val="center"/>
          </w:tcPr>
          <w:p w:rsidRPr="0047482B" w:rsidR="004362E6" w:rsidP="004362E6" w:rsidRDefault="004362E6" w14:paraId="1EAB72FF" w14:textId="237782DF">
            <w:pPr>
              <w:spacing w:after="0"/>
              <w:rPr>
                <w:sz w:val="20"/>
                <w:szCs w:val="20"/>
              </w:rPr>
            </w:pPr>
            <w:r w:rsidRPr="00CC2BFB">
              <w:rPr>
                <w:rFonts w:eastAsia="Calibri"/>
                <w:sz w:val="20"/>
                <w:szCs w:val="20"/>
              </w:rPr>
              <w:t>67</w:t>
            </w:r>
          </w:p>
        </w:tc>
        <w:tc>
          <w:tcPr>
            <w:tcW w:w="1350" w:type="dxa"/>
            <w:tcBorders>
              <w:top w:val="nil"/>
              <w:left w:val="nil"/>
              <w:bottom w:val="single" w:color="auto" w:sz="4" w:space="0"/>
              <w:right w:val="single" w:color="auto" w:sz="4" w:space="0"/>
            </w:tcBorders>
            <w:shd w:val="clear" w:color="auto" w:fill="FFFFFF" w:themeFill="background1"/>
            <w:noWrap/>
            <w:vAlign w:val="center"/>
          </w:tcPr>
          <w:p w:rsidRPr="0047482B" w:rsidR="004362E6" w:rsidP="00E04BD0" w:rsidRDefault="004362E6" w14:paraId="326753D0" w14:textId="382EE2BC">
            <w:pPr>
              <w:spacing w:after="0"/>
              <w:rPr>
                <w:sz w:val="20"/>
                <w:szCs w:val="20"/>
              </w:rPr>
            </w:pPr>
            <w:r>
              <w:rPr>
                <w:rFonts w:eastAsia="Calibri"/>
                <w:sz w:val="20"/>
                <w:szCs w:val="20"/>
              </w:rPr>
              <w:t>69</w:t>
            </w:r>
            <w:r w:rsidR="00E04BD0">
              <w:rPr>
                <w:rFonts w:eastAsia="Calibri"/>
                <w:sz w:val="20"/>
                <w:szCs w:val="20"/>
              </w:rPr>
              <w:t xml:space="preserve">  (see Table 14)</w:t>
            </w:r>
          </w:p>
        </w:tc>
        <w:tc>
          <w:tcPr>
            <w:tcW w:w="1350" w:type="dxa"/>
            <w:tcBorders>
              <w:top w:val="nil"/>
              <w:left w:val="nil"/>
              <w:bottom w:val="single" w:color="auto" w:sz="4" w:space="0"/>
              <w:right w:val="single" w:color="auto" w:sz="4" w:space="0"/>
            </w:tcBorders>
            <w:shd w:val="clear" w:color="auto" w:fill="FFFFFF" w:themeFill="background1"/>
            <w:noWrap/>
            <w:vAlign w:val="center"/>
          </w:tcPr>
          <w:p w:rsidRPr="0047482B" w:rsidR="004362E6" w:rsidP="004362E6" w:rsidRDefault="004362E6" w14:paraId="41072EB9" w14:textId="19B2C3E6">
            <w:pPr>
              <w:spacing w:after="0"/>
              <w:rPr>
                <w:sz w:val="20"/>
                <w:szCs w:val="20"/>
              </w:rPr>
            </w:pPr>
            <w:r>
              <w:rPr>
                <w:rFonts w:eastAsia="Calibri"/>
                <w:sz w:val="20"/>
                <w:szCs w:val="20"/>
              </w:rPr>
              <w:t>2</w:t>
            </w:r>
          </w:p>
        </w:tc>
        <w:tc>
          <w:tcPr>
            <w:tcW w:w="1270" w:type="dxa"/>
            <w:tcBorders>
              <w:top w:val="nil"/>
              <w:left w:val="nil"/>
              <w:bottom w:val="single" w:color="auto" w:sz="4" w:space="0"/>
              <w:right w:val="single" w:color="auto" w:sz="4" w:space="0"/>
            </w:tcBorders>
            <w:shd w:val="clear" w:color="auto" w:fill="FFFFFF" w:themeFill="background1"/>
            <w:noWrap/>
            <w:vAlign w:val="center"/>
          </w:tcPr>
          <w:p w:rsidRPr="0047482B" w:rsidR="004362E6" w:rsidP="004362E6" w:rsidRDefault="004362E6" w14:paraId="4B985915" w14:textId="20BF34C0">
            <w:pPr>
              <w:spacing w:after="0"/>
              <w:rPr>
                <w:sz w:val="20"/>
                <w:szCs w:val="20"/>
              </w:rPr>
            </w:pPr>
            <w:r w:rsidRPr="00CC2BFB">
              <w:rPr>
                <w:rFonts w:eastAsia="Calibri"/>
                <w:sz w:val="20"/>
                <w:szCs w:val="20"/>
              </w:rPr>
              <w:t>16.75</w:t>
            </w:r>
          </w:p>
        </w:tc>
        <w:tc>
          <w:tcPr>
            <w:tcW w:w="1374" w:type="dxa"/>
            <w:tcBorders>
              <w:top w:val="nil"/>
              <w:left w:val="nil"/>
              <w:bottom w:val="single" w:color="auto" w:sz="4" w:space="0"/>
              <w:right w:val="single" w:color="auto" w:sz="4" w:space="0"/>
            </w:tcBorders>
            <w:shd w:val="clear" w:color="auto" w:fill="FFFFFF" w:themeFill="background1"/>
            <w:noWrap/>
            <w:vAlign w:val="center"/>
          </w:tcPr>
          <w:p w:rsidRPr="0047482B" w:rsidR="004362E6" w:rsidP="00E04BD0" w:rsidRDefault="004362E6" w14:paraId="2E9E475B" w14:textId="30197A56">
            <w:pPr>
              <w:spacing w:after="0"/>
              <w:rPr>
                <w:sz w:val="20"/>
                <w:szCs w:val="20"/>
              </w:rPr>
            </w:pPr>
            <w:r w:rsidRPr="00CC2BFB">
              <w:rPr>
                <w:rFonts w:eastAsia="Calibri"/>
                <w:sz w:val="20"/>
                <w:szCs w:val="20"/>
              </w:rPr>
              <w:t>1</w:t>
            </w:r>
            <w:r>
              <w:rPr>
                <w:rFonts w:eastAsia="Calibri"/>
                <w:sz w:val="20"/>
                <w:szCs w:val="20"/>
              </w:rPr>
              <w:t>7.25</w:t>
            </w:r>
            <w:r w:rsidR="00E04BD0">
              <w:rPr>
                <w:rFonts w:eastAsia="Calibri"/>
                <w:sz w:val="20"/>
                <w:szCs w:val="20"/>
              </w:rPr>
              <w:t xml:space="preserve">  (see Table 14)</w:t>
            </w:r>
          </w:p>
        </w:tc>
        <w:tc>
          <w:tcPr>
            <w:tcW w:w="1374" w:type="dxa"/>
            <w:tcBorders>
              <w:top w:val="nil"/>
              <w:left w:val="nil"/>
              <w:bottom w:val="single" w:color="auto" w:sz="4" w:space="0"/>
              <w:right w:val="single" w:color="auto" w:sz="4" w:space="0"/>
            </w:tcBorders>
            <w:shd w:val="clear" w:color="auto" w:fill="FFFFFF" w:themeFill="background1"/>
            <w:vAlign w:val="center"/>
          </w:tcPr>
          <w:p w:rsidRPr="0047482B" w:rsidR="004362E6" w:rsidP="004362E6" w:rsidRDefault="004362E6" w14:paraId="092447E7" w14:textId="07EA33B6">
            <w:pPr>
              <w:spacing w:after="0"/>
              <w:rPr>
                <w:sz w:val="20"/>
                <w:szCs w:val="20"/>
              </w:rPr>
            </w:pPr>
            <w:r>
              <w:rPr>
                <w:rFonts w:eastAsia="Calibri"/>
                <w:sz w:val="20"/>
                <w:szCs w:val="20"/>
              </w:rPr>
              <w:t>0.5</w:t>
            </w:r>
          </w:p>
        </w:tc>
      </w:tr>
      <w:tr w:rsidRPr="00C47150" w:rsidR="004362E6" w:rsidTr="00FC7A11" w14:paraId="16B3FDCC" w14:textId="77777777">
        <w:trPr>
          <w:cantSplit/>
          <w:trHeight w:val="539"/>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4362E6" w:rsidP="004362E6" w:rsidRDefault="004362E6" w14:paraId="27541A2D" w14:textId="77777777">
            <w:pPr>
              <w:spacing w:after="0"/>
              <w:rPr>
                <w:sz w:val="20"/>
                <w:szCs w:val="20"/>
              </w:rPr>
            </w:pPr>
            <w:r w:rsidRPr="0047482B">
              <w:rPr>
                <w:sz w:val="20"/>
                <w:szCs w:val="20"/>
              </w:rPr>
              <w:t xml:space="preserve">(Quality Performance Category) </w:t>
            </w:r>
          </w:p>
          <w:p w:rsidRPr="0047482B" w:rsidR="004362E6" w:rsidP="004362E6" w:rsidRDefault="004362E6" w14:paraId="607CE997" w14:textId="77777777">
            <w:pPr>
              <w:spacing w:after="0"/>
              <w:rPr>
                <w:sz w:val="20"/>
                <w:szCs w:val="20"/>
              </w:rPr>
            </w:pPr>
            <w:r w:rsidRPr="0047482B">
              <w:rPr>
                <w:sz w:val="20"/>
                <w:szCs w:val="20"/>
              </w:rPr>
              <w:t>Call for Quality Measures</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331A3D5E" w14:textId="117EAC09">
            <w:pPr>
              <w:spacing w:after="0"/>
              <w:rPr>
                <w:sz w:val="20"/>
                <w:szCs w:val="20"/>
              </w:rPr>
            </w:pPr>
            <w:r w:rsidRPr="00CC2BFB">
              <w:rPr>
                <w:rFonts w:eastAsia="Calibri"/>
                <w:sz w:val="20"/>
                <w:szCs w:val="20"/>
              </w:rPr>
              <w:t>140</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9271B9" w:rsidRDefault="004362E6" w14:paraId="10B10E20" w14:textId="6E5D969D">
            <w:pPr>
              <w:spacing w:after="0"/>
              <w:rPr>
                <w:sz w:val="20"/>
                <w:szCs w:val="20"/>
              </w:rPr>
            </w:pPr>
            <w:r w:rsidRPr="00CC2BFB">
              <w:rPr>
                <w:rFonts w:eastAsia="Calibri"/>
                <w:sz w:val="20"/>
                <w:szCs w:val="20"/>
              </w:rPr>
              <w:t>2</w:t>
            </w:r>
            <w:r>
              <w:rPr>
                <w:rFonts w:eastAsia="Calibri"/>
                <w:sz w:val="20"/>
                <w:szCs w:val="20"/>
              </w:rPr>
              <w:t>8</w:t>
            </w:r>
            <w:r w:rsidR="009271B9">
              <w:rPr>
                <w:rFonts w:eastAsia="Calibri"/>
                <w:sz w:val="20"/>
                <w:szCs w:val="20"/>
              </w:rPr>
              <w:t xml:space="preserve">  (see Table 15)</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7377A655" w14:textId="4D29F392">
            <w:pPr>
              <w:spacing w:after="0"/>
              <w:rPr>
                <w:sz w:val="20"/>
                <w:szCs w:val="20"/>
              </w:rPr>
            </w:pPr>
            <w:r w:rsidRPr="00CC2BFB">
              <w:rPr>
                <w:rFonts w:eastAsia="Calibri"/>
                <w:sz w:val="20"/>
                <w:szCs w:val="20"/>
              </w:rPr>
              <w:t>-11</w:t>
            </w:r>
            <w:r>
              <w:rPr>
                <w:rFonts w:eastAsia="Calibri"/>
                <w:sz w:val="20"/>
                <w:szCs w:val="20"/>
              </w:rPr>
              <w:t>2</w:t>
            </w:r>
          </w:p>
        </w:tc>
        <w:tc>
          <w:tcPr>
            <w:tcW w:w="127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5034FA5F" w14:textId="797FA941">
            <w:pPr>
              <w:spacing w:after="0"/>
              <w:rPr>
                <w:sz w:val="20"/>
                <w:szCs w:val="20"/>
              </w:rPr>
            </w:pPr>
            <w:r w:rsidRPr="00CC2BFB">
              <w:rPr>
                <w:rFonts w:eastAsia="Calibri"/>
                <w:sz w:val="20"/>
                <w:szCs w:val="20"/>
              </w:rPr>
              <w:t>630</w:t>
            </w:r>
          </w:p>
        </w:tc>
        <w:tc>
          <w:tcPr>
            <w:tcW w:w="1374" w:type="dxa"/>
            <w:tcBorders>
              <w:top w:val="nil"/>
              <w:left w:val="nil"/>
              <w:bottom w:val="single" w:color="auto" w:sz="4" w:space="0"/>
              <w:right w:val="single" w:color="auto" w:sz="4" w:space="0"/>
            </w:tcBorders>
            <w:shd w:val="clear" w:color="auto" w:fill="auto"/>
            <w:noWrap/>
            <w:vAlign w:val="center"/>
          </w:tcPr>
          <w:p w:rsidRPr="0047482B" w:rsidR="004362E6" w:rsidP="009271B9" w:rsidRDefault="004362E6" w14:paraId="1B75F325" w14:textId="2C08AE15">
            <w:pPr>
              <w:spacing w:after="0"/>
              <w:rPr>
                <w:sz w:val="20"/>
                <w:szCs w:val="20"/>
              </w:rPr>
            </w:pPr>
            <w:r w:rsidRPr="00CC2BFB">
              <w:rPr>
                <w:rFonts w:eastAsia="Calibri"/>
                <w:sz w:val="20"/>
                <w:szCs w:val="20"/>
              </w:rPr>
              <w:t>1</w:t>
            </w:r>
            <w:r>
              <w:rPr>
                <w:rFonts w:eastAsia="Calibri"/>
                <w:sz w:val="20"/>
                <w:szCs w:val="20"/>
              </w:rPr>
              <w:t>54</w:t>
            </w:r>
            <w:r w:rsidR="009271B9">
              <w:rPr>
                <w:rFonts w:eastAsia="Calibri"/>
                <w:sz w:val="20"/>
                <w:szCs w:val="20"/>
              </w:rPr>
              <w:t xml:space="preserve">  (see Table 15)</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16FD83BF" w14:textId="36B39841">
            <w:pPr>
              <w:spacing w:after="0"/>
              <w:rPr>
                <w:sz w:val="20"/>
                <w:szCs w:val="20"/>
              </w:rPr>
            </w:pPr>
            <w:r w:rsidRPr="00CC2BFB">
              <w:rPr>
                <w:rFonts w:eastAsia="Calibri"/>
                <w:sz w:val="20"/>
                <w:szCs w:val="20"/>
              </w:rPr>
              <w:t>-4</w:t>
            </w:r>
            <w:r>
              <w:rPr>
                <w:rFonts w:eastAsia="Calibri"/>
                <w:sz w:val="20"/>
                <w:szCs w:val="20"/>
              </w:rPr>
              <w:t>76</w:t>
            </w:r>
          </w:p>
        </w:tc>
      </w:tr>
      <w:tr w:rsidRPr="00C47150" w:rsidR="004362E6" w:rsidTr="00FC7A11" w14:paraId="63DF16A2" w14:textId="77777777">
        <w:trPr>
          <w:cantSplit/>
          <w:trHeight w:val="804"/>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4362E6" w:rsidP="004362E6" w:rsidRDefault="004362E6" w14:paraId="121C328F" w14:textId="03BE1F66">
            <w:pPr>
              <w:spacing w:after="0"/>
              <w:rPr>
                <w:sz w:val="20"/>
                <w:szCs w:val="20"/>
              </w:rPr>
            </w:pPr>
            <w:r w:rsidRPr="0047482B">
              <w:rPr>
                <w:sz w:val="20"/>
                <w:szCs w:val="20"/>
              </w:rPr>
              <w:t>§414.1375</w:t>
            </w:r>
            <w:r>
              <w:rPr>
                <w:sz w:val="20"/>
                <w:szCs w:val="20"/>
              </w:rPr>
              <w:t xml:space="preserve"> and 414.1380</w:t>
            </w:r>
            <w:r w:rsidRPr="0047482B">
              <w:rPr>
                <w:sz w:val="20"/>
                <w:szCs w:val="20"/>
              </w:rPr>
              <w:t xml:space="preserve"> (PI Performance Category) </w:t>
            </w:r>
            <w:r>
              <w:rPr>
                <w:rFonts w:eastAsia="Calibri"/>
                <w:sz w:val="20"/>
                <w:szCs w:val="20"/>
              </w:rPr>
              <w:t>Reweighting Applications</w:t>
            </w:r>
            <w:r w:rsidRPr="00C1175C">
              <w:rPr>
                <w:rFonts w:eastAsia="Calibri"/>
                <w:sz w:val="20"/>
                <w:szCs w:val="20"/>
              </w:rPr>
              <w:t xml:space="preserve"> for Promoting Interoperability and Other Performance Categories</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5ECC5B4F" w14:textId="3FA99ECB">
            <w:pPr>
              <w:spacing w:after="0"/>
              <w:rPr>
                <w:sz w:val="20"/>
                <w:szCs w:val="20"/>
              </w:rPr>
            </w:pPr>
            <w:r w:rsidRPr="00CC2BFB">
              <w:rPr>
                <w:rFonts w:eastAsia="Calibri"/>
                <w:sz w:val="20"/>
                <w:szCs w:val="20"/>
              </w:rPr>
              <w:t>6,041</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8137FB" w:rsidRDefault="004362E6" w14:paraId="60D7CADA" w14:textId="2431D66E">
            <w:pPr>
              <w:spacing w:after="0"/>
              <w:rPr>
                <w:sz w:val="20"/>
                <w:szCs w:val="20"/>
              </w:rPr>
            </w:pPr>
            <w:r>
              <w:rPr>
                <w:rFonts w:eastAsia="Calibri"/>
                <w:sz w:val="20"/>
                <w:szCs w:val="20"/>
              </w:rPr>
              <w:t>30,620</w:t>
            </w:r>
            <w:r w:rsidR="008137FB">
              <w:rPr>
                <w:rFonts w:eastAsia="Calibri"/>
                <w:sz w:val="20"/>
                <w:szCs w:val="20"/>
              </w:rPr>
              <w:t xml:space="preserve">  (see Table 16)</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518DEF47" w14:textId="312567AC">
            <w:pPr>
              <w:spacing w:after="0"/>
              <w:rPr>
                <w:sz w:val="20"/>
                <w:szCs w:val="20"/>
              </w:rPr>
            </w:pPr>
            <w:r>
              <w:rPr>
                <w:rFonts w:eastAsia="Calibri"/>
                <w:sz w:val="20"/>
                <w:szCs w:val="20"/>
              </w:rPr>
              <w:t>24,579</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4D2147B7" w14:textId="3CCC490C">
            <w:pPr>
              <w:spacing w:after="0"/>
              <w:rPr>
                <w:sz w:val="20"/>
                <w:szCs w:val="20"/>
              </w:rPr>
            </w:pPr>
            <w:r w:rsidRPr="00CC2BFB">
              <w:rPr>
                <w:rFonts w:eastAsia="Calibri"/>
                <w:sz w:val="20"/>
                <w:szCs w:val="20"/>
              </w:rPr>
              <w:t>1,510</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4362E6" w:rsidP="008137FB" w:rsidRDefault="004362E6" w14:paraId="10C917EB" w14:textId="16F3FB99">
            <w:pPr>
              <w:spacing w:after="0"/>
              <w:rPr>
                <w:sz w:val="20"/>
                <w:szCs w:val="20"/>
              </w:rPr>
            </w:pPr>
            <w:r>
              <w:rPr>
                <w:rFonts w:eastAsia="Calibri"/>
                <w:sz w:val="20"/>
                <w:szCs w:val="20"/>
              </w:rPr>
              <w:t>7,655</w:t>
            </w:r>
            <w:r w:rsidR="008137FB">
              <w:rPr>
                <w:rFonts w:eastAsia="Calibri"/>
                <w:sz w:val="20"/>
                <w:szCs w:val="20"/>
              </w:rPr>
              <w:t xml:space="preserve">  (see Table 16)</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0DA73D15" w14:textId="66D2195F">
            <w:pPr>
              <w:spacing w:after="0"/>
              <w:rPr>
                <w:sz w:val="20"/>
                <w:szCs w:val="20"/>
              </w:rPr>
            </w:pPr>
            <w:r>
              <w:rPr>
                <w:rFonts w:eastAsia="Calibri"/>
                <w:sz w:val="20"/>
                <w:szCs w:val="20"/>
              </w:rPr>
              <w:t>6,145</w:t>
            </w:r>
          </w:p>
        </w:tc>
      </w:tr>
      <w:tr w:rsidRPr="00C47150" w:rsidR="004362E6" w:rsidTr="00FC7A11" w14:paraId="47B0492D" w14:textId="77777777">
        <w:trPr>
          <w:cantSplit/>
          <w:trHeight w:val="611"/>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4362E6" w:rsidP="004362E6" w:rsidRDefault="004362E6" w14:paraId="0074340D" w14:textId="77777777">
            <w:pPr>
              <w:spacing w:after="0"/>
              <w:rPr>
                <w:sz w:val="20"/>
                <w:szCs w:val="20"/>
              </w:rPr>
            </w:pPr>
            <w:r w:rsidRPr="0047482B">
              <w:rPr>
                <w:sz w:val="20"/>
                <w:szCs w:val="20"/>
              </w:rPr>
              <w:t xml:space="preserve">§414.1375 (PI Performance Category) Data Submission  </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04FD791E" w14:textId="7D59EB68">
            <w:pPr>
              <w:spacing w:after="0"/>
              <w:rPr>
                <w:sz w:val="20"/>
                <w:szCs w:val="20"/>
              </w:rPr>
            </w:pPr>
            <w:r w:rsidRPr="00CC2BFB">
              <w:rPr>
                <w:rFonts w:eastAsia="Calibri"/>
                <w:sz w:val="20"/>
                <w:szCs w:val="20"/>
              </w:rPr>
              <w:t>93,869</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C4178E" w:rsidRDefault="004362E6" w14:paraId="0B1C35B1" w14:textId="29FFBFB7">
            <w:pPr>
              <w:spacing w:after="0"/>
              <w:rPr>
                <w:sz w:val="20"/>
                <w:szCs w:val="20"/>
              </w:rPr>
            </w:pPr>
            <w:r>
              <w:rPr>
                <w:rFonts w:eastAsia="Calibri"/>
                <w:sz w:val="20"/>
                <w:szCs w:val="20"/>
              </w:rPr>
              <w:t>74,281</w:t>
            </w:r>
            <w:r w:rsidR="00C4178E">
              <w:rPr>
                <w:rFonts w:eastAsia="Calibri"/>
                <w:sz w:val="20"/>
                <w:szCs w:val="20"/>
              </w:rPr>
              <w:t xml:space="preserve">  (see Table 18)</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54447257" w14:textId="4ADCC35F">
            <w:pPr>
              <w:spacing w:after="0"/>
              <w:rPr>
                <w:sz w:val="20"/>
                <w:szCs w:val="20"/>
              </w:rPr>
            </w:pPr>
            <w:r>
              <w:rPr>
                <w:rFonts w:eastAsia="Calibri"/>
                <w:sz w:val="20"/>
                <w:szCs w:val="20"/>
              </w:rPr>
              <w:t>-19,588</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4362E6" w:rsidP="004362E6" w:rsidRDefault="004362E6" w14:paraId="60E36686" w14:textId="39702825">
            <w:pPr>
              <w:spacing w:after="0"/>
              <w:rPr>
                <w:sz w:val="20"/>
                <w:szCs w:val="20"/>
              </w:rPr>
            </w:pPr>
            <w:r w:rsidRPr="00CC2BFB">
              <w:rPr>
                <w:rFonts w:eastAsia="Calibri"/>
                <w:sz w:val="20"/>
                <w:szCs w:val="20"/>
              </w:rPr>
              <w:t>250,317</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4362E6" w:rsidP="00C4178E" w:rsidRDefault="004362E6" w14:paraId="0EE11CD1" w14:textId="64EECA5E">
            <w:pPr>
              <w:spacing w:after="0"/>
              <w:rPr>
                <w:sz w:val="20"/>
                <w:szCs w:val="20"/>
              </w:rPr>
            </w:pPr>
            <w:r>
              <w:rPr>
                <w:rFonts w:eastAsia="Calibri"/>
                <w:sz w:val="20"/>
                <w:szCs w:val="20"/>
              </w:rPr>
              <w:t>198,083</w:t>
            </w:r>
            <w:r w:rsidR="00C4178E">
              <w:rPr>
                <w:rFonts w:eastAsia="Calibri"/>
                <w:sz w:val="20"/>
                <w:szCs w:val="20"/>
              </w:rPr>
              <w:t xml:space="preserve">  (see Table 18)</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6D1B343F" w14:textId="2F9F37E3">
            <w:pPr>
              <w:spacing w:after="0"/>
              <w:rPr>
                <w:sz w:val="20"/>
                <w:szCs w:val="20"/>
              </w:rPr>
            </w:pPr>
            <w:r>
              <w:rPr>
                <w:rFonts w:eastAsia="Calibri"/>
                <w:sz w:val="20"/>
                <w:szCs w:val="20"/>
              </w:rPr>
              <w:t>-52,235</w:t>
            </w:r>
          </w:p>
        </w:tc>
      </w:tr>
      <w:tr w:rsidRPr="00C47150" w:rsidR="004362E6" w:rsidTr="00FC7A11" w14:paraId="080DB5C8" w14:textId="77777777">
        <w:trPr>
          <w:cantSplit/>
          <w:trHeight w:val="521"/>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4362E6" w:rsidP="004362E6" w:rsidRDefault="004362E6" w14:paraId="50F41997" w14:textId="77777777">
            <w:pPr>
              <w:spacing w:after="0"/>
              <w:rPr>
                <w:sz w:val="20"/>
                <w:szCs w:val="20"/>
              </w:rPr>
            </w:pPr>
            <w:r w:rsidRPr="0047482B">
              <w:rPr>
                <w:sz w:val="20"/>
                <w:szCs w:val="20"/>
              </w:rPr>
              <w:t>(PI Performance Category) Call for</w:t>
            </w:r>
            <w:r>
              <w:rPr>
                <w:sz w:val="20"/>
                <w:szCs w:val="20"/>
              </w:rPr>
              <w:t xml:space="preserve"> Promoting Interoperability </w:t>
            </w:r>
            <w:r w:rsidRPr="0047482B">
              <w:rPr>
                <w:sz w:val="20"/>
                <w:szCs w:val="20"/>
              </w:rPr>
              <w:t>Measures</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3F869251" w14:textId="680F5E3F">
            <w:pPr>
              <w:spacing w:after="0"/>
              <w:rPr>
                <w:sz w:val="20"/>
                <w:szCs w:val="20"/>
              </w:rPr>
            </w:pPr>
            <w:r w:rsidRPr="00CC2BFB">
              <w:rPr>
                <w:rFonts w:eastAsia="Calibri"/>
                <w:sz w:val="20"/>
                <w:szCs w:val="20"/>
              </w:rPr>
              <w:t>47</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EB1770" w:rsidRDefault="004362E6" w14:paraId="28A80CD0" w14:textId="5B28A61E">
            <w:pPr>
              <w:spacing w:after="0"/>
              <w:rPr>
                <w:sz w:val="20"/>
                <w:szCs w:val="20"/>
              </w:rPr>
            </w:pPr>
            <w:r>
              <w:rPr>
                <w:rFonts w:eastAsia="Calibri"/>
                <w:sz w:val="20"/>
                <w:szCs w:val="20"/>
              </w:rPr>
              <w:t>10</w:t>
            </w:r>
            <w:r w:rsidR="00EB1770">
              <w:rPr>
                <w:rFonts w:eastAsia="Calibri"/>
                <w:sz w:val="20"/>
                <w:szCs w:val="20"/>
              </w:rPr>
              <w:t xml:space="preserve">  (see Table 19)</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520043CE" w14:textId="19E2C788">
            <w:pPr>
              <w:spacing w:after="0"/>
              <w:rPr>
                <w:sz w:val="20"/>
                <w:szCs w:val="20"/>
              </w:rPr>
            </w:pPr>
            <w:r w:rsidRPr="00CC2BFB">
              <w:rPr>
                <w:rFonts w:eastAsia="Calibri"/>
                <w:sz w:val="20"/>
                <w:szCs w:val="20"/>
              </w:rPr>
              <w:t>-</w:t>
            </w:r>
            <w:r>
              <w:rPr>
                <w:rFonts w:eastAsia="Calibri"/>
                <w:sz w:val="20"/>
                <w:szCs w:val="20"/>
              </w:rPr>
              <w:t>37</w:t>
            </w:r>
          </w:p>
        </w:tc>
        <w:tc>
          <w:tcPr>
            <w:tcW w:w="127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6F36112C" w14:textId="1BC4A901">
            <w:pPr>
              <w:spacing w:after="0"/>
              <w:rPr>
                <w:sz w:val="20"/>
                <w:szCs w:val="20"/>
              </w:rPr>
            </w:pPr>
            <w:r w:rsidRPr="00CC2BFB">
              <w:rPr>
                <w:rFonts w:eastAsia="Calibri"/>
                <w:sz w:val="20"/>
                <w:szCs w:val="20"/>
              </w:rPr>
              <w:t>23.5</w:t>
            </w:r>
          </w:p>
        </w:tc>
        <w:tc>
          <w:tcPr>
            <w:tcW w:w="1374" w:type="dxa"/>
            <w:tcBorders>
              <w:top w:val="nil"/>
              <w:left w:val="nil"/>
              <w:bottom w:val="single" w:color="auto" w:sz="4" w:space="0"/>
              <w:right w:val="single" w:color="auto" w:sz="4" w:space="0"/>
            </w:tcBorders>
            <w:shd w:val="clear" w:color="auto" w:fill="auto"/>
            <w:noWrap/>
            <w:vAlign w:val="center"/>
          </w:tcPr>
          <w:p w:rsidRPr="0047482B" w:rsidR="004362E6" w:rsidP="00EB1770" w:rsidRDefault="004362E6" w14:paraId="083DAEF0" w14:textId="425295ED">
            <w:pPr>
              <w:spacing w:after="0"/>
              <w:rPr>
                <w:sz w:val="20"/>
                <w:szCs w:val="20"/>
              </w:rPr>
            </w:pPr>
            <w:r>
              <w:rPr>
                <w:rFonts w:eastAsia="Calibri"/>
                <w:sz w:val="20"/>
                <w:szCs w:val="20"/>
              </w:rPr>
              <w:t>5</w:t>
            </w:r>
            <w:r w:rsidR="00EB1770">
              <w:rPr>
                <w:rFonts w:eastAsia="Calibri"/>
                <w:sz w:val="20"/>
                <w:szCs w:val="20"/>
              </w:rPr>
              <w:t xml:space="preserve">  (see Table 19)</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416CDAAB" w14:textId="5ECA1C29">
            <w:pPr>
              <w:spacing w:after="0"/>
              <w:rPr>
                <w:sz w:val="20"/>
                <w:szCs w:val="20"/>
              </w:rPr>
            </w:pPr>
            <w:r w:rsidRPr="00CC2BFB">
              <w:rPr>
                <w:rFonts w:eastAsia="Calibri"/>
                <w:sz w:val="20"/>
                <w:szCs w:val="20"/>
              </w:rPr>
              <w:t>-</w:t>
            </w:r>
            <w:r>
              <w:rPr>
                <w:rFonts w:eastAsia="Calibri"/>
                <w:sz w:val="20"/>
                <w:szCs w:val="20"/>
              </w:rPr>
              <w:t>18</w:t>
            </w:r>
            <w:r w:rsidRPr="00CC2BFB">
              <w:rPr>
                <w:rFonts w:eastAsia="Calibri"/>
                <w:sz w:val="20"/>
                <w:szCs w:val="20"/>
              </w:rPr>
              <w:t>.5</w:t>
            </w:r>
          </w:p>
        </w:tc>
      </w:tr>
      <w:tr w:rsidRPr="00C47150" w:rsidR="004362E6" w:rsidTr="00FC7A11" w14:paraId="11CB11BB" w14:textId="77777777">
        <w:trPr>
          <w:cantSplit/>
          <w:trHeight w:val="521"/>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4362E6" w:rsidP="004362E6" w:rsidRDefault="004362E6" w14:paraId="11035D1A" w14:textId="77777777">
            <w:pPr>
              <w:spacing w:after="0"/>
              <w:rPr>
                <w:sz w:val="20"/>
                <w:szCs w:val="20"/>
              </w:rPr>
            </w:pPr>
            <w:r w:rsidRPr="0047482B">
              <w:rPr>
                <w:sz w:val="20"/>
                <w:szCs w:val="20"/>
              </w:rPr>
              <w:t>§414.1360 (Improvement Activities Performance Category) Data Submission</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49175EB3" w14:textId="4BF6AAC2">
            <w:pPr>
              <w:spacing w:after="0"/>
              <w:rPr>
                <w:sz w:val="20"/>
                <w:szCs w:val="20"/>
              </w:rPr>
            </w:pPr>
            <w:r w:rsidRPr="00CC2BFB">
              <w:rPr>
                <w:rFonts w:eastAsia="Calibri"/>
                <w:sz w:val="20"/>
                <w:szCs w:val="20"/>
              </w:rPr>
              <w:t>136,004</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B37AE" w:rsidRDefault="004362E6" w14:paraId="2098D1F8" w14:textId="41CD6FA6">
            <w:pPr>
              <w:spacing w:after="0"/>
              <w:rPr>
                <w:sz w:val="20"/>
                <w:szCs w:val="20"/>
              </w:rPr>
            </w:pPr>
            <w:r w:rsidRPr="00CC2BFB">
              <w:rPr>
                <w:rFonts w:eastAsia="Calibri"/>
                <w:sz w:val="20"/>
                <w:szCs w:val="20"/>
              </w:rPr>
              <w:t>1</w:t>
            </w:r>
            <w:r>
              <w:rPr>
                <w:rFonts w:eastAsia="Calibri"/>
                <w:sz w:val="20"/>
                <w:szCs w:val="20"/>
              </w:rPr>
              <w:t>03,813</w:t>
            </w:r>
            <w:r w:rsidR="004B37AE">
              <w:rPr>
                <w:rFonts w:eastAsia="Calibri"/>
                <w:sz w:val="20"/>
                <w:szCs w:val="20"/>
              </w:rPr>
              <w:t xml:space="preserve">  (see Table 21)</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21BBE1E0" w14:textId="26CB71B6">
            <w:pPr>
              <w:spacing w:after="0"/>
              <w:rPr>
                <w:sz w:val="20"/>
                <w:szCs w:val="20"/>
              </w:rPr>
            </w:pPr>
            <w:r>
              <w:rPr>
                <w:rFonts w:eastAsia="Calibri"/>
                <w:sz w:val="20"/>
                <w:szCs w:val="20"/>
              </w:rPr>
              <w:t>-32,191</w:t>
            </w:r>
          </w:p>
        </w:tc>
        <w:tc>
          <w:tcPr>
            <w:tcW w:w="127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3FD50C7E" w14:textId="5FE17A37">
            <w:pPr>
              <w:spacing w:after="0"/>
              <w:rPr>
                <w:sz w:val="20"/>
                <w:szCs w:val="20"/>
              </w:rPr>
            </w:pPr>
            <w:r w:rsidRPr="00CC2BFB">
              <w:rPr>
                <w:rFonts w:eastAsia="Calibri"/>
                <w:sz w:val="20"/>
                <w:szCs w:val="20"/>
              </w:rPr>
              <w:t>11,334</w:t>
            </w:r>
          </w:p>
        </w:tc>
        <w:tc>
          <w:tcPr>
            <w:tcW w:w="1374" w:type="dxa"/>
            <w:tcBorders>
              <w:top w:val="nil"/>
              <w:left w:val="nil"/>
              <w:bottom w:val="single" w:color="auto" w:sz="4" w:space="0"/>
              <w:right w:val="single" w:color="auto" w:sz="4" w:space="0"/>
            </w:tcBorders>
            <w:shd w:val="clear" w:color="auto" w:fill="auto"/>
            <w:noWrap/>
            <w:vAlign w:val="center"/>
          </w:tcPr>
          <w:p w:rsidRPr="0047482B" w:rsidR="004362E6" w:rsidP="004B37AE" w:rsidRDefault="004362E6" w14:paraId="6B4D0780" w14:textId="58CD13EF">
            <w:pPr>
              <w:spacing w:after="0"/>
              <w:rPr>
                <w:sz w:val="20"/>
                <w:szCs w:val="20"/>
              </w:rPr>
            </w:pPr>
            <w:r>
              <w:rPr>
                <w:rFonts w:eastAsia="Calibri"/>
                <w:sz w:val="20"/>
                <w:szCs w:val="20"/>
              </w:rPr>
              <w:t>8,651</w:t>
            </w:r>
            <w:r w:rsidR="004B37AE">
              <w:rPr>
                <w:rFonts w:eastAsia="Calibri"/>
                <w:sz w:val="20"/>
                <w:szCs w:val="20"/>
              </w:rPr>
              <w:t xml:space="preserve">  (see Table 21)</w:t>
            </w:r>
          </w:p>
        </w:tc>
        <w:tc>
          <w:tcPr>
            <w:tcW w:w="1374" w:type="dxa"/>
            <w:tcBorders>
              <w:top w:val="nil"/>
              <w:left w:val="nil"/>
              <w:bottom w:val="single" w:color="auto" w:sz="4" w:space="0"/>
              <w:right w:val="single" w:color="auto" w:sz="4" w:space="0"/>
            </w:tcBorders>
            <w:shd w:val="clear" w:color="auto" w:fill="auto"/>
            <w:vAlign w:val="center"/>
          </w:tcPr>
          <w:p w:rsidRPr="0047482B" w:rsidR="004362E6" w:rsidP="004362E6" w:rsidRDefault="004362E6" w14:paraId="0525AF84" w14:textId="1BCD4C8F">
            <w:pPr>
              <w:spacing w:after="0"/>
              <w:rPr>
                <w:sz w:val="20"/>
                <w:szCs w:val="20"/>
              </w:rPr>
            </w:pPr>
            <w:r>
              <w:rPr>
                <w:rFonts w:eastAsia="Calibri"/>
                <w:sz w:val="20"/>
                <w:szCs w:val="20"/>
              </w:rPr>
              <w:t>-2,683</w:t>
            </w:r>
          </w:p>
        </w:tc>
      </w:tr>
      <w:tr w:rsidRPr="00C47150" w:rsidR="004362E6" w:rsidTr="00FC7A11" w14:paraId="7C6D76E8" w14:textId="77777777">
        <w:trPr>
          <w:cantSplit/>
          <w:trHeight w:val="737"/>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4362E6" w:rsidP="004362E6" w:rsidRDefault="004362E6" w14:paraId="3673DDF1" w14:textId="77777777">
            <w:pPr>
              <w:spacing w:after="0"/>
              <w:rPr>
                <w:sz w:val="20"/>
                <w:szCs w:val="20"/>
              </w:rPr>
            </w:pPr>
            <w:r w:rsidRPr="0047482B">
              <w:rPr>
                <w:sz w:val="20"/>
                <w:szCs w:val="20"/>
              </w:rPr>
              <w:t>§414.1360 (Improvement Activities Performance Category) Nomination of Improvement Activities</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16164A6F" w14:textId="2087D257">
            <w:pPr>
              <w:spacing w:after="0"/>
              <w:rPr>
                <w:sz w:val="20"/>
                <w:szCs w:val="20"/>
              </w:rPr>
            </w:pPr>
            <w:r w:rsidRPr="00CC2BFB">
              <w:rPr>
                <w:rFonts w:eastAsia="Calibri"/>
                <w:sz w:val="20"/>
                <w:szCs w:val="20"/>
              </w:rPr>
              <w:t>125</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556FDC" w:rsidRDefault="004362E6" w14:paraId="70323CAB" w14:textId="1A49BFC8">
            <w:pPr>
              <w:spacing w:after="0"/>
              <w:rPr>
                <w:sz w:val="20"/>
                <w:szCs w:val="20"/>
              </w:rPr>
            </w:pPr>
            <w:r>
              <w:rPr>
                <w:rFonts w:eastAsia="Calibri"/>
                <w:sz w:val="20"/>
                <w:szCs w:val="20"/>
              </w:rPr>
              <w:t>31</w:t>
            </w:r>
            <w:r w:rsidR="00556FDC">
              <w:rPr>
                <w:rFonts w:eastAsia="Calibri"/>
                <w:sz w:val="20"/>
                <w:szCs w:val="20"/>
              </w:rPr>
              <w:t xml:space="preserve">  (see Table 22)</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524E5CBD" w14:textId="6BFF3069">
            <w:pPr>
              <w:spacing w:after="0"/>
              <w:rPr>
                <w:sz w:val="20"/>
                <w:szCs w:val="20"/>
              </w:rPr>
            </w:pPr>
            <w:r>
              <w:rPr>
                <w:rFonts w:eastAsia="Calibri"/>
                <w:sz w:val="20"/>
                <w:szCs w:val="20"/>
              </w:rPr>
              <w:t>-94</w:t>
            </w:r>
          </w:p>
        </w:tc>
        <w:tc>
          <w:tcPr>
            <w:tcW w:w="127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234898CD" w14:textId="36CF8BA7">
            <w:pPr>
              <w:spacing w:after="0"/>
              <w:rPr>
                <w:sz w:val="20"/>
                <w:szCs w:val="20"/>
              </w:rPr>
            </w:pPr>
            <w:r w:rsidRPr="00CC2BFB">
              <w:rPr>
                <w:rFonts w:eastAsia="Calibri"/>
                <w:sz w:val="20"/>
                <w:szCs w:val="20"/>
              </w:rPr>
              <w:t>250</w:t>
            </w:r>
          </w:p>
        </w:tc>
        <w:tc>
          <w:tcPr>
            <w:tcW w:w="1374" w:type="dxa"/>
            <w:tcBorders>
              <w:top w:val="nil"/>
              <w:left w:val="nil"/>
              <w:bottom w:val="single" w:color="auto" w:sz="4" w:space="0"/>
              <w:right w:val="single" w:color="auto" w:sz="4" w:space="0"/>
            </w:tcBorders>
            <w:shd w:val="clear" w:color="auto" w:fill="auto"/>
            <w:noWrap/>
            <w:vAlign w:val="center"/>
          </w:tcPr>
          <w:p w:rsidRPr="0047482B" w:rsidR="004362E6" w:rsidP="00556FDC" w:rsidRDefault="004362E6" w14:paraId="331AB7A8" w14:textId="25A77F2C">
            <w:pPr>
              <w:spacing w:after="0"/>
              <w:rPr>
                <w:sz w:val="20"/>
                <w:szCs w:val="20"/>
              </w:rPr>
            </w:pPr>
            <w:r>
              <w:rPr>
                <w:rFonts w:eastAsia="Calibri"/>
                <w:sz w:val="20"/>
                <w:szCs w:val="20"/>
              </w:rPr>
              <w:t>62</w:t>
            </w:r>
            <w:r w:rsidR="00556FDC">
              <w:rPr>
                <w:rFonts w:eastAsia="Calibri"/>
                <w:sz w:val="20"/>
                <w:szCs w:val="20"/>
              </w:rPr>
              <w:t xml:space="preserve">  (see Table 22)</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230470F0" w14:textId="7E163D65">
            <w:pPr>
              <w:spacing w:after="0"/>
              <w:rPr>
                <w:sz w:val="20"/>
                <w:szCs w:val="20"/>
              </w:rPr>
            </w:pPr>
            <w:r>
              <w:rPr>
                <w:rFonts w:eastAsia="Calibri"/>
                <w:sz w:val="20"/>
                <w:szCs w:val="20"/>
              </w:rPr>
              <w:t>-188</w:t>
            </w:r>
          </w:p>
        </w:tc>
      </w:tr>
      <w:tr w:rsidRPr="00C47150" w:rsidR="004362E6" w:rsidTr="00FC7A11" w14:paraId="6C052F7C" w14:textId="77777777">
        <w:trPr>
          <w:cantSplit/>
          <w:trHeight w:val="692"/>
          <w:jc w:val="center"/>
        </w:trPr>
        <w:tc>
          <w:tcPr>
            <w:tcW w:w="3145" w:type="dxa"/>
            <w:tcBorders>
              <w:top w:val="nil"/>
              <w:left w:val="single" w:color="auto" w:sz="4" w:space="0"/>
              <w:bottom w:val="single" w:color="auto" w:sz="4" w:space="0"/>
              <w:right w:val="single" w:color="auto" w:sz="4" w:space="0"/>
            </w:tcBorders>
            <w:shd w:val="clear" w:color="auto" w:fill="auto"/>
          </w:tcPr>
          <w:p w:rsidRPr="0047482B" w:rsidR="004362E6" w:rsidP="004362E6" w:rsidRDefault="004362E6" w14:paraId="0E77ACAD" w14:textId="77777777">
            <w:pPr>
              <w:spacing w:after="0"/>
              <w:rPr>
                <w:sz w:val="20"/>
                <w:szCs w:val="20"/>
              </w:rPr>
            </w:pPr>
            <w:r w:rsidRPr="0047482B">
              <w:rPr>
                <w:sz w:val="20"/>
                <w:szCs w:val="20"/>
              </w:rPr>
              <w:t>§414.1430 Partial Qualifying APM Participant (QP) Election</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20282F35" w14:textId="0D433557">
            <w:pPr>
              <w:spacing w:after="0"/>
              <w:rPr>
                <w:sz w:val="20"/>
                <w:szCs w:val="20"/>
              </w:rPr>
            </w:pPr>
            <w:r w:rsidRPr="00CC2BFB">
              <w:rPr>
                <w:rFonts w:eastAsia="Calibri"/>
                <w:sz w:val="20"/>
                <w:szCs w:val="20"/>
              </w:rPr>
              <w:t>81</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40A7CD3C" w14:textId="2EFBC3D0">
            <w:pPr>
              <w:spacing w:after="0"/>
              <w:rPr>
                <w:sz w:val="20"/>
                <w:szCs w:val="20"/>
              </w:rPr>
            </w:pPr>
            <w:r w:rsidRPr="00CC2BFB">
              <w:rPr>
                <w:rFonts w:eastAsia="Calibri"/>
                <w:sz w:val="20"/>
                <w:szCs w:val="20"/>
              </w:rPr>
              <w:t>2,02</w:t>
            </w:r>
            <w:r w:rsidR="003F5D03">
              <w:rPr>
                <w:rFonts w:eastAsia="Calibri"/>
                <w:sz w:val="20"/>
                <w:szCs w:val="20"/>
              </w:rPr>
              <w:t>2</w:t>
            </w:r>
            <w:r w:rsidR="00E17709">
              <w:rPr>
                <w:rFonts w:eastAsia="Calibri"/>
                <w:sz w:val="20"/>
                <w:szCs w:val="20"/>
              </w:rPr>
              <w:t xml:space="preserve">  (see Table 23)</w:t>
            </w:r>
          </w:p>
        </w:tc>
        <w:tc>
          <w:tcPr>
            <w:tcW w:w="135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00794D7E" w14:textId="3AF7FC67">
            <w:pPr>
              <w:spacing w:after="0"/>
              <w:rPr>
                <w:sz w:val="20"/>
                <w:szCs w:val="20"/>
              </w:rPr>
            </w:pPr>
            <w:r w:rsidRPr="00CC2BFB">
              <w:rPr>
                <w:rFonts w:eastAsia="Calibri"/>
                <w:sz w:val="20"/>
                <w:szCs w:val="20"/>
              </w:rPr>
              <w:t>1,94</w:t>
            </w:r>
            <w:r w:rsidR="003F5D03">
              <w:rPr>
                <w:rFonts w:eastAsia="Calibri"/>
                <w:sz w:val="20"/>
                <w:szCs w:val="20"/>
              </w:rPr>
              <w:t>1</w:t>
            </w:r>
          </w:p>
        </w:tc>
        <w:tc>
          <w:tcPr>
            <w:tcW w:w="1270"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489E9451" w14:textId="25DD96E3">
            <w:pPr>
              <w:spacing w:after="0"/>
              <w:rPr>
                <w:sz w:val="20"/>
                <w:szCs w:val="20"/>
              </w:rPr>
            </w:pPr>
            <w:r w:rsidRPr="00CC2BFB">
              <w:rPr>
                <w:rFonts w:eastAsia="Calibri"/>
                <w:sz w:val="20"/>
                <w:szCs w:val="20"/>
              </w:rPr>
              <w:t>20.25</w:t>
            </w:r>
          </w:p>
        </w:tc>
        <w:tc>
          <w:tcPr>
            <w:tcW w:w="1374" w:type="dxa"/>
            <w:tcBorders>
              <w:top w:val="nil"/>
              <w:left w:val="nil"/>
              <w:bottom w:val="single" w:color="auto" w:sz="4" w:space="0"/>
              <w:right w:val="single" w:color="auto" w:sz="4" w:space="0"/>
            </w:tcBorders>
            <w:shd w:val="clear" w:color="auto" w:fill="auto"/>
            <w:noWrap/>
            <w:vAlign w:val="center"/>
          </w:tcPr>
          <w:p w:rsidRPr="0047482B" w:rsidR="004362E6" w:rsidP="004362E6" w:rsidRDefault="004362E6" w14:paraId="06ACD474" w14:textId="574E539F">
            <w:pPr>
              <w:spacing w:after="0"/>
              <w:rPr>
                <w:sz w:val="20"/>
                <w:szCs w:val="20"/>
              </w:rPr>
            </w:pPr>
            <w:r w:rsidRPr="00CC2BFB">
              <w:rPr>
                <w:rFonts w:eastAsia="Calibri"/>
                <w:sz w:val="20"/>
                <w:szCs w:val="20"/>
              </w:rPr>
              <w:t>50</w:t>
            </w:r>
            <w:r w:rsidR="003F5D03">
              <w:rPr>
                <w:rFonts w:eastAsia="Calibri"/>
                <w:sz w:val="20"/>
                <w:szCs w:val="20"/>
              </w:rPr>
              <w:t>5.5</w:t>
            </w:r>
            <w:r w:rsidR="00E17709">
              <w:rPr>
                <w:rFonts w:eastAsia="Calibri"/>
                <w:sz w:val="20"/>
                <w:szCs w:val="20"/>
              </w:rPr>
              <w:t xml:space="preserve">  (see Table 23)</w:t>
            </w:r>
          </w:p>
        </w:tc>
        <w:tc>
          <w:tcPr>
            <w:tcW w:w="1374" w:type="dxa"/>
            <w:tcBorders>
              <w:top w:val="nil"/>
              <w:left w:val="nil"/>
              <w:bottom w:val="single" w:color="auto" w:sz="4" w:space="0"/>
              <w:right w:val="single" w:color="auto" w:sz="4" w:space="0"/>
            </w:tcBorders>
            <w:vAlign w:val="center"/>
          </w:tcPr>
          <w:p w:rsidRPr="0047482B" w:rsidR="004362E6" w:rsidP="004362E6" w:rsidRDefault="004362E6" w14:paraId="2F5F09BC" w14:textId="08C6A6D7">
            <w:pPr>
              <w:spacing w:after="0"/>
              <w:rPr>
                <w:sz w:val="20"/>
                <w:szCs w:val="20"/>
              </w:rPr>
            </w:pPr>
            <w:r w:rsidRPr="00CC2BFB">
              <w:rPr>
                <w:rFonts w:eastAsia="Calibri"/>
                <w:sz w:val="20"/>
                <w:szCs w:val="20"/>
              </w:rPr>
              <w:t>485.</w:t>
            </w:r>
            <w:r w:rsidR="003F5D03">
              <w:rPr>
                <w:rFonts w:eastAsia="Calibri"/>
                <w:sz w:val="20"/>
                <w:szCs w:val="20"/>
              </w:rPr>
              <w:t>2</w:t>
            </w:r>
            <w:r w:rsidRPr="00CC2BFB">
              <w:rPr>
                <w:rFonts w:eastAsia="Calibri"/>
                <w:sz w:val="20"/>
                <w:szCs w:val="20"/>
              </w:rPr>
              <w:t>5</w:t>
            </w:r>
          </w:p>
        </w:tc>
      </w:tr>
      <w:tr w:rsidRPr="00C47150" w:rsidR="00DA3BC3" w:rsidTr="00FC7A11" w14:paraId="0E1D1232" w14:textId="77777777">
        <w:trPr>
          <w:cantSplit/>
          <w:trHeight w:val="804"/>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DA3BC3" w:rsidP="00FC7A11" w:rsidRDefault="00DA3BC3" w14:paraId="1DFB9F1C" w14:textId="77777777">
            <w:pPr>
              <w:spacing w:after="0"/>
              <w:rPr>
                <w:sz w:val="20"/>
                <w:szCs w:val="20"/>
              </w:rPr>
            </w:pPr>
            <w:r w:rsidRPr="0047482B">
              <w:rPr>
                <w:sz w:val="20"/>
                <w:szCs w:val="20"/>
              </w:rPr>
              <w:t>§414.144</w:t>
            </w:r>
            <w:r>
              <w:rPr>
                <w:sz w:val="20"/>
                <w:szCs w:val="20"/>
              </w:rPr>
              <w:t>0</w:t>
            </w:r>
            <w:r w:rsidRPr="0047482B">
              <w:rPr>
                <w:sz w:val="20"/>
                <w:szCs w:val="20"/>
              </w:rPr>
              <w:t xml:space="preserve"> Other Payer Advanced APM Identification: Payer Initiated Process</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DA3BC3" w:rsidP="00FC7A11" w:rsidRDefault="00DA3BC3" w14:paraId="5913C0C6" w14:textId="00FA8255">
            <w:pPr>
              <w:spacing w:after="0"/>
              <w:rPr>
                <w:sz w:val="20"/>
                <w:szCs w:val="20"/>
              </w:rPr>
            </w:pPr>
            <w:r w:rsidRPr="009C4D33">
              <w:rPr>
                <w:rFonts w:eastAsia="Calibri"/>
                <w:sz w:val="20"/>
                <w:szCs w:val="20"/>
              </w:rPr>
              <w:t>215</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DA3BC3" w:rsidP="00E17709" w:rsidRDefault="00DA3BC3" w14:paraId="65D75055" w14:textId="4D00DC84">
            <w:pPr>
              <w:spacing w:after="0"/>
              <w:rPr>
                <w:sz w:val="20"/>
                <w:szCs w:val="20"/>
              </w:rPr>
            </w:pPr>
            <w:r>
              <w:rPr>
                <w:rFonts w:eastAsia="Calibri"/>
                <w:sz w:val="20"/>
                <w:szCs w:val="20"/>
              </w:rPr>
              <w:t>110</w:t>
            </w:r>
            <w:r w:rsidR="00E17709">
              <w:rPr>
                <w:rFonts w:eastAsia="Calibri"/>
                <w:sz w:val="20"/>
                <w:szCs w:val="20"/>
              </w:rPr>
              <w:t xml:space="preserve">  (see Table 24)</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DA3BC3" w:rsidP="00FC7A11" w:rsidRDefault="00DA3BC3" w14:paraId="1031B602" w14:textId="5D1E41A5">
            <w:pPr>
              <w:spacing w:after="0"/>
              <w:rPr>
                <w:sz w:val="20"/>
                <w:szCs w:val="20"/>
              </w:rPr>
            </w:pPr>
            <w:r>
              <w:rPr>
                <w:rFonts w:eastAsia="Calibri"/>
                <w:sz w:val="20"/>
                <w:szCs w:val="20"/>
              </w:rPr>
              <w:t>-105</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DA3BC3" w:rsidP="00FC7A11" w:rsidRDefault="00DA3BC3" w14:paraId="5E201822" w14:textId="0226E35E">
            <w:pPr>
              <w:spacing w:after="0"/>
              <w:rPr>
                <w:sz w:val="20"/>
                <w:szCs w:val="20"/>
              </w:rPr>
            </w:pPr>
            <w:r w:rsidRPr="009C4D33">
              <w:rPr>
                <w:rFonts w:eastAsia="Calibri"/>
                <w:sz w:val="20"/>
                <w:szCs w:val="20"/>
              </w:rPr>
              <w:t>2,150</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DA3BC3" w:rsidP="00E17709" w:rsidRDefault="00DA3BC3" w14:paraId="104AAD0B" w14:textId="0BDFEF38">
            <w:pPr>
              <w:spacing w:after="0"/>
              <w:rPr>
                <w:sz w:val="20"/>
                <w:szCs w:val="20"/>
              </w:rPr>
            </w:pPr>
            <w:r>
              <w:rPr>
                <w:rFonts w:eastAsia="Calibri"/>
                <w:sz w:val="20"/>
                <w:szCs w:val="20"/>
              </w:rPr>
              <w:t>1,100</w:t>
            </w:r>
            <w:r w:rsidR="00E17709">
              <w:rPr>
                <w:rFonts w:eastAsia="Calibri"/>
                <w:sz w:val="20"/>
                <w:szCs w:val="20"/>
              </w:rPr>
              <w:t xml:space="preserve">  (see Table 24)</w:t>
            </w:r>
          </w:p>
        </w:tc>
        <w:tc>
          <w:tcPr>
            <w:tcW w:w="1374" w:type="dxa"/>
            <w:tcBorders>
              <w:top w:val="nil"/>
              <w:left w:val="nil"/>
              <w:bottom w:val="single" w:color="auto" w:sz="4" w:space="0"/>
              <w:right w:val="single" w:color="auto" w:sz="4" w:space="0"/>
            </w:tcBorders>
            <w:vAlign w:val="center"/>
          </w:tcPr>
          <w:p w:rsidRPr="0047482B" w:rsidR="00DA3BC3" w:rsidP="00FC7A11" w:rsidRDefault="00DA3BC3" w14:paraId="1BDD2690" w14:textId="7BE4D9E5">
            <w:pPr>
              <w:spacing w:after="0"/>
              <w:rPr>
                <w:sz w:val="20"/>
                <w:szCs w:val="20"/>
              </w:rPr>
            </w:pPr>
            <w:r>
              <w:rPr>
                <w:rFonts w:eastAsia="Calibri"/>
                <w:sz w:val="20"/>
                <w:szCs w:val="20"/>
              </w:rPr>
              <w:t>-1,050</w:t>
            </w:r>
          </w:p>
        </w:tc>
      </w:tr>
      <w:tr w:rsidRPr="00C47150" w:rsidR="003879F0" w:rsidTr="00FC7A11" w14:paraId="5F39917D" w14:textId="77777777">
        <w:trPr>
          <w:cantSplit/>
          <w:trHeight w:val="804"/>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3879F0" w:rsidP="00FC7A11" w:rsidRDefault="003879F0" w14:paraId="0C4FBE44" w14:textId="5E6A3058">
            <w:pPr>
              <w:spacing w:after="0"/>
              <w:rPr>
                <w:sz w:val="20"/>
                <w:szCs w:val="20"/>
              </w:rPr>
            </w:pPr>
            <w:r w:rsidRPr="0047482B">
              <w:rPr>
                <w:sz w:val="20"/>
                <w:szCs w:val="20"/>
              </w:rPr>
              <w:t xml:space="preserve">§414.1445 Other Payer Advanced APM Identification: </w:t>
            </w:r>
            <w:r>
              <w:rPr>
                <w:sz w:val="20"/>
                <w:szCs w:val="20"/>
              </w:rPr>
              <w:t xml:space="preserve">Eligible </w:t>
            </w:r>
            <w:r w:rsidRPr="0047482B">
              <w:rPr>
                <w:sz w:val="20"/>
                <w:szCs w:val="20"/>
              </w:rPr>
              <w:t>Clinician Initiated Process</w:t>
            </w:r>
          </w:p>
          <w:p w:rsidRPr="0047482B" w:rsidR="003879F0" w:rsidP="00FC7A11" w:rsidRDefault="003879F0" w14:paraId="6A42EFB9" w14:textId="77777777">
            <w:pPr>
              <w:spacing w:after="0"/>
              <w:rPr>
                <w:sz w:val="20"/>
                <w:szCs w:val="20"/>
              </w:rPr>
            </w:pP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3879F0" w:rsidP="00FC7A11" w:rsidRDefault="00BA1F45" w14:paraId="24F36ED1" w14:textId="13E7502C">
            <w:pPr>
              <w:spacing w:after="0"/>
              <w:rPr>
                <w:sz w:val="20"/>
                <w:szCs w:val="20"/>
              </w:rPr>
            </w:pPr>
            <w:r>
              <w:rPr>
                <w:rFonts w:eastAsia="Calibri"/>
                <w:sz w:val="20"/>
                <w:szCs w:val="20"/>
              </w:rPr>
              <w:t>150</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3879F0" w:rsidP="00E17709" w:rsidRDefault="00BA1F45" w14:paraId="29EEFCE7" w14:textId="54FDDF8F">
            <w:pPr>
              <w:spacing w:after="0"/>
              <w:rPr>
                <w:sz w:val="20"/>
                <w:szCs w:val="20"/>
              </w:rPr>
            </w:pPr>
            <w:r>
              <w:rPr>
                <w:rFonts w:eastAsia="Calibri"/>
                <w:sz w:val="20"/>
                <w:szCs w:val="20"/>
              </w:rPr>
              <w:t>150</w:t>
            </w:r>
            <w:r w:rsidR="00E17709">
              <w:rPr>
                <w:rFonts w:eastAsia="Calibri"/>
                <w:sz w:val="20"/>
                <w:szCs w:val="20"/>
              </w:rPr>
              <w:t xml:space="preserve">  (see Table 25)</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3879F0" w:rsidP="00FC7A11" w:rsidRDefault="00BA1F45" w14:paraId="5068ED81" w14:textId="58CB08A5">
            <w:pPr>
              <w:spacing w:after="0"/>
              <w:rPr>
                <w:sz w:val="20"/>
                <w:szCs w:val="20"/>
              </w:rPr>
            </w:pPr>
            <w:r>
              <w:rPr>
                <w:rFonts w:eastAsia="Calibri"/>
                <w:sz w:val="20"/>
                <w:szCs w:val="20"/>
              </w:rPr>
              <w:t>0</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3879F0" w:rsidP="00FC7A11" w:rsidRDefault="003749F4" w14:paraId="646C418E" w14:textId="2338E811">
            <w:pPr>
              <w:spacing w:after="0"/>
              <w:rPr>
                <w:sz w:val="20"/>
                <w:szCs w:val="20"/>
              </w:rPr>
            </w:pPr>
            <w:r>
              <w:rPr>
                <w:rFonts w:eastAsia="Calibri"/>
                <w:sz w:val="20"/>
                <w:szCs w:val="20"/>
              </w:rPr>
              <w:t>1,500</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3879F0" w:rsidP="00E17709" w:rsidRDefault="003749F4" w14:paraId="281BE0AB" w14:textId="47B0DE3F">
            <w:pPr>
              <w:spacing w:after="0"/>
              <w:rPr>
                <w:sz w:val="20"/>
                <w:szCs w:val="20"/>
              </w:rPr>
            </w:pPr>
            <w:r>
              <w:rPr>
                <w:rFonts w:eastAsia="Calibri"/>
                <w:sz w:val="20"/>
                <w:szCs w:val="20"/>
              </w:rPr>
              <w:t>1,50</w:t>
            </w:r>
            <w:r w:rsidR="00BA1F45">
              <w:rPr>
                <w:rFonts w:eastAsia="Calibri"/>
                <w:sz w:val="20"/>
                <w:szCs w:val="20"/>
              </w:rPr>
              <w:t>0</w:t>
            </w:r>
            <w:r w:rsidR="00E17709">
              <w:rPr>
                <w:rFonts w:eastAsia="Calibri"/>
                <w:sz w:val="20"/>
                <w:szCs w:val="20"/>
              </w:rPr>
              <w:t xml:space="preserve">  (see Table 25)</w:t>
            </w:r>
          </w:p>
        </w:tc>
        <w:tc>
          <w:tcPr>
            <w:tcW w:w="1374" w:type="dxa"/>
            <w:tcBorders>
              <w:top w:val="nil"/>
              <w:left w:val="nil"/>
              <w:bottom w:val="single" w:color="auto" w:sz="4" w:space="0"/>
              <w:right w:val="single" w:color="auto" w:sz="4" w:space="0"/>
            </w:tcBorders>
            <w:vAlign w:val="center"/>
          </w:tcPr>
          <w:p w:rsidRPr="0047482B" w:rsidR="003879F0" w:rsidP="00FC7A11" w:rsidRDefault="00BA1F45" w14:paraId="5086D22B" w14:textId="4ECDD9B4">
            <w:pPr>
              <w:spacing w:after="0"/>
              <w:rPr>
                <w:sz w:val="20"/>
                <w:szCs w:val="20"/>
              </w:rPr>
            </w:pPr>
            <w:r>
              <w:rPr>
                <w:rFonts w:eastAsia="Calibri"/>
                <w:sz w:val="20"/>
                <w:szCs w:val="20"/>
              </w:rPr>
              <w:t>0</w:t>
            </w:r>
          </w:p>
        </w:tc>
      </w:tr>
      <w:tr w:rsidRPr="00C47150" w:rsidR="00CC3118" w:rsidTr="00FC7A11" w14:paraId="1C27C06E" w14:textId="77777777">
        <w:trPr>
          <w:cantSplit/>
          <w:trHeight w:val="539"/>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CC3118" w:rsidP="00CC3118" w:rsidRDefault="00CC3118" w14:paraId="3E8F4865" w14:textId="77777777">
            <w:pPr>
              <w:spacing w:after="0"/>
              <w:rPr>
                <w:sz w:val="20"/>
                <w:szCs w:val="20"/>
              </w:rPr>
            </w:pPr>
            <w:r w:rsidRPr="0047482B">
              <w:rPr>
                <w:sz w:val="20"/>
                <w:szCs w:val="20"/>
              </w:rPr>
              <w:t xml:space="preserve">§414.1440 </w:t>
            </w:r>
            <w:r w:rsidRPr="004248DC">
              <w:rPr>
                <w:sz w:val="20"/>
                <w:szCs w:val="20"/>
              </w:rPr>
              <w:t>Submission of Data for All-Payer QP Determinations under the All-Payer Combination Option</w:t>
            </w:r>
          </w:p>
        </w:tc>
        <w:tc>
          <w:tcPr>
            <w:tcW w:w="1350" w:type="dxa"/>
            <w:tcBorders>
              <w:top w:val="nil"/>
              <w:left w:val="nil"/>
              <w:bottom w:val="single" w:color="auto" w:sz="4" w:space="0"/>
              <w:right w:val="single" w:color="auto" w:sz="4" w:space="0"/>
            </w:tcBorders>
            <w:shd w:val="clear" w:color="auto" w:fill="auto"/>
            <w:noWrap/>
            <w:vAlign w:val="center"/>
          </w:tcPr>
          <w:p w:rsidRPr="0047482B" w:rsidR="00CC3118" w:rsidP="00CC3118" w:rsidRDefault="00CC3118" w14:paraId="19D91852" w14:textId="782ECB47">
            <w:pPr>
              <w:spacing w:after="0"/>
              <w:rPr>
                <w:sz w:val="20"/>
                <w:szCs w:val="20"/>
              </w:rPr>
            </w:pPr>
            <w:r w:rsidRPr="009C4D33">
              <w:rPr>
                <w:rFonts w:eastAsia="Calibri"/>
                <w:sz w:val="20"/>
                <w:szCs w:val="20"/>
              </w:rPr>
              <w:t>309</w:t>
            </w:r>
          </w:p>
        </w:tc>
        <w:tc>
          <w:tcPr>
            <w:tcW w:w="1350" w:type="dxa"/>
            <w:tcBorders>
              <w:top w:val="nil"/>
              <w:left w:val="nil"/>
              <w:bottom w:val="single" w:color="auto" w:sz="4" w:space="0"/>
              <w:right w:val="single" w:color="auto" w:sz="4" w:space="0"/>
            </w:tcBorders>
            <w:shd w:val="clear" w:color="auto" w:fill="auto"/>
            <w:noWrap/>
            <w:vAlign w:val="center"/>
          </w:tcPr>
          <w:p w:rsidRPr="00CC3118" w:rsidR="00CC3118" w:rsidP="00E17709" w:rsidRDefault="00CC3118" w14:paraId="3886BC29" w14:textId="46C1FF2E">
            <w:pPr>
              <w:spacing w:after="0"/>
              <w:rPr>
                <w:sz w:val="20"/>
                <w:szCs w:val="20"/>
              </w:rPr>
            </w:pPr>
            <w:r w:rsidRPr="00CC3118">
              <w:rPr>
                <w:rFonts w:eastAsia="Calibri"/>
                <w:sz w:val="20"/>
                <w:szCs w:val="20"/>
              </w:rPr>
              <w:t>551</w:t>
            </w:r>
            <w:r w:rsidR="00E17709">
              <w:rPr>
                <w:rFonts w:eastAsia="Calibri"/>
                <w:sz w:val="20"/>
                <w:szCs w:val="20"/>
              </w:rPr>
              <w:t xml:space="preserve">  (see Table 26)</w:t>
            </w:r>
          </w:p>
        </w:tc>
        <w:tc>
          <w:tcPr>
            <w:tcW w:w="1350" w:type="dxa"/>
            <w:tcBorders>
              <w:top w:val="nil"/>
              <w:left w:val="nil"/>
              <w:bottom w:val="single" w:color="auto" w:sz="4" w:space="0"/>
              <w:right w:val="single" w:color="auto" w:sz="4" w:space="0"/>
            </w:tcBorders>
            <w:shd w:val="clear" w:color="auto" w:fill="auto"/>
            <w:noWrap/>
            <w:vAlign w:val="center"/>
          </w:tcPr>
          <w:p w:rsidRPr="00CC3118" w:rsidR="00CC3118" w:rsidP="00CC3118" w:rsidRDefault="00CC3118" w14:paraId="23ED377B" w14:textId="62914647">
            <w:pPr>
              <w:spacing w:after="0"/>
              <w:rPr>
                <w:sz w:val="20"/>
                <w:szCs w:val="20"/>
              </w:rPr>
            </w:pPr>
            <w:r w:rsidRPr="00CC3118">
              <w:rPr>
                <w:rFonts w:eastAsia="Calibri"/>
                <w:sz w:val="20"/>
                <w:szCs w:val="20"/>
              </w:rPr>
              <w:t>242</w:t>
            </w:r>
          </w:p>
        </w:tc>
        <w:tc>
          <w:tcPr>
            <w:tcW w:w="1270" w:type="dxa"/>
            <w:tcBorders>
              <w:top w:val="nil"/>
              <w:left w:val="nil"/>
              <w:bottom w:val="single" w:color="auto" w:sz="4" w:space="0"/>
              <w:right w:val="single" w:color="auto" w:sz="4" w:space="0"/>
            </w:tcBorders>
            <w:shd w:val="clear" w:color="auto" w:fill="auto"/>
            <w:noWrap/>
            <w:vAlign w:val="center"/>
            <w:hideMark/>
          </w:tcPr>
          <w:p w:rsidRPr="00CC3118" w:rsidR="00CC3118" w:rsidP="00CC3118" w:rsidRDefault="00CC3118" w14:paraId="5E762134" w14:textId="65BBC212">
            <w:pPr>
              <w:spacing w:after="0"/>
              <w:rPr>
                <w:sz w:val="20"/>
                <w:szCs w:val="20"/>
              </w:rPr>
            </w:pPr>
            <w:r w:rsidRPr="00CC3118">
              <w:rPr>
                <w:rFonts w:eastAsia="Calibri"/>
                <w:sz w:val="20"/>
                <w:szCs w:val="20"/>
              </w:rPr>
              <w:t>1,545</w:t>
            </w:r>
          </w:p>
        </w:tc>
        <w:tc>
          <w:tcPr>
            <w:tcW w:w="1374" w:type="dxa"/>
            <w:tcBorders>
              <w:top w:val="nil"/>
              <w:left w:val="nil"/>
              <w:bottom w:val="single" w:color="auto" w:sz="4" w:space="0"/>
              <w:right w:val="single" w:color="auto" w:sz="4" w:space="0"/>
            </w:tcBorders>
            <w:shd w:val="clear" w:color="auto" w:fill="auto"/>
            <w:noWrap/>
            <w:vAlign w:val="center"/>
            <w:hideMark/>
          </w:tcPr>
          <w:p w:rsidRPr="00CC3118" w:rsidR="00CC3118" w:rsidP="00E17709" w:rsidRDefault="00CC3118" w14:paraId="74E4B894" w14:textId="5369AEAD">
            <w:pPr>
              <w:spacing w:after="0"/>
              <w:rPr>
                <w:sz w:val="20"/>
                <w:szCs w:val="20"/>
              </w:rPr>
            </w:pPr>
            <w:r w:rsidRPr="00CC3118">
              <w:rPr>
                <w:rFonts w:eastAsia="Calibri"/>
                <w:sz w:val="20"/>
                <w:szCs w:val="20"/>
              </w:rPr>
              <w:t>2,755</w:t>
            </w:r>
            <w:r w:rsidR="00E17709">
              <w:rPr>
                <w:rFonts w:eastAsia="Calibri"/>
                <w:sz w:val="20"/>
                <w:szCs w:val="20"/>
              </w:rPr>
              <w:t xml:space="preserve"> (see Table 26)</w:t>
            </w:r>
          </w:p>
        </w:tc>
        <w:tc>
          <w:tcPr>
            <w:tcW w:w="1374" w:type="dxa"/>
            <w:tcBorders>
              <w:top w:val="nil"/>
              <w:left w:val="nil"/>
              <w:bottom w:val="single" w:color="auto" w:sz="4" w:space="0"/>
              <w:right w:val="single" w:color="auto" w:sz="4" w:space="0"/>
            </w:tcBorders>
            <w:vAlign w:val="center"/>
          </w:tcPr>
          <w:p w:rsidRPr="00CC3118" w:rsidR="00CC3118" w:rsidP="00CC3118" w:rsidRDefault="00CC3118" w14:paraId="058A0D2A" w14:textId="4F9D24A4">
            <w:pPr>
              <w:spacing w:after="0"/>
              <w:rPr>
                <w:sz w:val="20"/>
                <w:szCs w:val="20"/>
              </w:rPr>
            </w:pPr>
            <w:r w:rsidRPr="00CC3118">
              <w:rPr>
                <w:rFonts w:eastAsia="Calibri"/>
                <w:sz w:val="20"/>
                <w:szCs w:val="20"/>
              </w:rPr>
              <w:t>1,210</w:t>
            </w:r>
          </w:p>
        </w:tc>
      </w:tr>
      <w:tr w:rsidRPr="00C47150" w:rsidR="00C53291" w:rsidTr="00FC7A11" w14:paraId="54801235" w14:textId="77777777">
        <w:trPr>
          <w:cantSplit/>
          <w:trHeight w:val="791"/>
          <w:jc w:val="center"/>
        </w:trPr>
        <w:tc>
          <w:tcPr>
            <w:tcW w:w="3145" w:type="dxa"/>
            <w:tcBorders>
              <w:top w:val="nil"/>
              <w:left w:val="single" w:color="auto" w:sz="4" w:space="0"/>
              <w:bottom w:val="single" w:color="auto" w:sz="4" w:space="0"/>
              <w:right w:val="single" w:color="auto" w:sz="4" w:space="0"/>
            </w:tcBorders>
            <w:shd w:val="clear" w:color="auto" w:fill="auto"/>
            <w:hideMark/>
          </w:tcPr>
          <w:p w:rsidRPr="0047482B" w:rsidR="00C53291" w:rsidP="00C53291" w:rsidRDefault="00C53291" w14:paraId="3C0DE9F8" w14:textId="77777777">
            <w:pPr>
              <w:spacing w:after="0"/>
              <w:rPr>
                <w:sz w:val="20"/>
                <w:szCs w:val="20"/>
              </w:rPr>
            </w:pPr>
            <w:r w:rsidRPr="0047482B">
              <w:rPr>
                <w:sz w:val="20"/>
                <w:szCs w:val="20"/>
              </w:rPr>
              <w:t>§414.1395 (Physician Compare) Opt Out for Voluntary Participants</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53291" w:rsidP="00C53291" w:rsidRDefault="00C53291" w14:paraId="7CD596CC" w14:textId="2A827711">
            <w:pPr>
              <w:spacing w:after="0"/>
              <w:rPr>
                <w:sz w:val="20"/>
                <w:szCs w:val="20"/>
              </w:rPr>
            </w:pPr>
            <w:r w:rsidRPr="00CC2BFB">
              <w:rPr>
                <w:rFonts w:eastAsia="Calibri"/>
                <w:sz w:val="20"/>
                <w:szCs w:val="20"/>
              </w:rPr>
              <w:t>11,617</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53291" w:rsidP="0097441C" w:rsidRDefault="00C53291" w14:paraId="290709CB" w14:textId="478FC70C">
            <w:pPr>
              <w:spacing w:after="0"/>
              <w:rPr>
                <w:sz w:val="20"/>
                <w:szCs w:val="20"/>
              </w:rPr>
            </w:pPr>
            <w:r w:rsidRPr="00CC2BFB">
              <w:rPr>
                <w:rFonts w:eastAsia="Calibri"/>
                <w:sz w:val="20"/>
                <w:szCs w:val="20"/>
              </w:rPr>
              <w:t>1</w:t>
            </w:r>
            <w:r>
              <w:rPr>
                <w:rFonts w:eastAsia="Calibri"/>
                <w:sz w:val="20"/>
                <w:szCs w:val="20"/>
              </w:rPr>
              <w:t>0,042</w:t>
            </w:r>
            <w:r w:rsidR="0097441C">
              <w:rPr>
                <w:rFonts w:eastAsia="Calibri"/>
                <w:sz w:val="20"/>
                <w:szCs w:val="20"/>
              </w:rPr>
              <w:t xml:space="preserve">  (see Table 27)</w:t>
            </w:r>
          </w:p>
        </w:tc>
        <w:tc>
          <w:tcPr>
            <w:tcW w:w="1350" w:type="dxa"/>
            <w:tcBorders>
              <w:top w:val="nil"/>
              <w:left w:val="nil"/>
              <w:bottom w:val="single" w:color="auto" w:sz="4" w:space="0"/>
              <w:right w:val="single" w:color="auto" w:sz="4" w:space="0"/>
            </w:tcBorders>
            <w:shd w:val="clear" w:color="auto" w:fill="auto"/>
            <w:noWrap/>
            <w:vAlign w:val="center"/>
            <w:hideMark/>
          </w:tcPr>
          <w:p w:rsidRPr="0047482B" w:rsidR="00C53291" w:rsidP="00C53291" w:rsidRDefault="00C53291" w14:paraId="0E0F89FD" w14:textId="18210F35">
            <w:pPr>
              <w:spacing w:after="0"/>
              <w:rPr>
                <w:sz w:val="20"/>
                <w:szCs w:val="20"/>
              </w:rPr>
            </w:pPr>
            <w:r>
              <w:rPr>
                <w:rFonts w:eastAsia="Calibri"/>
                <w:sz w:val="20"/>
                <w:szCs w:val="20"/>
              </w:rPr>
              <w:t>-1,575</w:t>
            </w:r>
          </w:p>
        </w:tc>
        <w:tc>
          <w:tcPr>
            <w:tcW w:w="1270" w:type="dxa"/>
            <w:tcBorders>
              <w:top w:val="nil"/>
              <w:left w:val="nil"/>
              <w:bottom w:val="single" w:color="auto" w:sz="4" w:space="0"/>
              <w:right w:val="single" w:color="auto" w:sz="4" w:space="0"/>
            </w:tcBorders>
            <w:shd w:val="clear" w:color="auto" w:fill="auto"/>
            <w:noWrap/>
            <w:vAlign w:val="center"/>
            <w:hideMark/>
          </w:tcPr>
          <w:p w:rsidRPr="0047482B" w:rsidR="00C53291" w:rsidP="00C53291" w:rsidRDefault="00C53291" w14:paraId="052D6F34" w14:textId="0D36308A">
            <w:pPr>
              <w:spacing w:after="0"/>
              <w:rPr>
                <w:sz w:val="20"/>
                <w:szCs w:val="20"/>
              </w:rPr>
            </w:pPr>
            <w:r w:rsidRPr="00CC2BFB">
              <w:rPr>
                <w:rFonts w:eastAsia="Calibri"/>
                <w:sz w:val="20"/>
                <w:szCs w:val="20"/>
              </w:rPr>
              <w:t>2,904.25</w:t>
            </w:r>
          </w:p>
        </w:tc>
        <w:tc>
          <w:tcPr>
            <w:tcW w:w="1374" w:type="dxa"/>
            <w:tcBorders>
              <w:top w:val="nil"/>
              <w:left w:val="nil"/>
              <w:bottom w:val="single" w:color="auto" w:sz="4" w:space="0"/>
              <w:right w:val="single" w:color="auto" w:sz="4" w:space="0"/>
            </w:tcBorders>
            <w:shd w:val="clear" w:color="auto" w:fill="auto"/>
            <w:noWrap/>
            <w:vAlign w:val="center"/>
            <w:hideMark/>
          </w:tcPr>
          <w:p w:rsidRPr="0047482B" w:rsidR="00C53291" w:rsidP="0097441C" w:rsidRDefault="00C53291" w14:paraId="3B0FCB86" w14:textId="10F9CA05">
            <w:pPr>
              <w:spacing w:after="0"/>
              <w:rPr>
                <w:sz w:val="20"/>
                <w:szCs w:val="20"/>
              </w:rPr>
            </w:pPr>
            <w:r>
              <w:rPr>
                <w:rFonts w:eastAsia="Calibri"/>
                <w:sz w:val="20"/>
                <w:szCs w:val="20"/>
              </w:rPr>
              <w:t>2,511</w:t>
            </w:r>
            <w:r w:rsidR="0097441C">
              <w:rPr>
                <w:rFonts w:eastAsia="Calibri"/>
                <w:sz w:val="20"/>
                <w:szCs w:val="20"/>
              </w:rPr>
              <w:t xml:space="preserve">  (see Table 27)</w:t>
            </w:r>
          </w:p>
        </w:tc>
        <w:tc>
          <w:tcPr>
            <w:tcW w:w="1374" w:type="dxa"/>
            <w:tcBorders>
              <w:top w:val="nil"/>
              <w:left w:val="nil"/>
              <w:bottom w:val="single" w:color="auto" w:sz="4" w:space="0"/>
              <w:right w:val="single" w:color="auto" w:sz="4" w:space="0"/>
            </w:tcBorders>
            <w:vAlign w:val="center"/>
          </w:tcPr>
          <w:p w:rsidRPr="0047482B" w:rsidR="00C53291" w:rsidP="00C53291" w:rsidRDefault="00C53291" w14:paraId="67FF9EE8" w14:textId="135A6FA2">
            <w:pPr>
              <w:spacing w:after="0"/>
              <w:rPr>
                <w:sz w:val="20"/>
                <w:szCs w:val="20"/>
              </w:rPr>
            </w:pPr>
            <w:r>
              <w:rPr>
                <w:rFonts w:eastAsia="Calibri"/>
                <w:sz w:val="20"/>
                <w:szCs w:val="20"/>
              </w:rPr>
              <w:t>-393.75</w:t>
            </w:r>
          </w:p>
        </w:tc>
      </w:tr>
      <w:tr w:rsidRPr="00C47150" w:rsidR="003879F0" w:rsidTr="00FC7A11" w14:paraId="68F0F3A2" w14:textId="77777777">
        <w:trPr>
          <w:cantSplit/>
          <w:trHeight w:val="503"/>
          <w:jc w:val="center"/>
        </w:trPr>
        <w:tc>
          <w:tcPr>
            <w:tcW w:w="3145" w:type="dxa"/>
            <w:tcBorders>
              <w:top w:val="nil"/>
              <w:left w:val="single" w:color="auto" w:sz="4" w:space="0"/>
              <w:bottom w:val="single" w:color="auto" w:sz="4" w:space="0"/>
              <w:right w:val="single" w:color="auto" w:sz="4" w:space="0"/>
            </w:tcBorders>
            <w:shd w:val="clear" w:color="auto" w:fill="D9D9D9" w:themeFill="background1" w:themeFillShade="D9"/>
            <w:hideMark/>
          </w:tcPr>
          <w:p w:rsidRPr="003856DB" w:rsidR="003879F0" w:rsidP="003856DB" w:rsidRDefault="003879F0" w14:paraId="5B396FA8" w14:textId="69BCF94B">
            <w:pPr>
              <w:spacing w:after="0"/>
              <w:rPr>
                <w:sz w:val="20"/>
                <w:szCs w:val="20"/>
              </w:rPr>
            </w:pPr>
            <w:r w:rsidRPr="003856DB">
              <w:rPr>
                <w:b/>
                <w:sz w:val="20"/>
                <w:szCs w:val="20"/>
              </w:rPr>
              <w:t>TOTAL</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hideMark/>
          </w:tcPr>
          <w:p w:rsidRPr="003856DB" w:rsidR="003879F0" w:rsidP="003879F0" w:rsidRDefault="00CC3118" w14:paraId="457D6E53" w14:textId="4F2A2E10">
            <w:pPr>
              <w:spacing w:after="0"/>
              <w:rPr>
                <w:b/>
                <w:sz w:val="20"/>
                <w:szCs w:val="20"/>
              </w:rPr>
            </w:pPr>
            <w:r>
              <w:rPr>
                <w:rFonts w:eastAsia="Calibri"/>
                <w:b/>
                <w:sz w:val="20"/>
                <w:szCs w:val="20"/>
              </w:rPr>
              <w:t>644,144</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hideMark/>
          </w:tcPr>
          <w:p w:rsidRPr="003856DB" w:rsidR="003879F0" w:rsidP="003879F0" w:rsidRDefault="00572FFB" w14:paraId="77FE4E60" w14:textId="3802E6CB">
            <w:pPr>
              <w:spacing w:after="0"/>
              <w:rPr>
                <w:b/>
                <w:sz w:val="20"/>
                <w:szCs w:val="20"/>
              </w:rPr>
            </w:pPr>
            <w:r>
              <w:rPr>
                <w:rFonts w:eastAsia="Calibri"/>
                <w:b/>
                <w:sz w:val="20"/>
                <w:szCs w:val="20"/>
              </w:rPr>
              <w:t>475,198</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hideMark/>
          </w:tcPr>
          <w:p w:rsidRPr="003856DB" w:rsidR="003879F0" w:rsidP="003879F0" w:rsidRDefault="00572FFB" w14:paraId="7211AC1D" w14:textId="48D9F42A">
            <w:pPr>
              <w:spacing w:after="0"/>
              <w:rPr>
                <w:b/>
                <w:sz w:val="20"/>
                <w:szCs w:val="20"/>
              </w:rPr>
            </w:pPr>
            <w:r>
              <w:rPr>
                <w:rFonts w:eastAsia="Calibri"/>
                <w:b/>
                <w:sz w:val="20"/>
                <w:szCs w:val="20"/>
              </w:rPr>
              <w:t>-168,946</w:t>
            </w:r>
          </w:p>
        </w:tc>
        <w:tc>
          <w:tcPr>
            <w:tcW w:w="1270" w:type="dxa"/>
            <w:tcBorders>
              <w:top w:val="nil"/>
              <w:left w:val="nil"/>
              <w:bottom w:val="single" w:color="auto" w:sz="4" w:space="0"/>
              <w:right w:val="single" w:color="auto" w:sz="4" w:space="0"/>
            </w:tcBorders>
            <w:shd w:val="clear" w:color="auto" w:fill="D9D9D9" w:themeFill="background1" w:themeFillShade="D9"/>
            <w:noWrap/>
            <w:vAlign w:val="center"/>
            <w:hideMark/>
          </w:tcPr>
          <w:p w:rsidRPr="003856DB" w:rsidR="003879F0" w:rsidP="003879F0" w:rsidRDefault="00CC3118" w14:paraId="2B04BC76" w14:textId="56C8FBA4">
            <w:pPr>
              <w:spacing w:after="0"/>
              <w:rPr>
                <w:b/>
                <w:sz w:val="20"/>
                <w:szCs w:val="20"/>
              </w:rPr>
            </w:pPr>
            <w:r>
              <w:rPr>
                <w:rFonts w:eastAsia="Calibri"/>
                <w:b/>
                <w:sz w:val="20"/>
                <w:szCs w:val="20"/>
              </w:rPr>
              <w:t>5,109,042</w:t>
            </w:r>
          </w:p>
        </w:tc>
        <w:tc>
          <w:tcPr>
            <w:tcW w:w="1374" w:type="dxa"/>
            <w:tcBorders>
              <w:top w:val="nil"/>
              <w:left w:val="nil"/>
              <w:bottom w:val="single" w:color="auto" w:sz="4" w:space="0"/>
              <w:right w:val="single" w:color="auto" w:sz="4" w:space="0"/>
            </w:tcBorders>
            <w:shd w:val="clear" w:color="auto" w:fill="D9D9D9" w:themeFill="background1" w:themeFillShade="D9"/>
            <w:noWrap/>
            <w:vAlign w:val="center"/>
            <w:hideMark/>
          </w:tcPr>
          <w:p w:rsidRPr="003856DB" w:rsidR="003879F0" w:rsidP="003879F0" w:rsidRDefault="00572FFB" w14:paraId="6FBED24E" w14:textId="19B9347F">
            <w:pPr>
              <w:spacing w:after="0"/>
              <w:rPr>
                <w:b/>
                <w:sz w:val="20"/>
                <w:szCs w:val="20"/>
              </w:rPr>
            </w:pPr>
            <w:r>
              <w:rPr>
                <w:rFonts w:eastAsia="Calibri"/>
                <w:b/>
                <w:sz w:val="20"/>
                <w:szCs w:val="20"/>
              </w:rPr>
              <w:t>2,937,890</w:t>
            </w:r>
          </w:p>
        </w:tc>
        <w:tc>
          <w:tcPr>
            <w:tcW w:w="1374" w:type="dxa"/>
            <w:tcBorders>
              <w:top w:val="nil"/>
              <w:left w:val="nil"/>
              <w:bottom w:val="single" w:color="auto" w:sz="4" w:space="0"/>
              <w:right w:val="single" w:color="auto" w:sz="4" w:space="0"/>
            </w:tcBorders>
            <w:shd w:val="clear" w:color="auto" w:fill="D9D9D9" w:themeFill="background1" w:themeFillShade="D9"/>
            <w:vAlign w:val="center"/>
          </w:tcPr>
          <w:p w:rsidRPr="003879F0" w:rsidR="003879F0" w:rsidP="003879F0" w:rsidRDefault="00B8241C" w14:paraId="0696F991" w14:textId="0AF9C505">
            <w:pPr>
              <w:spacing w:after="0"/>
              <w:rPr>
                <w:b/>
                <w:sz w:val="20"/>
                <w:szCs w:val="20"/>
              </w:rPr>
            </w:pPr>
            <w:r>
              <w:rPr>
                <w:rFonts w:eastAsia="Calibri"/>
                <w:b/>
                <w:sz w:val="20"/>
                <w:szCs w:val="20"/>
              </w:rPr>
              <w:t>-2,171,15</w:t>
            </w:r>
            <w:r w:rsidR="003F5D03">
              <w:rPr>
                <w:rFonts w:eastAsia="Calibri"/>
                <w:b/>
                <w:sz w:val="20"/>
                <w:szCs w:val="20"/>
              </w:rPr>
              <w:t>2</w:t>
            </w:r>
          </w:p>
        </w:tc>
      </w:tr>
    </w:tbl>
    <w:p w:rsidR="00423D13" w:rsidP="00820C12" w:rsidRDefault="00423D13" w14:paraId="666B6932" w14:textId="73A94CB9">
      <w:pPr>
        <w:tabs>
          <w:tab w:val="left" w:pos="6030"/>
        </w:tabs>
        <w:spacing w:line="276" w:lineRule="auto"/>
        <w:ind w:firstLine="720"/>
        <w:jc w:val="both"/>
      </w:pPr>
    </w:p>
    <w:p w:rsidR="00312E88" w:rsidP="00E12B53" w:rsidRDefault="00333EB4" w14:paraId="3F62561F" w14:textId="73AA3310">
      <w:r>
        <w:t xml:space="preserve">Table </w:t>
      </w:r>
      <w:r w:rsidR="006A371A">
        <w:t>3</w:t>
      </w:r>
      <w:r w:rsidR="00787660">
        <w:t>0</w:t>
      </w:r>
      <w:r w:rsidRPr="00B67D9F">
        <w:t xml:space="preserve"> </w:t>
      </w:r>
      <w:r w:rsidRPr="0087020E" w:rsidR="0087020E">
        <w:t xml:space="preserve">provides the reasons for changes in the estimated burden for information collections in </w:t>
      </w:r>
      <w:r w:rsidR="0071481A">
        <w:t>the CY 20</w:t>
      </w:r>
      <w:r w:rsidR="006A371A">
        <w:t>20</w:t>
      </w:r>
      <w:r w:rsidR="0071481A">
        <w:t xml:space="preserve"> </w:t>
      </w:r>
      <w:r w:rsidR="00D8477B">
        <w:t>PFS</w:t>
      </w:r>
      <w:r w:rsidR="00390730">
        <w:t xml:space="preserve"> </w:t>
      </w:r>
      <w:r w:rsidR="00456EA0">
        <w:t>final</w:t>
      </w:r>
      <w:r w:rsidRPr="0087020E" w:rsidR="0087020E">
        <w:t xml:space="preserve"> rule.  We have divided the reasons for our change in burden into those related to new policies and those related to changes in the baseline burden of continued Quality Payment Program Year </w:t>
      </w:r>
      <w:r w:rsidR="006A371A">
        <w:t>3</w:t>
      </w:r>
      <w:r w:rsidRPr="0087020E" w:rsidR="0087020E">
        <w:t xml:space="preserve"> policies that reflect updated data and methods</w:t>
      </w:r>
      <w:r w:rsidRPr="00B67D9F">
        <w:t xml:space="preserve">. </w:t>
      </w:r>
    </w:p>
    <w:p w:rsidR="00312E88" w:rsidP="00E12B53" w:rsidRDefault="00312E88" w14:paraId="7DA093BF" w14:textId="4514D499">
      <w:r>
        <w:t>All burden changes are adjustments ex</w:t>
      </w:r>
      <w:r w:rsidR="00787660">
        <w:t>ce</w:t>
      </w:r>
      <w:r>
        <w:t>pt for changes to §414.1400 (QCDR self nomination) which are comprised of revisions (</w:t>
      </w:r>
      <w:r w:rsidR="00185750">
        <w:t>-1,479</w:t>
      </w:r>
      <w:r w:rsidR="00787660">
        <w:t xml:space="preserve"> hours</w:t>
      </w:r>
      <w:r>
        <w:t>) and burden adjustments (</w:t>
      </w:r>
      <w:r w:rsidR="00787660">
        <w:t>-304 hours</w:t>
      </w:r>
      <w:r>
        <w:t>)</w:t>
      </w:r>
      <w:r w:rsidR="00787660">
        <w:t>; and changes to the Call for Quality Measures which are comprised of revisions (+28 hours) and burden adjustments (-504 hours)</w:t>
      </w:r>
      <w:r w:rsidR="00132787">
        <w:t>.</w:t>
      </w:r>
    </w:p>
    <w:p w:rsidRPr="00B67D9F" w:rsidR="00E12B53" w:rsidP="00E12B53" w:rsidRDefault="00E12B53" w14:paraId="04FB5F08" w14:textId="6375D76F"/>
    <w:p w:rsidRPr="00C47150" w:rsidR="00333EB4" w:rsidP="00333EB4" w:rsidRDefault="00333EB4" w14:paraId="39BD61DA" w14:textId="3873F82F">
      <w:pPr>
        <w:spacing w:after="0"/>
        <w:jc w:val="center"/>
        <w:rPr>
          <w:b/>
          <w:bCs/>
        </w:rPr>
      </w:pPr>
      <w:r w:rsidRPr="00C47150">
        <w:rPr>
          <w:b/>
          <w:bCs/>
        </w:rPr>
        <w:t xml:space="preserve">TABLE </w:t>
      </w:r>
      <w:r w:rsidR="006A371A">
        <w:rPr>
          <w:b/>
          <w:bCs/>
        </w:rPr>
        <w:t>3</w:t>
      </w:r>
      <w:r w:rsidR="00671900">
        <w:rPr>
          <w:b/>
          <w:bCs/>
        </w:rPr>
        <w:t>0</w:t>
      </w:r>
      <w:r w:rsidRPr="00C47150">
        <w:rPr>
          <w:b/>
          <w:bCs/>
        </w:rPr>
        <w:t xml:space="preserve">: Reasons for Change in Burden Compared to the Currently Approved </w:t>
      </w:r>
      <w:r w:rsidRPr="00C47150">
        <w:rPr>
          <w:b/>
        </w:rPr>
        <w:br/>
      </w:r>
      <w:r w:rsidRPr="00C47150">
        <w:rPr>
          <w:b/>
          <w:bCs/>
        </w:rPr>
        <w:t>CY 201</w:t>
      </w:r>
      <w:r w:rsidR="006E1D61">
        <w:rPr>
          <w:b/>
          <w:bCs/>
        </w:rPr>
        <w:t>9</w:t>
      </w:r>
      <w:r w:rsidRPr="00C47150">
        <w:rPr>
          <w:b/>
          <w:bCs/>
        </w:rPr>
        <w:t xml:space="preserve"> Information Collection Burdens</w:t>
      </w:r>
    </w:p>
    <w:tbl>
      <w:tblPr>
        <w:tblW w:w="10300" w:type="dxa"/>
        <w:tblLook w:val="04A0" w:firstRow="1" w:lastRow="0" w:firstColumn="1" w:lastColumn="0" w:noHBand="0" w:noVBand="1"/>
      </w:tblPr>
      <w:tblGrid>
        <w:gridCol w:w="2700"/>
        <w:gridCol w:w="2875"/>
        <w:gridCol w:w="4725"/>
      </w:tblGrid>
      <w:tr w:rsidRPr="00DE6979" w:rsidR="00333EB4" w:rsidTr="00435E98" w14:paraId="1207708B" w14:textId="2E4A1B31">
        <w:trPr>
          <w:cantSplit/>
          <w:trHeight w:val="800"/>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435E98" w:rsidRDefault="00333EB4" w14:paraId="315FAB68" w14:textId="5EA6ABD5">
            <w:pPr>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435E98" w:rsidRDefault="00333EB4" w14:paraId="3E3F8C00" w14:textId="2ABDFEE9">
            <w:pPr>
              <w:spacing w:after="0"/>
              <w:rPr>
                <w:b/>
                <w:bCs/>
                <w:sz w:val="20"/>
                <w:szCs w:val="20"/>
              </w:rPr>
            </w:pPr>
            <w:r w:rsidRPr="00DE6979">
              <w:rPr>
                <w:b/>
                <w:bCs/>
                <w:sz w:val="20"/>
                <w:szCs w:val="20"/>
              </w:rPr>
              <w:t xml:space="preserve">Changes in burden due to </w:t>
            </w:r>
            <w:r w:rsidR="00456EA0">
              <w:rPr>
                <w:b/>
                <w:bCs/>
                <w:sz w:val="20"/>
                <w:szCs w:val="20"/>
              </w:rPr>
              <w:t>finaliz</w:t>
            </w:r>
            <w:r w:rsidRPr="00DE6979">
              <w:rPr>
                <w:b/>
                <w:bCs/>
                <w:sz w:val="20"/>
                <w:szCs w:val="20"/>
              </w:rPr>
              <w:t xml:space="preserve">ed Year </w:t>
            </w:r>
            <w:r w:rsidR="006E1D61">
              <w:rPr>
                <w:b/>
                <w:bCs/>
                <w:sz w:val="20"/>
                <w:szCs w:val="20"/>
              </w:rPr>
              <w:t>4</w:t>
            </w:r>
            <w:r w:rsidRPr="00DE6979">
              <w:rPr>
                <w:b/>
                <w:bCs/>
                <w:sz w:val="20"/>
                <w:szCs w:val="20"/>
              </w:rPr>
              <w:t xml:space="preserve"> policies</w:t>
            </w:r>
          </w:p>
        </w:tc>
        <w:tc>
          <w:tcPr>
            <w:tcW w:w="4725" w:type="dxa"/>
            <w:tcBorders>
              <w:top w:val="single" w:color="auto" w:sz="4" w:space="0"/>
              <w:left w:val="nil"/>
              <w:bottom w:val="single" w:color="auto" w:sz="4" w:space="0"/>
              <w:right w:val="single" w:color="auto" w:sz="4" w:space="0"/>
            </w:tcBorders>
            <w:shd w:val="clear" w:color="auto" w:fill="auto"/>
            <w:hideMark/>
          </w:tcPr>
          <w:p w:rsidRPr="00DE6979" w:rsidR="00333EB4" w:rsidP="00435E98" w:rsidRDefault="00333EB4" w14:paraId="26EA9FF6" w14:textId="0C943F39">
            <w:pPr>
              <w:spacing w:after="0"/>
              <w:rPr>
                <w:b/>
                <w:bCs/>
                <w:sz w:val="20"/>
                <w:szCs w:val="20"/>
              </w:rPr>
            </w:pPr>
            <w:r w:rsidRPr="00DE6979">
              <w:rPr>
                <w:b/>
                <w:bCs/>
                <w:sz w:val="20"/>
                <w:szCs w:val="20"/>
              </w:rPr>
              <w:t xml:space="preserve">Changes to "baseline" of burden continued Year </w:t>
            </w:r>
            <w:r w:rsidR="00E77CB4">
              <w:rPr>
                <w:b/>
                <w:bCs/>
                <w:sz w:val="20"/>
                <w:szCs w:val="20"/>
              </w:rPr>
              <w:t>3</w:t>
            </w:r>
            <w:r w:rsidRPr="00DE6979">
              <w:rPr>
                <w:b/>
                <w:bCs/>
                <w:sz w:val="20"/>
                <w:szCs w:val="20"/>
              </w:rPr>
              <w:t xml:space="preserve"> policy (</w:t>
            </w:r>
            <w:r w:rsidRPr="00DE6979">
              <w:rPr>
                <w:b/>
                <w:bCs/>
                <w:i/>
                <w:iCs/>
                <w:sz w:val="20"/>
                <w:szCs w:val="20"/>
              </w:rPr>
              <w:t>italics are changes in number of respondents’ due to updated data)</w:t>
            </w:r>
          </w:p>
        </w:tc>
      </w:tr>
      <w:tr w:rsidRPr="00DE6979" w:rsidR="00951787" w:rsidTr="00435E9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951787" w:rsidP="00951787" w:rsidRDefault="00951787" w14:paraId="15854D25" w14:textId="5152E16B">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p>
        </w:tc>
        <w:tc>
          <w:tcPr>
            <w:tcW w:w="2875" w:type="dxa"/>
            <w:tcBorders>
              <w:top w:val="nil"/>
              <w:left w:val="nil"/>
              <w:bottom w:val="single" w:color="auto" w:sz="4" w:space="0"/>
              <w:right w:val="single" w:color="auto" w:sz="4" w:space="0"/>
            </w:tcBorders>
            <w:shd w:val="clear" w:color="auto" w:fill="auto"/>
            <w:hideMark/>
          </w:tcPr>
          <w:p w:rsidRPr="00DE6979" w:rsidR="00951787" w:rsidP="00951787" w:rsidRDefault="00951787" w14:paraId="35ED337F" w14:textId="2A41B9AF">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hideMark/>
          </w:tcPr>
          <w:p w:rsidRPr="00DE6979" w:rsidR="00951787" w:rsidP="00951787" w:rsidRDefault="00951787" w14:paraId="7C31E214" w14:textId="150F0107">
            <w:pPr>
              <w:spacing w:after="0"/>
              <w:rPr>
                <w:i/>
                <w:iCs/>
                <w:sz w:val="20"/>
                <w:szCs w:val="20"/>
              </w:rPr>
            </w:pPr>
            <w:r w:rsidRPr="00CC2BFB">
              <w:rPr>
                <w:rFonts w:eastAsia="Calibri"/>
                <w:sz w:val="20"/>
                <w:szCs w:val="20"/>
              </w:rPr>
              <w:t xml:space="preserve">Increase in number of respondents due to availability of data </w:t>
            </w:r>
            <w:r>
              <w:rPr>
                <w:rFonts w:eastAsia="Calibri"/>
                <w:sz w:val="20"/>
                <w:szCs w:val="20"/>
              </w:rPr>
              <w:t>from the 2019 self-nomination period</w:t>
            </w:r>
            <w:r w:rsidRPr="00CC2BFB">
              <w:rPr>
                <w:rFonts w:eastAsia="Calibri"/>
                <w:sz w:val="20"/>
                <w:szCs w:val="20"/>
              </w:rPr>
              <w:t>.</w:t>
            </w:r>
          </w:p>
        </w:tc>
      </w:tr>
      <w:tr w:rsidRPr="00DE6979" w:rsidR="00951787" w:rsidTr="00435E9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951787" w:rsidP="00951787" w:rsidRDefault="00951787" w14:paraId="468A6E5F" w14:textId="631C0873">
            <w:pPr>
              <w:spacing w:after="0"/>
              <w:rPr>
                <w:sz w:val="20"/>
                <w:szCs w:val="20"/>
              </w:rPr>
            </w:pPr>
            <w:r w:rsidRPr="00DE6979">
              <w:rPr>
                <w:sz w:val="20"/>
                <w:szCs w:val="20"/>
              </w:rPr>
              <w:t xml:space="preserve">Table </w:t>
            </w:r>
            <w:r>
              <w:rPr>
                <w:sz w:val="20"/>
                <w:szCs w:val="20"/>
              </w:rPr>
              <w:t>4</w:t>
            </w:r>
            <w:r w:rsidRPr="00DE6979">
              <w:rPr>
                <w:sz w:val="20"/>
                <w:szCs w:val="20"/>
              </w:rPr>
              <w:t>: QCDR Self-Nomination</w:t>
            </w:r>
          </w:p>
        </w:tc>
        <w:tc>
          <w:tcPr>
            <w:tcW w:w="2875" w:type="dxa"/>
            <w:tcBorders>
              <w:top w:val="nil"/>
              <w:left w:val="nil"/>
              <w:bottom w:val="single" w:color="auto" w:sz="4" w:space="0"/>
              <w:right w:val="single" w:color="auto" w:sz="4" w:space="0"/>
            </w:tcBorders>
            <w:shd w:val="clear" w:color="auto" w:fill="auto"/>
          </w:tcPr>
          <w:p w:rsidR="00951787" w:rsidP="00951787" w:rsidRDefault="00951787" w14:paraId="5F8BECFA" w14:textId="6B2584C6">
            <w:pPr>
              <w:keepNext/>
              <w:keepLines/>
              <w:spacing w:after="0"/>
              <w:rPr>
                <w:rFonts w:eastAsia="Calibri"/>
                <w:i/>
                <w:iCs/>
                <w:sz w:val="20"/>
                <w:szCs w:val="20"/>
              </w:rPr>
            </w:pPr>
            <w:r>
              <w:rPr>
                <w:rFonts w:eastAsia="Calibri"/>
                <w:i/>
                <w:iCs/>
                <w:sz w:val="20"/>
                <w:szCs w:val="20"/>
              </w:rPr>
              <w:t>Decrease in number of QCDR measures (from 9 to 2) submitted for approval due to finalized requirement for QCDRs to perform measure testing.</w:t>
            </w:r>
          </w:p>
          <w:p w:rsidR="00951787" w:rsidP="00951787" w:rsidRDefault="00951787" w14:paraId="160F2670" w14:textId="1C3FBE7B">
            <w:pPr>
              <w:keepNext/>
              <w:keepLines/>
              <w:spacing w:after="0"/>
              <w:rPr>
                <w:rFonts w:eastAsia="Calibri"/>
                <w:i/>
                <w:iCs/>
                <w:sz w:val="20"/>
                <w:szCs w:val="20"/>
              </w:rPr>
            </w:pPr>
            <w:r>
              <w:rPr>
                <w:rFonts w:eastAsia="Calibri"/>
                <w:i/>
                <w:iCs/>
                <w:sz w:val="20"/>
                <w:szCs w:val="20"/>
              </w:rPr>
              <w:t xml:space="preserve"> </w:t>
            </w:r>
          </w:p>
          <w:p w:rsidRPr="00CC2BFB" w:rsidR="00951787" w:rsidP="00951787" w:rsidRDefault="00951787" w14:paraId="5E425494" w14:textId="30586118">
            <w:pPr>
              <w:keepNext/>
              <w:keepLines/>
              <w:spacing w:after="0"/>
              <w:rPr>
                <w:rFonts w:eastAsia="Calibri"/>
                <w:i/>
                <w:iCs/>
                <w:sz w:val="20"/>
                <w:szCs w:val="20"/>
              </w:rPr>
            </w:pPr>
            <w:r w:rsidRPr="00CC2BFB">
              <w:rPr>
                <w:rFonts w:eastAsia="Calibri"/>
                <w:i/>
                <w:iCs/>
                <w:sz w:val="20"/>
                <w:szCs w:val="20"/>
              </w:rPr>
              <w:t xml:space="preserve">Increase of </w:t>
            </w:r>
            <w:r>
              <w:rPr>
                <w:rFonts w:eastAsia="Calibri"/>
                <w:i/>
                <w:iCs/>
                <w:sz w:val="20"/>
                <w:szCs w:val="20"/>
              </w:rPr>
              <w:t>2</w:t>
            </w:r>
            <w:r w:rsidRPr="00CC2BFB">
              <w:rPr>
                <w:rFonts w:eastAsia="Calibri"/>
                <w:i/>
                <w:iCs/>
                <w:sz w:val="20"/>
                <w:szCs w:val="20"/>
              </w:rPr>
              <w:t xml:space="preserve"> hours (1 hour per proposed measure) per QCDR self-nomination due to </w:t>
            </w:r>
            <w:r>
              <w:rPr>
                <w:rFonts w:eastAsia="Calibri"/>
                <w:i/>
                <w:iCs/>
                <w:sz w:val="20"/>
                <w:szCs w:val="20"/>
              </w:rPr>
              <w:t>finalized</w:t>
            </w:r>
            <w:r w:rsidRPr="00CC2BFB">
              <w:rPr>
                <w:rFonts w:eastAsia="Calibri"/>
                <w:i/>
                <w:iCs/>
                <w:sz w:val="20"/>
                <w:szCs w:val="20"/>
              </w:rPr>
              <w:t xml:space="preserve"> policy to require QCDRs to link</w:t>
            </w:r>
            <w:r w:rsidR="0082319A">
              <w:rPr>
                <w:rFonts w:eastAsia="Calibri"/>
                <w:i/>
                <w:iCs/>
                <w:sz w:val="20"/>
                <w:szCs w:val="20"/>
              </w:rPr>
              <w:t>their</w:t>
            </w:r>
            <w:r w:rsidRPr="00CC2BFB">
              <w:rPr>
                <w:rFonts w:eastAsia="Calibri"/>
                <w:i/>
                <w:iCs/>
                <w:sz w:val="20"/>
                <w:szCs w:val="20"/>
              </w:rPr>
              <w:t xml:space="preserve"> QCDR measures </w:t>
            </w:r>
            <w:r w:rsidR="0082319A">
              <w:rPr>
                <w:rFonts w:eastAsia="Calibri"/>
                <w:i/>
                <w:iCs/>
                <w:sz w:val="20"/>
                <w:szCs w:val="20"/>
              </w:rPr>
              <w:t xml:space="preserve">as feasible to </w:t>
            </w:r>
            <w:r>
              <w:rPr>
                <w:rFonts w:eastAsia="Calibri"/>
                <w:i/>
                <w:iCs/>
                <w:sz w:val="20"/>
                <w:szCs w:val="20"/>
              </w:rPr>
              <w:t>at least one</w:t>
            </w:r>
            <w:r w:rsidRPr="00CC2BFB">
              <w:rPr>
                <w:rFonts w:eastAsia="Calibri"/>
                <w:i/>
                <w:iCs/>
                <w:sz w:val="20"/>
                <w:szCs w:val="20"/>
              </w:rPr>
              <w:t xml:space="preserve"> related cost measure, improvement activi</w:t>
            </w:r>
            <w:r>
              <w:rPr>
                <w:rFonts w:eastAsia="Calibri"/>
                <w:i/>
                <w:iCs/>
                <w:sz w:val="20"/>
                <w:szCs w:val="20"/>
              </w:rPr>
              <w:t>ty</w:t>
            </w:r>
            <w:r w:rsidRPr="00CC2BFB">
              <w:rPr>
                <w:rFonts w:eastAsia="Calibri"/>
                <w:i/>
                <w:iCs/>
                <w:sz w:val="20"/>
                <w:szCs w:val="20"/>
              </w:rPr>
              <w:t xml:space="preserve">, </w:t>
            </w:r>
            <w:r>
              <w:rPr>
                <w:rFonts w:eastAsia="Calibri"/>
                <w:i/>
                <w:iCs/>
                <w:sz w:val="20"/>
                <w:szCs w:val="20"/>
              </w:rPr>
              <w:t>or</w:t>
            </w:r>
            <w:r w:rsidRPr="00CC2BFB">
              <w:rPr>
                <w:rFonts w:eastAsia="Calibri"/>
                <w:i/>
                <w:iCs/>
                <w:sz w:val="20"/>
                <w:szCs w:val="20"/>
              </w:rPr>
              <w:t xml:space="preserve"> MIPS Value Pathway.</w:t>
            </w:r>
          </w:p>
          <w:p w:rsidRPr="00CC2BFB" w:rsidR="00951787" w:rsidP="00951787" w:rsidRDefault="00951787" w14:paraId="31B38CF4" w14:textId="4991AA76">
            <w:pPr>
              <w:keepNext/>
              <w:keepLines/>
              <w:spacing w:after="0"/>
              <w:rPr>
                <w:rFonts w:eastAsia="Calibri"/>
                <w:i/>
                <w:iCs/>
                <w:sz w:val="20"/>
                <w:szCs w:val="20"/>
              </w:rPr>
            </w:pPr>
          </w:p>
          <w:p w:rsidRPr="00DE6979" w:rsidR="00951787" w:rsidP="00951787" w:rsidRDefault="00951787" w14:paraId="47B900E3" w14:textId="483B0E03">
            <w:pPr>
              <w:spacing w:after="0"/>
              <w:rPr>
                <w:sz w:val="20"/>
                <w:szCs w:val="20"/>
              </w:rPr>
            </w:pPr>
            <w:r w:rsidRPr="00CC2BFB">
              <w:rPr>
                <w:rFonts w:eastAsia="Calibri"/>
                <w:i/>
                <w:iCs/>
                <w:sz w:val="20"/>
                <w:szCs w:val="20"/>
              </w:rPr>
              <w:t xml:space="preserve">Increase of </w:t>
            </w:r>
            <w:r>
              <w:rPr>
                <w:rFonts w:eastAsia="Calibri"/>
                <w:i/>
                <w:iCs/>
                <w:sz w:val="20"/>
                <w:szCs w:val="20"/>
              </w:rPr>
              <w:t>1</w:t>
            </w:r>
            <w:r w:rsidRPr="00CC2BFB">
              <w:rPr>
                <w:rFonts w:eastAsia="Calibri"/>
                <w:i/>
                <w:iCs/>
                <w:sz w:val="20"/>
                <w:szCs w:val="20"/>
              </w:rPr>
              <w:t xml:space="preserve"> hours (0.5 hour per proposed measure) per QCDR nomination due to </w:t>
            </w:r>
            <w:r>
              <w:rPr>
                <w:rFonts w:eastAsia="Calibri"/>
                <w:i/>
                <w:iCs/>
                <w:sz w:val="20"/>
                <w:szCs w:val="20"/>
              </w:rPr>
              <w:t>finalized</w:t>
            </w:r>
            <w:r w:rsidRPr="00CC2BFB">
              <w:rPr>
                <w:rFonts w:eastAsia="Calibri"/>
                <w:i/>
                <w:iCs/>
                <w:sz w:val="20"/>
                <w:szCs w:val="20"/>
              </w:rPr>
              <w:t xml:space="preserve"> policy to require QCDRs to provide measure testing data at the time of self-nomination</w:t>
            </w:r>
            <w:r>
              <w:rPr>
                <w:rFonts w:eastAsia="Calibri"/>
                <w:i/>
                <w:iCs/>
                <w:sz w:val="20"/>
                <w:szCs w:val="20"/>
              </w:rPr>
              <w:t>.</w:t>
            </w:r>
          </w:p>
        </w:tc>
        <w:tc>
          <w:tcPr>
            <w:tcW w:w="4725" w:type="dxa"/>
            <w:tcBorders>
              <w:top w:val="nil"/>
              <w:left w:val="nil"/>
              <w:bottom w:val="single" w:color="auto" w:sz="4" w:space="0"/>
              <w:right w:val="single" w:color="auto" w:sz="4" w:space="0"/>
            </w:tcBorders>
            <w:shd w:val="clear" w:color="auto" w:fill="auto"/>
          </w:tcPr>
          <w:p w:rsidRPr="00CC2BFB" w:rsidR="00951787" w:rsidP="00951787" w:rsidRDefault="00951787" w14:paraId="23DEB148" w14:textId="361620BD">
            <w:pPr>
              <w:keepNext/>
              <w:keepLines/>
              <w:spacing w:after="0"/>
              <w:rPr>
                <w:rFonts w:eastAsia="Calibri"/>
                <w:sz w:val="20"/>
                <w:szCs w:val="20"/>
              </w:rPr>
            </w:pPr>
            <w:r w:rsidRPr="00CC2BFB">
              <w:rPr>
                <w:rFonts w:eastAsia="Calibri"/>
                <w:sz w:val="20"/>
                <w:szCs w:val="20"/>
              </w:rPr>
              <w:t xml:space="preserve">Decrease in number of respondents due to availability of </w:t>
            </w:r>
            <w:r>
              <w:rPr>
                <w:rFonts w:eastAsia="Calibri"/>
                <w:sz w:val="20"/>
                <w:szCs w:val="20"/>
              </w:rPr>
              <w:t>data from the 2019 self-nomination period.</w:t>
            </w:r>
          </w:p>
          <w:p w:rsidRPr="00CC2BFB" w:rsidR="00951787" w:rsidP="00951787" w:rsidRDefault="00951787" w14:paraId="3143C9E2" w14:textId="09F2C0D0">
            <w:pPr>
              <w:keepNext/>
              <w:keepLines/>
              <w:spacing w:after="0"/>
              <w:rPr>
                <w:rFonts w:eastAsia="Calibri"/>
                <w:sz w:val="20"/>
                <w:szCs w:val="20"/>
              </w:rPr>
            </w:pPr>
          </w:p>
          <w:p w:rsidRPr="00DE6979" w:rsidR="00951787" w:rsidP="00951787" w:rsidRDefault="00951787" w14:paraId="22CC7FA4" w14:textId="40DBB059">
            <w:pPr>
              <w:spacing w:after="0"/>
              <w:rPr>
                <w:sz w:val="20"/>
                <w:szCs w:val="20"/>
              </w:rPr>
            </w:pPr>
          </w:p>
        </w:tc>
      </w:tr>
      <w:tr w:rsidRPr="00DE6979" w:rsidR="00390730" w:rsidTr="00435E9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390730" w:rsidP="00390730" w:rsidRDefault="00390730" w14:paraId="7A86D0D0" w14:textId="1A6913E8">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390730" w:rsidP="00390730" w:rsidRDefault="00390730" w14:paraId="2105BBFE" w14:textId="02A79504">
            <w:pPr>
              <w:spacing w:after="0"/>
              <w:rPr>
                <w:sz w:val="20"/>
                <w:szCs w:val="20"/>
              </w:rPr>
            </w:pPr>
            <w:r w:rsidRPr="003428D4">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B05DA4" w:rsidR="00390730" w:rsidP="00390730" w:rsidRDefault="00B05DA4" w14:paraId="7409BFA2" w14:textId="61F3545C">
            <w:pPr>
              <w:spacing w:after="0"/>
              <w:rPr>
                <w:iCs/>
                <w:sz w:val="20"/>
                <w:szCs w:val="20"/>
              </w:rPr>
            </w:pPr>
            <w:r w:rsidRPr="00B05DA4">
              <w:rPr>
                <w:rFonts w:eastAsia="Calibri"/>
                <w:iCs/>
                <w:sz w:val="20"/>
                <w:szCs w:val="20"/>
              </w:rPr>
              <w:t>None</w:t>
            </w:r>
          </w:p>
        </w:tc>
      </w:tr>
      <w:tr w:rsidRPr="00DE6979" w:rsidR="003B6E75" w:rsidTr="00435E9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3B6E75" w:rsidP="003B6E75" w:rsidRDefault="003B6E75" w14:paraId="4EF8CAF8" w14:textId="0900C312">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3B6E75" w:rsidP="003B6E75" w:rsidRDefault="003B6E75" w14:paraId="398F5BF8" w14:textId="557F4976">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3B6E75" w:rsidP="003B6E75" w:rsidRDefault="003B6E75" w14:paraId="53690511" w14:textId="78FD3953">
            <w:pPr>
              <w:spacing w:after="0"/>
              <w:rPr>
                <w:i/>
                <w:iCs/>
                <w:sz w:val="20"/>
                <w:szCs w:val="20"/>
              </w:rPr>
            </w:pPr>
            <w:r w:rsidRPr="00CC2BFB">
              <w:rPr>
                <w:rFonts w:eastAsia="Calibri"/>
                <w:sz w:val="20"/>
                <w:szCs w:val="20"/>
              </w:rPr>
              <w:t xml:space="preserve">Decrease in number of respondents due to use of updated data </w:t>
            </w:r>
            <w:r>
              <w:rPr>
                <w:rFonts w:eastAsia="Calibri"/>
                <w:sz w:val="20"/>
                <w:szCs w:val="20"/>
              </w:rPr>
              <w:t xml:space="preserve">from the 2018 MIPS performance period and data </w:t>
            </w:r>
            <w:r w:rsidRPr="00CC2BFB">
              <w:rPr>
                <w:rFonts w:eastAsia="Calibri"/>
                <w:sz w:val="20"/>
                <w:szCs w:val="20"/>
              </w:rPr>
              <w:t>incorporating limitation on submission of quality data via Medicare Part B claims to small practices.</w:t>
            </w:r>
          </w:p>
        </w:tc>
      </w:tr>
      <w:tr w:rsidRPr="00DE6979" w:rsidR="003B6E75" w:rsidTr="00435E9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3B6E75" w:rsidP="003B6E75" w:rsidRDefault="003B6E75" w14:paraId="7C39CBBD" w14:textId="6E56FCDF">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DE6979" w:rsidR="003B6E75" w:rsidP="003B6E75" w:rsidRDefault="003B6E75" w14:paraId="504A14DC" w14:textId="38C7DD38">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3B6E75" w:rsidP="003B6E75" w:rsidRDefault="003B6E75" w14:paraId="450F17DC" w14:textId="753D4483">
            <w:pPr>
              <w:spacing w:after="0"/>
              <w:rPr>
                <w:i/>
                <w:iCs/>
                <w:sz w:val="20"/>
                <w:szCs w:val="20"/>
              </w:rPr>
            </w:pPr>
            <w:r w:rsidRPr="00CC2BFB">
              <w:rPr>
                <w:rFonts w:eastAsia="Calibri"/>
                <w:sz w:val="20"/>
                <w:szCs w:val="20"/>
              </w:rPr>
              <w:t xml:space="preserve">Increase in number of respondents due to use of updated data </w:t>
            </w:r>
            <w:r>
              <w:rPr>
                <w:rFonts w:eastAsia="Calibri"/>
                <w:sz w:val="20"/>
                <w:szCs w:val="20"/>
              </w:rPr>
              <w:t xml:space="preserve">from the 2018 MIPS performance period and data </w:t>
            </w:r>
            <w:r w:rsidRPr="00CC2BFB">
              <w:rPr>
                <w:rFonts w:eastAsia="Calibri"/>
                <w:sz w:val="20"/>
                <w:szCs w:val="20"/>
              </w:rPr>
              <w:t>incorporating limitation on submission of quality data via Medicare Part B claims to small practices</w:t>
            </w:r>
            <w:r>
              <w:rPr>
                <w:rFonts w:eastAsia="Calibri"/>
                <w:sz w:val="20"/>
                <w:szCs w:val="20"/>
              </w:rPr>
              <w:t>,</w:t>
            </w:r>
            <w:r w:rsidRPr="00CC2BFB">
              <w:rPr>
                <w:rFonts w:eastAsia="Calibri"/>
                <w:sz w:val="20"/>
                <w:szCs w:val="20"/>
              </w:rPr>
              <w:t xml:space="preserve"> and our assumption that affected clinicians will submit via the MIPS CQM collection type.</w:t>
            </w:r>
          </w:p>
        </w:tc>
      </w:tr>
      <w:tr w:rsidRPr="00DE6979" w:rsidR="003B6E75" w:rsidTr="00435E9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3B6E75" w:rsidP="003B6E75" w:rsidRDefault="003B6E75" w14:paraId="4CEE2EEB" w14:textId="1CC0327C">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color="auto" w:sz="4" w:space="0"/>
              <w:right w:val="single" w:color="auto" w:sz="4" w:space="0"/>
            </w:tcBorders>
            <w:shd w:val="clear" w:color="auto" w:fill="auto"/>
          </w:tcPr>
          <w:p w:rsidRPr="00DE6979" w:rsidR="003B6E75" w:rsidP="003B6E75" w:rsidRDefault="003B6E75" w14:paraId="688AC629" w14:textId="6318ACA8">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3B6E75" w:rsidP="003B6E75" w:rsidRDefault="003B6E75" w14:paraId="2EE0F61A" w14:textId="434D8550">
            <w:pPr>
              <w:spacing w:after="0"/>
              <w:rPr>
                <w:i/>
                <w:iCs/>
                <w:sz w:val="20"/>
                <w:szCs w:val="20"/>
              </w:rPr>
            </w:pPr>
            <w:r>
              <w:rPr>
                <w:rFonts w:eastAsia="Calibri"/>
                <w:sz w:val="20"/>
                <w:szCs w:val="20"/>
              </w:rPr>
              <w:t>De</w:t>
            </w:r>
            <w:r w:rsidRPr="00CC2BFB">
              <w:rPr>
                <w:rFonts w:eastAsia="Calibri"/>
                <w:sz w:val="20"/>
                <w:szCs w:val="20"/>
              </w:rPr>
              <w:t xml:space="preserve">crease in number of respondents due to use of updated data </w:t>
            </w:r>
            <w:r>
              <w:rPr>
                <w:rFonts w:eastAsia="Calibri"/>
                <w:sz w:val="20"/>
                <w:szCs w:val="20"/>
              </w:rPr>
              <w:t>from the 2018 MIPS performance period.</w:t>
            </w:r>
          </w:p>
        </w:tc>
      </w:tr>
      <w:tr w:rsidRPr="00DE6979" w:rsidR="003B6E75" w:rsidTr="00435E98" w14:paraId="6F27DA5B" w14:textId="410A1D1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3B6E75" w:rsidP="003B6E75" w:rsidRDefault="003B6E75" w14:paraId="57DAECD1" w14:textId="28755E97">
            <w:pPr>
              <w:spacing w:after="0"/>
              <w:rPr>
                <w:sz w:val="20"/>
                <w:szCs w:val="20"/>
              </w:rPr>
            </w:pPr>
            <w:r w:rsidRPr="00DE6979">
              <w:rPr>
                <w:sz w:val="20"/>
                <w:szCs w:val="20"/>
              </w:rPr>
              <w:t xml:space="preserve">Table </w:t>
            </w:r>
            <w:r>
              <w:rPr>
                <w:sz w:val="20"/>
                <w:szCs w:val="20"/>
              </w:rPr>
              <w:t>13</w:t>
            </w:r>
            <w:r w:rsidRPr="00DE6979">
              <w:rPr>
                <w:sz w:val="20"/>
                <w:szCs w:val="20"/>
              </w:rPr>
              <w:t>: Quality Performance Category CMS Web Interface</w:t>
            </w:r>
          </w:p>
        </w:tc>
        <w:tc>
          <w:tcPr>
            <w:tcW w:w="2875" w:type="dxa"/>
            <w:tcBorders>
              <w:top w:val="nil"/>
              <w:left w:val="nil"/>
              <w:bottom w:val="single" w:color="auto" w:sz="4" w:space="0"/>
              <w:right w:val="single" w:color="auto" w:sz="4" w:space="0"/>
            </w:tcBorders>
            <w:shd w:val="clear" w:color="auto" w:fill="auto"/>
          </w:tcPr>
          <w:p w:rsidRPr="00DE6979" w:rsidR="003B6E75" w:rsidP="003B6E75" w:rsidRDefault="003B6E75" w14:paraId="04BBE49F" w14:textId="455AD95D">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3B6E75" w:rsidP="003B6E75" w:rsidRDefault="003B6E75" w14:paraId="373E614F" w14:textId="4A267959">
            <w:pPr>
              <w:spacing w:after="0"/>
              <w:rPr>
                <w:i/>
                <w:iCs/>
                <w:sz w:val="20"/>
                <w:szCs w:val="20"/>
              </w:rPr>
            </w:pPr>
            <w:r w:rsidRPr="00CC2BFB">
              <w:rPr>
                <w:rFonts w:eastAsia="Calibri"/>
                <w:sz w:val="20"/>
                <w:szCs w:val="20"/>
              </w:rPr>
              <w:t xml:space="preserve">Decrease in number of respondents due to </w:t>
            </w:r>
            <w:r>
              <w:rPr>
                <w:rFonts w:eastAsia="Calibri"/>
                <w:sz w:val="20"/>
                <w:szCs w:val="20"/>
              </w:rPr>
              <w:t xml:space="preserve">use of </w:t>
            </w:r>
            <w:r w:rsidRPr="00CC2BFB">
              <w:rPr>
                <w:rFonts w:eastAsia="Calibri"/>
                <w:sz w:val="20"/>
                <w:szCs w:val="20"/>
              </w:rPr>
              <w:t>updated data from the 2018 MIPS performance period.</w:t>
            </w:r>
          </w:p>
        </w:tc>
      </w:tr>
      <w:tr w:rsidRPr="00DE6979" w:rsidR="003B6E75" w:rsidTr="00184E80" w14:paraId="07CE8077" w14:textId="59C2CE94">
        <w:trPr>
          <w:cantSplit/>
          <w:trHeight w:val="1115"/>
        </w:trPr>
        <w:tc>
          <w:tcPr>
            <w:tcW w:w="2700" w:type="dxa"/>
            <w:tcBorders>
              <w:top w:val="nil"/>
              <w:left w:val="single" w:color="auto" w:sz="4" w:space="0"/>
              <w:bottom w:val="single" w:color="auto" w:sz="4" w:space="0"/>
              <w:right w:val="single" w:color="auto" w:sz="4" w:space="0"/>
            </w:tcBorders>
            <w:shd w:val="clear" w:color="auto" w:fill="auto"/>
            <w:hideMark/>
          </w:tcPr>
          <w:p w:rsidRPr="00DE6979" w:rsidR="003B6E75" w:rsidP="003B6E75" w:rsidRDefault="003B6E75" w14:paraId="35E5EE1F" w14:textId="5E367FC4">
            <w:pPr>
              <w:spacing w:after="0"/>
              <w:rPr>
                <w:sz w:val="20"/>
                <w:szCs w:val="20"/>
              </w:rPr>
            </w:pPr>
            <w:r w:rsidRPr="00DE6979">
              <w:rPr>
                <w:sz w:val="20"/>
                <w:szCs w:val="20"/>
              </w:rPr>
              <w:t xml:space="preserve">Table </w:t>
            </w:r>
            <w:r>
              <w:rPr>
                <w:sz w:val="20"/>
                <w:szCs w:val="20"/>
              </w:rPr>
              <w:t>14</w:t>
            </w:r>
            <w:r w:rsidRPr="00DE6979">
              <w:rPr>
                <w:sz w:val="20"/>
                <w:szCs w:val="20"/>
              </w:rPr>
              <w:t>: Registration for CMS Web Interface</w:t>
            </w:r>
          </w:p>
        </w:tc>
        <w:tc>
          <w:tcPr>
            <w:tcW w:w="2875" w:type="dxa"/>
            <w:tcBorders>
              <w:top w:val="nil"/>
              <w:left w:val="nil"/>
              <w:bottom w:val="single" w:color="auto" w:sz="4" w:space="0"/>
              <w:right w:val="single" w:color="auto" w:sz="4" w:space="0"/>
            </w:tcBorders>
            <w:shd w:val="clear" w:color="auto" w:fill="auto"/>
            <w:hideMark/>
          </w:tcPr>
          <w:p w:rsidRPr="00DE6979" w:rsidR="003B6E75" w:rsidP="003B6E75" w:rsidRDefault="003B6E75" w14:paraId="50ECE1EB" w14:textId="371F58DD">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hideMark/>
          </w:tcPr>
          <w:p w:rsidRPr="00DE6979" w:rsidR="003B6E75" w:rsidP="003B6E75" w:rsidRDefault="003B6E75" w14:paraId="7A682132" w14:textId="1C99F7C4">
            <w:pPr>
              <w:spacing w:after="0"/>
              <w:rPr>
                <w:sz w:val="20"/>
                <w:szCs w:val="20"/>
              </w:rPr>
            </w:pPr>
            <w:r>
              <w:rPr>
                <w:rFonts w:eastAsia="Calibri"/>
                <w:sz w:val="20"/>
                <w:szCs w:val="20"/>
              </w:rPr>
              <w:t>In</w:t>
            </w:r>
            <w:r w:rsidRPr="00CC2BFB">
              <w:rPr>
                <w:rFonts w:eastAsia="Calibri"/>
                <w:sz w:val="20"/>
                <w:szCs w:val="20"/>
              </w:rPr>
              <w:t>crease in number of respondents due to updated data from the 201</w:t>
            </w:r>
            <w:r>
              <w:rPr>
                <w:rFonts w:eastAsia="Calibri"/>
                <w:sz w:val="20"/>
                <w:szCs w:val="20"/>
              </w:rPr>
              <w:t>9</w:t>
            </w:r>
            <w:r w:rsidRPr="00CC2BFB">
              <w:rPr>
                <w:rFonts w:eastAsia="Calibri"/>
                <w:sz w:val="20"/>
                <w:szCs w:val="20"/>
              </w:rPr>
              <w:t xml:space="preserve"> registration period.</w:t>
            </w:r>
          </w:p>
        </w:tc>
      </w:tr>
      <w:tr w:rsidRPr="00DE6979" w:rsidR="003B6E75" w:rsidTr="00E34424" w14:paraId="192EB4AB" w14:textId="2687EAA5">
        <w:trPr>
          <w:cantSplit/>
          <w:trHeight w:val="1376"/>
        </w:trPr>
        <w:tc>
          <w:tcPr>
            <w:tcW w:w="2700" w:type="dxa"/>
            <w:tcBorders>
              <w:top w:val="nil"/>
              <w:left w:val="single" w:color="auto" w:sz="4" w:space="0"/>
              <w:bottom w:val="single" w:color="auto" w:sz="4" w:space="0"/>
              <w:right w:val="single" w:color="auto" w:sz="4" w:space="0"/>
            </w:tcBorders>
            <w:shd w:val="clear" w:color="auto" w:fill="auto"/>
          </w:tcPr>
          <w:p w:rsidRPr="00DE6979" w:rsidR="003B6E75" w:rsidP="003B6E75" w:rsidRDefault="003B6E75" w14:paraId="5E30FD0A" w14:textId="7569542D">
            <w:pPr>
              <w:spacing w:after="0"/>
              <w:rPr>
                <w:sz w:val="20"/>
                <w:szCs w:val="20"/>
              </w:rPr>
            </w:pPr>
            <w:r w:rsidRPr="00DE6979">
              <w:rPr>
                <w:sz w:val="20"/>
                <w:szCs w:val="20"/>
              </w:rPr>
              <w:t xml:space="preserve">Table </w:t>
            </w:r>
            <w:r>
              <w:rPr>
                <w:sz w:val="20"/>
                <w:szCs w:val="20"/>
              </w:rPr>
              <w:t>15</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3B6E75" w:rsidP="003B6E75" w:rsidRDefault="003B6E75" w14:paraId="186861B8" w14:textId="537E885C">
            <w:pPr>
              <w:spacing w:after="0"/>
              <w:rPr>
                <w:i/>
                <w:iCs/>
                <w:sz w:val="20"/>
                <w:szCs w:val="20"/>
              </w:rPr>
            </w:pPr>
            <w:r w:rsidRPr="00CC2BFB">
              <w:rPr>
                <w:rFonts w:eastAsia="Calibri"/>
                <w:i/>
                <w:iCs/>
                <w:sz w:val="20"/>
                <w:szCs w:val="20"/>
              </w:rPr>
              <w:t xml:space="preserve">Increase of 1 hour per measure due to </w:t>
            </w:r>
            <w:r>
              <w:rPr>
                <w:rFonts w:eastAsia="Calibri"/>
                <w:i/>
                <w:iCs/>
                <w:sz w:val="20"/>
                <w:szCs w:val="20"/>
              </w:rPr>
              <w:t>finalized</w:t>
            </w:r>
            <w:r w:rsidRPr="00CC2BFB">
              <w:rPr>
                <w:rFonts w:eastAsia="Calibri"/>
                <w:i/>
                <w:iCs/>
                <w:sz w:val="20"/>
                <w:szCs w:val="20"/>
              </w:rPr>
              <w:t xml:space="preserve"> requirement to link nominated measures to existing cost measures or improvement activities.</w:t>
            </w:r>
          </w:p>
        </w:tc>
        <w:tc>
          <w:tcPr>
            <w:tcW w:w="4725" w:type="dxa"/>
            <w:tcBorders>
              <w:top w:val="nil"/>
              <w:left w:val="nil"/>
              <w:bottom w:val="single" w:color="auto" w:sz="4" w:space="0"/>
              <w:right w:val="single" w:color="auto" w:sz="4" w:space="0"/>
            </w:tcBorders>
            <w:shd w:val="clear" w:color="auto" w:fill="auto"/>
          </w:tcPr>
          <w:p w:rsidRPr="00DE6979" w:rsidR="003B6E75" w:rsidP="003B6E75" w:rsidRDefault="003B6E75" w14:paraId="0EBD8F4A" w14:textId="7D6854BE">
            <w:pPr>
              <w:spacing w:after="0"/>
              <w:rPr>
                <w:iCs/>
                <w:sz w:val="20"/>
                <w:szCs w:val="20"/>
              </w:rPr>
            </w:pPr>
            <w:r w:rsidRPr="00CC2BFB">
              <w:rPr>
                <w:rFonts w:eastAsia="Calibri"/>
                <w:sz w:val="20"/>
                <w:szCs w:val="20"/>
              </w:rPr>
              <w:t>Decrease in number of measures submitted due to updated data</w:t>
            </w:r>
            <w:r>
              <w:rPr>
                <w:rFonts w:eastAsia="Calibri"/>
                <w:sz w:val="20"/>
                <w:szCs w:val="20"/>
              </w:rPr>
              <w:t xml:space="preserve"> from the 2019 Call for Quality Measures</w:t>
            </w:r>
            <w:r w:rsidRPr="00CC2BFB">
              <w:rPr>
                <w:rFonts w:eastAsia="Calibri"/>
                <w:sz w:val="20"/>
                <w:szCs w:val="20"/>
              </w:rPr>
              <w:t>.</w:t>
            </w:r>
          </w:p>
        </w:tc>
      </w:tr>
      <w:tr w:rsidRPr="00DE6979" w:rsidR="007C3F67" w:rsidTr="00A802CE"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7C3F67" w:rsidP="007C3F67" w:rsidRDefault="007C3F67" w14:paraId="2FD5D319" w14:textId="22340246">
            <w:pPr>
              <w:spacing w:after="0"/>
              <w:rPr>
                <w:sz w:val="20"/>
                <w:szCs w:val="20"/>
              </w:rPr>
            </w:pPr>
            <w:r w:rsidRPr="00DE6979">
              <w:rPr>
                <w:sz w:val="20"/>
                <w:szCs w:val="20"/>
              </w:rPr>
              <w:t xml:space="preserve">Table </w:t>
            </w:r>
            <w:r>
              <w:rPr>
                <w:sz w:val="20"/>
                <w:szCs w:val="20"/>
              </w:rPr>
              <w:t>16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39102ACB" w14:textId="25221464">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764B5400" w14:textId="0387E362">
            <w:pPr>
              <w:spacing w:after="0"/>
              <w:rPr>
                <w:iCs/>
                <w:sz w:val="20"/>
                <w:szCs w:val="20"/>
              </w:rPr>
            </w:pPr>
            <w:r>
              <w:rPr>
                <w:rFonts w:eastAsia="Calibri"/>
                <w:sz w:val="20"/>
                <w:szCs w:val="20"/>
              </w:rPr>
              <w:t>In</w:t>
            </w:r>
            <w:r w:rsidRPr="00CC2BFB">
              <w:rPr>
                <w:rFonts w:eastAsia="Calibri"/>
                <w:sz w:val="20"/>
                <w:szCs w:val="20"/>
              </w:rPr>
              <w:t>crease in number of applications submitted due to updated data</w:t>
            </w:r>
            <w:r>
              <w:rPr>
                <w:rFonts w:eastAsia="Calibri"/>
                <w:sz w:val="20"/>
                <w:szCs w:val="20"/>
              </w:rPr>
              <w:t xml:space="preserve"> from the 2019 MIPS performance period</w:t>
            </w:r>
            <w:r w:rsidRPr="00CC2BFB">
              <w:rPr>
                <w:rFonts w:eastAsia="Calibri"/>
                <w:sz w:val="20"/>
                <w:szCs w:val="20"/>
              </w:rPr>
              <w:t>.</w:t>
            </w:r>
          </w:p>
        </w:tc>
      </w:tr>
      <w:tr w:rsidRPr="00DE6979" w:rsidR="007C3F67" w:rsidTr="00A802CE"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7C3F67" w:rsidP="007C3F67" w:rsidRDefault="007C3F67" w14:paraId="06A33477" w14:textId="40F8C7FB">
            <w:pPr>
              <w:spacing w:after="0"/>
              <w:rPr>
                <w:sz w:val="20"/>
                <w:szCs w:val="20"/>
              </w:rPr>
            </w:pPr>
            <w:r w:rsidRPr="00DE6979">
              <w:rPr>
                <w:sz w:val="20"/>
                <w:szCs w:val="20"/>
              </w:rPr>
              <w:t xml:space="preserve">Table </w:t>
            </w:r>
            <w:r>
              <w:rPr>
                <w:sz w:val="20"/>
                <w:szCs w:val="20"/>
              </w:rPr>
              <w:t>18</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3E207E9D" w14:textId="2293E31C">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7FA62E83" w14:textId="5BA26C70">
            <w:pPr>
              <w:spacing w:after="0"/>
              <w:rPr>
                <w:i/>
                <w:sz w:val="20"/>
                <w:szCs w:val="20"/>
              </w:rPr>
            </w:pPr>
            <w:r>
              <w:rPr>
                <w:rFonts w:eastAsia="Calibri"/>
                <w:sz w:val="20"/>
                <w:szCs w:val="20"/>
              </w:rPr>
              <w:t>De</w:t>
            </w:r>
            <w:r w:rsidRPr="00CC2BFB">
              <w:rPr>
                <w:rFonts w:eastAsia="Calibri"/>
                <w:sz w:val="20"/>
                <w:szCs w:val="20"/>
              </w:rPr>
              <w:t xml:space="preserve">crease in number of respondents due </w:t>
            </w:r>
            <w:r>
              <w:rPr>
                <w:rFonts w:eastAsia="Calibri"/>
                <w:sz w:val="20"/>
                <w:szCs w:val="20"/>
              </w:rPr>
              <w:t>use of updated data from the 2018 MIPS performance period.</w:t>
            </w:r>
            <w:r w:rsidRPr="00CC2BFB">
              <w:rPr>
                <w:rFonts w:eastAsia="Calibri"/>
                <w:sz w:val="20"/>
                <w:szCs w:val="20"/>
              </w:rPr>
              <w:t xml:space="preserve"> </w:t>
            </w:r>
          </w:p>
        </w:tc>
      </w:tr>
      <w:tr w:rsidRPr="00DE6979" w:rsidR="007C3F67" w:rsidTr="00A802CE"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7C3F67" w:rsidP="007C3F67" w:rsidRDefault="007C3F67" w14:paraId="0B2AA39A" w14:textId="3D75E3EE">
            <w:pPr>
              <w:spacing w:after="0"/>
              <w:rPr>
                <w:sz w:val="20"/>
                <w:szCs w:val="20"/>
              </w:rPr>
            </w:pPr>
            <w:r w:rsidRPr="00DE6979">
              <w:rPr>
                <w:sz w:val="20"/>
                <w:szCs w:val="20"/>
              </w:rPr>
              <w:t xml:space="preserve">Table </w:t>
            </w:r>
            <w:r>
              <w:rPr>
                <w:sz w:val="20"/>
                <w:szCs w:val="20"/>
              </w:rPr>
              <w:t>19</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7DD2F2A7" w14:textId="588772D9">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20B3FB36" w14:textId="16FB5D77">
            <w:pPr>
              <w:spacing w:after="0"/>
              <w:rPr>
                <w:i/>
                <w:iCs/>
                <w:sz w:val="20"/>
                <w:szCs w:val="20"/>
              </w:rPr>
            </w:pPr>
            <w:r w:rsidRPr="00CC2BFB">
              <w:rPr>
                <w:rFonts w:eastAsia="Calibri"/>
                <w:sz w:val="20"/>
                <w:szCs w:val="20"/>
              </w:rPr>
              <w:t>Decrease in number of measures submitted due to updated data</w:t>
            </w:r>
            <w:r>
              <w:rPr>
                <w:rFonts w:eastAsia="Calibri"/>
                <w:sz w:val="20"/>
                <w:szCs w:val="20"/>
              </w:rPr>
              <w:t xml:space="preserve"> from the 2019 Call for Promoting Interoperability Measures</w:t>
            </w:r>
            <w:r w:rsidRPr="00CC2BFB">
              <w:rPr>
                <w:rFonts w:eastAsia="Calibri"/>
                <w:sz w:val="20"/>
                <w:szCs w:val="20"/>
              </w:rPr>
              <w:t>.</w:t>
            </w:r>
          </w:p>
        </w:tc>
      </w:tr>
      <w:tr w:rsidRPr="00DE6979" w:rsidR="007C3F67" w:rsidTr="00E34424" w14:paraId="0A8B963F" w14:textId="4773AB89">
        <w:trPr>
          <w:cantSplit/>
          <w:trHeight w:val="125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7C3F67" w:rsidP="007C3F67" w:rsidRDefault="007C3F67" w14:paraId="5F4A43BF" w14:textId="6ED07500">
            <w:pPr>
              <w:spacing w:after="0"/>
              <w:rPr>
                <w:sz w:val="20"/>
                <w:szCs w:val="20"/>
              </w:rPr>
            </w:pPr>
            <w:r w:rsidRPr="00DE6979">
              <w:rPr>
                <w:sz w:val="20"/>
                <w:szCs w:val="20"/>
              </w:rPr>
              <w:t xml:space="preserve">Table </w:t>
            </w:r>
            <w:r>
              <w:rPr>
                <w:sz w:val="20"/>
                <w:szCs w:val="20"/>
              </w:rPr>
              <w:t>21</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3F15CDD4" w14:textId="0D735551">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2D289FEA" w14:textId="1D46FD64">
            <w:pPr>
              <w:spacing w:after="0"/>
              <w:rPr>
                <w:sz w:val="20"/>
                <w:szCs w:val="20"/>
              </w:rPr>
            </w:pPr>
            <w:r w:rsidRPr="00CC2BFB">
              <w:rPr>
                <w:rFonts w:eastAsia="Calibri"/>
                <w:sz w:val="20"/>
                <w:szCs w:val="20"/>
              </w:rPr>
              <w:t xml:space="preserve">Decrease in number of respondents due to </w:t>
            </w:r>
            <w:r>
              <w:rPr>
                <w:rFonts w:eastAsia="Calibri"/>
                <w:sz w:val="20"/>
                <w:szCs w:val="20"/>
              </w:rPr>
              <w:t>use of updated data from the 2018 MIPS performance period.</w:t>
            </w:r>
          </w:p>
        </w:tc>
      </w:tr>
      <w:tr w:rsidRPr="00DE6979" w:rsidR="007C3F67" w:rsidTr="00E34424"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7C3F67" w:rsidP="007C3F67" w:rsidRDefault="007C3F67" w14:paraId="280FB83E" w14:textId="42014347">
            <w:pPr>
              <w:spacing w:after="0"/>
              <w:rPr>
                <w:sz w:val="20"/>
                <w:szCs w:val="20"/>
              </w:rPr>
            </w:pPr>
            <w:r w:rsidRPr="00DE6979">
              <w:rPr>
                <w:sz w:val="20"/>
                <w:szCs w:val="20"/>
              </w:rPr>
              <w:t xml:space="preserve">Table </w:t>
            </w:r>
            <w:r>
              <w:rPr>
                <w:sz w:val="20"/>
                <w:szCs w:val="20"/>
              </w:rPr>
              <w:t>22</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7E1BF5B1" w14:textId="2C1ACEC3">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11AD78F8" w14:textId="47B5964A">
            <w:pPr>
              <w:spacing w:after="0"/>
              <w:rPr>
                <w:sz w:val="20"/>
                <w:szCs w:val="20"/>
              </w:rPr>
            </w:pPr>
            <w:r>
              <w:rPr>
                <w:rFonts w:eastAsia="Calibri"/>
                <w:sz w:val="20"/>
                <w:szCs w:val="20"/>
              </w:rPr>
              <w:t>De</w:t>
            </w:r>
            <w:r w:rsidRPr="00CC2BFB">
              <w:rPr>
                <w:rFonts w:eastAsia="Calibri"/>
                <w:sz w:val="20"/>
                <w:szCs w:val="20"/>
              </w:rPr>
              <w:t>crease in number of activities nominated due to updated data</w:t>
            </w:r>
            <w:r>
              <w:rPr>
                <w:rFonts w:eastAsia="Calibri"/>
                <w:sz w:val="20"/>
                <w:szCs w:val="20"/>
              </w:rPr>
              <w:t xml:space="preserve"> from the 2019 Improvement Activity nomination period</w:t>
            </w:r>
            <w:r w:rsidRPr="00CC2BFB">
              <w:rPr>
                <w:rFonts w:eastAsia="Calibri"/>
                <w:sz w:val="20"/>
                <w:szCs w:val="20"/>
              </w:rPr>
              <w:t>.</w:t>
            </w:r>
          </w:p>
        </w:tc>
      </w:tr>
      <w:tr w:rsidRPr="00DE6979" w:rsidR="007C3F67" w:rsidTr="00435E98" w14:paraId="2E5546F4" w14:textId="62C7493B">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7C3F67" w:rsidP="007C3F67" w:rsidRDefault="007C3F67" w14:paraId="6103CF3D" w14:textId="45E86B08">
            <w:pPr>
              <w:spacing w:after="0"/>
              <w:rPr>
                <w:sz w:val="20"/>
                <w:szCs w:val="20"/>
              </w:rPr>
            </w:pPr>
            <w:r w:rsidRPr="00DE6979">
              <w:rPr>
                <w:sz w:val="20"/>
                <w:szCs w:val="20"/>
              </w:rPr>
              <w:t xml:space="preserve">Table </w:t>
            </w:r>
            <w:r>
              <w:rPr>
                <w:sz w:val="20"/>
                <w:szCs w:val="20"/>
              </w:rPr>
              <w:t>23</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6A324BAC" w14:textId="528A06F3">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3EB4" w:rsidR="007C3F67" w:rsidP="007C3F67" w:rsidRDefault="007C3F67" w14:paraId="268DF0A2" w14:textId="4B49A18C">
            <w:pPr>
              <w:spacing w:after="0"/>
              <w:rPr>
                <w:i/>
                <w:sz w:val="20"/>
                <w:szCs w:val="20"/>
              </w:rPr>
            </w:pPr>
            <w:r w:rsidRPr="00CC2BFB">
              <w:rPr>
                <w:rFonts w:eastAsia="Calibri"/>
                <w:sz w:val="20"/>
                <w:szCs w:val="20"/>
              </w:rPr>
              <w:t>Increase in number of respondents due to updated projections for the 2020 MIPS performance period.</w:t>
            </w:r>
          </w:p>
        </w:tc>
      </w:tr>
      <w:tr w:rsidRPr="00DE6979" w:rsidR="007C3F67" w:rsidTr="00E34424"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7C3F67" w:rsidP="007C3F67" w:rsidRDefault="007C3F67" w14:paraId="188FB8CA" w14:textId="3568834B">
            <w:pPr>
              <w:spacing w:after="0"/>
              <w:rPr>
                <w:sz w:val="20"/>
                <w:szCs w:val="20"/>
              </w:rPr>
            </w:pPr>
            <w:r w:rsidRPr="00DE6979">
              <w:rPr>
                <w:sz w:val="20"/>
                <w:szCs w:val="20"/>
              </w:rPr>
              <w:t xml:space="preserve">Table </w:t>
            </w:r>
            <w:r>
              <w:rPr>
                <w:sz w:val="20"/>
                <w:szCs w:val="20"/>
              </w:rPr>
              <w:t>24</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7C3F67" w:rsidP="007C3F67" w:rsidRDefault="007C3F67" w14:paraId="5CB0CF0F" w14:textId="5914C9C7">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7C3F67" w:rsidP="007C3F67" w:rsidRDefault="007C3F67" w14:paraId="06045CB4" w14:textId="11DF3F5C">
            <w:pPr>
              <w:spacing w:after="0"/>
              <w:rPr>
                <w:i/>
                <w:sz w:val="20"/>
                <w:szCs w:val="20"/>
              </w:rPr>
            </w:pPr>
            <w:r w:rsidRPr="00CC2BFB">
              <w:rPr>
                <w:rFonts w:eastAsia="Calibri"/>
                <w:sz w:val="20"/>
                <w:szCs w:val="20"/>
              </w:rPr>
              <w:t>Increase in number of respondents due to updated projections for the 2020 MIPS performance period.</w:t>
            </w:r>
          </w:p>
        </w:tc>
      </w:tr>
      <w:tr w:rsidRPr="00DE6979" w:rsidR="00AA2D60" w:rsidTr="00435E9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A2D60" w:rsidP="00AA2D60" w:rsidRDefault="00AA2D60" w14:paraId="6EF9AB07" w14:textId="1ED61FD0">
            <w:pPr>
              <w:spacing w:after="0"/>
              <w:rPr>
                <w:sz w:val="20"/>
                <w:szCs w:val="20"/>
              </w:rPr>
            </w:pPr>
            <w:r w:rsidRPr="00DE6979">
              <w:rPr>
                <w:sz w:val="20"/>
                <w:szCs w:val="20"/>
              </w:rPr>
              <w:t xml:space="preserve">Table </w:t>
            </w:r>
            <w:r>
              <w:rPr>
                <w:sz w:val="20"/>
                <w:szCs w:val="20"/>
              </w:rPr>
              <w:t>25:</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AA2D60" w:rsidP="00AA2D60" w:rsidRDefault="00AA2D60" w14:paraId="7B232573" w14:textId="6AC8D7E7">
            <w:pPr>
              <w:spacing w:after="0"/>
              <w:rPr>
                <w:sz w:val="20"/>
                <w:szCs w:val="20"/>
              </w:rPr>
            </w:pPr>
            <w:r w:rsidRPr="009C0029">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AA2D60" w:rsidR="00AA2D60" w:rsidP="00AA2D60" w:rsidRDefault="00AA2D60" w14:paraId="0E609B00" w14:textId="1385B44A">
            <w:pPr>
              <w:spacing w:after="0"/>
              <w:rPr>
                <w:sz w:val="20"/>
                <w:szCs w:val="20"/>
              </w:rPr>
            </w:pPr>
            <w:r w:rsidRPr="00AA2D60">
              <w:rPr>
                <w:rFonts w:eastAsia="Calibri"/>
                <w:sz w:val="20"/>
                <w:szCs w:val="20"/>
              </w:rPr>
              <w:t>None.</w:t>
            </w:r>
          </w:p>
        </w:tc>
      </w:tr>
      <w:tr w:rsidRPr="00DE6979" w:rsidR="00FA6E92" w:rsidTr="00435E9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FA6E92" w:rsidP="00FA6E92" w:rsidRDefault="00FA6E92" w14:paraId="13B64710" w14:textId="61047306">
            <w:pPr>
              <w:spacing w:after="0"/>
              <w:rPr>
                <w:sz w:val="20"/>
                <w:szCs w:val="20"/>
              </w:rPr>
            </w:pPr>
            <w:r w:rsidRPr="00DE6979">
              <w:rPr>
                <w:sz w:val="20"/>
                <w:szCs w:val="20"/>
              </w:rPr>
              <w:t xml:space="preserve">Table </w:t>
            </w:r>
            <w:r>
              <w:rPr>
                <w:sz w:val="20"/>
                <w:szCs w:val="20"/>
              </w:rPr>
              <w:t>26</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FA6E92" w:rsidP="00FA6E92" w:rsidRDefault="00FA6E92" w14:paraId="52D0EDBA" w14:textId="3DB4E82F">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FA6E92" w:rsidP="00FA6E92" w:rsidRDefault="00FA6E92" w14:paraId="343CEC43" w14:textId="4587A561">
            <w:pPr>
              <w:spacing w:after="0"/>
              <w:rPr>
                <w:iCs/>
                <w:sz w:val="20"/>
                <w:szCs w:val="20"/>
              </w:rPr>
            </w:pPr>
            <w:r w:rsidRPr="00CC2BFB">
              <w:rPr>
                <w:rFonts w:eastAsia="Calibri"/>
                <w:sz w:val="20"/>
                <w:szCs w:val="20"/>
              </w:rPr>
              <w:t>Increase in number of respondents due to updated projections for the 2020 MIPS performance period.</w:t>
            </w:r>
          </w:p>
        </w:tc>
      </w:tr>
      <w:tr w:rsidRPr="00DE6979" w:rsidR="00FA6E92" w:rsidTr="00435E9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FA6E92" w:rsidP="00FA6E92" w:rsidRDefault="00FA6E92" w14:paraId="6728FA98" w14:textId="75DE2F30">
            <w:pPr>
              <w:spacing w:after="0"/>
              <w:rPr>
                <w:sz w:val="20"/>
                <w:szCs w:val="20"/>
              </w:rPr>
            </w:pPr>
            <w:r w:rsidRPr="00DE6979">
              <w:rPr>
                <w:sz w:val="20"/>
                <w:szCs w:val="20"/>
              </w:rPr>
              <w:t xml:space="preserve">Table </w:t>
            </w:r>
            <w:r>
              <w:rPr>
                <w:sz w:val="20"/>
                <w:szCs w:val="20"/>
              </w:rPr>
              <w:t>27:</w:t>
            </w:r>
            <w:r w:rsidRPr="00DE6979">
              <w:rPr>
                <w:sz w:val="20"/>
                <w:szCs w:val="20"/>
              </w:rPr>
              <w:t xml:space="preserve"> Voluntary Participants to Elect to Opt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FA6E92" w:rsidP="00FA6E92" w:rsidRDefault="00FA6E92" w14:paraId="2A22759B" w14:textId="14A24804">
            <w:pPr>
              <w:spacing w:after="0"/>
              <w:rPr>
                <w:i/>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FA6E92" w:rsidP="00FA6E92" w:rsidRDefault="00FA6E92" w14:paraId="070693BA" w14:textId="1718E44D">
            <w:pPr>
              <w:spacing w:after="0"/>
              <w:rPr>
                <w:iCs/>
                <w:sz w:val="20"/>
                <w:szCs w:val="20"/>
              </w:rPr>
            </w:pPr>
            <w:r w:rsidRPr="00CC2BFB">
              <w:rPr>
                <w:rFonts w:eastAsia="Calibri"/>
                <w:sz w:val="20"/>
                <w:szCs w:val="20"/>
              </w:rPr>
              <w:t xml:space="preserve">Decrease in the number of respondents due to </w:t>
            </w:r>
            <w:r>
              <w:rPr>
                <w:rFonts w:eastAsia="Calibri"/>
                <w:sz w:val="20"/>
                <w:szCs w:val="20"/>
              </w:rPr>
              <w:t>use of updated data from the 2018 MIPS performance period.</w:t>
            </w:r>
          </w:p>
        </w:tc>
      </w:tr>
    </w:tbl>
    <w:p w:rsidR="00423D13" w:rsidP="00820C12" w:rsidRDefault="00423D13" w14:paraId="62D72E45" w14:textId="2BB3B09F">
      <w:pPr>
        <w:tabs>
          <w:tab w:val="left" w:pos="6030"/>
        </w:tabs>
        <w:spacing w:line="276" w:lineRule="auto"/>
        <w:ind w:firstLine="720"/>
        <w:jc w:val="both"/>
      </w:pPr>
    </w:p>
    <w:p w:rsidR="007847CA" w:rsidP="005F764B" w:rsidRDefault="007847CA" w14:paraId="062CFEDE" w14:textId="59DC17D1">
      <w:pPr>
        <w:tabs>
          <w:tab w:val="left" w:pos="6030"/>
        </w:tabs>
        <w:spacing w:line="276" w:lineRule="auto"/>
        <w:jc w:val="both"/>
      </w:pPr>
      <w:r>
        <w:t>Table 3</w:t>
      </w:r>
      <w:r w:rsidR="00671900">
        <w:t>1</w:t>
      </w:r>
      <w:r>
        <w:t xml:space="preserve"> summarizes the annual burden estimates for </w:t>
      </w:r>
      <w:r w:rsidR="00456EA0">
        <w:t>finaliz</w:t>
      </w:r>
      <w:r w:rsidR="006E1D61">
        <w:t>ed</w:t>
      </w:r>
      <w:r>
        <w:t xml:space="preserve"> requirements for all ICRs being submitted for OMB approval under control number 0938-1314 (CMS-10621).</w:t>
      </w:r>
    </w:p>
    <w:p w:rsidR="00C47EC5" w:rsidP="005F764B" w:rsidRDefault="00C47EC5" w14:paraId="67B45D24" w14:textId="77777777">
      <w:pPr>
        <w:tabs>
          <w:tab w:val="left" w:pos="6030"/>
        </w:tabs>
        <w:spacing w:line="276" w:lineRule="auto"/>
        <w:jc w:val="both"/>
      </w:pPr>
    </w:p>
    <w:p w:rsidRPr="001D15B8" w:rsidR="007847CA" w:rsidP="0054258F" w:rsidRDefault="007847CA" w14:paraId="04142340" w14:textId="5A35B7E1">
      <w:pPr>
        <w:jc w:val="center"/>
        <w:rPr>
          <w:b/>
        </w:rPr>
      </w:pPr>
      <w:r w:rsidRPr="007847CA">
        <w:rPr>
          <w:b/>
        </w:rPr>
        <w:t>TABLE 3</w:t>
      </w:r>
      <w:r w:rsidR="00671900">
        <w:rPr>
          <w:b/>
        </w:rPr>
        <w:t>1</w:t>
      </w:r>
      <w:r w:rsidRPr="001D15B8">
        <w:rPr>
          <w:b/>
        </w:rPr>
        <w:t>: Annual Requirements and Burden</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35"/>
        <w:gridCol w:w="1306"/>
        <w:gridCol w:w="1198"/>
        <w:gridCol w:w="1121"/>
        <w:gridCol w:w="1455"/>
        <w:gridCol w:w="1126"/>
        <w:gridCol w:w="1809"/>
      </w:tblGrid>
      <w:tr w:rsidRPr="001D15B8" w:rsidR="00333C5B" w:rsidTr="008771D2" w14:paraId="04973B41" w14:textId="77777777">
        <w:trPr>
          <w:tblHeader/>
          <w:jc w:val="center"/>
        </w:trPr>
        <w:tc>
          <w:tcPr>
            <w:tcW w:w="1351" w:type="dxa"/>
            <w:vAlign w:val="bottom"/>
          </w:tcPr>
          <w:p w:rsidRPr="001D15B8" w:rsidR="007847CA" w:rsidP="00281DDF" w:rsidRDefault="007847CA" w14:paraId="1399122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Regulation Section(s) Under Title 42 of the CFR</w:t>
            </w:r>
          </w:p>
        </w:tc>
        <w:tc>
          <w:tcPr>
            <w:tcW w:w="1211" w:type="dxa"/>
            <w:vAlign w:val="bottom"/>
          </w:tcPr>
          <w:p w:rsidRPr="001D15B8" w:rsidR="007847CA" w:rsidP="00281DDF" w:rsidRDefault="007847CA" w14:paraId="5FC8CB6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Respondents</w:t>
            </w:r>
          </w:p>
        </w:tc>
        <w:tc>
          <w:tcPr>
            <w:tcW w:w="1206" w:type="dxa"/>
            <w:vAlign w:val="bottom"/>
          </w:tcPr>
          <w:p w:rsidRPr="001D15B8" w:rsidR="007847CA" w:rsidP="00281DDF" w:rsidRDefault="007847CA" w14:paraId="3531429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Responses</w:t>
            </w:r>
          </w:p>
        </w:tc>
        <w:tc>
          <w:tcPr>
            <w:tcW w:w="1129" w:type="dxa"/>
            <w:vAlign w:val="bottom"/>
          </w:tcPr>
          <w:p w:rsidRPr="001D15B8" w:rsidR="007847CA" w:rsidP="00281DDF" w:rsidRDefault="007847CA" w14:paraId="3DD41F2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Burden per Response (hours)</w:t>
            </w:r>
          </w:p>
        </w:tc>
        <w:tc>
          <w:tcPr>
            <w:tcW w:w="1479" w:type="dxa"/>
            <w:vAlign w:val="bottom"/>
          </w:tcPr>
          <w:p w:rsidRPr="001D15B8" w:rsidR="007847CA" w:rsidP="00281DDF" w:rsidRDefault="007847CA" w14:paraId="0DBAF608"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Total Annual Burden (hours)</w:t>
            </w:r>
          </w:p>
        </w:tc>
        <w:tc>
          <w:tcPr>
            <w:tcW w:w="1129" w:type="dxa"/>
            <w:vAlign w:val="bottom"/>
          </w:tcPr>
          <w:p w:rsidRPr="001D15B8" w:rsidR="007847CA" w:rsidP="00281DDF" w:rsidRDefault="007847CA" w14:paraId="587D377E" w14:textId="77777777">
            <w:pPr>
              <w:keepNext/>
              <w:keepLines/>
              <w:spacing w:after="0"/>
              <w:jc w:val="center"/>
              <w:rPr>
                <w:b/>
                <w:bCs/>
                <w:color w:val="000000"/>
                <w:sz w:val="20"/>
                <w:szCs w:val="20"/>
              </w:rPr>
            </w:pPr>
            <w:r w:rsidRPr="001D15B8">
              <w:rPr>
                <w:b/>
                <w:bCs/>
                <w:color w:val="000000"/>
                <w:sz w:val="20"/>
                <w:szCs w:val="20"/>
              </w:rPr>
              <w:t>Labor</w:t>
            </w:r>
          </w:p>
          <w:p w:rsidRPr="001D15B8" w:rsidR="007847CA" w:rsidP="00281DDF" w:rsidRDefault="007847CA" w14:paraId="56C6CB84" w14:textId="77777777">
            <w:pPr>
              <w:keepNext/>
              <w:keepLines/>
              <w:spacing w:after="0"/>
              <w:jc w:val="center"/>
              <w:rPr>
                <w:b/>
                <w:bCs/>
                <w:color w:val="000000"/>
                <w:sz w:val="20"/>
                <w:szCs w:val="20"/>
              </w:rPr>
            </w:pPr>
            <w:r w:rsidRPr="001D15B8">
              <w:rPr>
                <w:b/>
                <w:bCs/>
                <w:color w:val="000000"/>
                <w:sz w:val="20"/>
                <w:szCs w:val="20"/>
              </w:rPr>
              <w:t>Cost of</w:t>
            </w:r>
          </w:p>
          <w:p w:rsidRPr="001D15B8" w:rsidR="007847CA" w:rsidP="00281DDF" w:rsidRDefault="007847CA" w14:paraId="237A72A1" w14:textId="77777777">
            <w:pPr>
              <w:keepNext/>
              <w:keepLines/>
              <w:spacing w:after="0"/>
              <w:jc w:val="center"/>
              <w:rPr>
                <w:b/>
                <w:bCs/>
                <w:color w:val="000000"/>
                <w:sz w:val="20"/>
                <w:szCs w:val="20"/>
              </w:rPr>
            </w:pPr>
            <w:r w:rsidRPr="001D15B8">
              <w:rPr>
                <w:b/>
                <w:bCs/>
                <w:color w:val="000000"/>
                <w:sz w:val="20"/>
                <w:szCs w:val="20"/>
              </w:rPr>
              <w:t>Reporting</w:t>
            </w:r>
          </w:p>
          <w:p w:rsidRPr="001D15B8" w:rsidR="007847CA" w:rsidP="00281DDF" w:rsidRDefault="007847CA" w14:paraId="2B8C3EA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($/hr)</w:t>
            </w:r>
          </w:p>
        </w:tc>
        <w:tc>
          <w:tcPr>
            <w:tcW w:w="1845" w:type="dxa"/>
            <w:vAlign w:val="bottom"/>
          </w:tcPr>
          <w:p w:rsidRPr="001D15B8" w:rsidR="007847CA" w:rsidP="00281DDF" w:rsidRDefault="007847CA" w14:paraId="3E4BDD3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Total Cost</w:t>
            </w:r>
          </w:p>
          <w:p w:rsidRPr="001D15B8" w:rsidR="007847CA" w:rsidP="00281DDF" w:rsidRDefault="007847CA" w14:paraId="7F7347D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w:t>
            </w:r>
          </w:p>
        </w:tc>
      </w:tr>
      <w:tr w:rsidRPr="001D15B8" w:rsidR="00333C5B" w:rsidTr="008771D2" w14:paraId="7EE222B3" w14:textId="77777777">
        <w:trPr>
          <w:jc w:val="center"/>
        </w:trPr>
        <w:tc>
          <w:tcPr>
            <w:tcW w:w="1351" w:type="dxa"/>
          </w:tcPr>
          <w:p w:rsidRPr="001D15B8" w:rsidR="00A81BBD" w:rsidP="00A81BBD" w:rsidRDefault="00A81BBD" w14:paraId="38C8D8BF" w14:textId="49D95C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710DC">
              <w:rPr>
                <w:sz w:val="20"/>
                <w:szCs w:val="20"/>
              </w:rPr>
              <w:t xml:space="preserve">Quality Payment Program (See Subtotal Under Table </w:t>
            </w:r>
            <w:r>
              <w:rPr>
                <w:sz w:val="20"/>
                <w:szCs w:val="20"/>
              </w:rPr>
              <w:t>89</w:t>
            </w:r>
            <w:r w:rsidRPr="008710DC">
              <w:rPr>
                <w:sz w:val="20"/>
                <w:szCs w:val="20"/>
              </w:rPr>
              <w:t>)</w:t>
            </w:r>
          </w:p>
        </w:tc>
        <w:tc>
          <w:tcPr>
            <w:tcW w:w="1211" w:type="dxa"/>
          </w:tcPr>
          <w:p w:rsidRPr="007E38FE" w:rsidR="00A81BBD" w:rsidP="00A81BBD" w:rsidRDefault="00336813" w14:paraId="2631F0A6" w14:textId="2249D3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w:t>
            </w:r>
            <w:r w:rsidR="00FA6E92">
              <w:rPr>
                <w:sz w:val="20"/>
                <w:szCs w:val="20"/>
              </w:rPr>
              <w:t>43,152</w:t>
            </w:r>
          </w:p>
        </w:tc>
        <w:tc>
          <w:tcPr>
            <w:tcW w:w="1206" w:type="dxa"/>
          </w:tcPr>
          <w:p w:rsidRPr="007E38FE" w:rsidR="00A81BBD" w:rsidP="00A81BBD" w:rsidRDefault="000F6DED" w14:paraId="64E9E02D" w14:textId="0534C2F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737BBD">
              <w:rPr>
                <w:sz w:val="20"/>
                <w:szCs w:val="20"/>
              </w:rPr>
              <w:t>1</w:t>
            </w:r>
            <w:r w:rsidR="00333C5B">
              <w:rPr>
                <w:sz w:val="20"/>
                <w:szCs w:val="20"/>
              </w:rPr>
              <w:t>68,946</w:t>
            </w:r>
            <w:r w:rsidRPr="00337507" w:rsidR="00A81BBD">
              <w:rPr>
                <w:sz w:val="20"/>
                <w:szCs w:val="20"/>
              </w:rPr>
              <w:t>)</w:t>
            </w:r>
          </w:p>
        </w:tc>
        <w:tc>
          <w:tcPr>
            <w:tcW w:w="1129" w:type="dxa"/>
          </w:tcPr>
          <w:p w:rsidRPr="007E38FE" w:rsidR="00A81BBD" w:rsidP="00A81BBD" w:rsidRDefault="00A81BBD" w14:paraId="7B4A104F" w14:textId="3314EB5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479" w:type="dxa"/>
          </w:tcPr>
          <w:p w:rsidRPr="007E38FE" w:rsidR="00A81BBD" w:rsidP="00A81BBD" w:rsidRDefault="000F6DED" w14:paraId="6360B177" w14:textId="4213DAB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w:t>
            </w:r>
            <w:r w:rsidR="00333C5B">
              <w:rPr>
                <w:sz w:val="20"/>
                <w:szCs w:val="20"/>
              </w:rPr>
              <w:t>2,171,15</w:t>
            </w:r>
            <w:r w:rsidR="006B4561">
              <w:rPr>
                <w:sz w:val="20"/>
                <w:szCs w:val="20"/>
              </w:rPr>
              <w:t>2</w:t>
            </w:r>
            <w:r w:rsidRPr="00206664" w:rsidR="00A81BBD">
              <w:rPr>
                <w:sz w:val="20"/>
                <w:szCs w:val="20"/>
              </w:rPr>
              <w:t>)</w:t>
            </w:r>
          </w:p>
        </w:tc>
        <w:tc>
          <w:tcPr>
            <w:tcW w:w="1129" w:type="dxa"/>
          </w:tcPr>
          <w:p w:rsidRPr="007E38FE" w:rsidR="00A81BBD" w:rsidP="00A81BBD" w:rsidRDefault="00A81BBD" w14:paraId="0F850B5C" w14:textId="4BB620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845" w:type="dxa"/>
          </w:tcPr>
          <w:p w:rsidRPr="007E38FE" w:rsidR="00A81BBD" w:rsidP="00A81BBD" w:rsidRDefault="00390730" w14:paraId="7E1175D3" w14:textId="4C3DD4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333C5B">
              <w:rPr>
                <w:sz w:val="20"/>
                <w:szCs w:val="20"/>
              </w:rPr>
              <w:t>206,382,840</w:t>
            </w:r>
            <w:r w:rsidR="00A81BBD">
              <w:rPr>
                <w:sz w:val="20"/>
                <w:szCs w:val="20"/>
              </w:rPr>
              <w:t>)</w:t>
            </w:r>
          </w:p>
        </w:tc>
      </w:tr>
    </w:tbl>
    <w:p w:rsidRPr="009513F1" w:rsidR="007847CA" w:rsidP="007847CA" w:rsidRDefault="007847CA" w14:paraId="615664A6" w14:textId="0990144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Pr="001D15B8">
        <w:rPr>
          <w:sz w:val="18"/>
          <w:szCs w:val="18"/>
        </w:rPr>
        <w:t>With respect to the PRA, th</w:t>
      </w:r>
      <w:r w:rsidR="000F3E36">
        <w:rPr>
          <w:sz w:val="18"/>
          <w:szCs w:val="18"/>
        </w:rPr>
        <w:t>e</w:t>
      </w:r>
      <w:r w:rsidRPr="001D15B8">
        <w:rPr>
          <w:sz w:val="18"/>
          <w:szCs w:val="18"/>
        </w:rPr>
        <w:t xml:space="preserve"> </w:t>
      </w:r>
      <w:r w:rsidR="00942414">
        <w:rPr>
          <w:sz w:val="18"/>
          <w:szCs w:val="18"/>
        </w:rPr>
        <w:t xml:space="preserve">CY 2020 PFS </w:t>
      </w:r>
      <w:r w:rsidR="00643FB8">
        <w:rPr>
          <w:sz w:val="18"/>
          <w:szCs w:val="18"/>
        </w:rPr>
        <w:t>final</w:t>
      </w:r>
      <w:r w:rsidR="000F3E36">
        <w:rPr>
          <w:sz w:val="18"/>
          <w:szCs w:val="18"/>
        </w:rPr>
        <w:t xml:space="preserve"> </w:t>
      </w:r>
      <w:r w:rsidRPr="001D15B8">
        <w:rPr>
          <w:sz w:val="18"/>
          <w:szCs w:val="18"/>
        </w:rPr>
        <w:t xml:space="preserve">rule </w:t>
      </w:r>
      <w:r w:rsidR="00333C5B">
        <w:rPr>
          <w:sz w:val="18"/>
          <w:szCs w:val="18"/>
        </w:rPr>
        <w:t>does</w:t>
      </w:r>
      <w:r w:rsidRPr="001D15B8" w:rsidR="00333C5B">
        <w:rPr>
          <w:sz w:val="18"/>
          <w:szCs w:val="18"/>
        </w:rPr>
        <w:t xml:space="preserve"> </w:t>
      </w:r>
      <w:r w:rsidRPr="001D15B8">
        <w:rPr>
          <w:sz w:val="18"/>
          <w:szCs w:val="18"/>
        </w:rPr>
        <w:t>not impose any non-labor costs</w:t>
      </w:r>
      <w:r>
        <w:rPr>
          <w:sz w:val="18"/>
          <w:szCs w:val="18"/>
        </w:rPr>
        <w:t>.</w:t>
      </w:r>
    </w:p>
    <w:p w:rsidR="007847CA" w:rsidP="007847CA" w:rsidRDefault="007847CA" w14:paraId="4A601184" w14:textId="7765A66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00AE2D2E">
        <w:rPr>
          <w:sz w:val="18"/>
          <w:szCs w:val="18"/>
        </w:rPr>
        <w:t>Previously, w</w:t>
      </w:r>
      <w:r>
        <w:rPr>
          <w:sz w:val="18"/>
          <w:szCs w:val="18"/>
        </w:rPr>
        <w:t xml:space="preserve">e </w:t>
      </w:r>
      <w:r w:rsidR="00AE2D2E">
        <w:rPr>
          <w:sz w:val="18"/>
          <w:szCs w:val="18"/>
        </w:rPr>
        <w:t>we</w:t>
      </w:r>
      <w:r>
        <w:rPr>
          <w:sz w:val="18"/>
          <w:szCs w:val="18"/>
        </w:rPr>
        <w:t>re unable</w:t>
      </w:r>
      <w:r w:rsidRPr="0012162C">
        <w:rPr>
          <w:sz w:val="18"/>
          <w:szCs w:val="18"/>
        </w:rPr>
        <w:t xml:space="preserve"> to </w:t>
      </w:r>
      <w:r>
        <w:rPr>
          <w:sz w:val="18"/>
          <w:szCs w:val="18"/>
        </w:rPr>
        <w:t xml:space="preserve">accurately </w:t>
      </w:r>
      <w:r w:rsidRPr="0012162C">
        <w:rPr>
          <w:sz w:val="18"/>
          <w:szCs w:val="18"/>
        </w:rPr>
        <w:t>calculate a total number of respondents for the Quality P</w:t>
      </w:r>
      <w:r>
        <w:rPr>
          <w:sz w:val="18"/>
          <w:szCs w:val="18"/>
        </w:rPr>
        <w:t xml:space="preserve">ayment Program.  In many cases, individuals, groups, and entities have responded to multiple data collections and </w:t>
      </w:r>
      <w:r w:rsidR="00D14A7F">
        <w:rPr>
          <w:sz w:val="18"/>
          <w:szCs w:val="18"/>
        </w:rPr>
        <w:t>we</w:t>
      </w:r>
      <w:r>
        <w:rPr>
          <w:sz w:val="18"/>
          <w:szCs w:val="18"/>
        </w:rPr>
        <w:t xml:space="preserve"> </w:t>
      </w:r>
      <w:r w:rsidR="00A7470E">
        <w:rPr>
          <w:sz w:val="18"/>
          <w:szCs w:val="18"/>
        </w:rPr>
        <w:t>had</w:t>
      </w:r>
      <w:r>
        <w:rPr>
          <w:sz w:val="18"/>
          <w:szCs w:val="18"/>
        </w:rPr>
        <w:t xml:space="preserve"> no</w:t>
      </w:r>
      <w:r w:rsidR="00A7470E">
        <w:rPr>
          <w:sz w:val="18"/>
          <w:szCs w:val="18"/>
        </w:rPr>
        <w:t>t developed a</w:t>
      </w:r>
      <w:r>
        <w:rPr>
          <w:sz w:val="18"/>
          <w:szCs w:val="18"/>
        </w:rPr>
        <w:t xml:space="preserve"> unified way to identify unique respondents.</w:t>
      </w:r>
      <w:r w:rsidR="00A7470E">
        <w:rPr>
          <w:sz w:val="18"/>
          <w:szCs w:val="18"/>
        </w:rPr>
        <w:t xml:space="preserve">  This </w:t>
      </w:r>
      <w:r w:rsidR="005661A8">
        <w:rPr>
          <w:sz w:val="18"/>
          <w:szCs w:val="18"/>
        </w:rPr>
        <w:t>number</w:t>
      </w:r>
      <w:r w:rsidR="00A7470E">
        <w:rPr>
          <w:sz w:val="18"/>
          <w:szCs w:val="18"/>
        </w:rPr>
        <w:t xml:space="preserve"> represents the total number of unique respondents as estimated </w:t>
      </w:r>
      <w:r w:rsidR="005661A8">
        <w:rPr>
          <w:sz w:val="18"/>
          <w:szCs w:val="18"/>
        </w:rPr>
        <w:t>in</w:t>
      </w:r>
      <w:r w:rsidR="00A7470E">
        <w:rPr>
          <w:sz w:val="18"/>
          <w:szCs w:val="18"/>
        </w:rPr>
        <w:t xml:space="preserve"> the CY 202</w:t>
      </w:r>
      <w:r w:rsidR="005661A8">
        <w:rPr>
          <w:sz w:val="18"/>
          <w:szCs w:val="18"/>
        </w:rPr>
        <w:t xml:space="preserve">0 PFS </w:t>
      </w:r>
      <w:r w:rsidR="00643FB8">
        <w:rPr>
          <w:sz w:val="18"/>
          <w:szCs w:val="18"/>
        </w:rPr>
        <w:t>final</w:t>
      </w:r>
      <w:r w:rsidR="005661A8">
        <w:rPr>
          <w:sz w:val="18"/>
          <w:szCs w:val="18"/>
        </w:rPr>
        <w:t xml:space="preserve"> rule.</w:t>
      </w:r>
    </w:p>
    <w:p w:rsidR="00A64ED4" w:rsidP="00811F9E" w:rsidRDefault="00A64ED4" w14:paraId="78B35C1C" w14:textId="5FECD2F6">
      <w:pPr>
        <w:pStyle w:val="Heading2"/>
      </w:pPr>
      <w:r w:rsidRPr="00BB54CB">
        <w:t>Publication and Tabulation Dates</w:t>
      </w:r>
    </w:p>
    <w:p w:rsidR="00602344" w:rsidP="00E12B53" w:rsidRDefault="00602344" w14:paraId="07921F62" w14:textId="6C80D9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344">
        <w:t>To provide expert feedback to clinicians and third party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qpp.cms.gov. We </w:t>
      </w:r>
      <w:r w:rsidR="00390730">
        <w:t>have also</w:t>
      </w:r>
      <w:r w:rsidRPr="00602344">
        <w:t xml:space="preserve"> finalized to provide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rsidRPr="0078551D" w:rsidR="0078551D" w:rsidP="00E12B53" w:rsidRDefault="0078551D" w14:paraId="7EB588B9" w14:textId="71AD38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t xml:space="preserve">We plan to publicly report MIPS information through the </w:t>
      </w:r>
      <w:r w:rsidRPr="000B4434">
        <w:rPr>
          <w:rFonts w:eastAsia="Calibri"/>
        </w:rPr>
        <w:t>Physician Compare</w:t>
      </w:r>
      <w:r w:rsidRPr="00BC322D">
        <w:rPr>
          <w:rFonts w:eastAsia="Calibri"/>
        </w:rPr>
        <w:t xml:space="preserve"> website</w:t>
      </w:r>
      <w:r>
        <w:rPr>
          <w:rFonts w:eastAsia="Calibri"/>
        </w:rPr>
        <w:t xml:space="preserve"> </w:t>
      </w:r>
      <w:r w:rsidRPr="00661E59">
        <w:rPr>
          <w:rFonts w:eastAsia="Calibri"/>
        </w:rPr>
        <w:t xml:space="preserve">either on public profile pages or via the Downloadable Database housed on </w:t>
      </w:r>
      <w:r w:rsidR="006A1945">
        <w:rPr>
          <w:rFonts w:eastAsia="Calibri"/>
        </w:rPr>
        <w:t xml:space="preserve">a </w:t>
      </w:r>
      <w:r w:rsidR="00DC4537">
        <w:rPr>
          <w:rFonts w:eastAsia="Calibri"/>
        </w:rPr>
        <w:t xml:space="preserve">website owned and maintained by </w:t>
      </w:r>
      <w:r w:rsidR="006A1945">
        <w:rPr>
          <w:rFonts w:eastAsia="Calibri"/>
        </w:rPr>
        <w:t xml:space="preserve">CMS </w:t>
      </w:r>
      <w:r w:rsidRPr="00661E59">
        <w:rPr>
          <w:rFonts w:eastAsia="Calibri"/>
        </w:rPr>
        <w:t>for the purpose of promoting more informed health care choices for people with Medicare</w:t>
      </w:r>
      <w:r>
        <w:rPr>
          <w:rFonts w:eastAsia="Calibri"/>
        </w:rPr>
        <w:t xml:space="preserve">. </w:t>
      </w:r>
      <w:r w:rsidRPr="00BC322D">
        <w:rPr>
          <w:rFonts w:eastAsia="Calibri"/>
        </w:rPr>
        <w:t>The public reporting is anticipated to start in late</w:t>
      </w:r>
      <w:r w:rsidR="003C4605">
        <w:rPr>
          <w:rFonts w:eastAsia="Calibri"/>
        </w:rPr>
        <w:t xml:space="preserve"> 2020 for the 2019</w:t>
      </w:r>
      <w:r>
        <w:rPr>
          <w:rFonts w:eastAsia="Calibri"/>
        </w:rPr>
        <w:t xml:space="preserve"> MIPS performance period</w:t>
      </w:r>
      <w:r w:rsidRPr="009C5AA9">
        <w:rPr>
          <w:rFonts w:eastAsia="Calibri"/>
        </w:rPr>
        <w:t>.</w:t>
      </w:r>
      <w:r>
        <w:rPr>
          <w:rFonts w:eastAsia="Calibri"/>
        </w:rPr>
        <w:t xml:space="preserve"> </w:t>
      </w:r>
      <w:r w:rsidR="006811E4">
        <w:rPr>
          <w:rFonts w:eastAsia="Calibri"/>
        </w:rPr>
        <w:t xml:space="preserve"> </w:t>
      </w:r>
      <w:r>
        <w:rPr>
          <w:snapToGrid w:val="0"/>
          <w:lang w:val="en"/>
        </w:rPr>
        <w:t>We</w:t>
      </w:r>
      <w:r w:rsidRPr="009B5011">
        <w:rPr>
          <w:snapToGrid w:val="0"/>
          <w:lang w:val="en"/>
        </w:rPr>
        <w:t xml:space="preserve"> </w:t>
      </w:r>
      <w:r>
        <w:rPr>
          <w:snapToGrid w:val="0"/>
          <w:lang w:val="en"/>
        </w:rPr>
        <w:t>plan</w:t>
      </w:r>
      <w:r w:rsidRPr="009B5011">
        <w:rPr>
          <w:snapToGrid w:val="0"/>
          <w:lang w:val="en"/>
        </w:rPr>
        <w:t xml:space="preserve"> p</w:t>
      </w:r>
      <w:r w:rsidRPr="009B5011">
        <w:rPr>
          <w:bCs/>
          <w:iCs/>
          <w:snapToGrid w:val="0"/>
          <w:lang w:val="en"/>
        </w:rPr>
        <w:t xml:space="preserve">ublic reporting of </w:t>
      </w:r>
      <w:r>
        <w:rPr>
          <w:bCs/>
          <w:iCs/>
          <w:snapToGrid w:val="0"/>
          <w:lang w:val="en"/>
        </w:rPr>
        <w:t xml:space="preserve">some measures in </w:t>
      </w:r>
      <w:r w:rsidRPr="009B5011">
        <w:rPr>
          <w:bCs/>
          <w:iCs/>
          <w:snapToGrid w:val="0"/>
          <w:lang w:val="en"/>
        </w:rPr>
        <w:t xml:space="preserve">a </w:t>
      </w:r>
      <w:r>
        <w:rPr>
          <w:bCs/>
          <w:iCs/>
          <w:snapToGrid w:val="0"/>
          <w:lang w:val="en"/>
        </w:rPr>
        <w:t xml:space="preserve">MIPS </w:t>
      </w:r>
      <w:r w:rsidRPr="00B11372">
        <w:t>eligible clinician</w:t>
      </w:r>
      <w:r w:rsidRPr="009B5011">
        <w:rPr>
          <w:bCs/>
          <w:iCs/>
          <w:snapToGrid w:val="0"/>
          <w:lang w:val="en"/>
        </w:rPr>
        <w:t>'s MIPS data; in that f</w:t>
      </w:r>
      <w:r w:rsidRPr="009B5011">
        <w:rPr>
          <w:snapToGrid w:val="0"/>
          <w:lang w:val="en"/>
        </w:rPr>
        <w:t xml:space="preserve">or each </w:t>
      </w:r>
      <w:r>
        <w:rPr>
          <w:snapToGrid w:val="0"/>
          <w:lang w:val="en"/>
        </w:rPr>
        <w:t>performance period</w:t>
      </w:r>
      <w:r w:rsidRPr="009B5011">
        <w:rPr>
          <w:snapToGrid w:val="0"/>
          <w:lang w:val="en"/>
        </w:rPr>
        <w:t>, we will post on a public website</w:t>
      </w:r>
      <w:r>
        <w:rPr>
          <w:snapToGrid w:val="0"/>
          <w:lang w:val="en"/>
        </w:rPr>
        <w:t xml:space="preserve"> (for example, </w:t>
      </w:r>
      <w:r w:rsidRPr="000B4434">
        <w:rPr>
          <w:snapToGrid w:val="0"/>
          <w:lang w:val="en"/>
        </w:rPr>
        <w:t>Physician Compare</w:t>
      </w:r>
      <w:r>
        <w:rPr>
          <w:snapToGrid w:val="0"/>
          <w:lang w:val="en"/>
        </w:rPr>
        <w:t>)</w:t>
      </w:r>
      <w:r w:rsidRPr="009B5011">
        <w:rPr>
          <w:snapToGrid w:val="0"/>
          <w:lang w:val="en"/>
        </w:rPr>
        <w:t xml:space="preserve">, in an easily understandable format, information regarding the performance of MIPS </w:t>
      </w:r>
      <w:r w:rsidRPr="00B11372">
        <w:t>eligible clinician</w:t>
      </w:r>
      <w:r w:rsidRPr="009B5011">
        <w:rPr>
          <w:snapToGrid w:val="0"/>
          <w:lang w:val="en"/>
        </w:rPr>
        <w:t>s or group</w:t>
      </w:r>
      <w:r>
        <w:rPr>
          <w:snapToGrid w:val="0"/>
          <w:lang w:val="en"/>
        </w:rPr>
        <w:t>s under the MIPS. The Physician Compare performance year 201</w:t>
      </w:r>
      <w:r w:rsidR="00047A3C">
        <w:rPr>
          <w:snapToGrid w:val="0"/>
          <w:lang w:val="en"/>
        </w:rPr>
        <w:t>7</w:t>
      </w:r>
      <w:r>
        <w:rPr>
          <w:snapToGrid w:val="0"/>
          <w:lang w:val="en"/>
        </w:rPr>
        <w:t xml:space="preserve"> measures w</w:t>
      </w:r>
      <w:r w:rsidR="00C95DD1">
        <w:rPr>
          <w:snapToGrid w:val="0"/>
          <w:lang w:val="en"/>
        </w:rPr>
        <w:t>ere made</w:t>
      </w:r>
      <w:r>
        <w:rPr>
          <w:snapToGrid w:val="0"/>
          <w:lang w:val="en"/>
        </w:rPr>
        <w:t xml:space="preserve"> available for preview </w:t>
      </w:r>
      <w:r w:rsidR="00FC7882">
        <w:rPr>
          <w:snapToGrid w:val="0"/>
          <w:lang w:val="en"/>
        </w:rPr>
        <w:t xml:space="preserve">from March 28, 2019 through April 27, 2019 </w:t>
      </w:r>
      <w:r>
        <w:rPr>
          <w:snapToGrid w:val="0"/>
          <w:lang w:val="en"/>
        </w:rPr>
        <w:t xml:space="preserve">at the Physician Compare website </w:t>
      </w:r>
      <w:hyperlink w:history="1" r:id="rId12">
        <w:r w:rsidRPr="002368E8">
          <w:rPr>
            <w:rStyle w:val="Hyperlink"/>
            <w:snapToGrid w:val="0"/>
            <w:lang w:val="en"/>
          </w:rPr>
          <w:t>https://www.cms.gov/medicare/quality-initiatives-patient-assessment-instruments/physician-compare-initiative/</w:t>
        </w:r>
      </w:hyperlink>
      <w:r w:rsidR="000B2B70">
        <w:rPr>
          <w:rStyle w:val="Hyperlink"/>
          <w:snapToGrid w:val="0"/>
          <w:lang w:val="en"/>
        </w:rPr>
        <w:t>.</w:t>
      </w:r>
      <w:r w:rsidRPr="003F55AC" w:rsidR="000B2B70">
        <w:rPr>
          <w:rStyle w:val="Hyperlink"/>
          <w:snapToGrid w:val="0"/>
          <w:u w:val="none"/>
          <w:lang w:val="en"/>
        </w:rPr>
        <w:t xml:space="preserve">  </w:t>
      </w:r>
    </w:p>
    <w:p w:rsidR="0078551D" w:rsidP="00E12B53" w:rsidRDefault="0078551D" w14:paraId="154B23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federally-funded health benefit programs, payment and claims processes, quality improvement outreach and reviews, and transparency projects.</w:t>
      </w:r>
    </w:p>
    <w:p w:rsidRPr="00BB54CB" w:rsidR="00A64ED4" w:rsidP="00460437" w:rsidRDefault="00A64ED4" w14:paraId="7B4F5DC5" w14:textId="7CE3E73C">
      <w:pPr>
        <w:pStyle w:val="Heading2"/>
      </w:pPr>
      <w:r w:rsidRPr="00BB54CB">
        <w:t>Expiration Date</w:t>
      </w:r>
    </w:p>
    <w:p w:rsidRPr="0007426C" w:rsidR="0078551D" w:rsidP="00460437" w:rsidRDefault="0078551D" w14:paraId="2703DFBE" w14:textId="77777777">
      <w:pPr>
        <w:keepNext/>
        <w:keepLines/>
        <w:jc w:val="both"/>
        <w:rPr>
          <w:sz w:val="32"/>
        </w:rPr>
      </w:pPr>
      <w:r w:rsidRPr="0000329D">
        <w:rPr>
          <w:szCs w:val="20"/>
        </w:rPr>
        <w:t xml:space="preserve">The expiration date will be displayed on </w:t>
      </w:r>
      <w:r>
        <w:rPr>
          <w:szCs w:val="20"/>
        </w:rPr>
        <w:t xml:space="preserve">all </w:t>
      </w:r>
      <w:r w:rsidRPr="0000329D">
        <w:rPr>
          <w:szCs w:val="20"/>
        </w:rPr>
        <w:t>web-based data collection forms</w:t>
      </w:r>
      <w:r>
        <w:rPr>
          <w:szCs w:val="20"/>
        </w:rPr>
        <w:t>.</w:t>
      </w:r>
    </w:p>
    <w:p w:rsidRPr="00BB54CB" w:rsidR="00A64ED4" w:rsidP="00460437" w:rsidRDefault="00A64ED4" w14:paraId="1912B911" w14:textId="3AC3DCED">
      <w:pPr>
        <w:pStyle w:val="Heading2"/>
      </w:pPr>
      <w:r w:rsidRPr="00BB54CB">
        <w:t>Certification Statement</w:t>
      </w:r>
    </w:p>
    <w:p w:rsidR="0078551D" w:rsidP="005F764B" w:rsidRDefault="0078551D" w14:paraId="3DCC82C4" w14:textId="77777777">
      <w:pPr>
        <w:jc w:val="both"/>
        <w:rPr>
          <w:b/>
        </w:rPr>
      </w:pPr>
      <w:r w:rsidRPr="0007426C">
        <w:rPr>
          <w:szCs w:val="20"/>
        </w:rPr>
        <w:t>There are no exceptions to the certification statement.</w:t>
      </w:r>
    </w:p>
    <w:p w:rsidRPr="00A95513" w:rsidR="00A64ED4" w:rsidP="00932A5A" w:rsidRDefault="00A64ED4" w14:paraId="7E5277CC" w14:textId="7AFC1801">
      <w:pPr>
        <w:spacing w:line="276" w:lineRule="auto"/>
        <w:rPr>
          <w:b/>
          <w:u w:val="single"/>
        </w:rPr>
      </w:pPr>
      <w:bookmarkStart w:name="_GoBack" w:id="29"/>
      <w:bookmarkEnd w:id="29"/>
    </w:p>
    <w:sectPr w:rsidRPr="00A95513" w:rsidR="00A64ED4" w:rsidSect="00333EB4">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32835C" w16cid:durableId="226CA2FF"/>
  <w16cid:commentId w16cid:paraId="3AB200BD" w16cid:durableId="226CA509"/>
  <w16cid:commentId w16cid:paraId="3A40C3E4" w16cid:durableId="226CA300"/>
  <w16cid:commentId w16cid:paraId="65EACCD3" w16cid:durableId="226CA73D"/>
  <w16cid:commentId w16cid:paraId="2C7DC4C3" w16cid:durableId="226CA301"/>
  <w16cid:commentId w16cid:paraId="602280A0" w16cid:durableId="226CA690"/>
  <w16cid:commentId w16cid:paraId="682848F2" w16cid:durableId="226CA302"/>
  <w16cid:commentId w16cid:paraId="2C6C2B87" w16cid:durableId="226CA77C"/>
  <w16cid:commentId w16cid:paraId="57E3BBEB" w16cid:durableId="226CA303"/>
  <w16cid:commentId w16cid:paraId="7EEED4D5" w16cid:durableId="226CA7BB"/>
  <w16cid:commentId w16cid:paraId="65C16200" w16cid:durableId="226CA304"/>
  <w16cid:commentId w16cid:paraId="046BA4EF" w16cid:durableId="226CA7E2"/>
  <w16cid:commentId w16cid:paraId="1FAFC51D" w16cid:durableId="226CA305"/>
  <w16cid:commentId w16cid:paraId="3D08CD59" w16cid:durableId="226CA8DE"/>
  <w16cid:commentId w16cid:paraId="23F0127B" w16cid:durableId="226CA306"/>
  <w16cid:commentId w16cid:paraId="3DD1E3BA" w16cid:durableId="226CADF3"/>
  <w16cid:commentId w16cid:paraId="3C91BCAD" w16cid:durableId="226CD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6E92" w14:textId="77777777" w:rsidR="00C56CCA" w:rsidRDefault="00C56CCA" w:rsidP="007D4251">
      <w:r>
        <w:separator/>
      </w:r>
    </w:p>
  </w:endnote>
  <w:endnote w:type="continuationSeparator" w:id="0">
    <w:p w14:paraId="42416EF4" w14:textId="77777777" w:rsidR="00C56CCA" w:rsidRDefault="00C56CCA" w:rsidP="007D4251">
      <w:r>
        <w:continuationSeparator/>
      </w:r>
    </w:p>
  </w:endnote>
  <w:endnote w:type="continuationNotice" w:id="1">
    <w:p w14:paraId="344AC40D" w14:textId="77777777" w:rsidR="00C56CCA" w:rsidRDefault="00C56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lior">
    <w:altName w:val="Yu Gothic UI"/>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3490"/>
      <w:docPartObj>
        <w:docPartGallery w:val="Page Numbers (Bottom of Page)"/>
        <w:docPartUnique/>
      </w:docPartObj>
    </w:sdtPr>
    <w:sdtEndPr>
      <w:rPr>
        <w:noProof/>
      </w:rPr>
    </w:sdtEndPr>
    <w:sdtContent>
      <w:p w14:paraId="1CCAC9E7" w14:textId="1DF12100" w:rsidR="00AC5143" w:rsidRDefault="00AC5143">
        <w:pPr>
          <w:pStyle w:val="Footer"/>
          <w:jc w:val="right"/>
        </w:pPr>
        <w:r>
          <w:fldChar w:fldCharType="begin"/>
        </w:r>
        <w:r>
          <w:instrText xml:space="preserve"> PAGE   \* MERGEFORMAT </w:instrText>
        </w:r>
        <w:r>
          <w:fldChar w:fldCharType="separate"/>
        </w:r>
        <w:r w:rsidR="00816B42">
          <w:rPr>
            <w:noProof/>
          </w:rPr>
          <w:t>7</w:t>
        </w:r>
        <w:r>
          <w:rPr>
            <w:noProof/>
          </w:rPr>
          <w:fldChar w:fldCharType="end"/>
        </w:r>
      </w:p>
    </w:sdtContent>
  </w:sdt>
  <w:p w14:paraId="0C6432E7" w14:textId="77777777" w:rsidR="00AC5143" w:rsidRDefault="00AC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0E814" w14:textId="77777777" w:rsidR="00C56CCA" w:rsidRDefault="00C56CCA" w:rsidP="007D4251">
      <w:r>
        <w:separator/>
      </w:r>
    </w:p>
  </w:footnote>
  <w:footnote w:type="continuationSeparator" w:id="0">
    <w:p w14:paraId="33D491F2" w14:textId="77777777" w:rsidR="00C56CCA" w:rsidRDefault="00C56CCA" w:rsidP="007D4251">
      <w:r>
        <w:continuationSeparator/>
      </w:r>
    </w:p>
  </w:footnote>
  <w:footnote w:type="continuationNotice" w:id="1">
    <w:p w14:paraId="15ACA683" w14:textId="77777777" w:rsidR="00C56CCA" w:rsidRDefault="00C56CCA"/>
  </w:footnote>
  <w:footnote w:id="2">
    <w:p w14:paraId="223CA378" w14:textId="7E8FC80A" w:rsidR="00AC5143" w:rsidRDefault="00AC5143" w:rsidP="00F049CC">
      <w:pPr>
        <w:pStyle w:val="FootnoteText"/>
        <w:spacing w:after="0"/>
      </w:pPr>
      <w:r>
        <w:rPr>
          <w:rStyle w:val="FootnoteReference"/>
        </w:rPr>
        <w:footnoteRef/>
      </w:r>
      <w:r>
        <w:t xml:space="preserve"> </w:t>
      </w:r>
      <w:r w:rsidRPr="00F049CC">
        <w:rPr>
          <w:rFonts w:ascii="Times New Roman" w:hAnsi="Times New Roman"/>
          <w:sz w:val="20"/>
        </w:rPr>
        <w:t>Cost performance category measures do not require the collection of additional data because they are derived from the Medicare Parts A and B claims.</w:t>
      </w:r>
    </w:p>
  </w:footnote>
  <w:footnote w:id="3">
    <w:p w14:paraId="448D18FA" w14:textId="4490D199" w:rsidR="00AC5143" w:rsidRDefault="00AC5143" w:rsidP="00F049CC">
      <w:pPr>
        <w:pStyle w:val="FootnoteText"/>
        <w:spacing w:after="0"/>
      </w:pPr>
      <w:r>
        <w:rPr>
          <w:rStyle w:val="FootnoteReference"/>
        </w:rPr>
        <w:footnoteRef/>
      </w:r>
      <w:r>
        <w:t xml:space="preserve"> </w:t>
      </w:r>
      <w:r w:rsidRPr="00F049CC">
        <w:rPr>
          <w:rFonts w:ascii="Times New Roman" w:hAnsi="Times New Roman"/>
          <w:sz w:val="20"/>
        </w:rPr>
        <w:t>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08CC808F" w:rsidR="00AC5143" w:rsidRPr="003022E0" w:rsidRDefault="00AC5143" w:rsidP="003022E0">
      <w:pPr>
        <w:pStyle w:val="FootnoteText"/>
        <w:rPr>
          <w:sz w:val="20"/>
        </w:rPr>
      </w:pPr>
      <w:r w:rsidRPr="003022E0">
        <w:rPr>
          <w:rStyle w:val="FootnoteReference"/>
          <w:sz w:val="20"/>
        </w:rPr>
        <w:footnoteRef/>
      </w:r>
      <w:r w:rsidRPr="003022E0">
        <w:rPr>
          <w:sz w:val="20"/>
        </w:rPr>
        <w:t xml:space="preserve"> For further detail on MIPS exclusions, see Supporting Statement B and the Regulatory Impact Analysis Section of the C</w:t>
      </w:r>
      <w:r>
        <w:rPr>
          <w:sz w:val="20"/>
        </w:rPr>
        <w:t>Y 2020</w:t>
      </w:r>
      <w:r w:rsidRPr="003022E0">
        <w:rPr>
          <w:sz w:val="20"/>
        </w:rPr>
        <w:t xml:space="preserve"> </w:t>
      </w:r>
      <w:r>
        <w:rPr>
          <w:sz w:val="20"/>
        </w:rPr>
        <w:t>PFS</w:t>
      </w:r>
      <w:r w:rsidRPr="003022E0">
        <w:rPr>
          <w:sz w:val="20"/>
        </w:rPr>
        <w:t xml:space="preserve"> </w:t>
      </w:r>
      <w:r>
        <w:rPr>
          <w:sz w:val="20"/>
        </w:rPr>
        <w:t>final rule</w:t>
      </w:r>
      <w:r w:rsidRPr="003022E0">
        <w:rPr>
          <w:sz w:val="20"/>
        </w:rPr>
        <w:t>.</w:t>
      </w:r>
    </w:p>
  </w:footnote>
  <w:footnote w:id="5">
    <w:p w14:paraId="34022E9B" w14:textId="3EBD8436" w:rsidR="00AC5143" w:rsidRPr="00665BC8" w:rsidRDefault="00AC5143">
      <w:pPr>
        <w:pStyle w:val="FootnoteText"/>
        <w:rPr>
          <w:sz w:val="20"/>
        </w:rPr>
      </w:pPr>
      <w:r>
        <w:rPr>
          <w:rStyle w:val="FootnoteReference"/>
        </w:rPr>
        <w:footnoteRef/>
      </w:r>
      <w:r>
        <w:t xml:space="preserve"> </w:t>
      </w:r>
      <w:r w:rsidRPr="00665BC8">
        <w:rPr>
          <w:rFonts w:ascii="Times New Roman" w:hAnsi="Times New Roman"/>
          <w:sz w:val="20"/>
        </w:rPr>
        <w:t>Lawrence P. Casalino et al, “US Physician Practices Spend More than $15.4 Billion Annually to Report Quality Measures,” Health Affairs, 35, no. 3 (2016): 401-406.</w:t>
      </w:r>
    </w:p>
  </w:footnote>
  <w:footnote w:id="6">
    <w:p w14:paraId="44E49B5C" w14:textId="77777777" w:rsidR="00AC5143" w:rsidRPr="00D02A11" w:rsidRDefault="00AC5143" w:rsidP="005038E4">
      <w:pPr>
        <w:pStyle w:val="CommentText"/>
        <w:spacing w:after="0"/>
      </w:pPr>
      <w:r w:rsidRPr="00D02A11">
        <w:rPr>
          <w:rStyle w:val="FootnoteReference"/>
          <w:rFonts w:eastAsiaTheme="majorEastAsia"/>
        </w:rPr>
        <w:footnoteRef/>
      </w:r>
      <w:r w:rsidRPr="00D02A11">
        <w:t xml:space="preserve"> </w:t>
      </w:r>
      <w:r w:rsidRPr="00C90045">
        <w:rPr>
          <w:sz w:val="20"/>
        </w:rPr>
        <w:t>Virtual group participation is limited to MIPS eligible clinicians, specifically, solo practitioners and groups consisting of 10 eligible clinicians or fewer.</w:t>
      </w:r>
    </w:p>
  </w:footnote>
  <w:footnote w:id="7">
    <w:p w14:paraId="1547D7E4" w14:textId="05D4EE45" w:rsidR="00AC5143" w:rsidRDefault="00AC5143">
      <w:pPr>
        <w:pStyle w:val="FootnoteText"/>
      </w:pPr>
      <w:r>
        <w:rPr>
          <w:rStyle w:val="FootnoteReference"/>
        </w:rPr>
        <w:footnoteRef/>
      </w:r>
      <w:r>
        <w:t xml:space="preserve"> </w:t>
      </w:r>
      <w:r w:rsidRPr="009C4D33">
        <w:rPr>
          <w:rFonts w:ascii="Times New Roman" w:eastAsia="Times New Roman" w:hAnsi="Times New Roman" w:cs="Times New Roman"/>
          <w:sz w:val="20"/>
        </w:rPr>
        <w:t xml:space="preserve">Both group TIN and individual clinician </w:t>
      </w:r>
      <w:r>
        <w:rPr>
          <w:rFonts w:ascii="Times New Roman" w:eastAsia="Times New Roman" w:hAnsi="Times New Roman" w:cs="Times New Roman"/>
          <w:sz w:val="20"/>
        </w:rPr>
        <w:t>quality</w:t>
      </w:r>
      <w:r w:rsidRPr="009C4D33">
        <w:rPr>
          <w:rFonts w:ascii="Times New Roman" w:eastAsia="Times New Roman" w:hAnsi="Times New Roman" w:cs="Times New Roman"/>
          <w:sz w:val="20"/>
        </w:rPr>
        <w:t xml:space="preserve"> data will be accepted.  If both group TIN and individual scores are available for the same APM Entity, CMS </w:t>
      </w:r>
      <w:r w:rsidRPr="009C4D33">
        <w:rPr>
          <w:rFonts w:ascii="Times New Roman" w:eastAsia="Calibri" w:hAnsi="Times New Roman" w:cs="Times New Roman"/>
          <w:snapToGrid w:val="0"/>
          <w:sz w:val="20"/>
        </w:rPr>
        <w:t>will</w:t>
      </w:r>
      <w:r w:rsidRPr="009C4D33">
        <w:rPr>
          <w:rFonts w:ascii="Times New Roman" w:eastAsia="Times New Roman" w:hAnsi="Times New Roman" w:cs="Times New Roman"/>
          <w:sz w:val="20"/>
        </w:rPr>
        <w:t xml:space="preserve"> use the </w:t>
      </w:r>
      <w:r>
        <w:rPr>
          <w:rFonts w:ascii="Times New Roman" w:eastAsia="Times New Roman" w:hAnsi="Times New Roman" w:cs="Times New Roman"/>
          <w:sz w:val="20"/>
        </w:rPr>
        <w:t>higher</w:t>
      </w:r>
      <w:r w:rsidRPr="009C4D33">
        <w:rPr>
          <w:rFonts w:ascii="Times New Roman" w:eastAsia="Times New Roman" w:hAnsi="Times New Roman" w:cs="Times New Roman"/>
          <w:sz w:val="20"/>
        </w:rPr>
        <w:t xml:space="preserve"> score </w:t>
      </w:r>
      <w:r>
        <w:rPr>
          <w:rFonts w:ascii="Times New Roman" w:eastAsia="Times New Roman" w:hAnsi="Times New Roman" w:cs="Times New Roman"/>
          <w:sz w:val="20"/>
        </w:rPr>
        <w:t>for each TIN/NPI</w:t>
      </w:r>
      <w:r w:rsidRPr="009C4D33">
        <w:rPr>
          <w:rFonts w:ascii="Times New Roman" w:eastAsia="Times New Roman" w:hAnsi="Times New Roman" w:cs="Times New Roman"/>
          <w:sz w:val="20"/>
        </w:rPr>
        <w:t xml:space="preserve">.  </w:t>
      </w:r>
      <w:r>
        <w:rPr>
          <w:rFonts w:ascii="Times New Roman" w:eastAsia="Times New Roman" w:hAnsi="Times New Roman" w:cs="Times New Roman"/>
          <w:sz w:val="20"/>
        </w:rPr>
        <w:t>W</w:t>
      </w:r>
      <w:r w:rsidRPr="00A238AD">
        <w:rPr>
          <w:rFonts w:ascii="Times New Roman" w:eastAsia="Times New Roman" w:hAnsi="Times New Roman" w:cs="Times New Roman"/>
          <w:sz w:val="20"/>
        </w:rPr>
        <w:t xml:space="preserve">e would </w:t>
      </w:r>
      <w:r>
        <w:rPr>
          <w:rFonts w:ascii="Times New Roman" w:eastAsia="Times New Roman" w:hAnsi="Times New Roman" w:cs="Times New Roman"/>
          <w:sz w:val="20"/>
        </w:rPr>
        <w:t>then use</w:t>
      </w:r>
      <w:r w:rsidRPr="00A238AD">
        <w:rPr>
          <w:rFonts w:ascii="Times New Roman" w:eastAsia="Times New Roman" w:hAnsi="Times New Roman" w:cs="Times New Roman"/>
          <w:sz w:val="20"/>
        </w:rPr>
        <w:t xml:space="preserve"> the highest individual or TIN</w:t>
      </w:r>
      <w:r>
        <w:rPr>
          <w:rFonts w:ascii="Times New Roman" w:eastAsia="Times New Roman" w:hAnsi="Times New Roman" w:cs="Times New Roman"/>
          <w:sz w:val="20"/>
        </w:rPr>
        <w:t xml:space="preserve"> </w:t>
      </w:r>
      <w:r w:rsidRPr="00A238AD">
        <w:rPr>
          <w:rFonts w:ascii="Times New Roman" w:eastAsia="Times New Roman" w:hAnsi="Times New Roman" w:cs="Times New Roman"/>
          <w:sz w:val="20"/>
        </w:rPr>
        <w:t>level score attributable to each MIPS eligible clinician in an APM Entity in order to determine the APM Entity score based on the average of the highest scores for each MIPS eligible clinician in the APM Entity.</w:t>
      </w:r>
    </w:p>
  </w:footnote>
  <w:footnote w:id="8">
    <w:p w14:paraId="1128FF60" w14:textId="609EF5DF" w:rsidR="00AC5143" w:rsidRPr="00826109" w:rsidRDefault="00AC5143" w:rsidP="00C90045">
      <w:pPr>
        <w:pStyle w:val="FootnoteText"/>
        <w:spacing w:after="0"/>
        <w:rPr>
          <w:rFonts w:ascii="Times New Roman" w:hAnsi="Times New Roman"/>
        </w:rPr>
      </w:pPr>
      <w:r w:rsidRPr="007F05AA">
        <w:rPr>
          <w:rStyle w:val="FootnoteReference"/>
        </w:rPr>
        <w:footnoteRef/>
      </w:r>
      <w:r w:rsidRPr="007F05AA">
        <w:rPr>
          <w:rFonts w:ascii="Times New Roman" w:hAnsi="Times New Roman"/>
        </w:rPr>
        <w:t xml:space="preserve"> </w:t>
      </w:r>
      <w:r w:rsidRPr="001B3637">
        <w:rPr>
          <w:rFonts w:ascii="Times New Roman" w:hAnsi="Times New Roman" w:cs="Times New Roman"/>
          <w:sz w:val="20"/>
        </w:rPr>
        <w:t>Sections 1899 and 1115A of the Act (42 U.S.C. 1395jjj and 42 U.S.C. 1315a, respectively)</w:t>
      </w:r>
      <w:r>
        <w:rPr>
          <w:rFonts w:ascii="Times New Roman" w:hAnsi="Times New Roman" w:cs="Times New Roman"/>
          <w:sz w:val="20"/>
        </w:rPr>
        <w:t xml:space="preserve"> </w:t>
      </w:r>
      <w:r w:rsidRPr="001B3637">
        <w:rPr>
          <w:rFonts w:ascii="Times New Roman" w:hAnsi="Times New Roman" w:cs="Times New Roman"/>
          <w:sz w:val="20"/>
        </w:rPr>
        <w:t>state the Shared Savings Program and testing, evaluation, and expansion of Innovation Center models are not subject to the PRA</w:t>
      </w:r>
      <w:r>
        <w:rPr>
          <w:rFonts w:ascii="Times New Roman" w:hAnsi="Times New Roman" w:cs="Times New Roman"/>
          <w:sz w:val="20"/>
        </w:rPr>
        <w:t>.</w:t>
      </w:r>
    </w:p>
  </w:footnote>
  <w:footnote w:id="9">
    <w:p w14:paraId="6CD9CF61" w14:textId="54C591DA" w:rsidR="00AC5143" w:rsidRPr="00C90045" w:rsidRDefault="00AC5143" w:rsidP="00C90045">
      <w:pPr>
        <w:pStyle w:val="FootnoteText"/>
        <w:spacing w:after="0"/>
        <w:rPr>
          <w:rFonts w:ascii="Times New Roman" w:hAnsi="Times New Roman"/>
          <w:sz w:val="20"/>
        </w:rPr>
      </w:pPr>
      <w:r w:rsidRPr="00C90045">
        <w:rPr>
          <w:rStyle w:val="FootnoteReference"/>
          <w:sz w:val="20"/>
        </w:rPr>
        <w:footnoteRef/>
      </w:r>
      <w:r w:rsidRPr="00C90045">
        <w:rPr>
          <w:rFonts w:ascii="Times New Roman" w:hAnsi="Times New Roman"/>
          <w:sz w:val="20"/>
        </w:rPr>
        <w:t xml:space="preserve"> Both group TIN and individual clinician P</w:t>
      </w:r>
      <w:r>
        <w:rPr>
          <w:rFonts w:ascii="Times New Roman" w:hAnsi="Times New Roman"/>
          <w:sz w:val="20"/>
        </w:rPr>
        <w:t xml:space="preserve">romoting </w:t>
      </w:r>
      <w:r w:rsidRPr="00C90045">
        <w:rPr>
          <w:rFonts w:ascii="Times New Roman" w:hAnsi="Times New Roman"/>
          <w:sz w:val="20"/>
        </w:rPr>
        <w:t>I</w:t>
      </w:r>
      <w:r>
        <w:rPr>
          <w:rFonts w:ascii="Times New Roman" w:hAnsi="Times New Roman"/>
          <w:sz w:val="20"/>
        </w:rPr>
        <w:t>nteroperability</w:t>
      </w:r>
      <w:r w:rsidRPr="00C90045">
        <w:rPr>
          <w:rFonts w:ascii="Times New Roman" w:hAnsi="Times New Roman"/>
          <w:sz w:val="20"/>
        </w:rPr>
        <w:t xml:space="preserve"> data will be accepted.  If both group TIN and individual scores ar</w:t>
      </w:r>
      <w:r>
        <w:rPr>
          <w:rFonts w:ascii="Times New Roman" w:hAnsi="Times New Roman"/>
          <w:sz w:val="20"/>
        </w:rPr>
        <w:t>e available</w:t>
      </w:r>
      <w:r w:rsidRPr="00C90045">
        <w:rPr>
          <w:rFonts w:ascii="Times New Roman" w:hAnsi="Times New Roman"/>
          <w:sz w:val="20"/>
        </w:rPr>
        <w:t xml:space="preserve"> for the</w:t>
      </w:r>
      <w:r>
        <w:rPr>
          <w:rFonts w:ascii="Times New Roman" w:hAnsi="Times New Roman"/>
          <w:sz w:val="20"/>
        </w:rPr>
        <w:t xml:space="preserve"> same APM Entity, CMS will use</w:t>
      </w:r>
      <w:r w:rsidRPr="00C90045">
        <w:rPr>
          <w:rFonts w:ascii="Times New Roman" w:hAnsi="Times New Roman"/>
          <w:sz w:val="20"/>
        </w:rPr>
        <w:t xml:space="preserve"> the higher score for each TIN/NPI.  The TIN/NPI scores are then aggregated for </w:t>
      </w:r>
      <w:r>
        <w:rPr>
          <w:rFonts w:ascii="Times New Roman" w:hAnsi="Times New Roman"/>
          <w:sz w:val="20"/>
        </w:rPr>
        <w:t xml:space="preserve">purposes of calculating </w:t>
      </w:r>
      <w:r w:rsidRPr="00C90045">
        <w:rPr>
          <w:rFonts w:ascii="Times New Roman" w:hAnsi="Times New Roman"/>
          <w:sz w:val="20"/>
        </w:rPr>
        <w:t>the APM Entity score.</w:t>
      </w:r>
    </w:p>
  </w:footnote>
  <w:footnote w:id="10">
    <w:p w14:paraId="7AF59D58" w14:textId="77777777" w:rsidR="00AC5143" w:rsidRPr="00826109" w:rsidRDefault="00AC5143" w:rsidP="00C90045">
      <w:pPr>
        <w:pStyle w:val="FootnoteText"/>
        <w:spacing w:after="0"/>
        <w:rPr>
          <w:rFonts w:ascii="Times New Roman" w:hAnsi="Times New Roman"/>
        </w:rPr>
      </w:pPr>
      <w:r w:rsidRPr="00C90045">
        <w:rPr>
          <w:rStyle w:val="FootnoteReference"/>
          <w:sz w:val="20"/>
        </w:rPr>
        <w:footnoteRef/>
      </w:r>
      <w:r w:rsidRPr="00C90045">
        <w:rPr>
          <w:rFonts w:ascii="Times New Roman" w:hAnsi="Times New Roman"/>
          <w:sz w:val="20"/>
        </w:rPr>
        <w:t xml:space="preserve"> APM Entities participating in MIPS APMs do not need to submit improvement activities data unless the CMS-assigned improvement activities scores are below the maximum improvement activities score.</w:t>
      </w:r>
    </w:p>
  </w:footnote>
  <w:footnote w:id="11">
    <w:p w14:paraId="125E619D" w14:textId="738A8716" w:rsidR="00AC5143" w:rsidRDefault="00AC5143">
      <w:pPr>
        <w:pStyle w:val="FootnoteText"/>
      </w:pPr>
      <w:r>
        <w:rPr>
          <w:rStyle w:val="FootnoteReference"/>
        </w:rPr>
        <w:footnoteRef/>
      </w:r>
      <w:r>
        <w:t xml:space="preserve"> </w:t>
      </w:r>
      <w:r w:rsidRPr="00B05B18">
        <w:rPr>
          <w:sz w:val="20"/>
        </w:rPr>
        <w:t>We do not anticipate any changes in the CEHRT process for health IT vendors as we transition to MIPS.  Hence, health IT vendors are not included in the burden estimates for MIPS.</w:t>
      </w:r>
    </w:p>
  </w:footnote>
  <w:footnote w:id="12">
    <w:p w14:paraId="2A8D15CC" w14:textId="048E4C10" w:rsidR="00AC5143" w:rsidRDefault="00AC5143">
      <w:pPr>
        <w:pStyle w:val="FootnoteText"/>
      </w:pPr>
      <w:r>
        <w:rPr>
          <w:rStyle w:val="FootnoteReference"/>
        </w:rPr>
        <w:footnoteRef/>
      </w:r>
      <w:r>
        <w:t xml:space="preserve"> </w:t>
      </w:r>
      <w:r w:rsidRPr="00A07C5C">
        <w:rPr>
          <w:rFonts w:ascii="Times New Roman" w:hAnsi="Times New Roman" w:cs="Times New Roman"/>
          <w:sz w:val="20"/>
          <w:szCs w:val="16"/>
        </w:rPr>
        <w:t xml:space="preserve">Schuster, Onorato, and Meltzer. “Measuring the Cost of Quality Measurement: A Missing Link in Quality Strategy”, Journal of the American Medical Association.  2017; 318(13):1219-1220. </w:t>
      </w:r>
      <w:hyperlink r:id="rId1" w:history="1">
        <w:r w:rsidRPr="00A07C5C">
          <w:rPr>
            <w:rStyle w:val="Hyperlink"/>
            <w:rFonts w:ascii="Times New Roman" w:hAnsi="Times New Roman" w:cs="Times New Roman"/>
            <w:sz w:val="20"/>
            <w:szCs w:val="16"/>
          </w:rPr>
          <w:t>https://jamanetwork.com/journals/jama/fullarticle/2653111?resultClick=1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483"/>
    <w:multiLevelType w:val="hybridMultilevel"/>
    <w:tmpl w:val="2B4C79E4"/>
    <w:lvl w:ilvl="0" w:tplc="7AD81108">
      <w:start w:val="1"/>
      <w:numFmt w:val="decimal"/>
      <w:lvlText w:val="%1."/>
      <w:lvlJc w:val="left"/>
      <w:pPr>
        <w:ind w:left="684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15:restartNumberingAfterBreak="0">
    <w:nsid w:val="01293555"/>
    <w:multiLevelType w:val="multilevel"/>
    <w:tmpl w:val="B91874A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15:restartNumberingAfterBreak="0">
    <w:nsid w:val="04DA5B94"/>
    <w:multiLevelType w:val="multilevel"/>
    <w:tmpl w:val="8F1CB7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15:restartNumberingAfterBreak="0">
    <w:nsid w:val="06F9393B"/>
    <w:multiLevelType w:val="hybridMultilevel"/>
    <w:tmpl w:val="236E75AA"/>
    <w:lvl w:ilvl="0" w:tplc="81181768">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147D"/>
    <w:multiLevelType w:val="hybridMultilevel"/>
    <w:tmpl w:val="859C20A2"/>
    <w:lvl w:ilvl="0" w:tplc="85FEF9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526A77"/>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106CB2"/>
    <w:multiLevelType w:val="hybridMultilevel"/>
    <w:tmpl w:val="6032E27E"/>
    <w:lvl w:ilvl="0" w:tplc="8C8404D8">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pStyle w:val="Heading3"/>
      <w:lvlText w:val="%3."/>
      <w:lvlJc w:val="right"/>
      <w:pPr>
        <w:ind w:left="1800" w:hanging="180"/>
      </w:pPr>
    </w:lvl>
    <w:lvl w:ilvl="3" w:tplc="0409000F" w:tentative="1">
      <w:start w:val="1"/>
      <w:numFmt w:val="decimal"/>
      <w:pStyle w:val="Heading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A07CED"/>
    <w:multiLevelType w:val="multilevel"/>
    <w:tmpl w:val="CD0E5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1CE0634B"/>
    <w:multiLevelType w:val="hybridMultilevel"/>
    <w:tmpl w:val="A7120A1C"/>
    <w:lvl w:ilvl="0" w:tplc="16668E3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93521"/>
    <w:multiLevelType w:val="hybridMultilevel"/>
    <w:tmpl w:val="A836C56E"/>
    <w:lvl w:ilvl="0" w:tplc="C7103E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C2DC2"/>
    <w:multiLevelType w:val="multilevel"/>
    <w:tmpl w:val="423203D6"/>
    <w:styleLink w:val="StyleforLevelHeadings"/>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15:restartNumberingAfterBreak="0">
    <w:nsid w:val="21172761"/>
    <w:multiLevelType w:val="multilevel"/>
    <w:tmpl w:val="DEBA0F1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15:restartNumberingAfterBreak="0">
    <w:nsid w:val="2B895604"/>
    <w:multiLevelType w:val="hybridMultilevel"/>
    <w:tmpl w:val="4E188308"/>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65CDE"/>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15" w15:restartNumberingAfterBreak="0">
    <w:nsid w:val="32CA2CAA"/>
    <w:multiLevelType w:val="hybridMultilevel"/>
    <w:tmpl w:val="214A81A8"/>
    <w:lvl w:ilvl="0" w:tplc="B37AD7E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D51ABE"/>
    <w:multiLevelType w:val="multilevel"/>
    <w:tmpl w:val="8AB00AA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15:restartNumberingAfterBreak="0">
    <w:nsid w:val="41104A46"/>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A41335"/>
    <w:multiLevelType w:val="hybridMultilevel"/>
    <w:tmpl w:val="53E01D1E"/>
    <w:lvl w:ilvl="0" w:tplc="6E563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D3F81"/>
    <w:multiLevelType w:val="hybridMultilevel"/>
    <w:tmpl w:val="733E84C4"/>
    <w:lvl w:ilvl="0" w:tplc="B7F8353C">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D6166"/>
    <w:multiLevelType w:val="hybridMultilevel"/>
    <w:tmpl w:val="B77EF72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23584"/>
    <w:multiLevelType w:val="multilevel"/>
    <w:tmpl w:val="918658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3" w15:restartNumberingAfterBreak="0">
    <w:nsid w:val="52F07DCA"/>
    <w:multiLevelType w:val="hybridMultilevel"/>
    <w:tmpl w:val="1826E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C3570A"/>
    <w:multiLevelType w:val="hybridMultilevel"/>
    <w:tmpl w:val="665A251A"/>
    <w:lvl w:ilvl="0" w:tplc="A35453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374D2B"/>
    <w:multiLevelType w:val="hybridMultilevel"/>
    <w:tmpl w:val="9170EC00"/>
    <w:lvl w:ilvl="0" w:tplc="FAB494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EE4816"/>
    <w:multiLevelType w:val="hybridMultilevel"/>
    <w:tmpl w:val="791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44E68"/>
    <w:multiLevelType w:val="multilevel"/>
    <w:tmpl w:val="9B7C5AC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9" w15:restartNumberingAfterBreak="0">
    <w:nsid w:val="6BE90C7F"/>
    <w:multiLevelType w:val="hybridMultilevel"/>
    <w:tmpl w:val="B560BE5C"/>
    <w:lvl w:ilvl="0" w:tplc="44828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5C1E65"/>
    <w:multiLevelType w:val="multilevel"/>
    <w:tmpl w:val="2824794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num w:numId="1">
    <w:abstractNumId w:val="19"/>
  </w:num>
  <w:num w:numId="2">
    <w:abstractNumId w:val="10"/>
  </w:num>
  <w:num w:numId="3">
    <w:abstractNumId w:val="10"/>
    <w:lvlOverride w:ilvl="0">
      <w:lvl w:ilvl="0">
        <w:start w:val="1"/>
        <w:numFmt w:val="upperLetter"/>
        <w:pStyle w:val="Heading1"/>
        <w:lvlText w:val="%1."/>
        <w:lvlJc w:val="left"/>
        <w:pPr>
          <w:ind w:left="72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hint="default"/>
        </w:rPr>
      </w:lvl>
    </w:lvlOverride>
    <w:lvlOverride w:ilvl="2">
      <w:lvl w:ilvl="2">
        <w:start w:val="1"/>
        <w:numFmt w:val="lowerLetter"/>
        <w:lvlText w:val="%3."/>
        <w:lvlJc w:val="right"/>
        <w:pPr>
          <w:ind w:left="2160" w:hanging="36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360"/>
        </w:pPr>
        <w:rPr>
          <w:rFonts w:hint="default"/>
        </w:rPr>
      </w:lvl>
    </w:lvlOverride>
  </w:num>
  <w:num w:numId="4">
    <w:abstractNumId w:val="30"/>
  </w:num>
  <w:num w:numId="5">
    <w:abstractNumId w:val="27"/>
  </w:num>
  <w:num w:numId="6">
    <w:abstractNumId w:val="14"/>
  </w:num>
  <w:num w:numId="7">
    <w:abstractNumId w:val="26"/>
  </w:num>
  <w:num w:numId="8">
    <w:abstractNumId w:val="15"/>
  </w:num>
  <w:num w:numId="9">
    <w:abstractNumId w:val="16"/>
  </w:num>
  <w:num w:numId="10">
    <w:abstractNumId w:val="1"/>
  </w:num>
  <w:num w:numId="11">
    <w:abstractNumId w:val="31"/>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7"/>
  </w:num>
  <w:num w:numId="17">
    <w:abstractNumId w:val="11"/>
  </w:num>
  <w:num w:numId="18">
    <w:abstractNumId w:val="23"/>
  </w:num>
  <w:num w:numId="19">
    <w:abstractNumId w:val="8"/>
  </w:num>
  <w:num w:numId="20">
    <w:abstractNumId w:val="3"/>
  </w:num>
  <w:num w:numId="21">
    <w:abstractNumId w:val="21"/>
  </w:num>
  <w:num w:numId="22">
    <w:abstractNumId w:val="9"/>
  </w:num>
  <w:num w:numId="23">
    <w:abstractNumId w:val="4"/>
  </w:num>
  <w:num w:numId="24">
    <w:abstractNumId w:val="29"/>
  </w:num>
  <w:num w:numId="25">
    <w:abstractNumId w:val="25"/>
  </w:num>
  <w:num w:numId="26">
    <w:abstractNumId w:val="18"/>
  </w:num>
  <w:num w:numId="27">
    <w:abstractNumId w:val="20"/>
  </w:num>
  <w:num w:numId="28">
    <w:abstractNumId w:val="0"/>
  </w:num>
  <w:num w:numId="29">
    <w:abstractNumId w:val="24"/>
  </w:num>
  <w:num w:numId="30">
    <w:abstractNumId w:val="6"/>
  </w:num>
  <w:num w:numId="31">
    <w:abstractNumId w:val="6"/>
    <w:lvlOverride w:ilvl="0">
      <w:startOverride w:val="1"/>
    </w:lvlOverride>
  </w:num>
  <w:num w:numId="32">
    <w:abstractNumId w:val="12"/>
  </w:num>
  <w:num w:numId="33">
    <w:abstractNumId w:val="17"/>
  </w:num>
  <w:num w:numId="34">
    <w:abstractNumId w:val="5"/>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0322"/>
    <w:rsid w:val="00000341"/>
    <w:rsid w:val="0000068E"/>
    <w:rsid w:val="0000177A"/>
    <w:rsid w:val="00001AD4"/>
    <w:rsid w:val="00002C57"/>
    <w:rsid w:val="00002EA2"/>
    <w:rsid w:val="0000434B"/>
    <w:rsid w:val="00004523"/>
    <w:rsid w:val="00007333"/>
    <w:rsid w:val="000073A6"/>
    <w:rsid w:val="00010400"/>
    <w:rsid w:val="000112E5"/>
    <w:rsid w:val="00011420"/>
    <w:rsid w:val="000118DF"/>
    <w:rsid w:val="000124DD"/>
    <w:rsid w:val="000125C4"/>
    <w:rsid w:val="0001418A"/>
    <w:rsid w:val="00014265"/>
    <w:rsid w:val="0001456E"/>
    <w:rsid w:val="000157FC"/>
    <w:rsid w:val="000160D9"/>
    <w:rsid w:val="000163A4"/>
    <w:rsid w:val="00016456"/>
    <w:rsid w:val="000167FE"/>
    <w:rsid w:val="000176F9"/>
    <w:rsid w:val="00017B99"/>
    <w:rsid w:val="00020465"/>
    <w:rsid w:val="0002055B"/>
    <w:rsid w:val="00020C8A"/>
    <w:rsid w:val="00020F33"/>
    <w:rsid w:val="00021493"/>
    <w:rsid w:val="00021F96"/>
    <w:rsid w:val="00022CEE"/>
    <w:rsid w:val="000239B0"/>
    <w:rsid w:val="0002497D"/>
    <w:rsid w:val="000250F1"/>
    <w:rsid w:val="000250F7"/>
    <w:rsid w:val="00025105"/>
    <w:rsid w:val="000252CE"/>
    <w:rsid w:val="0002633A"/>
    <w:rsid w:val="00026901"/>
    <w:rsid w:val="00026C23"/>
    <w:rsid w:val="00026CFD"/>
    <w:rsid w:val="00026EEE"/>
    <w:rsid w:val="000270EC"/>
    <w:rsid w:val="000273E1"/>
    <w:rsid w:val="000274D8"/>
    <w:rsid w:val="000305C5"/>
    <w:rsid w:val="0003065E"/>
    <w:rsid w:val="0003134F"/>
    <w:rsid w:val="00031C96"/>
    <w:rsid w:val="00031FC7"/>
    <w:rsid w:val="00032B74"/>
    <w:rsid w:val="00033654"/>
    <w:rsid w:val="000339E6"/>
    <w:rsid w:val="000363EB"/>
    <w:rsid w:val="00036518"/>
    <w:rsid w:val="00036545"/>
    <w:rsid w:val="000368ED"/>
    <w:rsid w:val="00037475"/>
    <w:rsid w:val="00037FF8"/>
    <w:rsid w:val="0004215B"/>
    <w:rsid w:val="00042A05"/>
    <w:rsid w:val="00044304"/>
    <w:rsid w:val="0004495F"/>
    <w:rsid w:val="0004680F"/>
    <w:rsid w:val="00046E4E"/>
    <w:rsid w:val="000478C1"/>
    <w:rsid w:val="00047949"/>
    <w:rsid w:val="000479D5"/>
    <w:rsid w:val="00047A3C"/>
    <w:rsid w:val="00047E7A"/>
    <w:rsid w:val="000502BF"/>
    <w:rsid w:val="000504DC"/>
    <w:rsid w:val="000504E4"/>
    <w:rsid w:val="00050972"/>
    <w:rsid w:val="000510F3"/>
    <w:rsid w:val="00051118"/>
    <w:rsid w:val="000531B4"/>
    <w:rsid w:val="00053C11"/>
    <w:rsid w:val="00054336"/>
    <w:rsid w:val="00054BFA"/>
    <w:rsid w:val="000569F4"/>
    <w:rsid w:val="00057B77"/>
    <w:rsid w:val="0006093D"/>
    <w:rsid w:val="00060B7C"/>
    <w:rsid w:val="00061ABB"/>
    <w:rsid w:val="00061ACC"/>
    <w:rsid w:val="00061FD4"/>
    <w:rsid w:val="00061FF8"/>
    <w:rsid w:val="00062C4A"/>
    <w:rsid w:val="00062D49"/>
    <w:rsid w:val="0006333E"/>
    <w:rsid w:val="000634EF"/>
    <w:rsid w:val="00063599"/>
    <w:rsid w:val="000638C0"/>
    <w:rsid w:val="0006410A"/>
    <w:rsid w:val="000642D0"/>
    <w:rsid w:val="0006437B"/>
    <w:rsid w:val="00064397"/>
    <w:rsid w:val="00064719"/>
    <w:rsid w:val="00066EA3"/>
    <w:rsid w:val="0006780D"/>
    <w:rsid w:val="00067B45"/>
    <w:rsid w:val="00070627"/>
    <w:rsid w:val="00071AA3"/>
    <w:rsid w:val="00073191"/>
    <w:rsid w:val="0007360B"/>
    <w:rsid w:val="0007426C"/>
    <w:rsid w:val="00076024"/>
    <w:rsid w:val="0007638C"/>
    <w:rsid w:val="00076EB7"/>
    <w:rsid w:val="00077156"/>
    <w:rsid w:val="00077DD5"/>
    <w:rsid w:val="00081292"/>
    <w:rsid w:val="000814C8"/>
    <w:rsid w:val="00081800"/>
    <w:rsid w:val="00081E3C"/>
    <w:rsid w:val="00081E76"/>
    <w:rsid w:val="000826BE"/>
    <w:rsid w:val="00082CE0"/>
    <w:rsid w:val="00083787"/>
    <w:rsid w:val="0008451E"/>
    <w:rsid w:val="00084F60"/>
    <w:rsid w:val="00085065"/>
    <w:rsid w:val="00085E61"/>
    <w:rsid w:val="000866C8"/>
    <w:rsid w:val="000869B2"/>
    <w:rsid w:val="000878E0"/>
    <w:rsid w:val="00087C7F"/>
    <w:rsid w:val="00087F30"/>
    <w:rsid w:val="000906C9"/>
    <w:rsid w:val="00091623"/>
    <w:rsid w:val="00092667"/>
    <w:rsid w:val="00092C2E"/>
    <w:rsid w:val="00092C3D"/>
    <w:rsid w:val="0009356F"/>
    <w:rsid w:val="000939FB"/>
    <w:rsid w:val="0009568B"/>
    <w:rsid w:val="00096E42"/>
    <w:rsid w:val="00097D8D"/>
    <w:rsid w:val="000A14E5"/>
    <w:rsid w:val="000A1BC2"/>
    <w:rsid w:val="000A1DF3"/>
    <w:rsid w:val="000A2DD0"/>
    <w:rsid w:val="000A4377"/>
    <w:rsid w:val="000A459A"/>
    <w:rsid w:val="000A4653"/>
    <w:rsid w:val="000A4A41"/>
    <w:rsid w:val="000A4ECB"/>
    <w:rsid w:val="000A50C8"/>
    <w:rsid w:val="000A55AF"/>
    <w:rsid w:val="000A5BF2"/>
    <w:rsid w:val="000A6E3E"/>
    <w:rsid w:val="000B0DFC"/>
    <w:rsid w:val="000B0EE7"/>
    <w:rsid w:val="000B176E"/>
    <w:rsid w:val="000B1ADB"/>
    <w:rsid w:val="000B240C"/>
    <w:rsid w:val="000B24DF"/>
    <w:rsid w:val="000B2B70"/>
    <w:rsid w:val="000B2BB1"/>
    <w:rsid w:val="000B3039"/>
    <w:rsid w:val="000B3DE1"/>
    <w:rsid w:val="000B4F1E"/>
    <w:rsid w:val="000B5976"/>
    <w:rsid w:val="000B5D71"/>
    <w:rsid w:val="000B6263"/>
    <w:rsid w:val="000B66E0"/>
    <w:rsid w:val="000C16A1"/>
    <w:rsid w:val="000C2540"/>
    <w:rsid w:val="000C2D7C"/>
    <w:rsid w:val="000C3DD5"/>
    <w:rsid w:val="000C3E5D"/>
    <w:rsid w:val="000C4B5F"/>
    <w:rsid w:val="000C4BBE"/>
    <w:rsid w:val="000C632F"/>
    <w:rsid w:val="000C671D"/>
    <w:rsid w:val="000C77D6"/>
    <w:rsid w:val="000C77F2"/>
    <w:rsid w:val="000C7C32"/>
    <w:rsid w:val="000D0D10"/>
    <w:rsid w:val="000D0E7D"/>
    <w:rsid w:val="000D0EBF"/>
    <w:rsid w:val="000D137E"/>
    <w:rsid w:val="000D1F7C"/>
    <w:rsid w:val="000D20F2"/>
    <w:rsid w:val="000D2699"/>
    <w:rsid w:val="000D2AF4"/>
    <w:rsid w:val="000D3874"/>
    <w:rsid w:val="000D3C24"/>
    <w:rsid w:val="000D3C8B"/>
    <w:rsid w:val="000D4417"/>
    <w:rsid w:val="000D4CA1"/>
    <w:rsid w:val="000D52DE"/>
    <w:rsid w:val="000D57EF"/>
    <w:rsid w:val="000D5A66"/>
    <w:rsid w:val="000D5A7F"/>
    <w:rsid w:val="000D6125"/>
    <w:rsid w:val="000D6266"/>
    <w:rsid w:val="000D63C2"/>
    <w:rsid w:val="000D6804"/>
    <w:rsid w:val="000D696E"/>
    <w:rsid w:val="000D78AD"/>
    <w:rsid w:val="000D7D76"/>
    <w:rsid w:val="000E0957"/>
    <w:rsid w:val="000E1583"/>
    <w:rsid w:val="000E16C4"/>
    <w:rsid w:val="000E182D"/>
    <w:rsid w:val="000E19DB"/>
    <w:rsid w:val="000E1EBC"/>
    <w:rsid w:val="000E2B16"/>
    <w:rsid w:val="000E2BA4"/>
    <w:rsid w:val="000E48AB"/>
    <w:rsid w:val="000E56B6"/>
    <w:rsid w:val="000E57F7"/>
    <w:rsid w:val="000E6875"/>
    <w:rsid w:val="000F0280"/>
    <w:rsid w:val="000F0838"/>
    <w:rsid w:val="000F172F"/>
    <w:rsid w:val="000F37D1"/>
    <w:rsid w:val="000F3E22"/>
    <w:rsid w:val="000F3E36"/>
    <w:rsid w:val="000F4AA1"/>
    <w:rsid w:val="000F4D45"/>
    <w:rsid w:val="000F5300"/>
    <w:rsid w:val="000F53A7"/>
    <w:rsid w:val="000F5AE3"/>
    <w:rsid w:val="000F5D5E"/>
    <w:rsid w:val="000F5D8E"/>
    <w:rsid w:val="000F6D3B"/>
    <w:rsid w:val="000F6DED"/>
    <w:rsid w:val="000F7642"/>
    <w:rsid w:val="000F7900"/>
    <w:rsid w:val="000F7EAA"/>
    <w:rsid w:val="001017DC"/>
    <w:rsid w:val="00101E91"/>
    <w:rsid w:val="001026E3"/>
    <w:rsid w:val="00103E72"/>
    <w:rsid w:val="00105C9B"/>
    <w:rsid w:val="001069A1"/>
    <w:rsid w:val="00106F52"/>
    <w:rsid w:val="001078E7"/>
    <w:rsid w:val="001103ED"/>
    <w:rsid w:val="001105E0"/>
    <w:rsid w:val="00110A7B"/>
    <w:rsid w:val="00110E29"/>
    <w:rsid w:val="0011108C"/>
    <w:rsid w:val="001114E5"/>
    <w:rsid w:val="00112F2A"/>
    <w:rsid w:val="001145C3"/>
    <w:rsid w:val="00115849"/>
    <w:rsid w:val="0011657A"/>
    <w:rsid w:val="0011664C"/>
    <w:rsid w:val="00117131"/>
    <w:rsid w:val="001179EA"/>
    <w:rsid w:val="00117B2D"/>
    <w:rsid w:val="00122072"/>
    <w:rsid w:val="001225A9"/>
    <w:rsid w:val="00124B8C"/>
    <w:rsid w:val="00125289"/>
    <w:rsid w:val="001252E8"/>
    <w:rsid w:val="00126DDB"/>
    <w:rsid w:val="00127A77"/>
    <w:rsid w:val="00132787"/>
    <w:rsid w:val="001336B0"/>
    <w:rsid w:val="00133C8E"/>
    <w:rsid w:val="00133D8E"/>
    <w:rsid w:val="00134112"/>
    <w:rsid w:val="00134E7A"/>
    <w:rsid w:val="0013505B"/>
    <w:rsid w:val="001350CD"/>
    <w:rsid w:val="00135E9B"/>
    <w:rsid w:val="0013735F"/>
    <w:rsid w:val="00140F8F"/>
    <w:rsid w:val="0014362A"/>
    <w:rsid w:val="00143A3D"/>
    <w:rsid w:val="001440B8"/>
    <w:rsid w:val="001455D0"/>
    <w:rsid w:val="001464B9"/>
    <w:rsid w:val="00147280"/>
    <w:rsid w:val="00147AB1"/>
    <w:rsid w:val="00150FAC"/>
    <w:rsid w:val="0015124B"/>
    <w:rsid w:val="00151638"/>
    <w:rsid w:val="00151E3B"/>
    <w:rsid w:val="00151EF8"/>
    <w:rsid w:val="0015290C"/>
    <w:rsid w:val="001544C5"/>
    <w:rsid w:val="001553B6"/>
    <w:rsid w:val="001557F2"/>
    <w:rsid w:val="00155C20"/>
    <w:rsid w:val="00155FB0"/>
    <w:rsid w:val="00156399"/>
    <w:rsid w:val="001566E8"/>
    <w:rsid w:val="0016244B"/>
    <w:rsid w:val="0016248E"/>
    <w:rsid w:val="00162CB6"/>
    <w:rsid w:val="00162F6D"/>
    <w:rsid w:val="00163131"/>
    <w:rsid w:val="00163345"/>
    <w:rsid w:val="001652E6"/>
    <w:rsid w:val="00165F39"/>
    <w:rsid w:val="00166368"/>
    <w:rsid w:val="00166B6F"/>
    <w:rsid w:val="00166DB6"/>
    <w:rsid w:val="00167584"/>
    <w:rsid w:val="00167E90"/>
    <w:rsid w:val="001705AC"/>
    <w:rsid w:val="00170702"/>
    <w:rsid w:val="001709D2"/>
    <w:rsid w:val="00171143"/>
    <w:rsid w:val="00171293"/>
    <w:rsid w:val="001712F9"/>
    <w:rsid w:val="00171ABC"/>
    <w:rsid w:val="001721A6"/>
    <w:rsid w:val="001728D0"/>
    <w:rsid w:val="00172ACA"/>
    <w:rsid w:val="00172D3B"/>
    <w:rsid w:val="00173ECA"/>
    <w:rsid w:val="00174CCD"/>
    <w:rsid w:val="00174DE0"/>
    <w:rsid w:val="00174EF9"/>
    <w:rsid w:val="001771E7"/>
    <w:rsid w:val="001775B3"/>
    <w:rsid w:val="00177699"/>
    <w:rsid w:val="00177E42"/>
    <w:rsid w:val="001800F0"/>
    <w:rsid w:val="00180B3E"/>
    <w:rsid w:val="00180E63"/>
    <w:rsid w:val="00182CE8"/>
    <w:rsid w:val="00182EFD"/>
    <w:rsid w:val="0018334A"/>
    <w:rsid w:val="0018457C"/>
    <w:rsid w:val="00184B11"/>
    <w:rsid w:val="00184E80"/>
    <w:rsid w:val="0018550F"/>
    <w:rsid w:val="00185750"/>
    <w:rsid w:val="00185824"/>
    <w:rsid w:val="00187911"/>
    <w:rsid w:val="0019115A"/>
    <w:rsid w:val="00191B57"/>
    <w:rsid w:val="00191CFB"/>
    <w:rsid w:val="00191EFB"/>
    <w:rsid w:val="00193562"/>
    <w:rsid w:val="00194296"/>
    <w:rsid w:val="001946F9"/>
    <w:rsid w:val="00194898"/>
    <w:rsid w:val="00195A69"/>
    <w:rsid w:val="00195EE4"/>
    <w:rsid w:val="00196262"/>
    <w:rsid w:val="001964ED"/>
    <w:rsid w:val="0019660B"/>
    <w:rsid w:val="00196B45"/>
    <w:rsid w:val="00197473"/>
    <w:rsid w:val="0019795C"/>
    <w:rsid w:val="00197DFB"/>
    <w:rsid w:val="001A086A"/>
    <w:rsid w:val="001A13A0"/>
    <w:rsid w:val="001A2492"/>
    <w:rsid w:val="001A3195"/>
    <w:rsid w:val="001A4CDD"/>
    <w:rsid w:val="001A5ACD"/>
    <w:rsid w:val="001A5EC2"/>
    <w:rsid w:val="001A6ADF"/>
    <w:rsid w:val="001A7083"/>
    <w:rsid w:val="001B173E"/>
    <w:rsid w:val="001B25F0"/>
    <w:rsid w:val="001B28D6"/>
    <w:rsid w:val="001B313A"/>
    <w:rsid w:val="001B3459"/>
    <w:rsid w:val="001B36F7"/>
    <w:rsid w:val="001B3AA3"/>
    <w:rsid w:val="001B3AA6"/>
    <w:rsid w:val="001B3DE4"/>
    <w:rsid w:val="001B3EA7"/>
    <w:rsid w:val="001B53B0"/>
    <w:rsid w:val="001B616F"/>
    <w:rsid w:val="001B63F1"/>
    <w:rsid w:val="001B6CD9"/>
    <w:rsid w:val="001B6F36"/>
    <w:rsid w:val="001B7AE3"/>
    <w:rsid w:val="001B7D13"/>
    <w:rsid w:val="001B7F68"/>
    <w:rsid w:val="001C0008"/>
    <w:rsid w:val="001C1C97"/>
    <w:rsid w:val="001C3141"/>
    <w:rsid w:val="001C31BF"/>
    <w:rsid w:val="001C3EA0"/>
    <w:rsid w:val="001C41C5"/>
    <w:rsid w:val="001C42F4"/>
    <w:rsid w:val="001C47C8"/>
    <w:rsid w:val="001C4C7C"/>
    <w:rsid w:val="001C5B3B"/>
    <w:rsid w:val="001C674C"/>
    <w:rsid w:val="001C6950"/>
    <w:rsid w:val="001D0B32"/>
    <w:rsid w:val="001D0CB3"/>
    <w:rsid w:val="001D0EE9"/>
    <w:rsid w:val="001D15B0"/>
    <w:rsid w:val="001D1C02"/>
    <w:rsid w:val="001D2348"/>
    <w:rsid w:val="001D243D"/>
    <w:rsid w:val="001D3797"/>
    <w:rsid w:val="001D3E91"/>
    <w:rsid w:val="001D4467"/>
    <w:rsid w:val="001D477D"/>
    <w:rsid w:val="001D4CA8"/>
    <w:rsid w:val="001D50BA"/>
    <w:rsid w:val="001D56A8"/>
    <w:rsid w:val="001D664C"/>
    <w:rsid w:val="001D69F5"/>
    <w:rsid w:val="001D6B5C"/>
    <w:rsid w:val="001E1895"/>
    <w:rsid w:val="001E1C42"/>
    <w:rsid w:val="001E2806"/>
    <w:rsid w:val="001E2B04"/>
    <w:rsid w:val="001E2F4F"/>
    <w:rsid w:val="001E37B4"/>
    <w:rsid w:val="001E3A85"/>
    <w:rsid w:val="001E3B3B"/>
    <w:rsid w:val="001E3F6B"/>
    <w:rsid w:val="001E49D7"/>
    <w:rsid w:val="001E4DBE"/>
    <w:rsid w:val="001E4FA3"/>
    <w:rsid w:val="001E4FE1"/>
    <w:rsid w:val="001E57B0"/>
    <w:rsid w:val="001E599A"/>
    <w:rsid w:val="001E7224"/>
    <w:rsid w:val="001E7357"/>
    <w:rsid w:val="001E7F22"/>
    <w:rsid w:val="001F03D7"/>
    <w:rsid w:val="001F0BDD"/>
    <w:rsid w:val="001F0CF2"/>
    <w:rsid w:val="001F3BB0"/>
    <w:rsid w:val="001F4C40"/>
    <w:rsid w:val="001F4FCD"/>
    <w:rsid w:val="001F589B"/>
    <w:rsid w:val="001F5D47"/>
    <w:rsid w:val="001F6604"/>
    <w:rsid w:val="001F6A15"/>
    <w:rsid w:val="001F72D4"/>
    <w:rsid w:val="001F770B"/>
    <w:rsid w:val="002012CC"/>
    <w:rsid w:val="00202168"/>
    <w:rsid w:val="002027CD"/>
    <w:rsid w:val="00202E1C"/>
    <w:rsid w:val="00203186"/>
    <w:rsid w:val="0020599E"/>
    <w:rsid w:val="002068BE"/>
    <w:rsid w:val="00206D86"/>
    <w:rsid w:val="002072A9"/>
    <w:rsid w:val="002126FF"/>
    <w:rsid w:val="00212E13"/>
    <w:rsid w:val="002134F5"/>
    <w:rsid w:val="0021436C"/>
    <w:rsid w:val="0021579C"/>
    <w:rsid w:val="00215A6C"/>
    <w:rsid w:val="00215F52"/>
    <w:rsid w:val="00216F07"/>
    <w:rsid w:val="00217AB6"/>
    <w:rsid w:val="002206DC"/>
    <w:rsid w:val="0022187B"/>
    <w:rsid w:val="0022293D"/>
    <w:rsid w:val="00222D1B"/>
    <w:rsid w:val="00223FA0"/>
    <w:rsid w:val="00224DDB"/>
    <w:rsid w:val="00225C8A"/>
    <w:rsid w:val="00226210"/>
    <w:rsid w:val="00226B1A"/>
    <w:rsid w:val="0023055B"/>
    <w:rsid w:val="00231273"/>
    <w:rsid w:val="00231411"/>
    <w:rsid w:val="00232B7F"/>
    <w:rsid w:val="002331F5"/>
    <w:rsid w:val="0023345A"/>
    <w:rsid w:val="0023389A"/>
    <w:rsid w:val="0023477E"/>
    <w:rsid w:val="00234A16"/>
    <w:rsid w:val="002354A3"/>
    <w:rsid w:val="00235766"/>
    <w:rsid w:val="0023595B"/>
    <w:rsid w:val="00235BF3"/>
    <w:rsid w:val="00235EA7"/>
    <w:rsid w:val="00236153"/>
    <w:rsid w:val="00236A49"/>
    <w:rsid w:val="00237A14"/>
    <w:rsid w:val="002402D4"/>
    <w:rsid w:val="002406BF"/>
    <w:rsid w:val="002409F3"/>
    <w:rsid w:val="002414E6"/>
    <w:rsid w:val="00241BDE"/>
    <w:rsid w:val="00241F11"/>
    <w:rsid w:val="00242348"/>
    <w:rsid w:val="0024255C"/>
    <w:rsid w:val="002426B4"/>
    <w:rsid w:val="00242725"/>
    <w:rsid w:val="00242ED6"/>
    <w:rsid w:val="00244883"/>
    <w:rsid w:val="00244B04"/>
    <w:rsid w:val="00246048"/>
    <w:rsid w:val="00246229"/>
    <w:rsid w:val="0024686F"/>
    <w:rsid w:val="00246BBC"/>
    <w:rsid w:val="00246D74"/>
    <w:rsid w:val="0024770B"/>
    <w:rsid w:val="00247FD9"/>
    <w:rsid w:val="00250E4B"/>
    <w:rsid w:val="002510D1"/>
    <w:rsid w:val="00251AC4"/>
    <w:rsid w:val="00252796"/>
    <w:rsid w:val="00252846"/>
    <w:rsid w:val="0025296A"/>
    <w:rsid w:val="002529A4"/>
    <w:rsid w:val="00252CA6"/>
    <w:rsid w:val="002541CC"/>
    <w:rsid w:val="0025426A"/>
    <w:rsid w:val="00254880"/>
    <w:rsid w:val="00255B70"/>
    <w:rsid w:val="002566A1"/>
    <w:rsid w:val="002574BB"/>
    <w:rsid w:val="00257690"/>
    <w:rsid w:val="00257ABC"/>
    <w:rsid w:val="00257C4F"/>
    <w:rsid w:val="00257C8E"/>
    <w:rsid w:val="002603B9"/>
    <w:rsid w:val="00260CBB"/>
    <w:rsid w:val="0026457E"/>
    <w:rsid w:val="00264878"/>
    <w:rsid w:val="00264EF1"/>
    <w:rsid w:val="0026525A"/>
    <w:rsid w:val="0026613F"/>
    <w:rsid w:val="00266FA1"/>
    <w:rsid w:val="00267BEE"/>
    <w:rsid w:val="00267EFD"/>
    <w:rsid w:val="00270824"/>
    <w:rsid w:val="00270D44"/>
    <w:rsid w:val="00270DC1"/>
    <w:rsid w:val="002737A3"/>
    <w:rsid w:val="00273ED4"/>
    <w:rsid w:val="002744D6"/>
    <w:rsid w:val="002748AA"/>
    <w:rsid w:val="00276B6A"/>
    <w:rsid w:val="00276DBB"/>
    <w:rsid w:val="00277925"/>
    <w:rsid w:val="00280C0C"/>
    <w:rsid w:val="00280D29"/>
    <w:rsid w:val="00281DDF"/>
    <w:rsid w:val="0028266F"/>
    <w:rsid w:val="00283468"/>
    <w:rsid w:val="00283B9E"/>
    <w:rsid w:val="0028463D"/>
    <w:rsid w:val="0028612D"/>
    <w:rsid w:val="002867FC"/>
    <w:rsid w:val="00286F1E"/>
    <w:rsid w:val="002908D2"/>
    <w:rsid w:val="00290AE9"/>
    <w:rsid w:val="00290BB7"/>
    <w:rsid w:val="00290CA9"/>
    <w:rsid w:val="002917D5"/>
    <w:rsid w:val="002918C1"/>
    <w:rsid w:val="00292878"/>
    <w:rsid w:val="00292ACC"/>
    <w:rsid w:val="00292C1E"/>
    <w:rsid w:val="00293786"/>
    <w:rsid w:val="00294EF6"/>
    <w:rsid w:val="002954AC"/>
    <w:rsid w:val="002959F7"/>
    <w:rsid w:val="00295CE6"/>
    <w:rsid w:val="00295E5F"/>
    <w:rsid w:val="00296620"/>
    <w:rsid w:val="002971FE"/>
    <w:rsid w:val="0029786C"/>
    <w:rsid w:val="00297C10"/>
    <w:rsid w:val="00297F38"/>
    <w:rsid w:val="002A0452"/>
    <w:rsid w:val="002A16AA"/>
    <w:rsid w:val="002A19F1"/>
    <w:rsid w:val="002A1CCE"/>
    <w:rsid w:val="002A3392"/>
    <w:rsid w:val="002A357A"/>
    <w:rsid w:val="002A3DCF"/>
    <w:rsid w:val="002A3DE8"/>
    <w:rsid w:val="002A3F69"/>
    <w:rsid w:val="002A41FD"/>
    <w:rsid w:val="002A4470"/>
    <w:rsid w:val="002A4574"/>
    <w:rsid w:val="002A549A"/>
    <w:rsid w:val="002A5F37"/>
    <w:rsid w:val="002A622F"/>
    <w:rsid w:val="002A6C48"/>
    <w:rsid w:val="002A73A9"/>
    <w:rsid w:val="002A73D5"/>
    <w:rsid w:val="002B0123"/>
    <w:rsid w:val="002B04A2"/>
    <w:rsid w:val="002B0BBA"/>
    <w:rsid w:val="002B0E36"/>
    <w:rsid w:val="002B0FCA"/>
    <w:rsid w:val="002B15D7"/>
    <w:rsid w:val="002B232D"/>
    <w:rsid w:val="002B2AF2"/>
    <w:rsid w:val="002B2ED8"/>
    <w:rsid w:val="002B6139"/>
    <w:rsid w:val="002B67EB"/>
    <w:rsid w:val="002B6CEF"/>
    <w:rsid w:val="002B6D53"/>
    <w:rsid w:val="002B73E3"/>
    <w:rsid w:val="002C0C2D"/>
    <w:rsid w:val="002C0DA6"/>
    <w:rsid w:val="002C3204"/>
    <w:rsid w:val="002C344D"/>
    <w:rsid w:val="002C3C9F"/>
    <w:rsid w:val="002C3F8F"/>
    <w:rsid w:val="002C4A15"/>
    <w:rsid w:val="002C5B8A"/>
    <w:rsid w:val="002C5E69"/>
    <w:rsid w:val="002C6D3C"/>
    <w:rsid w:val="002C6DA4"/>
    <w:rsid w:val="002C7FD9"/>
    <w:rsid w:val="002D0822"/>
    <w:rsid w:val="002D0F2E"/>
    <w:rsid w:val="002D2511"/>
    <w:rsid w:val="002D2701"/>
    <w:rsid w:val="002D4F33"/>
    <w:rsid w:val="002D6364"/>
    <w:rsid w:val="002D6662"/>
    <w:rsid w:val="002D7B84"/>
    <w:rsid w:val="002E00EC"/>
    <w:rsid w:val="002E01E1"/>
    <w:rsid w:val="002E0639"/>
    <w:rsid w:val="002E09C3"/>
    <w:rsid w:val="002E0CC4"/>
    <w:rsid w:val="002E1094"/>
    <w:rsid w:val="002E151C"/>
    <w:rsid w:val="002E1D6E"/>
    <w:rsid w:val="002E2815"/>
    <w:rsid w:val="002E3A1E"/>
    <w:rsid w:val="002E4733"/>
    <w:rsid w:val="002E4FAF"/>
    <w:rsid w:val="002E5262"/>
    <w:rsid w:val="002E63AF"/>
    <w:rsid w:val="002E63B4"/>
    <w:rsid w:val="002E645C"/>
    <w:rsid w:val="002E75AC"/>
    <w:rsid w:val="002E767A"/>
    <w:rsid w:val="002F0462"/>
    <w:rsid w:val="002F06BB"/>
    <w:rsid w:val="002F0971"/>
    <w:rsid w:val="002F0EDC"/>
    <w:rsid w:val="002F193D"/>
    <w:rsid w:val="002F1FE3"/>
    <w:rsid w:val="002F4543"/>
    <w:rsid w:val="002F4CEF"/>
    <w:rsid w:val="002F6E3B"/>
    <w:rsid w:val="002F70D5"/>
    <w:rsid w:val="002F7812"/>
    <w:rsid w:val="003000B4"/>
    <w:rsid w:val="003002CA"/>
    <w:rsid w:val="00300639"/>
    <w:rsid w:val="003008E2"/>
    <w:rsid w:val="00300ACB"/>
    <w:rsid w:val="00301827"/>
    <w:rsid w:val="00301B57"/>
    <w:rsid w:val="003022E0"/>
    <w:rsid w:val="00302399"/>
    <w:rsid w:val="00303EB6"/>
    <w:rsid w:val="003042A0"/>
    <w:rsid w:val="003055BF"/>
    <w:rsid w:val="003056CD"/>
    <w:rsid w:val="00305EF2"/>
    <w:rsid w:val="003064C2"/>
    <w:rsid w:val="003065CD"/>
    <w:rsid w:val="00306AA5"/>
    <w:rsid w:val="00310DC0"/>
    <w:rsid w:val="003113CD"/>
    <w:rsid w:val="00312658"/>
    <w:rsid w:val="00312E88"/>
    <w:rsid w:val="00313232"/>
    <w:rsid w:val="00313BF4"/>
    <w:rsid w:val="00314258"/>
    <w:rsid w:val="00314A3A"/>
    <w:rsid w:val="003154CD"/>
    <w:rsid w:val="003159C5"/>
    <w:rsid w:val="00315C90"/>
    <w:rsid w:val="0031616A"/>
    <w:rsid w:val="0031632B"/>
    <w:rsid w:val="00317151"/>
    <w:rsid w:val="00317ACF"/>
    <w:rsid w:val="00317C3A"/>
    <w:rsid w:val="00317E87"/>
    <w:rsid w:val="0032222F"/>
    <w:rsid w:val="003228A7"/>
    <w:rsid w:val="003232DC"/>
    <w:rsid w:val="00323F17"/>
    <w:rsid w:val="00325E37"/>
    <w:rsid w:val="00325FF4"/>
    <w:rsid w:val="00326F3C"/>
    <w:rsid w:val="00327359"/>
    <w:rsid w:val="0032782E"/>
    <w:rsid w:val="00327AD6"/>
    <w:rsid w:val="00327B47"/>
    <w:rsid w:val="00331804"/>
    <w:rsid w:val="00331BFE"/>
    <w:rsid w:val="003328E2"/>
    <w:rsid w:val="00333B84"/>
    <w:rsid w:val="00333C5B"/>
    <w:rsid w:val="00333EB4"/>
    <w:rsid w:val="00334306"/>
    <w:rsid w:val="003348BE"/>
    <w:rsid w:val="00335191"/>
    <w:rsid w:val="003366A8"/>
    <w:rsid w:val="00336783"/>
    <w:rsid w:val="00336813"/>
    <w:rsid w:val="003368BC"/>
    <w:rsid w:val="00337826"/>
    <w:rsid w:val="00337F71"/>
    <w:rsid w:val="0034080E"/>
    <w:rsid w:val="00340F8A"/>
    <w:rsid w:val="00341B55"/>
    <w:rsid w:val="0034219A"/>
    <w:rsid w:val="003429D4"/>
    <w:rsid w:val="00344B33"/>
    <w:rsid w:val="003461A2"/>
    <w:rsid w:val="00347387"/>
    <w:rsid w:val="00350382"/>
    <w:rsid w:val="0035092C"/>
    <w:rsid w:val="00354017"/>
    <w:rsid w:val="00354645"/>
    <w:rsid w:val="00354F2B"/>
    <w:rsid w:val="003561BE"/>
    <w:rsid w:val="0035633D"/>
    <w:rsid w:val="00356827"/>
    <w:rsid w:val="00356D71"/>
    <w:rsid w:val="00361B80"/>
    <w:rsid w:val="00362307"/>
    <w:rsid w:val="00362B25"/>
    <w:rsid w:val="00363A31"/>
    <w:rsid w:val="00363C84"/>
    <w:rsid w:val="00363F6B"/>
    <w:rsid w:val="00364784"/>
    <w:rsid w:val="003648FC"/>
    <w:rsid w:val="00364EEC"/>
    <w:rsid w:val="00364F8F"/>
    <w:rsid w:val="0036598C"/>
    <w:rsid w:val="00365FD6"/>
    <w:rsid w:val="00366B60"/>
    <w:rsid w:val="0036721C"/>
    <w:rsid w:val="00367468"/>
    <w:rsid w:val="0036785E"/>
    <w:rsid w:val="003702F3"/>
    <w:rsid w:val="00371447"/>
    <w:rsid w:val="0037149B"/>
    <w:rsid w:val="00372197"/>
    <w:rsid w:val="00372A7E"/>
    <w:rsid w:val="00374339"/>
    <w:rsid w:val="003749F4"/>
    <w:rsid w:val="00374FDB"/>
    <w:rsid w:val="0037548B"/>
    <w:rsid w:val="0037567B"/>
    <w:rsid w:val="003763ED"/>
    <w:rsid w:val="00377E40"/>
    <w:rsid w:val="00380EE3"/>
    <w:rsid w:val="00381435"/>
    <w:rsid w:val="00382950"/>
    <w:rsid w:val="00382FBF"/>
    <w:rsid w:val="0038397D"/>
    <w:rsid w:val="00383FE9"/>
    <w:rsid w:val="00384221"/>
    <w:rsid w:val="00384478"/>
    <w:rsid w:val="0038472C"/>
    <w:rsid w:val="003851BC"/>
    <w:rsid w:val="003856DB"/>
    <w:rsid w:val="00385E1B"/>
    <w:rsid w:val="00387479"/>
    <w:rsid w:val="003879F0"/>
    <w:rsid w:val="003906E3"/>
    <w:rsid w:val="00390704"/>
    <w:rsid w:val="00390730"/>
    <w:rsid w:val="00390CCF"/>
    <w:rsid w:val="00390DEA"/>
    <w:rsid w:val="003912F2"/>
    <w:rsid w:val="003917C8"/>
    <w:rsid w:val="00391BA7"/>
    <w:rsid w:val="0039233A"/>
    <w:rsid w:val="00392B45"/>
    <w:rsid w:val="003930CC"/>
    <w:rsid w:val="00393484"/>
    <w:rsid w:val="00394782"/>
    <w:rsid w:val="003960F0"/>
    <w:rsid w:val="00396BB7"/>
    <w:rsid w:val="00397587"/>
    <w:rsid w:val="00397B1C"/>
    <w:rsid w:val="00397E24"/>
    <w:rsid w:val="003A0991"/>
    <w:rsid w:val="003A467A"/>
    <w:rsid w:val="003A4DE9"/>
    <w:rsid w:val="003A4EA7"/>
    <w:rsid w:val="003A6C1E"/>
    <w:rsid w:val="003A7599"/>
    <w:rsid w:val="003B0C28"/>
    <w:rsid w:val="003B1AC4"/>
    <w:rsid w:val="003B1C15"/>
    <w:rsid w:val="003B1C8F"/>
    <w:rsid w:val="003B1E21"/>
    <w:rsid w:val="003B2B8B"/>
    <w:rsid w:val="003B3E87"/>
    <w:rsid w:val="003B3FC2"/>
    <w:rsid w:val="003B509E"/>
    <w:rsid w:val="003B5E0B"/>
    <w:rsid w:val="003B61D5"/>
    <w:rsid w:val="003B64F3"/>
    <w:rsid w:val="003B69F0"/>
    <w:rsid w:val="003B6E75"/>
    <w:rsid w:val="003B716D"/>
    <w:rsid w:val="003C05EC"/>
    <w:rsid w:val="003C0D66"/>
    <w:rsid w:val="003C10CD"/>
    <w:rsid w:val="003C1394"/>
    <w:rsid w:val="003C1775"/>
    <w:rsid w:val="003C1FF2"/>
    <w:rsid w:val="003C20E0"/>
    <w:rsid w:val="003C2803"/>
    <w:rsid w:val="003C376E"/>
    <w:rsid w:val="003C380B"/>
    <w:rsid w:val="003C3A4F"/>
    <w:rsid w:val="003C3D42"/>
    <w:rsid w:val="003C41A4"/>
    <w:rsid w:val="003C4278"/>
    <w:rsid w:val="003C4605"/>
    <w:rsid w:val="003C4F07"/>
    <w:rsid w:val="003C5063"/>
    <w:rsid w:val="003C5AA5"/>
    <w:rsid w:val="003C6CBF"/>
    <w:rsid w:val="003C7F78"/>
    <w:rsid w:val="003D0B2E"/>
    <w:rsid w:val="003D13B1"/>
    <w:rsid w:val="003D1D2F"/>
    <w:rsid w:val="003D1F66"/>
    <w:rsid w:val="003D2010"/>
    <w:rsid w:val="003D330A"/>
    <w:rsid w:val="003D4D10"/>
    <w:rsid w:val="003D4DA0"/>
    <w:rsid w:val="003D5288"/>
    <w:rsid w:val="003D66B4"/>
    <w:rsid w:val="003D69F3"/>
    <w:rsid w:val="003D6B56"/>
    <w:rsid w:val="003D6E90"/>
    <w:rsid w:val="003E1D81"/>
    <w:rsid w:val="003E2B20"/>
    <w:rsid w:val="003E4942"/>
    <w:rsid w:val="003E652A"/>
    <w:rsid w:val="003E6E2C"/>
    <w:rsid w:val="003E78F7"/>
    <w:rsid w:val="003E7A55"/>
    <w:rsid w:val="003F0061"/>
    <w:rsid w:val="003F03F2"/>
    <w:rsid w:val="003F07C9"/>
    <w:rsid w:val="003F16DD"/>
    <w:rsid w:val="003F1931"/>
    <w:rsid w:val="003F1A66"/>
    <w:rsid w:val="003F1B39"/>
    <w:rsid w:val="003F1E38"/>
    <w:rsid w:val="003F22E8"/>
    <w:rsid w:val="003F2700"/>
    <w:rsid w:val="003F402B"/>
    <w:rsid w:val="003F4329"/>
    <w:rsid w:val="003F55AC"/>
    <w:rsid w:val="003F5633"/>
    <w:rsid w:val="003F5D03"/>
    <w:rsid w:val="003F63DE"/>
    <w:rsid w:val="003F69B9"/>
    <w:rsid w:val="003F7563"/>
    <w:rsid w:val="00400C72"/>
    <w:rsid w:val="004013EA"/>
    <w:rsid w:val="00402C99"/>
    <w:rsid w:val="00403104"/>
    <w:rsid w:val="0040454E"/>
    <w:rsid w:val="00405E2C"/>
    <w:rsid w:val="00405EF6"/>
    <w:rsid w:val="00406015"/>
    <w:rsid w:val="004069F6"/>
    <w:rsid w:val="00406BAB"/>
    <w:rsid w:val="00406D5F"/>
    <w:rsid w:val="00406FC4"/>
    <w:rsid w:val="00407A03"/>
    <w:rsid w:val="0041097E"/>
    <w:rsid w:val="00413879"/>
    <w:rsid w:val="00414DE5"/>
    <w:rsid w:val="004157A7"/>
    <w:rsid w:val="00415939"/>
    <w:rsid w:val="00415990"/>
    <w:rsid w:val="00416AEF"/>
    <w:rsid w:val="00420011"/>
    <w:rsid w:val="00420679"/>
    <w:rsid w:val="004209C6"/>
    <w:rsid w:val="00420B09"/>
    <w:rsid w:val="004214DB"/>
    <w:rsid w:val="004222D2"/>
    <w:rsid w:val="00422429"/>
    <w:rsid w:val="00423207"/>
    <w:rsid w:val="00423A87"/>
    <w:rsid w:val="00423D13"/>
    <w:rsid w:val="00423D16"/>
    <w:rsid w:val="00424D3E"/>
    <w:rsid w:val="00424E2D"/>
    <w:rsid w:val="0042523E"/>
    <w:rsid w:val="00425AAD"/>
    <w:rsid w:val="0042686B"/>
    <w:rsid w:val="004272EE"/>
    <w:rsid w:val="00427988"/>
    <w:rsid w:val="00427C90"/>
    <w:rsid w:val="00427F23"/>
    <w:rsid w:val="004305FE"/>
    <w:rsid w:val="0043080D"/>
    <w:rsid w:val="004315FB"/>
    <w:rsid w:val="00431F71"/>
    <w:rsid w:val="004325DC"/>
    <w:rsid w:val="004327ED"/>
    <w:rsid w:val="00433401"/>
    <w:rsid w:val="00433B46"/>
    <w:rsid w:val="00434262"/>
    <w:rsid w:val="00435C32"/>
    <w:rsid w:val="00435E5F"/>
    <w:rsid w:val="00435E98"/>
    <w:rsid w:val="004362E6"/>
    <w:rsid w:val="004367EF"/>
    <w:rsid w:val="00437919"/>
    <w:rsid w:val="00441062"/>
    <w:rsid w:val="0044145B"/>
    <w:rsid w:val="00441A14"/>
    <w:rsid w:val="004420C0"/>
    <w:rsid w:val="00442CD1"/>
    <w:rsid w:val="00442D6A"/>
    <w:rsid w:val="00444193"/>
    <w:rsid w:val="00444E27"/>
    <w:rsid w:val="00446138"/>
    <w:rsid w:val="00446257"/>
    <w:rsid w:val="00446BD9"/>
    <w:rsid w:val="00447635"/>
    <w:rsid w:val="00447F85"/>
    <w:rsid w:val="00451B01"/>
    <w:rsid w:val="00452B46"/>
    <w:rsid w:val="00452CB6"/>
    <w:rsid w:val="004531D5"/>
    <w:rsid w:val="004547F3"/>
    <w:rsid w:val="004548F6"/>
    <w:rsid w:val="00455678"/>
    <w:rsid w:val="004559FD"/>
    <w:rsid w:val="00455D27"/>
    <w:rsid w:val="00456020"/>
    <w:rsid w:val="00456883"/>
    <w:rsid w:val="00456EA0"/>
    <w:rsid w:val="004575A3"/>
    <w:rsid w:val="0045763F"/>
    <w:rsid w:val="00460137"/>
    <w:rsid w:val="00460437"/>
    <w:rsid w:val="00460985"/>
    <w:rsid w:val="00460AD4"/>
    <w:rsid w:val="0046356B"/>
    <w:rsid w:val="004646EA"/>
    <w:rsid w:val="00464B33"/>
    <w:rsid w:val="00464BD0"/>
    <w:rsid w:val="00464E67"/>
    <w:rsid w:val="00465FE2"/>
    <w:rsid w:val="00466862"/>
    <w:rsid w:val="004675E5"/>
    <w:rsid w:val="00467A00"/>
    <w:rsid w:val="004707F8"/>
    <w:rsid w:val="0047099D"/>
    <w:rsid w:val="00472BF6"/>
    <w:rsid w:val="0047388C"/>
    <w:rsid w:val="00473B40"/>
    <w:rsid w:val="00474BAC"/>
    <w:rsid w:val="0047654A"/>
    <w:rsid w:val="00477299"/>
    <w:rsid w:val="0047777B"/>
    <w:rsid w:val="00477D6F"/>
    <w:rsid w:val="00477DFD"/>
    <w:rsid w:val="00477E9C"/>
    <w:rsid w:val="00480607"/>
    <w:rsid w:val="00480B34"/>
    <w:rsid w:val="00480DD5"/>
    <w:rsid w:val="004838D1"/>
    <w:rsid w:val="00483AFF"/>
    <w:rsid w:val="004850D3"/>
    <w:rsid w:val="00485667"/>
    <w:rsid w:val="00485676"/>
    <w:rsid w:val="00485B6E"/>
    <w:rsid w:val="00485C90"/>
    <w:rsid w:val="00485D7E"/>
    <w:rsid w:val="004865D0"/>
    <w:rsid w:val="00486D91"/>
    <w:rsid w:val="00490272"/>
    <w:rsid w:val="00490381"/>
    <w:rsid w:val="004905BE"/>
    <w:rsid w:val="00491487"/>
    <w:rsid w:val="00491CE8"/>
    <w:rsid w:val="00492ACC"/>
    <w:rsid w:val="00492CC7"/>
    <w:rsid w:val="004938DD"/>
    <w:rsid w:val="004947BC"/>
    <w:rsid w:val="00495BFD"/>
    <w:rsid w:val="004961F7"/>
    <w:rsid w:val="00497DFF"/>
    <w:rsid w:val="00497EB4"/>
    <w:rsid w:val="004A054F"/>
    <w:rsid w:val="004A1521"/>
    <w:rsid w:val="004A37A5"/>
    <w:rsid w:val="004A39E3"/>
    <w:rsid w:val="004A3CB4"/>
    <w:rsid w:val="004A3EFB"/>
    <w:rsid w:val="004A6049"/>
    <w:rsid w:val="004B038A"/>
    <w:rsid w:val="004B06FF"/>
    <w:rsid w:val="004B1121"/>
    <w:rsid w:val="004B1C6F"/>
    <w:rsid w:val="004B1E43"/>
    <w:rsid w:val="004B1EC7"/>
    <w:rsid w:val="004B318A"/>
    <w:rsid w:val="004B37AE"/>
    <w:rsid w:val="004B3813"/>
    <w:rsid w:val="004B4A8B"/>
    <w:rsid w:val="004B4CC7"/>
    <w:rsid w:val="004B588A"/>
    <w:rsid w:val="004B5A18"/>
    <w:rsid w:val="004B5C34"/>
    <w:rsid w:val="004B6363"/>
    <w:rsid w:val="004B6AD4"/>
    <w:rsid w:val="004B6D98"/>
    <w:rsid w:val="004B6DDE"/>
    <w:rsid w:val="004B7260"/>
    <w:rsid w:val="004C07DD"/>
    <w:rsid w:val="004C1131"/>
    <w:rsid w:val="004C195B"/>
    <w:rsid w:val="004C326B"/>
    <w:rsid w:val="004C35B9"/>
    <w:rsid w:val="004C37F9"/>
    <w:rsid w:val="004C39AC"/>
    <w:rsid w:val="004C3AFE"/>
    <w:rsid w:val="004C5EEC"/>
    <w:rsid w:val="004C6554"/>
    <w:rsid w:val="004C75CC"/>
    <w:rsid w:val="004C7DD7"/>
    <w:rsid w:val="004D011D"/>
    <w:rsid w:val="004D0ADF"/>
    <w:rsid w:val="004D11A3"/>
    <w:rsid w:val="004D13FE"/>
    <w:rsid w:val="004D3040"/>
    <w:rsid w:val="004D3FB4"/>
    <w:rsid w:val="004D4352"/>
    <w:rsid w:val="004D4924"/>
    <w:rsid w:val="004D4A2A"/>
    <w:rsid w:val="004D58B8"/>
    <w:rsid w:val="004D5C38"/>
    <w:rsid w:val="004D68AE"/>
    <w:rsid w:val="004D6A8D"/>
    <w:rsid w:val="004D7608"/>
    <w:rsid w:val="004E1231"/>
    <w:rsid w:val="004E1925"/>
    <w:rsid w:val="004E1B23"/>
    <w:rsid w:val="004E2923"/>
    <w:rsid w:val="004E305C"/>
    <w:rsid w:val="004E3FEA"/>
    <w:rsid w:val="004E4DB6"/>
    <w:rsid w:val="004E5717"/>
    <w:rsid w:val="004E5CC7"/>
    <w:rsid w:val="004E678A"/>
    <w:rsid w:val="004E6FB1"/>
    <w:rsid w:val="004E7A04"/>
    <w:rsid w:val="004F1549"/>
    <w:rsid w:val="004F199C"/>
    <w:rsid w:val="004F1A68"/>
    <w:rsid w:val="004F1BA0"/>
    <w:rsid w:val="004F1E7A"/>
    <w:rsid w:val="004F25BB"/>
    <w:rsid w:val="004F32C6"/>
    <w:rsid w:val="004F4604"/>
    <w:rsid w:val="004F4DBC"/>
    <w:rsid w:val="004F512C"/>
    <w:rsid w:val="004F5370"/>
    <w:rsid w:val="004F5966"/>
    <w:rsid w:val="004F66BE"/>
    <w:rsid w:val="004F6DB7"/>
    <w:rsid w:val="004F741B"/>
    <w:rsid w:val="005006B5"/>
    <w:rsid w:val="0050195E"/>
    <w:rsid w:val="00501AF7"/>
    <w:rsid w:val="0050231B"/>
    <w:rsid w:val="005030FD"/>
    <w:rsid w:val="005038D2"/>
    <w:rsid w:val="005038E4"/>
    <w:rsid w:val="00505271"/>
    <w:rsid w:val="005057A6"/>
    <w:rsid w:val="005057FC"/>
    <w:rsid w:val="005079FB"/>
    <w:rsid w:val="0051025E"/>
    <w:rsid w:val="005104AD"/>
    <w:rsid w:val="00510528"/>
    <w:rsid w:val="005110C6"/>
    <w:rsid w:val="00511C1F"/>
    <w:rsid w:val="00512427"/>
    <w:rsid w:val="00512A4C"/>
    <w:rsid w:val="00514837"/>
    <w:rsid w:val="00514BE6"/>
    <w:rsid w:val="00517563"/>
    <w:rsid w:val="005175BA"/>
    <w:rsid w:val="00520549"/>
    <w:rsid w:val="00520658"/>
    <w:rsid w:val="005210CA"/>
    <w:rsid w:val="005217EF"/>
    <w:rsid w:val="0052181A"/>
    <w:rsid w:val="005225FD"/>
    <w:rsid w:val="00522F62"/>
    <w:rsid w:val="00523BE6"/>
    <w:rsid w:val="005257A1"/>
    <w:rsid w:val="005259BE"/>
    <w:rsid w:val="00526E62"/>
    <w:rsid w:val="005271B6"/>
    <w:rsid w:val="00527DC0"/>
    <w:rsid w:val="00530723"/>
    <w:rsid w:val="0053089D"/>
    <w:rsid w:val="00530A16"/>
    <w:rsid w:val="00530F7F"/>
    <w:rsid w:val="00531837"/>
    <w:rsid w:val="0053222B"/>
    <w:rsid w:val="00532B0E"/>
    <w:rsid w:val="00533EC1"/>
    <w:rsid w:val="005366B1"/>
    <w:rsid w:val="00536C39"/>
    <w:rsid w:val="00536C94"/>
    <w:rsid w:val="005370F4"/>
    <w:rsid w:val="0053716C"/>
    <w:rsid w:val="00537CEB"/>
    <w:rsid w:val="00541866"/>
    <w:rsid w:val="00541B89"/>
    <w:rsid w:val="00541DC1"/>
    <w:rsid w:val="0054258F"/>
    <w:rsid w:val="00542E6C"/>
    <w:rsid w:val="00543614"/>
    <w:rsid w:val="005441DE"/>
    <w:rsid w:val="005449DE"/>
    <w:rsid w:val="00545354"/>
    <w:rsid w:val="00546224"/>
    <w:rsid w:val="0054719D"/>
    <w:rsid w:val="005477CC"/>
    <w:rsid w:val="005506D1"/>
    <w:rsid w:val="005529F5"/>
    <w:rsid w:val="00553770"/>
    <w:rsid w:val="00554150"/>
    <w:rsid w:val="00554C8C"/>
    <w:rsid w:val="00555DEF"/>
    <w:rsid w:val="00556FDC"/>
    <w:rsid w:val="0055773E"/>
    <w:rsid w:val="00561A55"/>
    <w:rsid w:val="00562D50"/>
    <w:rsid w:val="0056401B"/>
    <w:rsid w:val="00564265"/>
    <w:rsid w:val="005647E1"/>
    <w:rsid w:val="00565160"/>
    <w:rsid w:val="005661A8"/>
    <w:rsid w:val="005671C8"/>
    <w:rsid w:val="0056727B"/>
    <w:rsid w:val="005709D0"/>
    <w:rsid w:val="0057238E"/>
    <w:rsid w:val="00572FFB"/>
    <w:rsid w:val="00573EB4"/>
    <w:rsid w:val="00573EF8"/>
    <w:rsid w:val="0057542C"/>
    <w:rsid w:val="00577F37"/>
    <w:rsid w:val="0058018E"/>
    <w:rsid w:val="00582A9C"/>
    <w:rsid w:val="005841D7"/>
    <w:rsid w:val="00585903"/>
    <w:rsid w:val="00585973"/>
    <w:rsid w:val="005905F0"/>
    <w:rsid w:val="005909E3"/>
    <w:rsid w:val="00591366"/>
    <w:rsid w:val="0059200B"/>
    <w:rsid w:val="005920D0"/>
    <w:rsid w:val="00592309"/>
    <w:rsid w:val="00592D6D"/>
    <w:rsid w:val="00593589"/>
    <w:rsid w:val="00593A86"/>
    <w:rsid w:val="00593DB5"/>
    <w:rsid w:val="00593EEE"/>
    <w:rsid w:val="00595CFC"/>
    <w:rsid w:val="00596D03"/>
    <w:rsid w:val="005972D8"/>
    <w:rsid w:val="00597766"/>
    <w:rsid w:val="00597B28"/>
    <w:rsid w:val="00597DCA"/>
    <w:rsid w:val="005A0710"/>
    <w:rsid w:val="005A07E9"/>
    <w:rsid w:val="005A140B"/>
    <w:rsid w:val="005A1597"/>
    <w:rsid w:val="005A20AA"/>
    <w:rsid w:val="005A21E9"/>
    <w:rsid w:val="005A27CB"/>
    <w:rsid w:val="005A2C58"/>
    <w:rsid w:val="005A3220"/>
    <w:rsid w:val="005A33BD"/>
    <w:rsid w:val="005A3912"/>
    <w:rsid w:val="005A4148"/>
    <w:rsid w:val="005A5256"/>
    <w:rsid w:val="005A52F3"/>
    <w:rsid w:val="005A5A12"/>
    <w:rsid w:val="005A6BA0"/>
    <w:rsid w:val="005A6FC0"/>
    <w:rsid w:val="005A7392"/>
    <w:rsid w:val="005B0E35"/>
    <w:rsid w:val="005B1713"/>
    <w:rsid w:val="005B1ADF"/>
    <w:rsid w:val="005B20D7"/>
    <w:rsid w:val="005B2EAC"/>
    <w:rsid w:val="005B3397"/>
    <w:rsid w:val="005B35D7"/>
    <w:rsid w:val="005B3DFD"/>
    <w:rsid w:val="005B4144"/>
    <w:rsid w:val="005B48D7"/>
    <w:rsid w:val="005B68BE"/>
    <w:rsid w:val="005B79E5"/>
    <w:rsid w:val="005B7FEB"/>
    <w:rsid w:val="005C0374"/>
    <w:rsid w:val="005C0AA8"/>
    <w:rsid w:val="005C1813"/>
    <w:rsid w:val="005C2493"/>
    <w:rsid w:val="005C2B0C"/>
    <w:rsid w:val="005C2F87"/>
    <w:rsid w:val="005C4432"/>
    <w:rsid w:val="005C5584"/>
    <w:rsid w:val="005C57FE"/>
    <w:rsid w:val="005C64DC"/>
    <w:rsid w:val="005C65B6"/>
    <w:rsid w:val="005C68DE"/>
    <w:rsid w:val="005C6A56"/>
    <w:rsid w:val="005C6D2A"/>
    <w:rsid w:val="005D09F0"/>
    <w:rsid w:val="005D20B7"/>
    <w:rsid w:val="005D27B7"/>
    <w:rsid w:val="005D324D"/>
    <w:rsid w:val="005D3B72"/>
    <w:rsid w:val="005D3E02"/>
    <w:rsid w:val="005D4188"/>
    <w:rsid w:val="005D58C7"/>
    <w:rsid w:val="005D5EC0"/>
    <w:rsid w:val="005D6106"/>
    <w:rsid w:val="005D68B2"/>
    <w:rsid w:val="005E09BB"/>
    <w:rsid w:val="005E11E6"/>
    <w:rsid w:val="005E1991"/>
    <w:rsid w:val="005E2995"/>
    <w:rsid w:val="005E390A"/>
    <w:rsid w:val="005E3E65"/>
    <w:rsid w:val="005E474F"/>
    <w:rsid w:val="005E4F4E"/>
    <w:rsid w:val="005E4F8C"/>
    <w:rsid w:val="005E501D"/>
    <w:rsid w:val="005E5277"/>
    <w:rsid w:val="005E66E2"/>
    <w:rsid w:val="005E6DDE"/>
    <w:rsid w:val="005F122D"/>
    <w:rsid w:val="005F1A92"/>
    <w:rsid w:val="005F1F24"/>
    <w:rsid w:val="005F3274"/>
    <w:rsid w:val="005F34C1"/>
    <w:rsid w:val="005F4018"/>
    <w:rsid w:val="005F4066"/>
    <w:rsid w:val="005F4B49"/>
    <w:rsid w:val="005F74EC"/>
    <w:rsid w:val="005F764B"/>
    <w:rsid w:val="00600332"/>
    <w:rsid w:val="006009EE"/>
    <w:rsid w:val="00601BF0"/>
    <w:rsid w:val="00602344"/>
    <w:rsid w:val="006026A9"/>
    <w:rsid w:val="00602DA3"/>
    <w:rsid w:val="00603ECE"/>
    <w:rsid w:val="006069E3"/>
    <w:rsid w:val="0060784E"/>
    <w:rsid w:val="00607882"/>
    <w:rsid w:val="006104BA"/>
    <w:rsid w:val="006110D7"/>
    <w:rsid w:val="00611F6F"/>
    <w:rsid w:val="006141F9"/>
    <w:rsid w:val="006142C5"/>
    <w:rsid w:val="0061468D"/>
    <w:rsid w:val="00614B9D"/>
    <w:rsid w:val="00615DEC"/>
    <w:rsid w:val="00615FF5"/>
    <w:rsid w:val="00616690"/>
    <w:rsid w:val="006166F8"/>
    <w:rsid w:val="00616B0C"/>
    <w:rsid w:val="006173E1"/>
    <w:rsid w:val="00617569"/>
    <w:rsid w:val="0061797E"/>
    <w:rsid w:val="00617B79"/>
    <w:rsid w:val="0062113D"/>
    <w:rsid w:val="00621F59"/>
    <w:rsid w:val="00622020"/>
    <w:rsid w:val="00622A6E"/>
    <w:rsid w:val="00622D2F"/>
    <w:rsid w:val="0062411F"/>
    <w:rsid w:val="0062455E"/>
    <w:rsid w:val="00624AE7"/>
    <w:rsid w:val="00624F8C"/>
    <w:rsid w:val="00625285"/>
    <w:rsid w:val="00625AD5"/>
    <w:rsid w:val="00625B17"/>
    <w:rsid w:val="00626B2E"/>
    <w:rsid w:val="00627CA5"/>
    <w:rsid w:val="00630108"/>
    <w:rsid w:val="006302F1"/>
    <w:rsid w:val="00630873"/>
    <w:rsid w:val="00631144"/>
    <w:rsid w:val="00632BCD"/>
    <w:rsid w:val="00633553"/>
    <w:rsid w:val="00633F47"/>
    <w:rsid w:val="00633FA4"/>
    <w:rsid w:val="0063487A"/>
    <w:rsid w:val="00634CCD"/>
    <w:rsid w:val="0063525A"/>
    <w:rsid w:val="006357B9"/>
    <w:rsid w:val="00640806"/>
    <w:rsid w:val="00640856"/>
    <w:rsid w:val="006408C0"/>
    <w:rsid w:val="00640932"/>
    <w:rsid w:val="00640E79"/>
    <w:rsid w:val="006412B2"/>
    <w:rsid w:val="00641896"/>
    <w:rsid w:val="00641FD9"/>
    <w:rsid w:val="00642D40"/>
    <w:rsid w:val="00642EC9"/>
    <w:rsid w:val="00643BC3"/>
    <w:rsid w:val="00643C5B"/>
    <w:rsid w:val="00643FB8"/>
    <w:rsid w:val="00644026"/>
    <w:rsid w:val="006444CE"/>
    <w:rsid w:val="0064698B"/>
    <w:rsid w:val="006479BD"/>
    <w:rsid w:val="00647D6A"/>
    <w:rsid w:val="00650F34"/>
    <w:rsid w:val="00651243"/>
    <w:rsid w:val="006514B0"/>
    <w:rsid w:val="006518B9"/>
    <w:rsid w:val="006522EE"/>
    <w:rsid w:val="00653141"/>
    <w:rsid w:val="0065323D"/>
    <w:rsid w:val="006540ED"/>
    <w:rsid w:val="00654AE8"/>
    <w:rsid w:val="00654F6D"/>
    <w:rsid w:val="006550C5"/>
    <w:rsid w:val="00655FEF"/>
    <w:rsid w:val="006561B8"/>
    <w:rsid w:val="006562B6"/>
    <w:rsid w:val="00657205"/>
    <w:rsid w:val="006575A4"/>
    <w:rsid w:val="00657C51"/>
    <w:rsid w:val="00657D88"/>
    <w:rsid w:val="00660CF0"/>
    <w:rsid w:val="006615A0"/>
    <w:rsid w:val="006615B5"/>
    <w:rsid w:val="00661EEF"/>
    <w:rsid w:val="00662161"/>
    <w:rsid w:val="00662412"/>
    <w:rsid w:val="00662637"/>
    <w:rsid w:val="00662B45"/>
    <w:rsid w:val="006640CF"/>
    <w:rsid w:val="0066529B"/>
    <w:rsid w:val="00665396"/>
    <w:rsid w:val="00665BC8"/>
    <w:rsid w:val="00665CED"/>
    <w:rsid w:val="0066660B"/>
    <w:rsid w:val="00666854"/>
    <w:rsid w:val="00666FF1"/>
    <w:rsid w:val="00667070"/>
    <w:rsid w:val="006676D7"/>
    <w:rsid w:val="00667773"/>
    <w:rsid w:val="006677CD"/>
    <w:rsid w:val="00667814"/>
    <w:rsid w:val="00667A32"/>
    <w:rsid w:val="0067037B"/>
    <w:rsid w:val="006715CC"/>
    <w:rsid w:val="00671900"/>
    <w:rsid w:val="00671C9C"/>
    <w:rsid w:val="00672942"/>
    <w:rsid w:val="006729C8"/>
    <w:rsid w:val="00673365"/>
    <w:rsid w:val="00673837"/>
    <w:rsid w:val="006739FD"/>
    <w:rsid w:val="0067412B"/>
    <w:rsid w:val="006741AF"/>
    <w:rsid w:val="006748E7"/>
    <w:rsid w:val="006775CA"/>
    <w:rsid w:val="006777A9"/>
    <w:rsid w:val="00680B4B"/>
    <w:rsid w:val="006811E4"/>
    <w:rsid w:val="00683523"/>
    <w:rsid w:val="006843A5"/>
    <w:rsid w:val="0068495A"/>
    <w:rsid w:val="00686195"/>
    <w:rsid w:val="00687543"/>
    <w:rsid w:val="00690109"/>
    <w:rsid w:val="00690132"/>
    <w:rsid w:val="006903DC"/>
    <w:rsid w:val="00691861"/>
    <w:rsid w:val="006925C3"/>
    <w:rsid w:val="0069322F"/>
    <w:rsid w:val="00693234"/>
    <w:rsid w:val="0069393F"/>
    <w:rsid w:val="006958E0"/>
    <w:rsid w:val="0069660C"/>
    <w:rsid w:val="00696C50"/>
    <w:rsid w:val="00697EBD"/>
    <w:rsid w:val="006A076B"/>
    <w:rsid w:val="006A08CF"/>
    <w:rsid w:val="006A0BDA"/>
    <w:rsid w:val="006A1530"/>
    <w:rsid w:val="006A1945"/>
    <w:rsid w:val="006A2942"/>
    <w:rsid w:val="006A331C"/>
    <w:rsid w:val="006A371A"/>
    <w:rsid w:val="006A3963"/>
    <w:rsid w:val="006A3A11"/>
    <w:rsid w:val="006A57A6"/>
    <w:rsid w:val="006A5AB2"/>
    <w:rsid w:val="006A69C3"/>
    <w:rsid w:val="006A7303"/>
    <w:rsid w:val="006A7779"/>
    <w:rsid w:val="006A7ED9"/>
    <w:rsid w:val="006B0836"/>
    <w:rsid w:val="006B0F6D"/>
    <w:rsid w:val="006B168D"/>
    <w:rsid w:val="006B1EF6"/>
    <w:rsid w:val="006B22A9"/>
    <w:rsid w:val="006B4537"/>
    <w:rsid w:val="006B4556"/>
    <w:rsid w:val="006B4561"/>
    <w:rsid w:val="006B4818"/>
    <w:rsid w:val="006B69FC"/>
    <w:rsid w:val="006B73F5"/>
    <w:rsid w:val="006B7949"/>
    <w:rsid w:val="006B7E5A"/>
    <w:rsid w:val="006C01A1"/>
    <w:rsid w:val="006C04E8"/>
    <w:rsid w:val="006C0D1B"/>
    <w:rsid w:val="006C1492"/>
    <w:rsid w:val="006C2631"/>
    <w:rsid w:val="006C27F8"/>
    <w:rsid w:val="006C2CAA"/>
    <w:rsid w:val="006C31CB"/>
    <w:rsid w:val="006C46F6"/>
    <w:rsid w:val="006C5569"/>
    <w:rsid w:val="006C5A86"/>
    <w:rsid w:val="006C6A67"/>
    <w:rsid w:val="006D01D8"/>
    <w:rsid w:val="006D0AC1"/>
    <w:rsid w:val="006D11CC"/>
    <w:rsid w:val="006D311A"/>
    <w:rsid w:val="006D48AF"/>
    <w:rsid w:val="006D5182"/>
    <w:rsid w:val="006D548C"/>
    <w:rsid w:val="006D54F4"/>
    <w:rsid w:val="006D6845"/>
    <w:rsid w:val="006D7222"/>
    <w:rsid w:val="006E0347"/>
    <w:rsid w:val="006E03E1"/>
    <w:rsid w:val="006E0904"/>
    <w:rsid w:val="006E1D61"/>
    <w:rsid w:val="006E1F35"/>
    <w:rsid w:val="006E1F68"/>
    <w:rsid w:val="006E213C"/>
    <w:rsid w:val="006E2493"/>
    <w:rsid w:val="006E4132"/>
    <w:rsid w:val="006E4B97"/>
    <w:rsid w:val="006E5F55"/>
    <w:rsid w:val="006E60BE"/>
    <w:rsid w:val="006E62A3"/>
    <w:rsid w:val="006E6F08"/>
    <w:rsid w:val="006E74F2"/>
    <w:rsid w:val="006E7B57"/>
    <w:rsid w:val="006F0548"/>
    <w:rsid w:val="006F0903"/>
    <w:rsid w:val="006F1214"/>
    <w:rsid w:val="006F1AE7"/>
    <w:rsid w:val="006F5D5E"/>
    <w:rsid w:val="006F7B27"/>
    <w:rsid w:val="006F7E82"/>
    <w:rsid w:val="0070059D"/>
    <w:rsid w:val="00700730"/>
    <w:rsid w:val="0070128C"/>
    <w:rsid w:val="00701460"/>
    <w:rsid w:val="00701EBC"/>
    <w:rsid w:val="0070275D"/>
    <w:rsid w:val="00702F40"/>
    <w:rsid w:val="007033B6"/>
    <w:rsid w:val="00704117"/>
    <w:rsid w:val="00705AEB"/>
    <w:rsid w:val="0070637E"/>
    <w:rsid w:val="00706D89"/>
    <w:rsid w:val="00706DDF"/>
    <w:rsid w:val="0071054B"/>
    <w:rsid w:val="007116FC"/>
    <w:rsid w:val="007126F1"/>
    <w:rsid w:val="0071289D"/>
    <w:rsid w:val="0071445D"/>
    <w:rsid w:val="00714739"/>
    <w:rsid w:val="0071481A"/>
    <w:rsid w:val="00714EF5"/>
    <w:rsid w:val="0071510C"/>
    <w:rsid w:val="007153A8"/>
    <w:rsid w:val="007164A8"/>
    <w:rsid w:val="00716999"/>
    <w:rsid w:val="0071709C"/>
    <w:rsid w:val="00720984"/>
    <w:rsid w:val="007209CA"/>
    <w:rsid w:val="00720D42"/>
    <w:rsid w:val="0072147F"/>
    <w:rsid w:val="00724402"/>
    <w:rsid w:val="00725723"/>
    <w:rsid w:val="00725BE9"/>
    <w:rsid w:val="00725D71"/>
    <w:rsid w:val="00725F77"/>
    <w:rsid w:val="00727228"/>
    <w:rsid w:val="00727775"/>
    <w:rsid w:val="00727ACC"/>
    <w:rsid w:val="00730BEF"/>
    <w:rsid w:val="00731662"/>
    <w:rsid w:val="007324E3"/>
    <w:rsid w:val="00732FBE"/>
    <w:rsid w:val="00733E03"/>
    <w:rsid w:val="00734C8A"/>
    <w:rsid w:val="0073641E"/>
    <w:rsid w:val="00736486"/>
    <w:rsid w:val="00736C2A"/>
    <w:rsid w:val="00736E22"/>
    <w:rsid w:val="007372EA"/>
    <w:rsid w:val="00737790"/>
    <w:rsid w:val="00737BBD"/>
    <w:rsid w:val="00740260"/>
    <w:rsid w:val="00740573"/>
    <w:rsid w:val="007406B0"/>
    <w:rsid w:val="00741913"/>
    <w:rsid w:val="00742480"/>
    <w:rsid w:val="00743AF8"/>
    <w:rsid w:val="00744B85"/>
    <w:rsid w:val="00745010"/>
    <w:rsid w:val="0074573A"/>
    <w:rsid w:val="00745ABD"/>
    <w:rsid w:val="00745ABF"/>
    <w:rsid w:val="00745E01"/>
    <w:rsid w:val="00746B17"/>
    <w:rsid w:val="00746B1C"/>
    <w:rsid w:val="0074733F"/>
    <w:rsid w:val="00747BDE"/>
    <w:rsid w:val="00747F98"/>
    <w:rsid w:val="00750F71"/>
    <w:rsid w:val="007516A0"/>
    <w:rsid w:val="007517FF"/>
    <w:rsid w:val="00751F48"/>
    <w:rsid w:val="00752D6B"/>
    <w:rsid w:val="00754B4E"/>
    <w:rsid w:val="007566A6"/>
    <w:rsid w:val="0075677D"/>
    <w:rsid w:val="0075778D"/>
    <w:rsid w:val="007601E7"/>
    <w:rsid w:val="007608A5"/>
    <w:rsid w:val="00760AFE"/>
    <w:rsid w:val="0076129D"/>
    <w:rsid w:val="0076150D"/>
    <w:rsid w:val="007619D2"/>
    <w:rsid w:val="00761BF4"/>
    <w:rsid w:val="00761EC6"/>
    <w:rsid w:val="007629FC"/>
    <w:rsid w:val="00762ACE"/>
    <w:rsid w:val="00764423"/>
    <w:rsid w:val="0076539F"/>
    <w:rsid w:val="007654A2"/>
    <w:rsid w:val="00765555"/>
    <w:rsid w:val="0076579E"/>
    <w:rsid w:val="00766319"/>
    <w:rsid w:val="00766429"/>
    <w:rsid w:val="00766540"/>
    <w:rsid w:val="007665AC"/>
    <w:rsid w:val="007668DF"/>
    <w:rsid w:val="00766B94"/>
    <w:rsid w:val="00766CBB"/>
    <w:rsid w:val="00766CD0"/>
    <w:rsid w:val="00766E8E"/>
    <w:rsid w:val="007672E0"/>
    <w:rsid w:val="00770358"/>
    <w:rsid w:val="007712FB"/>
    <w:rsid w:val="0077158F"/>
    <w:rsid w:val="00771D89"/>
    <w:rsid w:val="0077223A"/>
    <w:rsid w:val="007728ED"/>
    <w:rsid w:val="00772B68"/>
    <w:rsid w:val="00772BDE"/>
    <w:rsid w:val="007731B5"/>
    <w:rsid w:val="0077352A"/>
    <w:rsid w:val="007736CD"/>
    <w:rsid w:val="0077525E"/>
    <w:rsid w:val="00775E2E"/>
    <w:rsid w:val="007760AA"/>
    <w:rsid w:val="0077714A"/>
    <w:rsid w:val="007779D4"/>
    <w:rsid w:val="00777D2C"/>
    <w:rsid w:val="007807F1"/>
    <w:rsid w:val="00780C0D"/>
    <w:rsid w:val="00781280"/>
    <w:rsid w:val="007813B0"/>
    <w:rsid w:val="00781791"/>
    <w:rsid w:val="00782019"/>
    <w:rsid w:val="00782A36"/>
    <w:rsid w:val="007838D1"/>
    <w:rsid w:val="00783B1A"/>
    <w:rsid w:val="007847CA"/>
    <w:rsid w:val="00784909"/>
    <w:rsid w:val="0078522E"/>
    <w:rsid w:val="007853E0"/>
    <w:rsid w:val="0078551D"/>
    <w:rsid w:val="00786AAF"/>
    <w:rsid w:val="00787660"/>
    <w:rsid w:val="007911FF"/>
    <w:rsid w:val="00791657"/>
    <w:rsid w:val="0079215C"/>
    <w:rsid w:val="00792876"/>
    <w:rsid w:val="00793C75"/>
    <w:rsid w:val="007941C7"/>
    <w:rsid w:val="0079431F"/>
    <w:rsid w:val="0079448C"/>
    <w:rsid w:val="0079452F"/>
    <w:rsid w:val="00794F52"/>
    <w:rsid w:val="00794FB7"/>
    <w:rsid w:val="0079590D"/>
    <w:rsid w:val="00796492"/>
    <w:rsid w:val="00797AF3"/>
    <w:rsid w:val="007A0297"/>
    <w:rsid w:val="007A0773"/>
    <w:rsid w:val="007A0AB7"/>
    <w:rsid w:val="007A136F"/>
    <w:rsid w:val="007A2AE8"/>
    <w:rsid w:val="007A4280"/>
    <w:rsid w:val="007A511D"/>
    <w:rsid w:val="007A5184"/>
    <w:rsid w:val="007A6152"/>
    <w:rsid w:val="007A7CE9"/>
    <w:rsid w:val="007B1E7C"/>
    <w:rsid w:val="007B22B3"/>
    <w:rsid w:val="007B3607"/>
    <w:rsid w:val="007B56D3"/>
    <w:rsid w:val="007B6105"/>
    <w:rsid w:val="007B6591"/>
    <w:rsid w:val="007B757D"/>
    <w:rsid w:val="007B7D22"/>
    <w:rsid w:val="007C2ACA"/>
    <w:rsid w:val="007C3F67"/>
    <w:rsid w:val="007C486B"/>
    <w:rsid w:val="007C557F"/>
    <w:rsid w:val="007C59EC"/>
    <w:rsid w:val="007C5FA4"/>
    <w:rsid w:val="007C611C"/>
    <w:rsid w:val="007C6167"/>
    <w:rsid w:val="007C7044"/>
    <w:rsid w:val="007D13A3"/>
    <w:rsid w:val="007D18FB"/>
    <w:rsid w:val="007D254C"/>
    <w:rsid w:val="007D2E75"/>
    <w:rsid w:val="007D3CE5"/>
    <w:rsid w:val="007D3ED1"/>
    <w:rsid w:val="007D4251"/>
    <w:rsid w:val="007D5C70"/>
    <w:rsid w:val="007D63C4"/>
    <w:rsid w:val="007D6B2B"/>
    <w:rsid w:val="007E05B9"/>
    <w:rsid w:val="007E218F"/>
    <w:rsid w:val="007E281A"/>
    <w:rsid w:val="007E28FB"/>
    <w:rsid w:val="007E2D03"/>
    <w:rsid w:val="007E4253"/>
    <w:rsid w:val="007E4933"/>
    <w:rsid w:val="007E6C5A"/>
    <w:rsid w:val="007E6EDE"/>
    <w:rsid w:val="007E7BE6"/>
    <w:rsid w:val="007F0344"/>
    <w:rsid w:val="007F08FA"/>
    <w:rsid w:val="007F0CAF"/>
    <w:rsid w:val="007F1C9D"/>
    <w:rsid w:val="007F1E47"/>
    <w:rsid w:val="007F35A5"/>
    <w:rsid w:val="007F4876"/>
    <w:rsid w:val="007F4B2B"/>
    <w:rsid w:val="007F6423"/>
    <w:rsid w:val="007F7664"/>
    <w:rsid w:val="007F7A80"/>
    <w:rsid w:val="008003CA"/>
    <w:rsid w:val="00800DCB"/>
    <w:rsid w:val="008013D8"/>
    <w:rsid w:val="00801A28"/>
    <w:rsid w:val="00801EAB"/>
    <w:rsid w:val="008022FA"/>
    <w:rsid w:val="00804C23"/>
    <w:rsid w:val="00804D97"/>
    <w:rsid w:val="00805F4B"/>
    <w:rsid w:val="0080622A"/>
    <w:rsid w:val="00806903"/>
    <w:rsid w:val="00806A88"/>
    <w:rsid w:val="00807130"/>
    <w:rsid w:val="0080775E"/>
    <w:rsid w:val="008078B8"/>
    <w:rsid w:val="00807FC3"/>
    <w:rsid w:val="00810A5D"/>
    <w:rsid w:val="00811F9E"/>
    <w:rsid w:val="008133A1"/>
    <w:rsid w:val="008137FB"/>
    <w:rsid w:val="00814BAD"/>
    <w:rsid w:val="00816851"/>
    <w:rsid w:val="00816B42"/>
    <w:rsid w:val="00817DE9"/>
    <w:rsid w:val="0082034A"/>
    <w:rsid w:val="00820C12"/>
    <w:rsid w:val="00821570"/>
    <w:rsid w:val="0082177E"/>
    <w:rsid w:val="0082209C"/>
    <w:rsid w:val="00822182"/>
    <w:rsid w:val="008224C4"/>
    <w:rsid w:val="00822936"/>
    <w:rsid w:val="008230BF"/>
    <w:rsid w:val="0082319A"/>
    <w:rsid w:val="00825296"/>
    <w:rsid w:val="008258A6"/>
    <w:rsid w:val="00827C49"/>
    <w:rsid w:val="008306EB"/>
    <w:rsid w:val="00830803"/>
    <w:rsid w:val="00831C6D"/>
    <w:rsid w:val="00833733"/>
    <w:rsid w:val="00834CB1"/>
    <w:rsid w:val="008357A1"/>
    <w:rsid w:val="008359AC"/>
    <w:rsid w:val="0083734D"/>
    <w:rsid w:val="00837520"/>
    <w:rsid w:val="008378B0"/>
    <w:rsid w:val="00840642"/>
    <w:rsid w:val="00840996"/>
    <w:rsid w:val="008414B2"/>
    <w:rsid w:val="00841590"/>
    <w:rsid w:val="0084241C"/>
    <w:rsid w:val="00842598"/>
    <w:rsid w:val="00842B3F"/>
    <w:rsid w:val="00842CA3"/>
    <w:rsid w:val="008432F6"/>
    <w:rsid w:val="00843C9C"/>
    <w:rsid w:val="00844039"/>
    <w:rsid w:val="008449EB"/>
    <w:rsid w:val="00844EB5"/>
    <w:rsid w:val="008456CC"/>
    <w:rsid w:val="008463EE"/>
    <w:rsid w:val="008479BC"/>
    <w:rsid w:val="008521EA"/>
    <w:rsid w:val="0085255D"/>
    <w:rsid w:val="00852674"/>
    <w:rsid w:val="008536DA"/>
    <w:rsid w:val="0085373C"/>
    <w:rsid w:val="00854B08"/>
    <w:rsid w:val="00854E17"/>
    <w:rsid w:val="0085511E"/>
    <w:rsid w:val="0085515F"/>
    <w:rsid w:val="008554C6"/>
    <w:rsid w:val="00855503"/>
    <w:rsid w:val="00856FBA"/>
    <w:rsid w:val="0086107E"/>
    <w:rsid w:val="00861B04"/>
    <w:rsid w:val="008626F9"/>
    <w:rsid w:val="008628B6"/>
    <w:rsid w:val="0086332D"/>
    <w:rsid w:val="00863467"/>
    <w:rsid w:val="00863614"/>
    <w:rsid w:val="00864390"/>
    <w:rsid w:val="008649FB"/>
    <w:rsid w:val="00865252"/>
    <w:rsid w:val="00866C7F"/>
    <w:rsid w:val="00867BEA"/>
    <w:rsid w:val="00870178"/>
    <w:rsid w:val="0087020E"/>
    <w:rsid w:val="00870306"/>
    <w:rsid w:val="00870F83"/>
    <w:rsid w:val="0087172E"/>
    <w:rsid w:val="00871C68"/>
    <w:rsid w:val="00873755"/>
    <w:rsid w:val="008739CB"/>
    <w:rsid w:val="00873BDF"/>
    <w:rsid w:val="00874789"/>
    <w:rsid w:val="00874A04"/>
    <w:rsid w:val="00874A19"/>
    <w:rsid w:val="00874B49"/>
    <w:rsid w:val="00875204"/>
    <w:rsid w:val="00875C4D"/>
    <w:rsid w:val="00875D52"/>
    <w:rsid w:val="00876DBF"/>
    <w:rsid w:val="008771D2"/>
    <w:rsid w:val="00877C55"/>
    <w:rsid w:val="008807BD"/>
    <w:rsid w:val="0088351C"/>
    <w:rsid w:val="00885C70"/>
    <w:rsid w:val="00885E46"/>
    <w:rsid w:val="00886746"/>
    <w:rsid w:val="00886FF3"/>
    <w:rsid w:val="0088776B"/>
    <w:rsid w:val="008900DE"/>
    <w:rsid w:val="0089043D"/>
    <w:rsid w:val="00890616"/>
    <w:rsid w:val="0089094A"/>
    <w:rsid w:val="00890D26"/>
    <w:rsid w:val="00891A27"/>
    <w:rsid w:val="00893089"/>
    <w:rsid w:val="00893420"/>
    <w:rsid w:val="00893BBE"/>
    <w:rsid w:val="008946C8"/>
    <w:rsid w:val="0089476F"/>
    <w:rsid w:val="00894E05"/>
    <w:rsid w:val="00894EF5"/>
    <w:rsid w:val="008951FB"/>
    <w:rsid w:val="008963AE"/>
    <w:rsid w:val="008973CF"/>
    <w:rsid w:val="00897685"/>
    <w:rsid w:val="008A3122"/>
    <w:rsid w:val="008A33B8"/>
    <w:rsid w:val="008A48CA"/>
    <w:rsid w:val="008A5E5E"/>
    <w:rsid w:val="008A60E4"/>
    <w:rsid w:val="008A6AC4"/>
    <w:rsid w:val="008A71A5"/>
    <w:rsid w:val="008A73B8"/>
    <w:rsid w:val="008B02FE"/>
    <w:rsid w:val="008B0EBE"/>
    <w:rsid w:val="008B1F83"/>
    <w:rsid w:val="008B355F"/>
    <w:rsid w:val="008B3F08"/>
    <w:rsid w:val="008B4AFD"/>
    <w:rsid w:val="008B4D21"/>
    <w:rsid w:val="008B4F65"/>
    <w:rsid w:val="008B5220"/>
    <w:rsid w:val="008B56C9"/>
    <w:rsid w:val="008B656F"/>
    <w:rsid w:val="008C024F"/>
    <w:rsid w:val="008C03C6"/>
    <w:rsid w:val="008C0B7F"/>
    <w:rsid w:val="008C0B98"/>
    <w:rsid w:val="008C38A4"/>
    <w:rsid w:val="008C42F8"/>
    <w:rsid w:val="008C454E"/>
    <w:rsid w:val="008C61FD"/>
    <w:rsid w:val="008C6566"/>
    <w:rsid w:val="008D04C1"/>
    <w:rsid w:val="008D08AF"/>
    <w:rsid w:val="008D0BF6"/>
    <w:rsid w:val="008D1234"/>
    <w:rsid w:val="008D1460"/>
    <w:rsid w:val="008D2858"/>
    <w:rsid w:val="008D28C1"/>
    <w:rsid w:val="008D44E8"/>
    <w:rsid w:val="008D4AEF"/>
    <w:rsid w:val="008D552C"/>
    <w:rsid w:val="008D5F2A"/>
    <w:rsid w:val="008D6810"/>
    <w:rsid w:val="008D6B81"/>
    <w:rsid w:val="008D7566"/>
    <w:rsid w:val="008D7EA5"/>
    <w:rsid w:val="008E1015"/>
    <w:rsid w:val="008E15F7"/>
    <w:rsid w:val="008E1F57"/>
    <w:rsid w:val="008E3878"/>
    <w:rsid w:val="008E496D"/>
    <w:rsid w:val="008E4A29"/>
    <w:rsid w:val="008E4D69"/>
    <w:rsid w:val="008E547D"/>
    <w:rsid w:val="008E5570"/>
    <w:rsid w:val="008E5A2D"/>
    <w:rsid w:val="008E5C40"/>
    <w:rsid w:val="008E65DC"/>
    <w:rsid w:val="008E6A21"/>
    <w:rsid w:val="008E6B13"/>
    <w:rsid w:val="008E7338"/>
    <w:rsid w:val="008E76E0"/>
    <w:rsid w:val="008F133E"/>
    <w:rsid w:val="008F1A12"/>
    <w:rsid w:val="008F1AE0"/>
    <w:rsid w:val="008F1B3C"/>
    <w:rsid w:val="008F205F"/>
    <w:rsid w:val="008F2FF8"/>
    <w:rsid w:val="008F3234"/>
    <w:rsid w:val="008F3B3B"/>
    <w:rsid w:val="008F3FB6"/>
    <w:rsid w:val="008F434F"/>
    <w:rsid w:val="008F4B62"/>
    <w:rsid w:val="008F4DD4"/>
    <w:rsid w:val="008F689A"/>
    <w:rsid w:val="008F6988"/>
    <w:rsid w:val="008F727D"/>
    <w:rsid w:val="008F76B1"/>
    <w:rsid w:val="00900314"/>
    <w:rsid w:val="00900AA9"/>
    <w:rsid w:val="00900DD0"/>
    <w:rsid w:val="00901C18"/>
    <w:rsid w:val="00901E5A"/>
    <w:rsid w:val="0090246D"/>
    <w:rsid w:val="00902538"/>
    <w:rsid w:val="00902C70"/>
    <w:rsid w:val="0090508B"/>
    <w:rsid w:val="009064EF"/>
    <w:rsid w:val="00906ED3"/>
    <w:rsid w:val="009074FE"/>
    <w:rsid w:val="00910003"/>
    <w:rsid w:val="009109C4"/>
    <w:rsid w:val="00910C9F"/>
    <w:rsid w:val="00912526"/>
    <w:rsid w:val="0091252A"/>
    <w:rsid w:val="00913E1D"/>
    <w:rsid w:val="00914406"/>
    <w:rsid w:val="0091455F"/>
    <w:rsid w:val="009149C9"/>
    <w:rsid w:val="00914E86"/>
    <w:rsid w:val="00915484"/>
    <w:rsid w:val="009155DE"/>
    <w:rsid w:val="00915739"/>
    <w:rsid w:val="00915BAA"/>
    <w:rsid w:val="00915FEC"/>
    <w:rsid w:val="0091620D"/>
    <w:rsid w:val="0092022E"/>
    <w:rsid w:val="00920A23"/>
    <w:rsid w:val="00920CFB"/>
    <w:rsid w:val="009211F1"/>
    <w:rsid w:val="009212F6"/>
    <w:rsid w:val="0092270A"/>
    <w:rsid w:val="00922CF6"/>
    <w:rsid w:val="00923453"/>
    <w:rsid w:val="00923ACC"/>
    <w:rsid w:val="00923B60"/>
    <w:rsid w:val="00923EE5"/>
    <w:rsid w:val="0092438B"/>
    <w:rsid w:val="009249E7"/>
    <w:rsid w:val="00925739"/>
    <w:rsid w:val="009271B9"/>
    <w:rsid w:val="00927DE5"/>
    <w:rsid w:val="00932A5A"/>
    <w:rsid w:val="00935130"/>
    <w:rsid w:val="00935BD7"/>
    <w:rsid w:val="00937AB8"/>
    <w:rsid w:val="00937FB5"/>
    <w:rsid w:val="00940342"/>
    <w:rsid w:val="00940571"/>
    <w:rsid w:val="00940890"/>
    <w:rsid w:val="009413AE"/>
    <w:rsid w:val="00942318"/>
    <w:rsid w:val="00942414"/>
    <w:rsid w:val="00942AAC"/>
    <w:rsid w:val="00942F92"/>
    <w:rsid w:val="00942FC4"/>
    <w:rsid w:val="0094410C"/>
    <w:rsid w:val="00944C37"/>
    <w:rsid w:val="00945527"/>
    <w:rsid w:val="00947686"/>
    <w:rsid w:val="00950000"/>
    <w:rsid w:val="00950908"/>
    <w:rsid w:val="009515E0"/>
    <w:rsid w:val="00951787"/>
    <w:rsid w:val="00951B53"/>
    <w:rsid w:val="00951F90"/>
    <w:rsid w:val="009531BB"/>
    <w:rsid w:val="0095356F"/>
    <w:rsid w:val="00953757"/>
    <w:rsid w:val="0095384B"/>
    <w:rsid w:val="009540DA"/>
    <w:rsid w:val="0095424E"/>
    <w:rsid w:val="009558E9"/>
    <w:rsid w:val="0095671D"/>
    <w:rsid w:val="00956C1A"/>
    <w:rsid w:val="00956F55"/>
    <w:rsid w:val="00957184"/>
    <w:rsid w:val="009604F3"/>
    <w:rsid w:val="00961CED"/>
    <w:rsid w:val="00961D15"/>
    <w:rsid w:val="009629C9"/>
    <w:rsid w:val="00962D41"/>
    <w:rsid w:val="00963B2A"/>
    <w:rsid w:val="00964578"/>
    <w:rsid w:val="00964A33"/>
    <w:rsid w:val="00964ADF"/>
    <w:rsid w:val="00964C4E"/>
    <w:rsid w:val="00964F47"/>
    <w:rsid w:val="00965426"/>
    <w:rsid w:val="00965680"/>
    <w:rsid w:val="00965FE5"/>
    <w:rsid w:val="0096657E"/>
    <w:rsid w:val="009666DD"/>
    <w:rsid w:val="009668CC"/>
    <w:rsid w:val="0096770D"/>
    <w:rsid w:val="009703FD"/>
    <w:rsid w:val="0097110C"/>
    <w:rsid w:val="00971921"/>
    <w:rsid w:val="00971DD3"/>
    <w:rsid w:val="00972800"/>
    <w:rsid w:val="00972C15"/>
    <w:rsid w:val="00973AF6"/>
    <w:rsid w:val="00973E31"/>
    <w:rsid w:val="00974152"/>
    <w:rsid w:val="00974206"/>
    <w:rsid w:val="0097441C"/>
    <w:rsid w:val="00974FFF"/>
    <w:rsid w:val="00975125"/>
    <w:rsid w:val="009774B4"/>
    <w:rsid w:val="00977592"/>
    <w:rsid w:val="0098157B"/>
    <w:rsid w:val="00981FB8"/>
    <w:rsid w:val="00982558"/>
    <w:rsid w:val="00983262"/>
    <w:rsid w:val="009833E0"/>
    <w:rsid w:val="00985883"/>
    <w:rsid w:val="00985A64"/>
    <w:rsid w:val="00987D1F"/>
    <w:rsid w:val="00990BEF"/>
    <w:rsid w:val="00992209"/>
    <w:rsid w:val="009947B7"/>
    <w:rsid w:val="00994EE0"/>
    <w:rsid w:val="00995849"/>
    <w:rsid w:val="00996CE3"/>
    <w:rsid w:val="009A02E0"/>
    <w:rsid w:val="009A07E0"/>
    <w:rsid w:val="009A16D2"/>
    <w:rsid w:val="009A1A8C"/>
    <w:rsid w:val="009A2B0B"/>
    <w:rsid w:val="009A2F5B"/>
    <w:rsid w:val="009A32F5"/>
    <w:rsid w:val="009A3A00"/>
    <w:rsid w:val="009A3D63"/>
    <w:rsid w:val="009A3E54"/>
    <w:rsid w:val="009A45C6"/>
    <w:rsid w:val="009A49CF"/>
    <w:rsid w:val="009A4B30"/>
    <w:rsid w:val="009A4D1A"/>
    <w:rsid w:val="009A4D1D"/>
    <w:rsid w:val="009A52AB"/>
    <w:rsid w:val="009A59C6"/>
    <w:rsid w:val="009A5CD7"/>
    <w:rsid w:val="009A5CDC"/>
    <w:rsid w:val="009A632C"/>
    <w:rsid w:val="009A67D9"/>
    <w:rsid w:val="009B0BDA"/>
    <w:rsid w:val="009B0EAD"/>
    <w:rsid w:val="009B19DB"/>
    <w:rsid w:val="009B1CCB"/>
    <w:rsid w:val="009B2388"/>
    <w:rsid w:val="009B3C1A"/>
    <w:rsid w:val="009B4538"/>
    <w:rsid w:val="009B503E"/>
    <w:rsid w:val="009B52DC"/>
    <w:rsid w:val="009B5A5C"/>
    <w:rsid w:val="009B6E30"/>
    <w:rsid w:val="009B718A"/>
    <w:rsid w:val="009B7193"/>
    <w:rsid w:val="009B7B10"/>
    <w:rsid w:val="009B7E1D"/>
    <w:rsid w:val="009C0229"/>
    <w:rsid w:val="009C061F"/>
    <w:rsid w:val="009C0A8F"/>
    <w:rsid w:val="009C102D"/>
    <w:rsid w:val="009C1BDA"/>
    <w:rsid w:val="009C302A"/>
    <w:rsid w:val="009C303A"/>
    <w:rsid w:val="009C3505"/>
    <w:rsid w:val="009C5C58"/>
    <w:rsid w:val="009C69C0"/>
    <w:rsid w:val="009D0EFD"/>
    <w:rsid w:val="009D14F7"/>
    <w:rsid w:val="009D21EE"/>
    <w:rsid w:val="009D25D0"/>
    <w:rsid w:val="009D2930"/>
    <w:rsid w:val="009D3105"/>
    <w:rsid w:val="009D3994"/>
    <w:rsid w:val="009D4250"/>
    <w:rsid w:val="009D42E3"/>
    <w:rsid w:val="009D443C"/>
    <w:rsid w:val="009D51F4"/>
    <w:rsid w:val="009D5ABA"/>
    <w:rsid w:val="009D65FD"/>
    <w:rsid w:val="009D67F3"/>
    <w:rsid w:val="009D72A2"/>
    <w:rsid w:val="009D7D12"/>
    <w:rsid w:val="009E06A6"/>
    <w:rsid w:val="009E2AC9"/>
    <w:rsid w:val="009E4CA1"/>
    <w:rsid w:val="009E6F1C"/>
    <w:rsid w:val="009E721E"/>
    <w:rsid w:val="009E73F5"/>
    <w:rsid w:val="009E7C20"/>
    <w:rsid w:val="009F03F9"/>
    <w:rsid w:val="009F0F33"/>
    <w:rsid w:val="009F2D27"/>
    <w:rsid w:val="009F38E2"/>
    <w:rsid w:val="009F3A77"/>
    <w:rsid w:val="009F3C1F"/>
    <w:rsid w:val="009F3DFA"/>
    <w:rsid w:val="009F448E"/>
    <w:rsid w:val="009F44AE"/>
    <w:rsid w:val="009F45D5"/>
    <w:rsid w:val="009F54D7"/>
    <w:rsid w:val="009F6194"/>
    <w:rsid w:val="009F6A3E"/>
    <w:rsid w:val="009F6BC9"/>
    <w:rsid w:val="009F778B"/>
    <w:rsid w:val="009F784E"/>
    <w:rsid w:val="009F7881"/>
    <w:rsid w:val="009F7DCD"/>
    <w:rsid w:val="00A005E7"/>
    <w:rsid w:val="00A00A93"/>
    <w:rsid w:val="00A00C09"/>
    <w:rsid w:val="00A01DEB"/>
    <w:rsid w:val="00A02EFB"/>
    <w:rsid w:val="00A03212"/>
    <w:rsid w:val="00A03E61"/>
    <w:rsid w:val="00A05632"/>
    <w:rsid w:val="00A05C1B"/>
    <w:rsid w:val="00A05D7C"/>
    <w:rsid w:val="00A07C5C"/>
    <w:rsid w:val="00A11A10"/>
    <w:rsid w:val="00A13C65"/>
    <w:rsid w:val="00A14511"/>
    <w:rsid w:val="00A146C9"/>
    <w:rsid w:val="00A152D7"/>
    <w:rsid w:val="00A15A91"/>
    <w:rsid w:val="00A2039F"/>
    <w:rsid w:val="00A203CE"/>
    <w:rsid w:val="00A20673"/>
    <w:rsid w:val="00A20ADD"/>
    <w:rsid w:val="00A21C76"/>
    <w:rsid w:val="00A22CDD"/>
    <w:rsid w:val="00A23563"/>
    <w:rsid w:val="00A242FB"/>
    <w:rsid w:val="00A244DC"/>
    <w:rsid w:val="00A24A20"/>
    <w:rsid w:val="00A25811"/>
    <w:rsid w:val="00A26EDC"/>
    <w:rsid w:val="00A30A10"/>
    <w:rsid w:val="00A3122C"/>
    <w:rsid w:val="00A313F7"/>
    <w:rsid w:val="00A31CC3"/>
    <w:rsid w:val="00A31F2F"/>
    <w:rsid w:val="00A33AC8"/>
    <w:rsid w:val="00A34C36"/>
    <w:rsid w:val="00A350F1"/>
    <w:rsid w:val="00A360B8"/>
    <w:rsid w:val="00A3756B"/>
    <w:rsid w:val="00A37AB4"/>
    <w:rsid w:val="00A37DA3"/>
    <w:rsid w:val="00A37FA3"/>
    <w:rsid w:val="00A40667"/>
    <w:rsid w:val="00A408EB"/>
    <w:rsid w:val="00A41D92"/>
    <w:rsid w:val="00A420F5"/>
    <w:rsid w:val="00A42518"/>
    <w:rsid w:val="00A42BDC"/>
    <w:rsid w:val="00A43641"/>
    <w:rsid w:val="00A4439B"/>
    <w:rsid w:val="00A4528F"/>
    <w:rsid w:val="00A46723"/>
    <w:rsid w:val="00A50677"/>
    <w:rsid w:val="00A5121C"/>
    <w:rsid w:val="00A5146E"/>
    <w:rsid w:val="00A516B3"/>
    <w:rsid w:val="00A52098"/>
    <w:rsid w:val="00A52905"/>
    <w:rsid w:val="00A530F9"/>
    <w:rsid w:val="00A53680"/>
    <w:rsid w:val="00A5396A"/>
    <w:rsid w:val="00A53AA4"/>
    <w:rsid w:val="00A548FB"/>
    <w:rsid w:val="00A54B59"/>
    <w:rsid w:val="00A551DB"/>
    <w:rsid w:val="00A56297"/>
    <w:rsid w:val="00A57D89"/>
    <w:rsid w:val="00A60D14"/>
    <w:rsid w:val="00A61BE8"/>
    <w:rsid w:val="00A62487"/>
    <w:rsid w:val="00A63831"/>
    <w:rsid w:val="00A639D4"/>
    <w:rsid w:val="00A63B45"/>
    <w:rsid w:val="00A64ED4"/>
    <w:rsid w:val="00A6605C"/>
    <w:rsid w:val="00A6628D"/>
    <w:rsid w:val="00A662C1"/>
    <w:rsid w:val="00A66B0C"/>
    <w:rsid w:val="00A723E4"/>
    <w:rsid w:val="00A7259F"/>
    <w:rsid w:val="00A72A71"/>
    <w:rsid w:val="00A72C83"/>
    <w:rsid w:val="00A72E92"/>
    <w:rsid w:val="00A74134"/>
    <w:rsid w:val="00A741BF"/>
    <w:rsid w:val="00A744BB"/>
    <w:rsid w:val="00A7470E"/>
    <w:rsid w:val="00A7478F"/>
    <w:rsid w:val="00A7479F"/>
    <w:rsid w:val="00A747B9"/>
    <w:rsid w:val="00A74849"/>
    <w:rsid w:val="00A74CE8"/>
    <w:rsid w:val="00A74D93"/>
    <w:rsid w:val="00A753EA"/>
    <w:rsid w:val="00A75A23"/>
    <w:rsid w:val="00A76452"/>
    <w:rsid w:val="00A77124"/>
    <w:rsid w:val="00A77315"/>
    <w:rsid w:val="00A80244"/>
    <w:rsid w:val="00A802CE"/>
    <w:rsid w:val="00A802D9"/>
    <w:rsid w:val="00A81271"/>
    <w:rsid w:val="00A81B56"/>
    <w:rsid w:val="00A81BBD"/>
    <w:rsid w:val="00A824B7"/>
    <w:rsid w:val="00A835D5"/>
    <w:rsid w:val="00A839E7"/>
    <w:rsid w:val="00A83AD5"/>
    <w:rsid w:val="00A840EF"/>
    <w:rsid w:val="00A843E1"/>
    <w:rsid w:val="00A84608"/>
    <w:rsid w:val="00A852B4"/>
    <w:rsid w:val="00A854EB"/>
    <w:rsid w:val="00A8739D"/>
    <w:rsid w:val="00A9184D"/>
    <w:rsid w:val="00A9268D"/>
    <w:rsid w:val="00A934D8"/>
    <w:rsid w:val="00A93548"/>
    <w:rsid w:val="00A93DD0"/>
    <w:rsid w:val="00A940EB"/>
    <w:rsid w:val="00A943D7"/>
    <w:rsid w:val="00A95246"/>
    <w:rsid w:val="00A95848"/>
    <w:rsid w:val="00A95AEE"/>
    <w:rsid w:val="00A963B4"/>
    <w:rsid w:val="00A963C9"/>
    <w:rsid w:val="00A968FA"/>
    <w:rsid w:val="00AA14D1"/>
    <w:rsid w:val="00AA237B"/>
    <w:rsid w:val="00AA242F"/>
    <w:rsid w:val="00AA2D60"/>
    <w:rsid w:val="00AA3126"/>
    <w:rsid w:val="00AA41C3"/>
    <w:rsid w:val="00AA4D3F"/>
    <w:rsid w:val="00AA5555"/>
    <w:rsid w:val="00AA5B8E"/>
    <w:rsid w:val="00AA7FA0"/>
    <w:rsid w:val="00AB0027"/>
    <w:rsid w:val="00AB09CA"/>
    <w:rsid w:val="00AB0DCE"/>
    <w:rsid w:val="00AB0F45"/>
    <w:rsid w:val="00AB1D4C"/>
    <w:rsid w:val="00AB4734"/>
    <w:rsid w:val="00AB4956"/>
    <w:rsid w:val="00AB4B3D"/>
    <w:rsid w:val="00AB700D"/>
    <w:rsid w:val="00AB749C"/>
    <w:rsid w:val="00AB7DAC"/>
    <w:rsid w:val="00AC01AD"/>
    <w:rsid w:val="00AC0A01"/>
    <w:rsid w:val="00AC1040"/>
    <w:rsid w:val="00AC1AF7"/>
    <w:rsid w:val="00AC2039"/>
    <w:rsid w:val="00AC2611"/>
    <w:rsid w:val="00AC3805"/>
    <w:rsid w:val="00AC3845"/>
    <w:rsid w:val="00AC3A58"/>
    <w:rsid w:val="00AC47BC"/>
    <w:rsid w:val="00AC495C"/>
    <w:rsid w:val="00AC50BA"/>
    <w:rsid w:val="00AC5143"/>
    <w:rsid w:val="00AC5A13"/>
    <w:rsid w:val="00AC6283"/>
    <w:rsid w:val="00AC628C"/>
    <w:rsid w:val="00AC68EC"/>
    <w:rsid w:val="00AC69EB"/>
    <w:rsid w:val="00AC740C"/>
    <w:rsid w:val="00AC7EA0"/>
    <w:rsid w:val="00AD01BE"/>
    <w:rsid w:val="00AD0A6F"/>
    <w:rsid w:val="00AD0F99"/>
    <w:rsid w:val="00AD0FCA"/>
    <w:rsid w:val="00AD14D4"/>
    <w:rsid w:val="00AD2619"/>
    <w:rsid w:val="00AD2901"/>
    <w:rsid w:val="00AD2E87"/>
    <w:rsid w:val="00AD36DE"/>
    <w:rsid w:val="00AD36E3"/>
    <w:rsid w:val="00AD3CAE"/>
    <w:rsid w:val="00AD3EE3"/>
    <w:rsid w:val="00AD503B"/>
    <w:rsid w:val="00AD510A"/>
    <w:rsid w:val="00AD641B"/>
    <w:rsid w:val="00AD65AD"/>
    <w:rsid w:val="00AE03D3"/>
    <w:rsid w:val="00AE0A50"/>
    <w:rsid w:val="00AE0E04"/>
    <w:rsid w:val="00AE11B8"/>
    <w:rsid w:val="00AE23B7"/>
    <w:rsid w:val="00AE2D2E"/>
    <w:rsid w:val="00AE34EA"/>
    <w:rsid w:val="00AE3707"/>
    <w:rsid w:val="00AE5635"/>
    <w:rsid w:val="00AE5A50"/>
    <w:rsid w:val="00AE5B1D"/>
    <w:rsid w:val="00AE6773"/>
    <w:rsid w:val="00AE7C43"/>
    <w:rsid w:val="00AF0528"/>
    <w:rsid w:val="00AF0D67"/>
    <w:rsid w:val="00AF10FF"/>
    <w:rsid w:val="00AF1D66"/>
    <w:rsid w:val="00AF1FAD"/>
    <w:rsid w:val="00AF31C6"/>
    <w:rsid w:val="00AF31E6"/>
    <w:rsid w:val="00AF37A8"/>
    <w:rsid w:val="00AF3F68"/>
    <w:rsid w:val="00AF4A6E"/>
    <w:rsid w:val="00AF5856"/>
    <w:rsid w:val="00AF59C0"/>
    <w:rsid w:val="00AF5F09"/>
    <w:rsid w:val="00AF5F5D"/>
    <w:rsid w:val="00AF6380"/>
    <w:rsid w:val="00AF6662"/>
    <w:rsid w:val="00AF6F0A"/>
    <w:rsid w:val="00AF73B5"/>
    <w:rsid w:val="00AF7CA0"/>
    <w:rsid w:val="00B014F4"/>
    <w:rsid w:val="00B01B23"/>
    <w:rsid w:val="00B01CF6"/>
    <w:rsid w:val="00B0260F"/>
    <w:rsid w:val="00B03A42"/>
    <w:rsid w:val="00B03DA6"/>
    <w:rsid w:val="00B03E19"/>
    <w:rsid w:val="00B04707"/>
    <w:rsid w:val="00B05B18"/>
    <w:rsid w:val="00B05DA4"/>
    <w:rsid w:val="00B0655F"/>
    <w:rsid w:val="00B068C6"/>
    <w:rsid w:val="00B0730F"/>
    <w:rsid w:val="00B10713"/>
    <w:rsid w:val="00B10C19"/>
    <w:rsid w:val="00B11372"/>
    <w:rsid w:val="00B119D4"/>
    <w:rsid w:val="00B1211A"/>
    <w:rsid w:val="00B12384"/>
    <w:rsid w:val="00B12A0A"/>
    <w:rsid w:val="00B13450"/>
    <w:rsid w:val="00B15503"/>
    <w:rsid w:val="00B16F66"/>
    <w:rsid w:val="00B17994"/>
    <w:rsid w:val="00B218A0"/>
    <w:rsid w:val="00B21CEE"/>
    <w:rsid w:val="00B21F69"/>
    <w:rsid w:val="00B234C5"/>
    <w:rsid w:val="00B23552"/>
    <w:rsid w:val="00B2468D"/>
    <w:rsid w:val="00B256F4"/>
    <w:rsid w:val="00B26261"/>
    <w:rsid w:val="00B265C1"/>
    <w:rsid w:val="00B27BBA"/>
    <w:rsid w:val="00B27E76"/>
    <w:rsid w:val="00B31932"/>
    <w:rsid w:val="00B32CB8"/>
    <w:rsid w:val="00B331F4"/>
    <w:rsid w:val="00B3371F"/>
    <w:rsid w:val="00B3390A"/>
    <w:rsid w:val="00B342C0"/>
    <w:rsid w:val="00B34455"/>
    <w:rsid w:val="00B345D9"/>
    <w:rsid w:val="00B34CE6"/>
    <w:rsid w:val="00B3501B"/>
    <w:rsid w:val="00B35738"/>
    <w:rsid w:val="00B35752"/>
    <w:rsid w:val="00B360C0"/>
    <w:rsid w:val="00B37DE3"/>
    <w:rsid w:val="00B40534"/>
    <w:rsid w:val="00B414AD"/>
    <w:rsid w:val="00B43534"/>
    <w:rsid w:val="00B4368C"/>
    <w:rsid w:val="00B43A1A"/>
    <w:rsid w:val="00B43F94"/>
    <w:rsid w:val="00B44382"/>
    <w:rsid w:val="00B4441F"/>
    <w:rsid w:val="00B44D00"/>
    <w:rsid w:val="00B44D62"/>
    <w:rsid w:val="00B4550E"/>
    <w:rsid w:val="00B46747"/>
    <w:rsid w:val="00B468F6"/>
    <w:rsid w:val="00B47C44"/>
    <w:rsid w:val="00B5031A"/>
    <w:rsid w:val="00B50B70"/>
    <w:rsid w:val="00B512BB"/>
    <w:rsid w:val="00B51FFB"/>
    <w:rsid w:val="00B5261B"/>
    <w:rsid w:val="00B52646"/>
    <w:rsid w:val="00B527AC"/>
    <w:rsid w:val="00B529B1"/>
    <w:rsid w:val="00B52B57"/>
    <w:rsid w:val="00B53D3A"/>
    <w:rsid w:val="00B540DA"/>
    <w:rsid w:val="00B541C3"/>
    <w:rsid w:val="00B5476A"/>
    <w:rsid w:val="00B555FC"/>
    <w:rsid w:val="00B559B2"/>
    <w:rsid w:val="00B6098C"/>
    <w:rsid w:val="00B60B60"/>
    <w:rsid w:val="00B618AD"/>
    <w:rsid w:val="00B62454"/>
    <w:rsid w:val="00B62828"/>
    <w:rsid w:val="00B62A22"/>
    <w:rsid w:val="00B63CA0"/>
    <w:rsid w:val="00B63EB8"/>
    <w:rsid w:val="00B653B2"/>
    <w:rsid w:val="00B6631A"/>
    <w:rsid w:val="00B6718B"/>
    <w:rsid w:val="00B671BE"/>
    <w:rsid w:val="00B70195"/>
    <w:rsid w:val="00B705CF"/>
    <w:rsid w:val="00B714FF"/>
    <w:rsid w:val="00B72682"/>
    <w:rsid w:val="00B73F79"/>
    <w:rsid w:val="00B740ED"/>
    <w:rsid w:val="00B754F0"/>
    <w:rsid w:val="00B75EC4"/>
    <w:rsid w:val="00B77A2E"/>
    <w:rsid w:val="00B80AD5"/>
    <w:rsid w:val="00B81462"/>
    <w:rsid w:val="00B81CCD"/>
    <w:rsid w:val="00B8241C"/>
    <w:rsid w:val="00B8248D"/>
    <w:rsid w:val="00B8266C"/>
    <w:rsid w:val="00B82F08"/>
    <w:rsid w:val="00B83894"/>
    <w:rsid w:val="00B83FE7"/>
    <w:rsid w:val="00B84083"/>
    <w:rsid w:val="00B85017"/>
    <w:rsid w:val="00B8556D"/>
    <w:rsid w:val="00B87764"/>
    <w:rsid w:val="00B8792B"/>
    <w:rsid w:val="00B87A5C"/>
    <w:rsid w:val="00B87EC3"/>
    <w:rsid w:val="00B87F71"/>
    <w:rsid w:val="00B90F5F"/>
    <w:rsid w:val="00B91642"/>
    <w:rsid w:val="00B92C99"/>
    <w:rsid w:val="00B92FE9"/>
    <w:rsid w:val="00B941ED"/>
    <w:rsid w:val="00B94F53"/>
    <w:rsid w:val="00B95132"/>
    <w:rsid w:val="00B965DF"/>
    <w:rsid w:val="00B9683B"/>
    <w:rsid w:val="00B9686B"/>
    <w:rsid w:val="00B96BCF"/>
    <w:rsid w:val="00BA101A"/>
    <w:rsid w:val="00BA1BDA"/>
    <w:rsid w:val="00BA1F45"/>
    <w:rsid w:val="00BA208A"/>
    <w:rsid w:val="00BA22AB"/>
    <w:rsid w:val="00BA25C7"/>
    <w:rsid w:val="00BA2D60"/>
    <w:rsid w:val="00BA2ECB"/>
    <w:rsid w:val="00BA2FFA"/>
    <w:rsid w:val="00BA5348"/>
    <w:rsid w:val="00BA53BF"/>
    <w:rsid w:val="00BA547B"/>
    <w:rsid w:val="00BA5CCB"/>
    <w:rsid w:val="00BB04F9"/>
    <w:rsid w:val="00BB0598"/>
    <w:rsid w:val="00BB0792"/>
    <w:rsid w:val="00BB0B30"/>
    <w:rsid w:val="00BB1CAC"/>
    <w:rsid w:val="00BB1E80"/>
    <w:rsid w:val="00BB3357"/>
    <w:rsid w:val="00BB466B"/>
    <w:rsid w:val="00BB54CB"/>
    <w:rsid w:val="00BB563E"/>
    <w:rsid w:val="00BB6EFF"/>
    <w:rsid w:val="00BB6F22"/>
    <w:rsid w:val="00BB73B5"/>
    <w:rsid w:val="00BC0442"/>
    <w:rsid w:val="00BC0E7A"/>
    <w:rsid w:val="00BC1613"/>
    <w:rsid w:val="00BC1995"/>
    <w:rsid w:val="00BC1CE8"/>
    <w:rsid w:val="00BC20CD"/>
    <w:rsid w:val="00BC2326"/>
    <w:rsid w:val="00BC2347"/>
    <w:rsid w:val="00BC2634"/>
    <w:rsid w:val="00BC2893"/>
    <w:rsid w:val="00BC3133"/>
    <w:rsid w:val="00BC36D7"/>
    <w:rsid w:val="00BC3A03"/>
    <w:rsid w:val="00BC41A3"/>
    <w:rsid w:val="00BC50CD"/>
    <w:rsid w:val="00BC5445"/>
    <w:rsid w:val="00BC6589"/>
    <w:rsid w:val="00BC761C"/>
    <w:rsid w:val="00BD0DCD"/>
    <w:rsid w:val="00BD106F"/>
    <w:rsid w:val="00BD2878"/>
    <w:rsid w:val="00BD2A49"/>
    <w:rsid w:val="00BD2C33"/>
    <w:rsid w:val="00BD34DC"/>
    <w:rsid w:val="00BD44BA"/>
    <w:rsid w:val="00BD4822"/>
    <w:rsid w:val="00BD5393"/>
    <w:rsid w:val="00BD6122"/>
    <w:rsid w:val="00BD620E"/>
    <w:rsid w:val="00BD6456"/>
    <w:rsid w:val="00BD6F03"/>
    <w:rsid w:val="00BD71E9"/>
    <w:rsid w:val="00BD77DD"/>
    <w:rsid w:val="00BE0168"/>
    <w:rsid w:val="00BE0651"/>
    <w:rsid w:val="00BE067F"/>
    <w:rsid w:val="00BE0784"/>
    <w:rsid w:val="00BE19C3"/>
    <w:rsid w:val="00BE1BCD"/>
    <w:rsid w:val="00BE227C"/>
    <w:rsid w:val="00BE2AFD"/>
    <w:rsid w:val="00BE2B9B"/>
    <w:rsid w:val="00BE2E23"/>
    <w:rsid w:val="00BE300B"/>
    <w:rsid w:val="00BE3AF2"/>
    <w:rsid w:val="00BE3DFC"/>
    <w:rsid w:val="00BE4CB2"/>
    <w:rsid w:val="00BE543F"/>
    <w:rsid w:val="00BE549B"/>
    <w:rsid w:val="00BE571B"/>
    <w:rsid w:val="00BE68B9"/>
    <w:rsid w:val="00BE74E4"/>
    <w:rsid w:val="00BE792C"/>
    <w:rsid w:val="00BE799C"/>
    <w:rsid w:val="00BF0D0A"/>
    <w:rsid w:val="00BF1386"/>
    <w:rsid w:val="00BF1609"/>
    <w:rsid w:val="00BF1701"/>
    <w:rsid w:val="00BF1DE6"/>
    <w:rsid w:val="00BF2FA8"/>
    <w:rsid w:val="00BF4523"/>
    <w:rsid w:val="00BF4578"/>
    <w:rsid w:val="00BF5821"/>
    <w:rsid w:val="00BF5935"/>
    <w:rsid w:val="00BF61E8"/>
    <w:rsid w:val="00BF66CE"/>
    <w:rsid w:val="00BF735C"/>
    <w:rsid w:val="00BF7413"/>
    <w:rsid w:val="00BF7853"/>
    <w:rsid w:val="00C015A7"/>
    <w:rsid w:val="00C01C1C"/>
    <w:rsid w:val="00C02BBD"/>
    <w:rsid w:val="00C038B5"/>
    <w:rsid w:val="00C03A4D"/>
    <w:rsid w:val="00C03AC3"/>
    <w:rsid w:val="00C04B5A"/>
    <w:rsid w:val="00C07668"/>
    <w:rsid w:val="00C0778A"/>
    <w:rsid w:val="00C07AF4"/>
    <w:rsid w:val="00C07BA0"/>
    <w:rsid w:val="00C1132E"/>
    <w:rsid w:val="00C123DE"/>
    <w:rsid w:val="00C140B0"/>
    <w:rsid w:val="00C1422D"/>
    <w:rsid w:val="00C14E99"/>
    <w:rsid w:val="00C1504A"/>
    <w:rsid w:val="00C15A53"/>
    <w:rsid w:val="00C15CB0"/>
    <w:rsid w:val="00C15E6E"/>
    <w:rsid w:val="00C166D7"/>
    <w:rsid w:val="00C17B87"/>
    <w:rsid w:val="00C17CB9"/>
    <w:rsid w:val="00C2120E"/>
    <w:rsid w:val="00C217DE"/>
    <w:rsid w:val="00C22EA4"/>
    <w:rsid w:val="00C23DA8"/>
    <w:rsid w:val="00C244E7"/>
    <w:rsid w:val="00C24DDB"/>
    <w:rsid w:val="00C254B0"/>
    <w:rsid w:val="00C254D3"/>
    <w:rsid w:val="00C262BD"/>
    <w:rsid w:val="00C276DE"/>
    <w:rsid w:val="00C2797D"/>
    <w:rsid w:val="00C309B5"/>
    <w:rsid w:val="00C316BE"/>
    <w:rsid w:val="00C320FB"/>
    <w:rsid w:val="00C322A1"/>
    <w:rsid w:val="00C32550"/>
    <w:rsid w:val="00C32AF3"/>
    <w:rsid w:val="00C32D8B"/>
    <w:rsid w:val="00C33550"/>
    <w:rsid w:val="00C33760"/>
    <w:rsid w:val="00C351ED"/>
    <w:rsid w:val="00C3586C"/>
    <w:rsid w:val="00C3620A"/>
    <w:rsid w:val="00C36875"/>
    <w:rsid w:val="00C36E4C"/>
    <w:rsid w:val="00C40280"/>
    <w:rsid w:val="00C40430"/>
    <w:rsid w:val="00C414F4"/>
    <w:rsid w:val="00C41614"/>
    <w:rsid w:val="00C4178E"/>
    <w:rsid w:val="00C43785"/>
    <w:rsid w:val="00C43A72"/>
    <w:rsid w:val="00C43F15"/>
    <w:rsid w:val="00C4454F"/>
    <w:rsid w:val="00C45198"/>
    <w:rsid w:val="00C4524F"/>
    <w:rsid w:val="00C462F6"/>
    <w:rsid w:val="00C47EC5"/>
    <w:rsid w:val="00C5064A"/>
    <w:rsid w:val="00C53291"/>
    <w:rsid w:val="00C540B4"/>
    <w:rsid w:val="00C548D6"/>
    <w:rsid w:val="00C54BED"/>
    <w:rsid w:val="00C54D26"/>
    <w:rsid w:val="00C5592E"/>
    <w:rsid w:val="00C55945"/>
    <w:rsid w:val="00C55EE1"/>
    <w:rsid w:val="00C56CCA"/>
    <w:rsid w:val="00C60626"/>
    <w:rsid w:val="00C60848"/>
    <w:rsid w:val="00C609FF"/>
    <w:rsid w:val="00C60F89"/>
    <w:rsid w:val="00C626F1"/>
    <w:rsid w:val="00C638DC"/>
    <w:rsid w:val="00C6497D"/>
    <w:rsid w:val="00C64CE5"/>
    <w:rsid w:val="00C65260"/>
    <w:rsid w:val="00C653B5"/>
    <w:rsid w:val="00C66295"/>
    <w:rsid w:val="00C666BF"/>
    <w:rsid w:val="00C66FFF"/>
    <w:rsid w:val="00C674F8"/>
    <w:rsid w:val="00C702E2"/>
    <w:rsid w:val="00C705A9"/>
    <w:rsid w:val="00C7115B"/>
    <w:rsid w:val="00C729CE"/>
    <w:rsid w:val="00C72B1F"/>
    <w:rsid w:val="00C73F9E"/>
    <w:rsid w:val="00C75F08"/>
    <w:rsid w:val="00C76275"/>
    <w:rsid w:val="00C7630F"/>
    <w:rsid w:val="00C76B70"/>
    <w:rsid w:val="00C76E8F"/>
    <w:rsid w:val="00C7757C"/>
    <w:rsid w:val="00C80930"/>
    <w:rsid w:val="00C824D4"/>
    <w:rsid w:val="00C830E6"/>
    <w:rsid w:val="00C840E1"/>
    <w:rsid w:val="00C84473"/>
    <w:rsid w:val="00C8514A"/>
    <w:rsid w:val="00C8590D"/>
    <w:rsid w:val="00C8637D"/>
    <w:rsid w:val="00C86599"/>
    <w:rsid w:val="00C876D6"/>
    <w:rsid w:val="00C87F57"/>
    <w:rsid w:val="00C90045"/>
    <w:rsid w:val="00C90360"/>
    <w:rsid w:val="00C90922"/>
    <w:rsid w:val="00C90C7F"/>
    <w:rsid w:val="00C91565"/>
    <w:rsid w:val="00C92AD8"/>
    <w:rsid w:val="00C92E4B"/>
    <w:rsid w:val="00C933DD"/>
    <w:rsid w:val="00C9393A"/>
    <w:rsid w:val="00C95AD9"/>
    <w:rsid w:val="00C95BEA"/>
    <w:rsid w:val="00C95D3A"/>
    <w:rsid w:val="00C95DD1"/>
    <w:rsid w:val="00CA0B8A"/>
    <w:rsid w:val="00CA0D82"/>
    <w:rsid w:val="00CA0E72"/>
    <w:rsid w:val="00CA1239"/>
    <w:rsid w:val="00CA33B8"/>
    <w:rsid w:val="00CA3C3A"/>
    <w:rsid w:val="00CA40B5"/>
    <w:rsid w:val="00CA4A50"/>
    <w:rsid w:val="00CA506A"/>
    <w:rsid w:val="00CA5C02"/>
    <w:rsid w:val="00CA6DD0"/>
    <w:rsid w:val="00CB06A1"/>
    <w:rsid w:val="00CB0F8D"/>
    <w:rsid w:val="00CB1502"/>
    <w:rsid w:val="00CB1969"/>
    <w:rsid w:val="00CB1AD6"/>
    <w:rsid w:val="00CB1BF3"/>
    <w:rsid w:val="00CB1CD7"/>
    <w:rsid w:val="00CB30F2"/>
    <w:rsid w:val="00CB323A"/>
    <w:rsid w:val="00CB38E3"/>
    <w:rsid w:val="00CB40FE"/>
    <w:rsid w:val="00CB4326"/>
    <w:rsid w:val="00CB594C"/>
    <w:rsid w:val="00CB5D82"/>
    <w:rsid w:val="00CB70D9"/>
    <w:rsid w:val="00CC28F7"/>
    <w:rsid w:val="00CC2F1D"/>
    <w:rsid w:val="00CC3031"/>
    <w:rsid w:val="00CC3118"/>
    <w:rsid w:val="00CC3296"/>
    <w:rsid w:val="00CC5332"/>
    <w:rsid w:val="00CC57C2"/>
    <w:rsid w:val="00CC5FC2"/>
    <w:rsid w:val="00CC72AB"/>
    <w:rsid w:val="00CC7F00"/>
    <w:rsid w:val="00CD0079"/>
    <w:rsid w:val="00CD023F"/>
    <w:rsid w:val="00CD1F85"/>
    <w:rsid w:val="00CD2711"/>
    <w:rsid w:val="00CD38DD"/>
    <w:rsid w:val="00CD39D9"/>
    <w:rsid w:val="00CD3A3C"/>
    <w:rsid w:val="00CD4DC1"/>
    <w:rsid w:val="00CD4FC4"/>
    <w:rsid w:val="00CD530F"/>
    <w:rsid w:val="00CD5799"/>
    <w:rsid w:val="00CD6369"/>
    <w:rsid w:val="00CD6746"/>
    <w:rsid w:val="00CD6E2E"/>
    <w:rsid w:val="00CD6E53"/>
    <w:rsid w:val="00CD7AF9"/>
    <w:rsid w:val="00CE0C84"/>
    <w:rsid w:val="00CE13DB"/>
    <w:rsid w:val="00CE18FC"/>
    <w:rsid w:val="00CE1971"/>
    <w:rsid w:val="00CE24EF"/>
    <w:rsid w:val="00CE2637"/>
    <w:rsid w:val="00CE28CD"/>
    <w:rsid w:val="00CE2B55"/>
    <w:rsid w:val="00CE3A0A"/>
    <w:rsid w:val="00CE4108"/>
    <w:rsid w:val="00CE4904"/>
    <w:rsid w:val="00CE4A05"/>
    <w:rsid w:val="00CE6ABB"/>
    <w:rsid w:val="00CE72EE"/>
    <w:rsid w:val="00CE7E57"/>
    <w:rsid w:val="00CF05AF"/>
    <w:rsid w:val="00CF07C9"/>
    <w:rsid w:val="00CF0FC6"/>
    <w:rsid w:val="00CF1883"/>
    <w:rsid w:val="00CF2515"/>
    <w:rsid w:val="00CF402A"/>
    <w:rsid w:val="00CF534E"/>
    <w:rsid w:val="00CF5843"/>
    <w:rsid w:val="00CF59B8"/>
    <w:rsid w:val="00CF5D55"/>
    <w:rsid w:val="00CF5EFE"/>
    <w:rsid w:val="00CF6C78"/>
    <w:rsid w:val="00CF6E39"/>
    <w:rsid w:val="00CF74E5"/>
    <w:rsid w:val="00CF7C74"/>
    <w:rsid w:val="00D0084B"/>
    <w:rsid w:val="00D00DDB"/>
    <w:rsid w:val="00D015A5"/>
    <w:rsid w:val="00D02A76"/>
    <w:rsid w:val="00D03C91"/>
    <w:rsid w:val="00D04E6C"/>
    <w:rsid w:val="00D0579F"/>
    <w:rsid w:val="00D05BC9"/>
    <w:rsid w:val="00D05D63"/>
    <w:rsid w:val="00D06EBA"/>
    <w:rsid w:val="00D07173"/>
    <w:rsid w:val="00D10574"/>
    <w:rsid w:val="00D1110E"/>
    <w:rsid w:val="00D114B5"/>
    <w:rsid w:val="00D1202C"/>
    <w:rsid w:val="00D12095"/>
    <w:rsid w:val="00D13C16"/>
    <w:rsid w:val="00D14A7F"/>
    <w:rsid w:val="00D14D1D"/>
    <w:rsid w:val="00D1659C"/>
    <w:rsid w:val="00D16630"/>
    <w:rsid w:val="00D1794A"/>
    <w:rsid w:val="00D17CE3"/>
    <w:rsid w:val="00D219B7"/>
    <w:rsid w:val="00D21AA7"/>
    <w:rsid w:val="00D21D30"/>
    <w:rsid w:val="00D23B30"/>
    <w:rsid w:val="00D242B5"/>
    <w:rsid w:val="00D24508"/>
    <w:rsid w:val="00D24D8E"/>
    <w:rsid w:val="00D25692"/>
    <w:rsid w:val="00D257CC"/>
    <w:rsid w:val="00D257D9"/>
    <w:rsid w:val="00D25D9C"/>
    <w:rsid w:val="00D26EA0"/>
    <w:rsid w:val="00D26EEF"/>
    <w:rsid w:val="00D27773"/>
    <w:rsid w:val="00D27CC7"/>
    <w:rsid w:val="00D31516"/>
    <w:rsid w:val="00D3176C"/>
    <w:rsid w:val="00D31E55"/>
    <w:rsid w:val="00D331E0"/>
    <w:rsid w:val="00D333DC"/>
    <w:rsid w:val="00D3350D"/>
    <w:rsid w:val="00D33A75"/>
    <w:rsid w:val="00D33A86"/>
    <w:rsid w:val="00D342B4"/>
    <w:rsid w:val="00D3456E"/>
    <w:rsid w:val="00D347E0"/>
    <w:rsid w:val="00D34C3E"/>
    <w:rsid w:val="00D34DFA"/>
    <w:rsid w:val="00D3518C"/>
    <w:rsid w:val="00D35C5D"/>
    <w:rsid w:val="00D37128"/>
    <w:rsid w:val="00D373F9"/>
    <w:rsid w:val="00D37CBA"/>
    <w:rsid w:val="00D40A97"/>
    <w:rsid w:val="00D41E6A"/>
    <w:rsid w:val="00D42304"/>
    <w:rsid w:val="00D440F0"/>
    <w:rsid w:val="00D4497A"/>
    <w:rsid w:val="00D44B08"/>
    <w:rsid w:val="00D44D6C"/>
    <w:rsid w:val="00D456E4"/>
    <w:rsid w:val="00D467D1"/>
    <w:rsid w:val="00D46945"/>
    <w:rsid w:val="00D46D11"/>
    <w:rsid w:val="00D4723A"/>
    <w:rsid w:val="00D47FC7"/>
    <w:rsid w:val="00D5008C"/>
    <w:rsid w:val="00D51011"/>
    <w:rsid w:val="00D5249B"/>
    <w:rsid w:val="00D553AB"/>
    <w:rsid w:val="00D55708"/>
    <w:rsid w:val="00D56979"/>
    <w:rsid w:val="00D57D7E"/>
    <w:rsid w:val="00D604F2"/>
    <w:rsid w:val="00D6053E"/>
    <w:rsid w:val="00D6139D"/>
    <w:rsid w:val="00D62022"/>
    <w:rsid w:val="00D626A8"/>
    <w:rsid w:val="00D63332"/>
    <w:rsid w:val="00D63757"/>
    <w:rsid w:val="00D63E01"/>
    <w:rsid w:val="00D64237"/>
    <w:rsid w:val="00D652C4"/>
    <w:rsid w:val="00D6540C"/>
    <w:rsid w:val="00D656FB"/>
    <w:rsid w:val="00D6750F"/>
    <w:rsid w:val="00D7081B"/>
    <w:rsid w:val="00D7094D"/>
    <w:rsid w:val="00D70C6B"/>
    <w:rsid w:val="00D70E5C"/>
    <w:rsid w:val="00D7126F"/>
    <w:rsid w:val="00D717EE"/>
    <w:rsid w:val="00D7186D"/>
    <w:rsid w:val="00D71937"/>
    <w:rsid w:val="00D720B5"/>
    <w:rsid w:val="00D73297"/>
    <w:rsid w:val="00D74393"/>
    <w:rsid w:val="00D74A09"/>
    <w:rsid w:val="00D74A54"/>
    <w:rsid w:val="00D75056"/>
    <w:rsid w:val="00D75EC4"/>
    <w:rsid w:val="00D764CC"/>
    <w:rsid w:val="00D76E61"/>
    <w:rsid w:val="00D778C9"/>
    <w:rsid w:val="00D80FEC"/>
    <w:rsid w:val="00D815BF"/>
    <w:rsid w:val="00D81A82"/>
    <w:rsid w:val="00D81DC4"/>
    <w:rsid w:val="00D8222C"/>
    <w:rsid w:val="00D82A7A"/>
    <w:rsid w:val="00D82B07"/>
    <w:rsid w:val="00D82B64"/>
    <w:rsid w:val="00D831EF"/>
    <w:rsid w:val="00D8477B"/>
    <w:rsid w:val="00D84874"/>
    <w:rsid w:val="00D8597D"/>
    <w:rsid w:val="00D85DF2"/>
    <w:rsid w:val="00D868C6"/>
    <w:rsid w:val="00D87DC8"/>
    <w:rsid w:val="00D91907"/>
    <w:rsid w:val="00D91D36"/>
    <w:rsid w:val="00D9212A"/>
    <w:rsid w:val="00D92164"/>
    <w:rsid w:val="00D9432D"/>
    <w:rsid w:val="00D95EEB"/>
    <w:rsid w:val="00D96352"/>
    <w:rsid w:val="00D96A26"/>
    <w:rsid w:val="00D96BB3"/>
    <w:rsid w:val="00D97140"/>
    <w:rsid w:val="00D9776A"/>
    <w:rsid w:val="00D97D34"/>
    <w:rsid w:val="00DA1049"/>
    <w:rsid w:val="00DA1252"/>
    <w:rsid w:val="00DA1780"/>
    <w:rsid w:val="00DA1782"/>
    <w:rsid w:val="00DA28BC"/>
    <w:rsid w:val="00DA2A7D"/>
    <w:rsid w:val="00DA2CFA"/>
    <w:rsid w:val="00DA3BC3"/>
    <w:rsid w:val="00DA47A3"/>
    <w:rsid w:val="00DA78D5"/>
    <w:rsid w:val="00DB0107"/>
    <w:rsid w:val="00DB040A"/>
    <w:rsid w:val="00DB071F"/>
    <w:rsid w:val="00DB170E"/>
    <w:rsid w:val="00DB332B"/>
    <w:rsid w:val="00DB53F8"/>
    <w:rsid w:val="00DB5BDD"/>
    <w:rsid w:val="00DB5FE1"/>
    <w:rsid w:val="00DB6283"/>
    <w:rsid w:val="00DB63D5"/>
    <w:rsid w:val="00DB6A0F"/>
    <w:rsid w:val="00DB7894"/>
    <w:rsid w:val="00DB7B73"/>
    <w:rsid w:val="00DB7BBF"/>
    <w:rsid w:val="00DB7C53"/>
    <w:rsid w:val="00DB7F7D"/>
    <w:rsid w:val="00DC0141"/>
    <w:rsid w:val="00DC0EC3"/>
    <w:rsid w:val="00DC0EC8"/>
    <w:rsid w:val="00DC24DC"/>
    <w:rsid w:val="00DC2761"/>
    <w:rsid w:val="00DC3E35"/>
    <w:rsid w:val="00DC3EE4"/>
    <w:rsid w:val="00DC4537"/>
    <w:rsid w:val="00DC4DCE"/>
    <w:rsid w:val="00DC4F92"/>
    <w:rsid w:val="00DC566C"/>
    <w:rsid w:val="00DC5CE4"/>
    <w:rsid w:val="00DC768B"/>
    <w:rsid w:val="00DD0704"/>
    <w:rsid w:val="00DD2286"/>
    <w:rsid w:val="00DD3435"/>
    <w:rsid w:val="00DD34A1"/>
    <w:rsid w:val="00DD5558"/>
    <w:rsid w:val="00DD57A4"/>
    <w:rsid w:val="00DD5AC8"/>
    <w:rsid w:val="00DD71B4"/>
    <w:rsid w:val="00DD7228"/>
    <w:rsid w:val="00DD7ADC"/>
    <w:rsid w:val="00DE0AB6"/>
    <w:rsid w:val="00DE0B0C"/>
    <w:rsid w:val="00DE12EA"/>
    <w:rsid w:val="00DE2009"/>
    <w:rsid w:val="00DE234A"/>
    <w:rsid w:val="00DE381D"/>
    <w:rsid w:val="00DE3E6C"/>
    <w:rsid w:val="00DE42C8"/>
    <w:rsid w:val="00DE4729"/>
    <w:rsid w:val="00DE4C38"/>
    <w:rsid w:val="00DE71CD"/>
    <w:rsid w:val="00DE7A5A"/>
    <w:rsid w:val="00DE7A8E"/>
    <w:rsid w:val="00DF023D"/>
    <w:rsid w:val="00DF06F0"/>
    <w:rsid w:val="00DF07C7"/>
    <w:rsid w:val="00DF0946"/>
    <w:rsid w:val="00DF1988"/>
    <w:rsid w:val="00DF22C3"/>
    <w:rsid w:val="00DF29E2"/>
    <w:rsid w:val="00DF3037"/>
    <w:rsid w:val="00DF451D"/>
    <w:rsid w:val="00DF6125"/>
    <w:rsid w:val="00E000C8"/>
    <w:rsid w:val="00E005BA"/>
    <w:rsid w:val="00E01531"/>
    <w:rsid w:val="00E023B0"/>
    <w:rsid w:val="00E0345A"/>
    <w:rsid w:val="00E03F1F"/>
    <w:rsid w:val="00E04BD0"/>
    <w:rsid w:val="00E04E2D"/>
    <w:rsid w:val="00E04E45"/>
    <w:rsid w:val="00E06270"/>
    <w:rsid w:val="00E069C5"/>
    <w:rsid w:val="00E06D04"/>
    <w:rsid w:val="00E105DA"/>
    <w:rsid w:val="00E10AC2"/>
    <w:rsid w:val="00E10E3A"/>
    <w:rsid w:val="00E10E63"/>
    <w:rsid w:val="00E117F8"/>
    <w:rsid w:val="00E11E66"/>
    <w:rsid w:val="00E122E1"/>
    <w:rsid w:val="00E12841"/>
    <w:rsid w:val="00E12B53"/>
    <w:rsid w:val="00E12CF1"/>
    <w:rsid w:val="00E12E96"/>
    <w:rsid w:val="00E13392"/>
    <w:rsid w:val="00E1377E"/>
    <w:rsid w:val="00E16176"/>
    <w:rsid w:val="00E16F0E"/>
    <w:rsid w:val="00E17709"/>
    <w:rsid w:val="00E20A00"/>
    <w:rsid w:val="00E21026"/>
    <w:rsid w:val="00E21800"/>
    <w:rsid w:val="00E22F59"/>
    <w:rsid w:val="00E237B0"/>
    <w:rsid w:val="00E25942"/>
    <w:rsid w:val="00E265F3"/>
    <w:rsid w:val="00E26714"/>
    <w:rsid w:val="00E3061C"/>
    <w:rsid w:val="00E307EB"/>
    <w:rsid w:val="00E31780"/>
    <w:rsid w:val="00E31943"/>
    <w:rsid w:val="00E31E4B"/>
    <w:rsid w:val="00E326A7"/>
    <w:rsid w:val="00E3294F"/>
    <w:rsid w:val="00E33329"/>
    <w:rsid w:val="00E34424"/>
    <w:rsid w:val="00E346C0"/>
    <w:rsid w:val="00E34927"/>
    <w:rsid w:val="00E35318"/>
    <w:rsid w:val="00E35561"/>
    <w:rsid w:val="00E35851"/>
    <w:rsid w:val="00E3602A"/>
    <w:rsid w:val="00E365D3"/>
    <w:rsid w:val="00E36E4E"/>
    <w:rsid w:val="00E36E50"/>
    <w:rsid w:val="00E37317"/>
    <w:rsid w:val="00E373B7"/>
    <w:rsid w:val="00E378E4"/>
    <w:rsid w:val="00E40694"/>
    <w:rsid w:val="00E413A2"/>
    <w:rsid w:val="00E414C5"/>
    <w:rsid w:val="00E4172E"/>
    <w:rsid w:val="00E417E8"/>
    <w:rsid w:val="00E419C6"/>
    <w:rsid w:val="00E41E30"/>
    <w:rsid w:val="00E4238B"/>
    <w:rsid w:val="00E4397B"/>
    <w:rsid w:val="00E43EF0"/>
    <w:rsid w:val="00E452C3"/>
    <w:rsid w:val="00E45769"/>
    <w:rsid w:val="00E45C7E"/>
    <w:rsid w:val="00E45DBE"/>
    <w:rsid w:val="00E4630B"/>
    <w:rsid w:val="00E47550"/>
    <w:rsid w:val="00E5087C"/>
    <w:rsid w:val="00E5154D"/>
    <w:rsid w:val="00E52B3E"/>
    <w:rsid w:val="00E533F3"/>
    <w:rsid w:val="00E5343C"/>
    <w:rsid w:val="00E535B6"/>
    <w:rsid w:val="00E538DA"/>
    <w:rsid w:val="00E53A5D"/>
    <w:rsid w:val="00E53DCB"/>
    <w:rsid w:val="00E55BC9"/>
    <w:rsid w:val="00E564A0"/>
    <w:rsid w:val="00E60ABA"/>
    <w:rsid w:val="00E61825"/>
    <w:rsid w:val="00E623A1"/>
    <w:rsid w:val="00E64691"/>
    <w:rsid w:val="00E64FB1"/>
    <w:rsid w:val="00E65225"/>
    <w:rsid w:val="00E6580D"/>
    <w:rsid w:val="00E66084"/>
    <w:rsid w:val="00E706E1"/>
    <w:rsid w:val="00E70988"/>
    <w:rsid w:val="00E727CB"/>
    <w:rsid w:val="00E72866"/>
    <w:rsid w:val="00E72DBE"/>
    <w:rsid w:val="00E738D0"/>
    <w:rsid w:val="00E73BA2"/>
    <w:rsid w:val="00E73C2F"/>
    <w:rsid w:val="00E73D1B"/>
    <w:rsid w:val="00E74114"/>
    <w:rsid w:val="00E74EF3"/>
    <w:rsid w:val="00E76D3F"/>
    <w:rsid w:val="00E77B79"/>
    <w:rsid w:val="00E77CB4"/>
    <w:rsid w:val="00E77D34"/>
    <w:rsid w:val="00E80C56"/>
    <w:rsid w:val="00E8164C"/>
    <w:rsid w:val="00E82FA2"/>
    <w:rsid w:val="00E8379A"/>
    <w:rsid w:val="00E8382A"/>
    <w:rsid w:val="00E83C37"/>
    <w:rsid w:val="00E84663"/>
    <w:rsid w:val="00E8613D"/>
    <w:rsid w:val="00E87492"/>
    <w:rsid w:val="00E87D8F"/>
    <w:rsid w:val="00E87DF3"/>
    <w:rsid w:val="00E87F6C"/>
    <w:rsid w:val="00E90795"/>
    <w:rsid w:val="00E9319F"/>
    <w:rsid w:val="00E9343C"/>
    <w:rsid w:val="00E939D5"/>
    <w:rsid w:val="00E93A2D"/>
    <w:rsid w:val="00E943EC"/>
    <w:rsid w:val="00E9598D"/>
    <w:rsid w:val="00E95A07"/>
    <w:rsid w:val="00E96093"/>
    <w:rsid w:val="00EA0229"/>
    <w:rsid w:val="00EA14A6"/>
    <w:rsid w:val="00EA174E"/>
    <w:rsid w:val="00EA3C2F"/>
    <w:rsid w:val="00EA4257"/>
    <w:rsid w:val="00EA4C44"/>
    <w:rsid w:val="00EA4D3E"/>
    <w:rsid w:val="00EA4ED8"/>
    <w:rsid w:val="00EA560D"/>
    <w:rsid w:val="00EA7B6E"/>
    <w:rsid w:val="00EB040E"/>
    <w:rsid w:val="00EB136A"/>
    <w:rsid w:val="00EB1770"/>
    <w:rsid w:val="00EB3309"/>
    <w:rsid w:val="00EB3C2F"/>
    <w:rsid w:val="00EB5494"/>
    <w:rsid w:val="00EB5971"/>
    <w:rsid w:val="00EB6D85"/>
    <w:rsid w:val="00EB7062"/>
    <w:rsid w:val="00EC04A5"/>
    <w:rsid w:val="00EC072E"/>
    <w:rsid w:val="00EC0D89"/>
    <w:rsid w:val="00EC14FD"/>
    <w:rsid w:val="00EC1FFC"/>
    <w:rsid w:val="00EC20BC"/>
    <w:rsid w:val="00EC43AB"/>
    <w:rsid w:val="00EC4486"/>
    <w:rsid w:val="00EC4B03"/>
    <w:rsid w:val="00EC4C56"/>
    <w:rsid w:val="00EC58A4"/>
    <w:rsid w:val="00EC5B97"/>
    <w:rsid w:val="00EC6218"/>
    <w:rsid w:val="00EC6457"/>
    <w:rsid w:val="00EC6FAF"/>
    <w:rsid w:val="00ED0122"/>
    <w:rsid w:val="00ED04A8"/>
    <w:rsid w:val="00ED06E1"/>
    <w:rsid w:val="00ED1687"/>
    <w:rsid w:val="00ED1B75"/>
    <w:rsid w:val="00ED1D76"/>
    <w:rsid w:val="00ED2AFE"/>
    <w:rsid w:val="00ED329E"/>
    <w:rsid w:val="00ED340D"/>
    <w:rsid w:val="00ED4627"/>
    <w:rsid w:val="00ED49B2"/>
    <w:rsid w:val="00ED4BD7"/>
    <w:rsid w:val="00ED51D2"/>
    <w:rsid w:val="00ED703F"/>
    <w:rsid w:val="00ED7AD0"/>
    <w:rsid w:val="00ED7DFA"/>
    <w:rsid w:val="00EE0292"/>
    <w:rsid w:val="00EE1F5D"/>
    <w:rsid w:val="00EE22F7"/>
    <w:rsid w:val="00EE36DE"/>
    <w:rsid w:val="00EE3BC0"/>
    <w:rsid w:val="00EE4247"/>
    <w:rsid w:val="00EE5052"/>
    <w:rsid w:val="00EE5D62"/>
    <w:rsid w:val="00EE6B71"/>
    <w:rsid w:val="00EF01BB"/>
    <w:rsid w:val="00EF02D8"/>
    <w:rsid w:val="00EF1AA0"/>
    <w:rsid w:val="00EF227B"/>
    <w:rsid w:val="00EF3556"/>
    <w:rsid w:val="00EF3F3B"/>
    <w:rsid w:val="00EF5CC3"/>
    <w:rsid w:val="00EF5F6E"/>
    <w:rsid w:val="00EF5FAF"/>
    <w:rsid w:val="00EF6DDE"/>
    <w:rsid w:val="00EF71C9"/>
    <w:rsid w:val="00EF7A34"/>
    <w:rsid w:val="00F01E92"/>
    <w:rsid w:val="00F0412C"/>
    <w:rsid w:val="00F048A6"/>
    <w:rsid w:val="00F049CC"/>
    <w:rsid w:val="00F04EE2"/>
    <w:rsid w:val="00F04FF6"/>
    <w:rsid w:val="00F056DD"/>
    <w:rsid w:val="00F059C3"/>
    <w:rsid w:val="00F05A11"/>
    <w:rsid w:val="00F06B98"/>
    <w:rsid w:val="00F1184D"/>
    <w:rsid w:val="00F11992"/>
    <w:rsid w:val="00F12F49"/>
    <w:rsid w:val="00F13DBC"/>
    <w:rsid w:val="00F140C7"/>
    <w:rsid w:val="00F150AB"/>
    <w:rsid w:val="00F16057"/>
    <w:rsid w:val="00F16BDB"/>
    <w:rsid w:val="00F16E03"/>
    <w:rsid w:val="00F202B0"/>
    <w:rsid w:val="00F23DF4"/>
    <w:rsid w:val="00F23E14"/>
    <w:rsid w:val="00F24A7F"/>
    <w:rsid w:val="00F24C3C"/>
    <w:rsid w:val="00F24E27"/>
    <w:rsid w:val="00F24E71"/>
    <w:rsid w:val="00F25A28"/>
    <w:rsid w:val="00F25CC6"/>
    <w:rsid w:val="00F25E32"/>
    <w:rsid w:val="00F265FE"/>
    <w:rsid w:val="00F30DB0"/>
    <w:rsid w:val="00F328A1"/>
    <w:rsid w:val="00F328CF"/>
    <w:rsid w:val="00F32B0E"/>
    <w:rsid w:val="00F32C0E"/>
    <w:rsid w:val="00F34A81"/>
    <w:rsid w:val="00F34D1C"/>
    <w:rsid w:val="00F352AF"/>
    <w:rsid w:val="00F360C5"/>
    <w:rsid w:val="00F365CD"/>
    <w:rsid w:val="00F36A17"/>
    <w:rsid w:val="00F36F52"/>
    <w:rsid w:val="00F36F95"/>
    <w:rsid w:val="00F37E08"/>
    <w:rsid w:val="00F40700"/>
    <w:rsid w:val="00F40BB2"/>
    <w:rsid w:val="00F419E4"/>
    <w:rsid w:val="00F42177"/>
    <w:rsid w:val="00F4294A"/>
    <w:rsid w:val="00F43560"/>
    <w:rsid w:val="00F451CF"/>
    <w:rsid w:val="00F4627F"/>
    <w:rsid w:val="00F46F1D"/>
    <w:rsid w:val="00F50529"/>
    <w:rsid w:val="00F509E4"/>
    <w:rsid w:val="00F5120E"/>
    <w:rsid w:val="00F51A75"/>
    <w:rsid w:val="00F51B6A"/>
    <w:rsid w:val="00F51EEC"/>
    <w:rsid w:val="00F52910"/>
    <w:rsid w:val="00F530DA"/>
    <w:rsid w:val="00F5551D"/>
    <w:rsid w:val="00F55725"/>
    <w:rsid w:val="00F55CC5"/>
    <w:rsid w:val="00F60232"/>
    <w:rsid w:val="00F603CB"/>
    <w:rsid w:val="00F61F48"/>
    <w:rsid w:val="00F61F87"/>
    <w:rsid w:val="00F630F2"/>
    <w:rsid w:val="00F63E17"/>
    <w:rsid w:val="00F648B8"/>
    <w:rsid w:val="00F65AE6"/>
    <w:rsid w:val="00F66FA9"/>
    <w:rsid w:val="00F673FD"/>
    <w:rsid w:val="00F67AA2"/>
    <w:rsid w:val="00F704F6"/>
    <w:rsid w:val="00F71C93"/>
    <w:rsid w:val="00F71E08"/>
    <w:rsid w:val="00F72968"/>
    <w:rsid w:val="00F72C04"/>
    <w:rsid w:val="00F7398F"/>
    <w:rsid w:val="00F74122"/>
    <w:rsid w:val="00F747EF"/>
    <w:rsid w:val="00F752EC"/>
    <w:rsid w:val="00F766D1"/>
    <w:rsid w:val="00F767EB"/>
    <w:rsid w:val="00F83131"/>
    <w:rsid w:val="00F8347B"/>
    <w:rsid w:val="00F83819"/>
    <w:rsid w:val="00F83A77"/>
    <w:rsid w:val="00F853E2"/>
    <w:rsid w:val="00F8544B"/>
    <w:rsid w:val="00F85D16"/>
    <w:rsid w:val="00F85D67"/>
    <w:rsid w:val="00F8655A"/>
    <w:rsid w:val="00F900F8"/>
    <w:rsid w:val="00F90A19"/>
    <w:rsid w:val="00F911B7"/>
    <w:rsid w:val="00F9141A"/>
    <w:rsid w:val="00F91E10"/>
    <w:rsid w:val="00F9267C"/>
    <w:rsid w:val="00F92A5E"/>
    <w:rsid w:val="00F92B39"/>
    <w:rsid w:val="00F93273"/>
    <w:rsid w:val="00F94C68"/>
    <w:rsid w:val="00F954D0"/>
    <w:rsid w:val="00F95742"/>
    <w:rsid w:val="00F96008"/>
    <w:rsid w:val="00F976BE"/>
    <w:rsid w:val="00F97940"/>
    <w:rsid w:val="00F97E26"/>
    <w:rsid w:val="00FA08D5"/>
    <w:rsid w:val="00FA09FC"/>
    <w:rsid w:val="00FA0A36"/>
    <w:rsid w:val="00FA0C82"/>
    <w:rsid w:val="00FA0F48"/>
    <w:rsid w:val="00FA1540"/>
    <w:rsid w:val="00FA187F"/>
    <w:rsid w:val="00FA2612"/>
    <w:rsid w:val="00FA26E5"/>
    <w:rsid w:val="00FA3435"/>
    <w:rsid w:val="00FA3C83"/>
    <w:rsid w:val="00FA5B8A"/>
    <w:rsid w:val="00FA62DD"/>
    <w:rsid w:val="00FA6E92"/>
    <w:rsid w:val="00FA7370"/>
    <w:rsid w:val="00FA73A5"/>
    <w:rsid w:val="00FB0288"/>
    <w:rsid w:val="00FB05EE"/>
    <w:rsid w:val="00FB0BBE"/>
    <w:rsid w:val="00FB17B9"/>
    <w:rsid w:val="00FB185E"/>
    <w:rsid w:val="00FB19FD"/>
    <w:rsid w:val="00FB24BB"/>
    <w:rsid w:val="00FB2563"/>
    <w:rsid w:val="00FB3A38"/>
    <w:rsid w:val="00FB3AE4"/>
    <w:rsid w:val="00FB459C"/>
    <w:rsid w:val="00FB48E4"/>
    <w:rsid w:val="00FB510E"/>
    <w:rsid w:val="00FB54A1"/>
    <w:rsid w:val="00FB640D"/>
    <w:rsid w:val="00FB6C7B"/>
    <w:rsid w:val="00FC177B"/>
    <w:rsid w:val="00FC42E8"/>
    <w:rsid w:val="00FC496B"/>
    <w:rsid w:val="00FC4CC2"/>
    <w:rsid w:val="00FC4FC4"/>
    <w:rsid w:val="00FC51A9"/>
    <w:rsid w:val="00FC5C99"/>
    <w:rsid w:val="00FC7792"/>
    <w:rsid w:val="00FC7882"/>
    <w:rsid w:val="00FC794D"/>
    <w:rsid w:val="00FC7A11"/>
    <w:rsid w:val="00FC7A50"/>
    <w:rsid w:val="00FC7EFC"/>
    <w:rsid w:val="00FD0411"/>
    <w:rsid w:val="00FD115F"/>
    <w:rsid w:val="00FD19D7"/>
    <w:rsid w:val="00FD2113"/>
    <w:rsid w:val="00FD250B"/>
    <w:rsid w:val="00FD3B03"/>
    <w:rsid w:val="00FD3EC2"/>
    <w:rsid w:val="00FD4D77"/>
    <w:rsid w:val="00FD4E28"/>
    <w:rsid w:val="00FD5050"/>
    <w:rsid w:val="00FD5228"/>
    <w:rsid w:val="00FD5B6A"/>
    <w:rsid w:val="00FD66CA"/>
    <w:rsid w:val="00FE0258"/>
    <w:rsid w:val="00FE04ED"/>
    <w:rsid w:val="00FE0E4D"/>
    <w:rsid w:val="00FE191D"/>
    <w:rsid w:val="00FE27C2"/>
    <w:rsid w:val="00FE3A79"/>
    <w:rsid w:val="00FE476D"/>
    <w:rsid w:val="00FE4841"/>
    <w:rsid w:val="00FE54F0"/>
    <w:rsid w:val="00FE5A17"/>
    <w:rsid w:val="00FE7D19"/>
    <w:rsid w:val="00FE7E2E"/>
    <w:rsid w:val="00FF0505"/>
    <w:rsid w:val="00FF0944"/>
    <w:rsid w:val="00FF1663"/>
    <w:rsid w:val="00FF16F8"/>
    <w:rsid w:val="00FF1943"/>
    <w:rsid w:val="00FF1A59"/>
    <w:rsid w:val="00FF2DCB"/>
    <w:rsid w:val="00FF41D8"/>
    <w:rsid w:val="00FF444F"/>
    <w:rsid w:val="00FF4515"/>
    <w:rsid w:val="00FF4AE4"/>
    <w:rsid w:val="00FF4F0D"/>
    <w:rsid w:val="00FF6581"/>
    <w:rsid w:val="00FF67F0"/>
    <w:rsid w:val="00FF6C71"/>
    <w:rsid w:val="00FF6D32"/>
    <w:rsid w:val="00FF6FF5"/>
    <w:rsid w:val="00FF7AB6"/>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11F9E"/>
    <w:pPr>
      <w:keepLines/>
      <w:numPr>
        <w:numId w:val="30"/>
      </w:numPr>
      <w:tabs>
        <w:tab w:val="clear" w:pos="1440"/>
        <w:tab w:val="left" w:pos="1080"/>
      </w:tabs>
      <w:spacing w:before="24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11F9E"/>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ms.gov/medicare/quality-initiatives-patient-assessment-instruments/physician-compare-initia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amanetwork.com/journals/jama/fullarticle/2653111?resultClic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EA660FC423C814C90DF016CCFC975DC" ma:contentTypeVersion="11" ma:contentTypeDescription="Create a new document." ma:contentTypeScope="" ma:versionID="e1e4e522f3584694fb36eb8a96f145b6">
  <xsd:schema xmlns:xsd="http://www.w3.org/2001/XMLSchema" xmlns:xs="http://www.w3.org/2001/XMLSchema" xmlns:p="http://schemas.microsoft.com/office/2006/metadata/properties" targetNamespace="http://schemas.microsoft.com/office/2006/metadata/properties" ma:root="true" ma:fieldsID="5fe9facf950e590d77796fa22753758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17B9-D985-44A0-838F-33EC82D5307E}">
  <ds:schemaRefs>
    <ds:schemaRef ds:uri="Microsoft.SharePoint.Taxonomy.ContentTypeSync"/>
  </ds:schemaRefs>
</ds:datastoreItem>
</file>

<file path=customXml/itemProps2.xml><?xml version="1.0" encoding="utf-8"?>
<ds:datastoreItem xmlns:ds="http://schemas.openxmlformats.org/officeDocument/2006/customXml" ds:itemID="{A8C6B075-22FB-47B4-89BE-C3D833652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48E38921-E2A9-4CFB-A4EC-6C7E8C5A6B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66D8AEC-49CA-4802-A421-A35788D8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28946</Words>
  <Characters>164993</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193552</CharactersWithSpaces>
  <SharedDoc>false</SharedDoc>
  <HLinks>
    <vt:vector size="12" baseType="variant">
      <vt:variant>
        <vt:i4>5439565</vt:i4>
      </vt:variant>
      <vt:variant>
        <vt:i4>0</vt:i4>
      </vt:variant>
      <vt:variant>
        <vt:i4>0</vt:i4>
      </vt:variant>
      <vt:variant>
        <vt:i4>5</vt:i4>
      </vt:variant>
      <vt:variant>
        <vt:lpwstr>https://www.cms.gov/medicare/quality-initiatives-patient-assessment-instruments/physician-compare-initiative/</vt:lpwstr>
      </vt:variant>
      <vt:variant>
        <vt:lpwstr/>
      </vt:variant>
      <vt:variant>
        <vt:i4>2359415</vt:i4>
      </vt:variant>
      <vt:variant>
        <vt:i4>0</vt:i4>
      </vt:variant>
      <vt:variant>
        <vt:i4>0</vt:i4>
      </vt:variant>
      <vt:variant>
        <vt:i4>5</vt:i4>
      </vt:variant>
      <vt:variant>
        <vt:lpwstr>https://jamanetwork.com/journals/jama/fullarticle/2653111?resultClick=1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2020-05-20T13:18:00Z</dcterms:created>
  <dcterms:modified xsi:type="dcterms:W3CDTF">2020-05-26T10:48:00Z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0x0101000EA660FC423C814C90DF016CCFC975DC</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