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03" w:rsidRPr="00587303" w:rsidRDefault="008409C1" w:rsidP="00587303">
      <w:pPr>
        <w:jc w:val="center"/>
        <w:rPr>
          <w:rFonts w:ascii="Times New Roman" w:hAnsi="Times New Roman"/>
          <w:b/>
        </w:rPr>
      </w:pPr>
      <w:bookmarkStart w:id="0" w:name="_GoBack"/>
      <w:bookmarkEnd w:id="0"/>
      <w:r>
        <w:rPr>
          <w:rFonts w:ascii="Times New Roman" w:hAnsi="Times New Roman"/>
          <w:b/>
        </w:rPr>
        <w:t xml:space="preserve">Addendum to the </w:t>
      </w:r>
      <w:r w:rsidRPr="008409C1">
        <w:rPr>
          <w:rFonts w:ascii="Times New Roman" w:hAnsi="Times New Roman"/>
          <w:b/>
        </w:rPr>
        <w:t xml:space="preserve">Supporting Statement for </w:t>
      </w:r>
      <w:r w:rsidR="00587303" w:rsidRPr="00587303">
        <w:rPr>
          <w:rFonts w:ascii="Times New Roman" w:hAnsi="Times New Roman"/>
          <w:b/>
        </w:rPr>
        <w:t>Form SSA-455</w:t>
      </w:r>
    </w:p>
    <w:p w:rsidR="00587303" w:rsidRPr="00587303" w:rsidRDefault="00587303" w:rsidP="00587303">
      <w:pPr>
        <w:jc w:val="center"/>
        <w:rPr>
          <w:rFonts w:ascii="Times New Roman" w:hAnsi="Times New Roman"/>
          <w:b/>
        </w:rPr>
      </w:pPr>
      <w:r w:rsidRPr="00587303">
        <w:rPr>
          <w:rFonts w:ascii="Times New Roman" w:hAnsi="Times New Roman"/>
          <w:b/>
        </w:rPr>
        <w:t>Disability Update Report</w:t>
      </w:r>
    </w:p>
    <w:p w:rsidR="00587303" w:rsidRPr="00587303" w:rsidRDefault="00587303" w:rsidP="00587303">
      <w:pPr>
        <w:jc w:val="center"/>
        <w:rPr>
          <w:rFonts w:ascii="Times New Roman" w:hAnsi="Times New Roman"/>
          <w:b/>
        </w:rPr>
      </w:pPr>
      <w:r w:rsidRPr="00587303">
        <w:rPr>
          <w:rFonts w:ascii="Times New Roman" w:hAnsi="Times New Roman"/>
          <w:b/>
        </w:rPr>
        <w:t>20 CFR 404.1589-404.1595 and 416.988-416.996</w:t>
      </w:r>
    </w:p>
    <w:p w:rsidR="008409C1" w:rsidRPr="008409C1" w:rsidRDefault="00587303" w:rsidP="00587303">
      <w:pPr>
        <w:jc w:val="center"/>
        <w:rPr>
          <w:rFonts w:ascii="Times New Roman" w:hAnsi="Times New Roman"/>
          <w:b/>
        </w:rPr>
      </w:pPr>
      <w:r w:rsidRPr="00587303">
        <w:rPr>
          <w:rFonts w:ascii="Times New Roman" w:hAnsi="Times New Roman"/>
          <w:b/>
        </w:rPr>
        <w:t>OMB No. 0960-0511</w:t>
      </w:r>
    </w:p>
    <w:p w:rsidR="00470782" w:rsidRPr="00ED5E9D" w:rsidRDefault="00470782" w:rsidP="00470782">
      <w:pPr>
        <w:rPr>
          <w:rFonts w:ascii="Times New Roman" w:hAnsi="Times New Roman"/>
        </w:rPr>
      </w:pPr>
    </w:p>
    <w:p w:rsidR="00A25571" w:rsidRDefault="00A25571" w:rsidP="00470782">
      <w:pPr>
        <w:pStyle w:val="Heading7"/>
      </w:pPr>
      <w:r>
        <w:t>Background</w:t>
      </w:r>
    </w:p>
    <w:p w:rsidR="00A25571" w:rsidRPr="00A25571" w:rsidRDefault="00A25571" w:rsidP="00A25571"/>
    <w:p w:rsidR="00A25571" w:rsidRDefault="00A25571" w:rsidP="00A25571">
      <w:pPr>
        <w:rPr>
          <w:rFonts w:ascii="Times New Roman" w:hAnsi="Times New Roman"/>
        </w:rPr>
      </w:pPr>
      <w:r w:rsidRPr="00A25571">
        <w:rPr>
          <w:rFonts w:ascii="Times New Roman" w:hAnsi="Times New Roman"/>
        </w:rPr>
        <w:t xml:space="preserve">This is a request for modification of the </w:t>
      </w:r>
      <w:r w:rsidR="004108D4">
        <w:rPr>
          <w:rFonts w:ascii="Times New Roman" w:hAnsi="Times New Roman"/>
        </w:rPr>
        <w:t xml:space="preserve">burden for </w:t>
      </w:r>
      <w:r w:rsidRPr="00A25571">
        <w:rPr>
          <w:rFonts w:ascii="Times New Roman" w:hAnsi="Times New Roman"/>
        </w:rPr>
        <w:t>Form SSA-45</w:t>
      </w:r>
      <w:r w:rsidR="00587303">
        <w:rPr>
          <w:rFonts w:ascii="Times New Roman" w:hAnsi="Times New Roman"/>
        </w:rPr>
        <w:t>5</w:t>
      </w:r>
      <w:r w:rsidRPr="00A25571">
        <w:rPr>
          <w:rFonts w:ascii="Times New Roman" w:hAnsi="Times New Roman"/>
        </w:rPr>
        <w:t xml:space="preserve">, </w:t>
      </w:r>
      <w:r w:rsidR="00587303" w:rsidRPr="00587303">
        <w:rPr>
          <w:rFonts w:ascii="Times New Roman" w:hAnsi="Times New Roman"/>
          <w:snapToGrid w:val="0"/>
        </w:rPr>
        <w:t>Disability Update Report</w:t>
      </w:r>
      <w:r w:rsidRPr="00A25571">
        <w:rPr>
          <w:rFonts w:ascii="Times New Roman" w:hAnsi="Times New Roman"/>
        </w:rPr>
        <w:t xml:space="preserve">, related </w:t>
      </w:r>
      <w:r w:rsidR="00141896">
        <w:rPr>
          <w:rFonts w:ascii="Times New Roman" w:hAnsi="Times New Roman"/>
        </w:rPr>
        <w:t xml:space="preserve">to the </w:t>
      </w:r>
      <w:r>
        <w:rPr>
          <w:rFonts w:ascii="Times New Roman" w:hAnsi="Times New Roman"/>
        </w:rPr>
        <w:t xml:space="preserve">regulation, </w:t>
      </w:r>
      <w:r w:rsidR="00141896" w:rsidRPr="00141896">
        <w:rPr>
          <w:rFonts w:ascii="Times New Roman" w:hAnsi="Times New Roman"/>
        </w:rPr>
        <w:t>Rules Regarding the Frequency and Notice of Continuing Disability Reviews</w:t>
      </w:r>
      <w:r>
        <w:rPr>
          <w:rFonts w:ascii="Times New Roman" w:hAnsi="Times New Roman"/>
        </w:rPr>
        <w:t>, RIN 0960</w:t>
      </w:r>
      <w:r>
        <w:rPr>
          <w:rFonts w:ascii="Times New Roman" w:hAnsi="Times New Roman"/>
        </w:rPr>
        <w:noBreakHyphen/>
      </w:r>
      <w:r w:rsidRPr="00F86D44">
        <w:rPr>
          <w:rFonts w:ascii="Times New Roman" w:hAnsi="Times New Roman"/>
        </w:rPr>
        <w:t>A</w:t>
      </w:r>
      <w:r w:rsidR="00141896">
        <w:rPr>
          <w:rFonts w:ascii="Times New Roman" w:hAnsi="Times New Roman"/>
        </w:rPr>
        <w:t>I27</w:t>
      </w:r>
      <w:r w:rsidR="00C21380">
        <w:rPr>
          <w:rFonts w:ascii="Times New Roman" w:hAnsi="Times New Roman"/>
        </w:rPr>
        <w:t xml:space="preserve">, </w:t>
      </w:r>
      <w:r w:rsidR="00B969D4" w:rsidRPr="00B969D4">
        <w:rPr>
          <w:rFonts w:ascii="Times New Roman" w:hAnsi="Times New Roman"/>
        </w:rPr>
        <w:t>publi</w:t>
      </w:r>
      <w:r w:rsidR="00397CAD">
        <w:rPr>
          <w:rFonts w:ascii="Times New Roman" w:hAnsi="Times New Roman"/>
        </w:rPr>
        <w:t>shed on November 18, 2019 at 84 </w:t>
      </w:r>
      <w:r w:rsidR="00B969D4" w:rsidRPr="00B969D4">
        <w:rPr>
          <w:rFonts w:ascii="Times New Roman" w:hAnsi="Times New Roman"/>
        </w:rPr>
        <w:t>FR 63588</w:t>
      </w:r>
      <w:r>
        <w:rPr>
          <w:rFonts w:ascii="Times New Roman" w:hAnsi="Times New Roman"/>
        </w:rPr>
        <w:t xml:space="preserve">.  </w:t>
      </w:r>
      <w:r w:rsidR="00141896" w:rsidRPr="00141896">
        <w:rPr>
          <w:rFonts w:ascii="Times New Roman" w:hAnsi="Times New Roman"/>
        </w:rPr>
        <w:t>We propose to revise our regulations regarding when and how often we conduct continuing disability reviews (CDR), which are periodic reviews of eligibility required for benefit continuation.</w:t>
      </w:r>
      <w:r w:rsidR="00141896">
        <w:rPr>
          <w:rFonts w:ascii="Times New Roman" w:hAnsi="Times New Roman"/>
        </w:rPr>
        <w:t xml:space="preserve"> </w:t>
      </w:r>
      <w:r w:rsidR="00141896" w:rsidRPr="00141896">
        <w:rPr>
          <w:rFonts w:ascii="Times New Roman" w:hAnsi="Times New Roman"/>
        </w:rPr>
        <w:t xml:space="preserve"> The proposed rules would add a category to the existing medical diary categories that we use to schedule CDRs and revise the criteria for assigning each of the medical diary categories to cases. The proposed rules would also change the frequency with which we perform a CDR for claims with the medical diary category for permanent impairments. </w:t>
      </w:r>
      <w:r w:rsidR="00141896">
        <w:rPr>
          <w:rFonts w:ascii="Times New Roman" w:hAnsi="Times New Roman"/>
        </w:rPr>
        <w:t xml:space="preserve"> </w:t>
      </w:r>
      <w:r w:rsidR="00141896" w:rsidRPr="00141896">
        <w:rPr>
          <w:rFonts w:ascii="Times New Roman" w:hAnsi="Times New Roman"/>
        </w:rPr>
        <w:t>The revised changes would ensure that we continue to maintain appropriate stewardship of the disability program and identify medical improvement (MI) at its earliest point</w:t>
      </w:r>
      <w:r w:rsidR="00141896">
        <w:rPr>
          <w:rFonts w:ascii="Times New Roman" w:hAnsi="Times New Roman"/>
        </w:rPr>
        <w:t>.</w:t>
      </w:r>
    </w:p>
    <w:p w:rsidR="004108D4" w:rsidRDefault="004108D4" w:rsidP="00A25571">
      <w:pPr>
        <w:rPr>
          <w:rFonts w:ascii="Times New Roman" w:hAnsi="Times New Roman"/>
        </w:rPr>
      </w:pPr>
    </w:p>
    <w:p w:rsidR="004108D4" w:rsidRDefault="004108D4" w:rsidP="00A25571">
      <w:pPr>
        <w:rPr>
          <w:rFonts w:ascii="Times New Roman" w:hAnsi="Times New Roman"/>
        </w:rPr>
      </w:pPr>
      <w:r>
        <w:rPr>
          <w:rFonts w:ascii="Times New Roman" w:hAnsi="Times New Roman"/>
        </w:rPr>
        <w:t>We are not revising the SSA-455 in any way to support these proposed rules.  However, because the core policy of the proposed rule will cause a change in the frequency of use of these forms, increasing their public reporting burden for the first 10 years after implementation of the rule, we are seeking OMB are re</w:t>
      </w:r>
      <w:r>
        <w:rPr>
          <w:rFonts w:ascii="Times New Roman" w:hAnsi="Times New Roman"/>
        </w:rPr>
        <w:noBreakHyphen/>
        <w:t>approval under the Paperwork Reduction Act</w:t>
      </w:r>
    </w:p>
    <w:p w:rsidR="00A25571" w:rsidRPr="00A25571" w:rsidRDefault="00A25571" w:rsidP="00A25571"/>
    <w:p w:rsidR="00470782" w:rsidRPr="00ED5E9D" w:rsidRDefault="00470782" w:rsidP="00470782">
      <w:pPr>
        <w:pStyle w:val="Heading7"/>
      </w:pPr>
      <w:r w:rsidRPr="00ED5E9D">
        <w:t>Revisions to the Collection Instrument</w:t>
      </w:r>
      <w:r w:rsidR="004F7AB0">
        <w:t>s</w:t>
      </w:r>
      <w:r w:rsidR="004166CA">
        <w:t xml:space="preserve"> </w:t>
      </w:r>
    </w:p>
    <w:p w:rsidR="00B902CF" w:rsidRDefault="00B902CF" w:rsidP="00B902CF">
      <w:pPr>
        <w:rPr>
          <w:rFonts w:ascii="Times New Roman" w:hAnsi="Times New Roman"/>
        </w:rPr>
      </w:pPr>
      <w:r w:rsidRPr="004108D4">
        <w:rPr>
          <w:rFonts w:ascii="Times New Roman" w:hAnsi="Times New Roman"/>
        </w:rPr>
        <w:t xml:space="preserve">SSA is </w:t>
      </w:r>
      <w:r w:rsidR="00141896" w:rsidRPr="004108D4">
        <w:rPr>
          <w:rFonts w:ascii="Times New Roman" w:hAnsi="Times New Roman"/>
        </w:rPr>
        <w:t xml:space="preserve">revising </w:t>
      </w:r>
      <w:r w:rsidR="009F6D25" w:rsidRPr="004108D4">
        <w:rPr>
          <w:rFonts w:ascii="Times New Roman" w:hAnsi="Times New Roman"/>
        </w:rPr>
        <w:t xml:space="preserve">the burden chart for </w:t>
      </w:r>
      <w:r w:rsidR="004F7AB0" w:rsidRPr="004108D4">
        <w:rPr>
          <w:rFonts w:ascii="Times New Roman" w:hAnsi="Times New Roman"/>
        </w:rPr>
        <w:t>Form SSA-45</w:t>
      </w:r>
      <w:r w:rsidR="00587303" w:rsidRPr="004108D4">
        <w:rPr>
          <w:rFonts w:ascii="Times New Roman" w:hAnsi="Times New Roman"/>
        </w:rPr>
        <w:t>5</w:t>
      </w:r>
      <w:r w:rsidR="00A25571" w:rsidRPr="004108D4">
        <w:rPr>
          <w:rFonts w:ascii="Times New Roman" w:hAnsi="Times New Roman"/>
        </w:rPr>
        <w:t xml:space="preserve"> due to the </w:t>
      </w:r>
      <w:r w:rsidR="009F6D25" w:rsidRPr="004108D4">
        <w:rPr>
          <w:rFonts w:ascii="Times New Roman" w:hAnsi="Times New Roman"/>
        </w:rPr>
        <w:t>r</w:t>
      </w:r>
      <w:r w:rsidR="00A43874" w:rsidRPr="004108D4">
        <w:rPr>
          <w:rFonts w:ascii="Times New Roman" w:hAnsi="Times New Roman"/>
        </w:rPr>
        <w:t>egulation, RIN 0960</w:t>
      </w:r>
      <w:r w:rsidR="00A43874" w:rsidRPr="004108D4">
        <w:rPr>
          <w:rFonts w:ascii="Times New Roman" w:hAnsi="Times New Roman"/>
        </w:rPr>
        <w:noBreakHyphen/>
        <w:t>A</w:t>
      </w:r>
      <w:r w:rsidR="009F6D25" w:rsidRPr="004108D4">
        <w:rPr>
          <w:rFonts w:ascii="Times New Roman" w:hAnsi="Times New Roman"/>
        </w:rPr>
        <w:t>I27</w:t>
      </w:r>
      <w:r w:rsidR="004108D4" w:rsidRPr="004108D4">
        <w:rPr>
          <w:rFonts w:ascii="Times New Roman" w:hAnsi="Times New Roman"/>
        </w:rPr>
        <w:t xml:space="preserve"> as follows</w:t>
      </w:r>
      <w:r w:rsidRPr="00A25571">
        <w:rPr>
          <w:rFonts w:ascii="Times New Roman" w:hAnsi="Times New Roman"/>
        </w:rPr>
        <w:t>:</w:t>
      </w:r>
    </w:p>
    <w:p w:rsidR="00C21380" w:rsidRDefault="00C21380" w:rsidP="00B902CF">
      <w:pPr>
        <w:rPr>
          <w:rFonts w:ascii="Times New Roman" w:hAnsi="Times New Roman"/>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40"/>
        <w:gridCol w:w="1260"/>
        <w:gridCol w:w="1162"/>
        <w:gridCol w:w="1178"/>
        <w:gridCol w:w="1170"/>
        <w:gridCol w:w="1440"/>
      </w:tblGrid>
      <w:tr w:rsidR="00C21380" w:rsidRPr="002174DE" w:rsidTr="00C21380">
        <w:tc>
          <w:tcPr>
            <w:tcW w:w="1350" w:type="dxa"/>
          </w:tcPr>
          <w:p w:rsidR="00C21380" w:rsidRPr="002174DE" w:rsidRDefault="00C21380" w:rsidP="00977B1B">
            <w:pPr>
              <w:widowControl/>
              <w:spacing w:after="160" w:line="259" w:lineRule="auto"/>
              <w:rPr>
                <w:rFonts w:ascii="Times New Roman" w:eastAsiaTheme="minorHAnsi" w:hAnsi="Times New Roman" w:cstheme="minorBidi"/>
                <w:b/>
                <w:sz w:val="22"/>
                <w:szCs w:val="22"/>
              </w:rPr>
            </w:pPr>
            <w:r w:rsidRPr="002174DE">
              <w:rPr>
                <w:rFonts w:ascii="Times New Roman" w:eastAsiaTheme="minorHAnsi" w:hAnsi="Times New Roman" w:cstheme="minorBidi"/>
                <w:b/>
                <w:sz w:val="22"/>
                <w:szCs w:val="22"/>
              </w:rPr>
              <w:t>Modality of Completion</w:t>
            </w:r>
          </w:p>
        </w:tc>
        <w:tc>
          <w:tcPr>
            <w:tcW w:w="1440" w:type="dxa"/>
          </w:tcPr>
          <w:p w:rsidR="00C21380" w:rsidRPr="002174DE" w:rsidRDefault="00C21380" w:rsidP="00977B1B">
            <w:pPr>
              <w:widowControl/>
              <w:spacing w:after="160" w:line="259" w:lineRule="auto"/>
              <w:rPr>
                <w:rFonts w:ascii="Times New Roman" w:eastAsiaTheme="minorHAnsi" w:hAnsi="Times New Roman" w:cstheme="minorBidi"/>
                <w:b/>
                <w:sz w:val="22"/>
                <w:szCs w:val="22"/>
              </w:rPr>
            </w:pPr>
            <w:r w:rsidRPr="002174DE">
              <w:rPr>
                <w:rFonts w:ascii="Times New Roman" w:eastAsiaTheme="minorHAnsi" w:hAnsi="Times New Roman" w:cstheme="minorBidi"/>
                <w:b/>
                <w:sz w:val="22"/>
                <w:szCs w:val="22"/>
              </w:rPr>
              <w:t>Number of Respondents</w:t>
            </w:r>
          </w:p>
        </w:tc>
        <w:tc>
          <w:tcPr>
            <w:tcW w:w="1260" w:type="dxa"/>
          </w:tcPr>
          <w:p w:rsidR="00C21380" w:rsidRPr="002174DE" w:rsidRDefault="00C21380" w:rsidP="00977B1B">
            <w:pPr>
              <w:widowControl/>
              <w:spacing w:after="160" w:line="259" w:lineRule="auto"/>
              <w:rPr>
                <w:rFonts w:ascii="Times New Roman" w:eastAsiaTheme="minorHAnsi" w:hAnsi="Times New Roman" w:cstheme="minorBidi"/>
                <w:b/>
                <w:sz w:val="22"/>
                <w:szCs w:val="22"/>
              </w:rPr>
            </w:pPr>
            <w:r w:rsidRPr="002174DE">
              <w:rPr>
                <w:rFonts w:ascii="Times New Roman" w:eastAsiaTheme="minorHAnsi" w:hAnsi="Times New Roman" w:cstheme="minorBidi"/>
                <w:b/>
                <w:sz w:val="22"/>
                <w:szCs w:val="22"/>
              </w:rPr>
              <w:t>Frequency of Response</w:t>
            </w:r>
          </w:p>
        </w:tc>
        <w:tc>
          <w:tcPr>
            <w:tcW w:w="1162" w:type="dxa"/>
          </w:tcPr>
          <w:p w:rsidR="00C21380" w:rsidRPr="002174DE" w:rsidRDefault="00C21380" w:rsidP="00977B1B">
            <w:pPr>
              <w:widowControl/>
              <w:spacing w:after="160" w:line="259" w:lineRule="auto"/>
              <w:rPr>
                <w:rFonts w:ascii="Times New Roman" w:eastAsiaTheme="minorHAnsi" w:hAnsi="Times New Roman" w:cstheme="minorBidi"/>
                <w:b/>
                <w:sz w:val="22"/>
                <w:szCs w:val="22"/>
              </w:rPr>
            </w:pPr>
            <w:r w:rsidRPr="002174DE">
              <w:rPr>
                <w:rFonts w:ascii="Times New Roman" w:eastAsiaTheme="minorHAnsi" w:hAnsi="Times New Roman" w:cstheme="minorBidi"/>
                <w:b/>
                <w:sz w:val="22"/>
                <w:szCs w:val="22"/>
              </w:rPr>
              <w:t>Average Burden per Response (minutes)</w:t>
            </w:r>
          </w:p>
        </w:tc>
        <w:tc>
          <w:tcPr>
            <w:tcW w:w="1178" w:type="dxa"/>
          </w:tcPr>
          <w:p w:rsidR="00C21380" w:rsidRPr="002174DE" w:rsidRDefault="00C21380" w:rsidP="00977B1B">
            <w:pPr>
              <w:widowControl/>
              <w:spacing w:after="160" w:line="259" w:lineRule="auto"/>
              <w:rPr>
                <w:rFonts w:ascii="Times New Roman" w:eastAsiaTheme="minorHAnsi" w:hAnsi="Times New Roman" w:cstheme="minorBidi"/>
                <w:b/>
                <w:sz w:val="22"/>
                <w:szCs w:val="22"/>
              </w:rPr>
            </w:pPr>
            <w:r w:rsidRPr="002174DE">
              <w:rPr>
                <w:rFonts w:ascii="Times New Roman" w:eastAsiaTheme="minorHAnsi" w:hAnsi="Times New Roman" w:cstheme="minorBidi"/>
                <w:b/>
                <w:sz w:val="22"/>
                <w:szCs w:val="22"/>
              </w:rPr>
              <w:t>Estimated Total Annual Burden (hours)</w:t>
            </w:r>
          </w:p>
        </w:tc>
        <w:tc>
          <w:tcPr>
            <w:tcW w:w="1170" w:type="dxa"/>
          </w:tcPr>
          <w:p w:rsidR="00C21380" w:rsidRPr="002174DE" w:rsidRDefault="00C21380" w:rsidP="00977B1B">
            <w:pPr>
              <w:widowControl/>
              <w:spacing w:after="160" w:line="259" w:lineRule="auto"/>
              <w:rPr>
                <w:rFonts w:ascii="Times New Roman" w:eastAsiaTheme="minorHAnsi" w:hAnsi="Times New Roman" w:cstheme="minorBidi"/>
                <w:b/>
                <w:sz w:val="22"/>
                <w:szCs w:val="22"/>
              </w:rPr>
            </w:pPr>
            <w:r w:rsidRPr="002174DE">
              <w:rPr>
                <w:rFonts w:ascii="Times New Roman" w:eastAsiaTheme="minorHAnsi" w:hAnsi="Times New Roman" w:cstheme="minorBidi"/>
                <w:b/>
                <w:sz w:val="22"/>
                <w:szCs w:val="22"/>
              </w:rPr>
              <w:t>Average Hourly Wage (dollars)*</w:t>
            </w:r>
          </w:p>
        </w:tc>
        <w:tc>
          <w:tcPr>
            <w:tcW w:w="1440" w:type="dxa"/>
          </w:tcPr>
          <w:p w:rsidR="00C21380" w:rsidRPr="002174DE" w:rsidRDefault="00C21380" w:rsidP="00977B1B">
            <w:pPr>
              <w:widowControl/>
              <w:spacing w:after="160" w:line="259" w:lineRule="auto"/>
              <w:rPr>
                <w:rFonts w:ascii="Times New Roman" w:eastAsiaTheme="minorHAnsi" w:hAnsi="Times New Roman" w:cstheme="minorBidi"/>
                <w:b/>
                <w:sz w:val="22"/>
                <w:szCs w:val="22"/>
              </w:rPr>
            </w:pPr>
            <w:r w:rsidRPr="002174DE">
              <w:rPr>
                <w:rFonts w:ascii="Times New Roman" w:eastAsiaTheme="minorHAnsi" w:hAnsi="Times New Roman" w:cstheme="minorBidi"/>
                <w:b/>
                <w:sz w:val="22"/>
                <w:szCs w:val="22"/>
              </w:rPr>
              <w:t>Total Annual Opportunity Cost (dollars)**</w:t>
            </w:r>
          </w:p>
        </w:tc>
      </w:tr>
      <w:tr w:rsidR="00C21380" w:rsidRPr="002174DE" w:rsidTr="00C21380">
        <w:tc>
          <w:tcPr>
            <w:tcW w:w="1350" w:type="dxa"/>
          </w:tcPr>
          <w:p w:rsidR="00C21380" w:rsidRPr="002174DE" w:rsidRDefault="00C21380" w:rsidP="00977B1B">
            <w:pPr>
              <w:rPr>
                <w:rFonts w:ascii="Times New Roman" w:hAnsi="Times New Roman"/>
              </w:rPr>
            </w:pPr>
            <w:r w:rsidRPr="002174DE">
              <w:rPr>
                <w:rFonts w:ascii="Times New Roman" w:hAnsi="Times New Roman"/>
              </w:rPr>
              <w:t>SSA-45</w:t>
            </w:r>
            <w:r>
              <w:rPr>
                <w:rFonts w:ascii="Times New Roman" w:hAnsi="Times New Roman"/>
              </w:rPr>
              <w:t>5</w:t>
            </w:r>
          </w:p>
        </w:tc>
        <w:tc>
          <w:tcPr>
            <w:tcW w:w="1440" w:type="dxa"/>
          </w:tcPr>
          <w:p w:rsidR="00C21380" w:rsidRPr="002174DE" w:rsidRDefault="00C21380" w:rsidP="00977B1B">
            <w:pPr>
              <w:widowControl/>
              <w:spacing w:after="160" w:line="259" w:lineRule="auto"/>
              <w:jc w:val="right"/>
              <w:rPr>
                <w:rFonts w:ascii="Times New Roman" w:eastAsiaTheme="minorHAnsi" w:hAnsi="Times New Roman" w:cstheme="minorBidi"/>
              </w:rPr>
            </w:pPr>
            <w:r>
              <w:rPr>
                <w:rFonts w:ascii="Times New Roman" w:eastAsiaTheme="minorHAnsi" w:hAnsi="Times New Roman" w:cstheme="minorBidi"/>
              </w:rPr>
              <w:t>1,300,000</w:t>
            </w:r>
          </w:p>
        </w:tc>
        <w:tc>
          <w:tcPr>
            <w:tcW w:w="1260" w:type="dxa"/>
          </w:tcPr>
          <w:p w:rsidR="00C21380" w:rsidRPr="002174DE" w:rsidRDefault="00C21380" w:rsidP="00977B1B">
            <w:pPr>
              <w:widowControl/>
              <w:spacing w:after="160" w:line="259" w:lineRule="auto"/>
              <w:jc w:val="right"/>
              <w:rPr>
                <w:rFonts w:ascii="Times New Roman" w:eastAsiaTheme="minorHAnsi" w:hAnsi="Times New Roman" w:cstheme="minorBidi"/>
              </w:rPr>
            </w:pPr>
            <w:r w:rsidRPr="002174DE">
              <w:rPr>
                <w:rFonts w:ascii="Times New Roman" w:eastAsiaTheme="minorHAnsi" w:hAnsi="Times New Roman" w:cstheme="minorBidi"/>
              </w:rPr>
              <w:t>1</w:t>
            </w:r>
          </w:p>
        </w:tc>
        <w:tc>
          <w:tcPr>
            <w:tcW w:w="1162" w:type="dxa"/>
          </w:tcPr>
          <w:p w:rsidR="00C21380" w:rsidRPr="002174DE" w:rsidRDefault="00C21380" w:rsidP="00977B1B">
            <w:pPr>
              <w:widowControl/>
              <w:spacing w:after="160" w:line="259" w:lineRule="auto"/>
              <w:jc w:val="right"/>
              <w:rPr>
                <w:rFonts w:ascii="Times New Roman" w:eastAsiaTheme="minorHAnsi" w:hAnsi="Times New Roman" w:cstheme="minorBidi"/>
              </w:rPr>
            </w:pPr>
            <w:r>
              <w:rPr>
                <w:rFonts w:ascii="Times New Roman" w:eastAsiaTheme="minorHAnsi" w:hAnsi="Times New Roman" w:cstheme="minorBidi"/>
              </w:rPr>
              <w:t>15</w:t>
            </w:r>
          </w:p>
        </w:tc>
        <w:tc>
          <w:tcPr>
            <w:tcW w:w="1178" w:type="dxa"/>
          </w:tcPr>
          <w:p w:rsidR="00C21380" w:rsidRPr="002174DE" w:rsidRDefault="00C21380" w:rsidP="00977B1B">
            <w:pPr>
              <w:widowControl/>
              <w:spacing w:after="160" w:line="259" w:lineRule="auto"/>
              <w:jc w:val="right"/>
              <w:rPr>
                <w:rFonts w:ascii="Times New Roman" w:eastAsiaTheme="minorHAnsi" w:hAnsi="Times New Roman" w:cstheme="minorBidi"/>
              </w:rPr>
            </w:pPr>
            <w:r>
              <w:rPr>
                <w:rFonts w:ascii="Times New Roman" w:eastAsiaTheme="minorHAnsi" w:hAnsi="Times New Roman" w:cstheme="minorBidi"/>
              </w:rPr>
              <w:t>325,000</w:t>
            </w:r>
          </w:p>
        </w:tc>
        <w:tc>
          <w:tcPr>
            <w:tcW w:w="1170" w:type="dxa"/>
          </w:tcPr>
          <w:p w:rsidR="00C21380" w:rsidRPr="002174DE" w:rsidRDefault="00C21380" w:rsidP="00977B1B">
            <w:pPr>
              <w:widowControl/>
              <w:spacing w:after="160" w:line="259" w:lineRule="auto"/>
              <w:jc w:val="right"/>
              <w:rPr>
                <w:rFonts w:ascii="Times New Roman" w:eastAsiaTheme="minorHAnsi" w:hAnsi="Times New Roman" w:cstheme="minorBidi"/>
              </w:rPr>
            </w:pPr>
            <w:r w:rsidRPr="002174DE">
              <w:rPr>
                <w:rFonts w:ascii="Times New Roman" w:eastAsiaTheme="minorHAnsi" w:hAnsi="Times New Roman" w:cstheme="minorBidi"/>
              </w:rPr>
              <w:t>$10.22</w:t>
            </w:r>
          </w:p>
        </w:tc>
        <w:tc>
          <w:tcPr>
            <w:tcW w:w="1440" w:type="dxa"/>
          </w:tcPr>
          <w:p w:rsidR="00C21380" w:rsidRPr="002174DE" w:rsidRDefault="00C21380" w:rsidP="00977B1B">
            <w:pPr>
              <w:widowControl/>
              <w:spacing w:after="160" w:line="259" w:lineRule="auto"/>
              <w:jc w:val="right"/>
              <w:rPr>
                <w:rFonts w:ascii="Times New Roman" w:eastAsiaTheme="minorHAnsi" w:hAnsi="Times New Roman" w:cstheme="minorBidi"/>
              </w:rPr>
            </w:pPr>
            <w:r w:rsidRPr="002174DE">
              <w:rPr>
                <w:rFonts w:ascii="Times New Roman" w:eastAsiaTheme="minorHAnsi" w:hAnsi="Times New Roman" w:cstheme="minorBidi"/>
              </w:rPr>
              <w:t>$</w:t>
            </w:r>
            <w:r>
              <w:rPr>
                <w:rFonts w:ascii="Times New Roman" w:eastAsiaTheme="minorHAnsi" w:hAnsi="Times New Roman" w:cstheme="minorBidi"/>
              </w:rPr>
              <w:t>3</w:t>
            </w:r>
            <w:r w:rsidRPr="002174DE">
              <w:rPr>
                <w:rFonts w:ascii="Times New Roman" w:eastAsiaTheme="minorHAnsi" w:hAnsi="Times New Roman" w:cstheme="minorBidi"/>
              </w:rPr>
              <w:t>,</w:t>
            </w:r>
            <w:r>
              <w:rPr>
                <w:rFonts w:ascii="Times New Roman" w:eastAsiaTheme="minorHAnsi" w:hAnsi="Times New Roman" w:cstheme="minorBidi"/>
              </w:rPr>
              <w:t>321</w:t>
            </w:r>
            <w:r w:rsidRPr="002174DE">
              <w:rPr>
                <w:rFonts w:ascii="Times New Roman" w:eastAsiaTheme="minorHAnsi" w:hAnsi="Times New Roman" w:cstheme="minorBidi"/>
              </w:rPr>
              <w:t>,</w:t>
            </w:r>
            <w:r>
              <w:rPr>
                <w:rFonts w:ascii="Times New Roman" w:eastAsiaTheme="minorHAnsi" w:hAnsi="Times New Roman" w:cstheme="minorBidi"/>
              </w:rPr>
              <w:t>50</w:t>
            </w:r>
            <w:r w:rsidRPr="002174DE">
              <w:rPr>
                <w:rFonts w:ascii="Times New Roman" w:eastAsiaTheme="minorHAnsi" w:hAnsi="Times New Roman" w:cstheme="minorBidi"/>
              </w:rPr>
              <w:t>0</w:t>
            </w:r>
          </w:p>
        </w:tc>
      </w:tr>
    </w:tbl>
    <w:p w:rsidR="009F6D25" w:rsidRPr="009F6D25" w:rsidRDefault="009F6D25" w:rsidP="009F6D25">
      <w:pPr>
        <w:rPr>
          <w:rFonts w:ascii="Times New Roman" w:hAnsi="Times New Roman"/>
        </w:rPr>
      </w:pPr>
      <w:r w:rsidRPr="009F6D25">
        <w:rPr>
          <w:rFonts w:ascii="Times New Roman" w:hAnsi="Times New Roman"/>
        </w:rPr>
        <w:t>* We based this figure on average DI payments.</w:t>
      </w:r>
      <w:r w:rsidRPr="009F6D25">
        <w:rPr>
          <w:rFonts w:ascii="Times New Roman" w:hAnsi="Times New Roman"/>
        </w:rPr>
        <w:br/>
      </w:r>
      <w:r w:rsidRPr="009F6D25">
        <w:rPr>
          <w:rFonts w:ascii="Times New Roman" w:hAnsi="Times New Roman"/>
        </w:rPr>
        <w:br/>
        <w:t>** This figure does not represent actual costs that SSA is imposing on recipients of Social Security payments to complete this application; rather, these are theoretical opportunity costs for the additional time respondents will spend to complete the application.</w:t>
      </w:r>
      <w:r w:rsidR="00EC10C4">
        <w:rPr>
          <w:rFonts w:ascii="Times New Roman" w:hAnsi="Times New Roman"/>
        </w:rPr>
        <w:t xml:space="preserve">  There is no actual charge to respondents to complete the application.</w:t>
      </w:r>
    </w:p>
    <w:p w:rsidR="00141896" w:rsidRDefault="00141896" w:rsidP="00B009DA">
      <w:pPr>
        <w:rPr>
          <w:rFonts w:ascii="Times New Roman" w:hAnsi="Times New Roman"/>
        </w:rPr>
      </w:pPr>
    </w:p>
    <w:p w:rsidR="00F032E3" w:rsidRDefault="00644914">
      <w:pPr>
        <w:rPr>
          <w:rFonts w:ascii="Times New Roman" w:hAnsi="Times New Roman"/>
        </w:rPr>
      </w:pPr>
      <w:r w:rsidRPr="00644914">
        <w:rPr>
          <w:rFonts w:ascii="Times New Roman" w:hAnsi="Times New Roman"/>
        </w:rPr>
        <w:t>SSA will implement th</w:t>
      </w:r>
      <w:r>
        <w:rPr>
          <w:rFonts w:ascii="Times New Roman" w:hAnsi="Times New Roman"/>
        </w:rPr>
        <w:t>ese</w:t>
      </w:r>
      <w:r w:rsidR="004108D4">
        <w:rPr>
          <w:rFonts w:ascii="Times New Roman" w:hAnsi="Times New Roman"/>
        </w:rPr>
        <w:t xml:space="preserve"> burden c</w:t>
      </w:r>
      <w:r w:rsidRPr="00644914">
        <w:rPr>
          <w:rFonts w:ascii="Times New Roman" w:hAnsi="Times New Roman"/>
        </w:rPr>
        <w:t>hange</w:t>
      </w:r>
      <w:r>
        <w:rPr>
          <w:rFonts w:ascii="Times New Roman" w:hAnsi="Times New Roman"/>
        </w:rPr>
        <w:t>s</w:t>
      </w:r>
      <w:r w:rsidRPr="00644914">
        <w:rPr>
          <w:rFonts w:ascii="Times New Roman" w:hAnsi="Times New Roman"/>
        </w:rPr>
        <w:t xml:space="preserve"> immediately upon OMB’s approval</w:t>
      </w:r>
      <w:r w:rsidR="00A43874">
        <w:rPr>
          <w:rFonts w:ascii="Times New Roman" w:hAnsi="Times New Roman"/>
        </w:rPr>
        <w:t xml:space="preserve"> of the Final Rule for </w:t>
      </w:r>
      <w:r w:rsidR="00A43874" w:rsidRPr="00A43874">
        <w:rPr>
          <w:rFonts w:ascii="Times New Roman" w:hAnsi="Times New Roman"/>
        </w:rPr>
        <w:t>RIN 0960</w:t>
      </w:r>
      <w:r w:rsidR="00A43874" w:rsidRPr="00A43874">
        <w:rPr>
          <w:rFonts w:ascii="Times New Roman" w:hAnsi="Times New Roman"/>
        </w:rPr>
        <w:noBreakHyphen/>
        <w:t>A</w:t>
      </w:r>
      <w:r w:rsidR="00141896">
        <w:rPr>
          <w:rFonts w:ascii="Times New Roman" w:hAnsi="Times New Roman"/>
        </w:rPr>
        <w:t>I27</w:t>
      </w:r>
      <w:r w:rsidRPr="00644914">
        <w:rPr>
          <w:rFonts w:ascii="Times New Roman" w:hAnsi="Times New Roman"/>
        </w:rPr>
        <w:t>.</w:t>
      </w:r>
    </w:p>
    <w:sectPr w:rsidR="00F032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17C"/>
    <w:multiLevelType w:val="hybridMultilevel"/>
    <w:tmpl w:val="47A4BB7E"/>
    <w:lvl w:ilvl="0" w:tplc="88E41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794"/>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8A2"/>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1896"/>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4F98"/>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A8A"/>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7BA8"/>
    <w:rsid w:val="003006A0"/>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EA3"/>
    <w:rsid w:val="00344EF9"/>
    <w:rsid w:val="0034576B"/>
    <w:rsid w:val="00345BC4"/>
    <w:rsid w:val="00346032"/>
    <w:rsid w:val="00346684"/>
    <w:rsid w:val="00346E7F"/>
    <w:rsid w:val="0034700D"/>
    <w:rsid w:val="0034719E"/>
    <w:rsid w:val="00347567"/>
    <w:rsid w:val="00350167"/>
    <w:rsid w:val="0035042E"/>
    <w:rsid w:val="0035053B"/>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573C"/>
    <w:rsid w:val="00396122"/>
    <w:rsid w:val="00396177"/>
    <w:rsid w:val="00396480"/>
    <w:rsid w:val="00397CAD"/>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1F6"/>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8D4"/>
    <w:rsid w:val="00410964"/>
    <w:rsid w:val="004110CC"/>
    <w:rsid w:val="004117D7"/>
    <w:rsid w:val="00412767"/>
    <w:rsid w:val="004129CF"/>
    <w:rsid w:val="00412C49"/>
    <w:rsid w:val="00413070"/>
    <w:rsid w:val="0041505C"/>
    <w:rsid w:val="004153C2"/>
    <w:rsid w:val="00415BCF"/>
    <w:rsid w:val="00415D7B"/>
    <w:rsid w:val="004164DF"/>
    <w:rsid w:val="004166CA"/>
    <w:rsid w:val="00417C3B"/>
    <w:rsid w:val="004205BB"/>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6D0C"/>
    <w:rsid w:val="004A74AA"/>
    <w:rsid w:val="004B017B"/>
    <w:rsid w:val="004B03FC"/>
    <w:rsid w:val="004B0417"/>
    <w:rsid w:val="004B0F36"/>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4F7AB0"/>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303"/>
    <w:rsid w:val="00587BA9"/>
    <w:rsid w:val="00587D33"/>
    <w:rsid w:val="005900F4"/>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371"/>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14"/>
    <w:rsid w:val="006449A2"/>
    <w:rsid w:val="0064549D"/>
    <w:rsid w:val="00645642"/>
    <w:rsid w:val="0064588A"/>
    <w:rsid w:val="00646AE0"/>
    <w:rsid w:val="0064720F"/>
    <w:rsid w:val="006479E7"/>
    <w:rsid w:val="00647AD5"/>
    <w:rsid w:val="00650FE6"/>
    <w:rsid w:val="006524DA"/>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7699"/>
    <w:rsid w:val="00837743"/>
    <w:rsid w:val="00840127"/>
    <w:rsid w:val="008405BB"/>
    <w:rsid w:val="008409C1"/>
    <w:rsid w:val="00840AED"/>
    <w:rsid w:val="00840B84"/>
    <w:rsid w:val="00840DA6"/>
    <w:rsid w:val="00840FA9"/>
    <w:rsid w:val="00841224"/>
    <w:rsid w:val="00841365"/>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15D"/>
    <w:rsid w:val="008E12C8"/>
    <w:rsid w:val="008E175F"/>
    <w:rsid w:val="008E1949"/>
    <w:rsid w:val="008E2012"/>
    <w:rsid w:val="008E26CD"/>
    <w:rsid w:val="008E32BB"/>
    <w:rsid w:val="008E39F2"/>
    <w:rsid w:val="008E3FB5"/>
    <w:rsid w:val="008E47B1"/>
    <w:rsid w:val="008E47BD"/>
    <w:rsid w:val="008E47CC"/>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DAF"/>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E8F"/>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6D25"/>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571"/>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874"/>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9DA"/>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B26"/>
    <w:rsid w:val="00B611D8"/>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02CF"/>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9D4"/>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537"/>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29"/>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380"/>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66A"/>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6EB3"/>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3A6"/>
    <w:rsid w:val="00E63F37"/>
    <w:rsid w:val="00E64090"/>
    <w:rsid w:val="00E649A6"/>
    <w:rsid w:val="00E649D6"/>
    <w:rsid w:val="00E64E6C"/>
    <w:rsid w:val="00E64F7C"/>
    <w:rsid w:val="00E65E19"/>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0C4"/>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2E3"/>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82"/>
    <w:pPr>
      <w:widowControl w:val="0"/>
      <w:snapToGrid w:val="0"/>
    </w:pPr>
    <w:rPr>
      <w:rFonts w:ascii="Courier" w:hAnsi="Courier"/>
      <w:sz w:val="24"/>
      <w:szCs w:val="24"/>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ListParagraph">
    <w:name w:val="List Paragraph"/>
    <w:basedOn w:val="Normal"/>
    <w:uiPriority w:val="34"/>
    <w:qFormat/>
    <w:rsid w:val="008E115D"/>
    <w:pPr>
      <w:ind w:left="720"/>
    </w:pPr>
  </w:style>
  <w:style w:type="character" w:styleId="Hyperlink">
    <w:name w:val="Hyperlink"/>
    <w:rsid w:val="00E36EB3"/>
    <w:rPr>
      <w:color w:val="0000FF"/>
      <w:u w:val="single"/>
    </w:rPr>
  </w:style>
  <w:style w:type="paragraph" w:styleId="BalloonText">
    <w:name w:val="Balloon Text"/>
    <w:basedOn w:val="Normal"/>
    <w:link w:val="BalloonTextChar"/>
    <w:rsid w:val="005C7371"/>
    <w:rPr>
      <w:rFonts w:ascii="Segoe UI" w:hAnsi="Segoe UI" w:cs="Segoe UI"/>
      <w:sz w:val="18"/>
      <w:szCs w:val="18"/>
    </w:rPr>
  </w:style>
  <w:style w:type="character" w:customStyle="1" w:styleId="BalloonTextChar">
    <w:name w:val="Balloon Text Char"/>
    <w:link w:val="BalloonText"/>
    <w:rsid w:val="005C737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82"/>
    <w:pPr>
      <w:widowControl w:val="0"/>
      <w:snapToGrid w:val="0"/>
    </w:pPr>
    <w:rPr>
      <w:rFonts w:ascii="Courier" w:hAnsi="Courier"/>
      <w:sz w:val="24"/>
      <w:szCs w:val="24"/>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ListParagraph">
    <w:name w:val="List Paragraph"/>
    <w:basedOn w:val="Normal"/>
    <w:uiPriority w:val="34"/>
    <w:qFormat/>
    <w:rsid w:val="008E115D"/>
    <w:pPr>
      <w:ind w:left="720"/>
    </w:pPr>
  </w:style>
  <w:style w:type="character" w:styleId="Hyperlink">
    <w:name w:val="Hyperlink"/>
    <w:rsid w:val="00E36EB3"/>
    <w:rPr>
      <w:color w:val="0000FF"/>
      <w:u w:val="single"/>
    </w:rPr>
  </w:style>
  <w:style w:type="paragraph" w:styleId="BalloonText">
    <w:name w:val="Balloon Text"/>
    <w:basedOn w:val="Normal"/>
    <w:link w:val="BalloonTextChar"/>
    <w:rsid w:val="005C7371"/>
    <w:rPr>
      <w:rFonts w:ascii="Segoe UI" w:hAnsi="Segoe UI" w:cs="Segoe UI"/>
      <w:sz w:val="18"/>
      <w:szCs w:val="18"/>
    </w:rPr>
  </w:style>
  <w:style w:type="character" w:customStyle="1" w:styleId="BalloonTextChar">
    <w:name w:val="Balloon Text Char"/>
    <w:link w:val="BalloonText"/>
    <w:rsid w:val="005C7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9986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SYSTEM</cp:lastModifiedBy>
  <cp:revision>2</cp:revision>
  <cp:lastPrinted>2018-06-06T18:49:00Z</cp:lastPrinted>
  <dcterms:created xsi:type="dcterms:W3CDTF">2019-11-18T14:16:00Z</dcterms:created>
  <dcterms:modified xsi:type="dcterms:W3CDTF">2019-11-18T14:16:00Z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1132011395</vt:i4>
  </property>
  <property fmtid="{D5CDD505-2E9C-101B-9397-08002B2CF9AE}" pid="4" name="_EmailSubject">
    <vt:lpwstr>CDR NPRM Files</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695559738</vt:i4>
  </property>
  <property fmtid="{D5CDD505-2E9C-101B-9397-08002B2CF9AE}" pid="8" name="_ReviewingToolsShownOnce">
    <vt:lpwstr/>
  </property>
</Properties>
</file>